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FE4708" w14:textId="4836D7E5" w:rsidR="00B75683" w:rsidRPr="00E325D0" w:rsidRDefault="00B75683" w:rsidP="00E325D0">
      <w:pPr>
        <w:spacing w:line="480" w:lineRule="auto"/>
        <w:contextualSpacing/>
        <w:rPr>
          <w:rFonts w:ascii="Times New Roman" w:hAnsi="Times New Roman" w:cs="Times New Roman"/>
          <w:b/>
          <w:bCs/>
          <w:sz w:val="28"/>
          <w:szCs w:val="28"/>
        </w:rPr>
      </w:pPr>
      <w:bookmarkStart w:id="0" w:name="_GoBack"/>
      <w:bookmarkEnd w:id="0"/>
      <w:r w:rsidRPr="00E325D0">
        <w:rPr>
          <w:rFonts w:ascii="Times New Roman" w:hAnsi="Times New Roman" w:cs="Times New Roman"/>
          <w:b/>
          <w:bCs/>
          <w:sz w:val="28"/>
          <w:szCs w:val="28"/>
        </w:rPr>
        <w:t>An Emerging EU Strategic Narrative? Twitter Communication during the EU’s Sustainable Energy Week</w:t>
      </w:r>
    </w:p>
    <w:p w14:paraId="18900498" w14:textId="77777777" w:rsidR="007A3733" w:rsidRDefault="007A3733" w:rsidP="00E325D0">
      <w:pPr>
        <w:spacing w:line="480" w:lineRule="auto"/>
        <w:contextualSpacing/>
        <w:rPr>
          <w:rFonts w:ascii="Times New Roman" w:hAnsi="Times New Roman" w:cs="Times New Roman"/>
          <w:b/>
          <w:bCs/>
          <w:sz w:val="24"/>
          <w:szCs w:val="24"/>
        </w:rPr>
      </w:pPr>
    </w:p>
    <w:p w14:paraId="6450F7C5" w14:textId="667E5BAE" w:rsidR="00B75683" w:rsidRPr="007A3733" w:rsidRDefault="007A3733" w:rsidP="00E325D0">
      <w:pPr>
        <w:spacing w:line="480" w:lineRule="auto"/>
        <w:contextualSpacing/>
        <w:rPr>
          <w:rFonts w:ascii="Times New Roman" w:hAnsi="Times New Roman" w:cs="Times New Roman"/>
          <w:b/>
          <w:bCs/>
          <w:sz w:val="28"/>
          <w:szCs w:val="24"/>
        </w:rPr>
      </w:pPr>
      <w:r w:rsidRPr="007A3733">
        <w:rPr>
          <w:rFonts w:ascii="Times New Roman" w:hAnsi="Times New Roman" w:cs="Times New Roman"/>
          <w:b/>
          <w:bCs/>
          <w:sz w:val="28"/>
          <w:szCs w:val="24"/>
        </w:rPr>
        <w:t>Jessica Bain and Natalia Chaban</w:t>
      </w:r>
    </w:p>
    <w:p w14:paraId="2537BDF0" w14:textId="77777777" w:rsidR="007A3733" w:rsidRPr="00E325D0" w:rsidRDefault="007A3733" w:rsidP="00E325D0">
      <w:pPr>
        <w:spacing w:line="480" w:lineRule="auto"/>
        <w:contextualSpacing/>
        <w:rPr>
          <w:rFonts w:ascii="Times New Roman" w:hAnsi="Times New Roman" w:cs="Times New Roman"/>
          <w:b/>
          <w:bCs/>
          <w:sz w:val="24"/>
          <w:szCs w:val="24"/>
        </w:rPr>
      </w:pPr>
    </w:p>
    <w:p w14:paraId="389DC217" w14:textId="1A952A43" w:rsidR="00966691" w:rsidRPr="00E325D0" w:rsidRDefault="00AD5E9F" w:rsidP="00E325D0">
      <w:pPr>
        <w:spacing w:line="480" w:lineRule="auto"/>
        <w:contextualSpacing/>
        <w:rPr>
          <w:rFonts w:ascii="Times New Roman" w:hAnsi="Times New Roman" w:cs="Times New Roman"/>
          <w:b/>
          <w:bCs/>
          <w:sz w:val="24"/>
          <w:szCs w:val="24"/>
        </w:rPr>
      </w:pPr>
      <w:r w:rsidRPr="00E325D0">
        <w:rPr>
          <w:rFonts w:ascii="Times New Roman" w:hAnsi="Times New Roman" w:cs="Times New Roman"/>
          <w:b/>
          <w:bCs/>
          <w:sz w:val="24"/>
          <w:szCs w:val="24"/>
        </w:rPr>
        <w:t>Abstract</w:t>
      </w:r>
    </w:p>
    <w:p w14:paraId="7E92A795" w14:textId="5E9856FA" w:rsidR="00C46587" w:rsidRPr="00E325D0" w:rsidRDefault="00C94F1D" w:rsidP="00E325D0">
      <w:pPr>
        <w:spacing w:line="480" w:lineRule="auto"/>
        <w:contextualSpacing/>
        <w:jc w:val="both"/>
        <w:rPr>
          <w:rFonts w:ascii="Times New Roman" w:hAnsi="Times New Roman" w:cs="Times New Roman"/>
          <w:sz w:val="24"/>
          <w:szCs w:val="24"/>
        </w:rPr>
      </w:pPr>
      <w:r w:rsidRPr="00E325D0">
        <w:rPr>
          <w:rFonts w:ascii="Times New Roman" w:hAnsi="Times New Roman" w:cs="Times New Roman"/>
          <w:sz w:val="24"/>
          <w:szCs w:val="24"/>
        </w:rPr>
        <w:t>This paper approaches the subject of the global recognition of the term ‘Normative Power Europe’ in external energy governance by engaging with the concept of strategic narratives. Th</w:t>
      </w:r>
      <w:r w:rsidR="000649E7" w:rsidRPr="00E325D0">
        <w:rPr>
          <w:rFonts w:ascii="Times New Roman" w:hAnsi="Times New Roman" w:cs="Times New Roman"/>
          <w:sz w:val="24"/>
          <w:szCs w:val="24"/>
        </w:rPr>
        <w:t>e</w:t>
      </w:r>
      <w:r w:rsidRPr="00E325D0">
        <w:rPr>
          <w:rFonts w:ascii="Times New Roman" w:hAnsi="Times New Roman" w:cs="Times New Roman"/>
          <w:sz w:val="24"/>
          <w:szCs w:val="24"/>
        </w:rPr>
        <w:t xml:space="preserve"> paper considers reactions to the E</w:t>
      </w:r>
      <w:r w:rsidR="008D5384">
        <w:rPr>
          <w:rFonts w:ascii="Times New Roman" w:hAnsi="Times New Roman" w:cs="Times New Roman"/>
          <w:sz w:val="24"/>
          <w:szCs w:val="24"/>
        </w:rPr>
        <w:t>uropean Union (E</w:t>
      </w:r>
      <w:r w:rsidRPr="00E325D0">
        <w:rPr>
          <w:rFonts w:ascii="Times New Roman" w:hAnsi="Times New Roman" w:cs="Times New Roman"/>
          <w:sz w:val="24"/>
          <w:szCs w:val="24"/>
        </w:rPr>
        <w:t>U</w:t>
      </w:r>
      <w:r w:rsidR="008D5384">
        <w:rPr>
          <w:rFonts w:ascii="Times New Roman" w:hAnsi="Times New Roman" w:cs="Times New Roman"/>
          <w:sz w:val="24"/>
          <w:szCs w:val="24"/>
        </w:rPr>
        <w:t>)</w:t>
      </w:r>
      <w:r w:rsidRPr="00E325D0">
        <w:rPr>
          <w:rFonts w:ascii="Times New Roman" w:hAnsi="Times New Roman" w:cs="Times New Roman"/>
          <w:sz w:val="24"/>
          <w:szCs w:val="24"/>
        </w:rPr>
        <w:t xml:space="preserve"> as a normative energy actor within a tripartite scheme of strategic narrative formation, projection and reception (</w:t>
      </w:r>
      <w:r w:rsidR="008D5384" w:rsidRPr="00E325D0">
        <w:rPr>
          <w:rFonts w:ascii="Times New Roman" w:hAnsi="Times New Roman" w:cs="Times New Roman"/>
          <w:sz w:val="24"/>
          <w:szCs w:val="24"/>
        </w:rPr>
        <w:t>Miskimmon et al, 2013</w:t>
      </w:r>
      <w:r w:rsidR="008D5384">
        <w:rPr>
          <w:rFonts w:ascii="Times New Roman" w:hAnsi="Times New Roman" w:cs="Times New Roman"/>
          <w:sz w:val="24"/>
          <w:szCs w:val="24"/>
        </w:rPr>
        <w:t xml:space="preserve">; </w:t>
      </w:r>
      <w:r w:rsidRPr="00E325D0">
        <w:rPr>
          <w:rFonts w:ascii="Times New Roman" w:hAnsi="Times New Roman" w:cs="Times New Roman"/>
          <w:sz w:val="24"/>
          <w:szCs w:val="24"/>
        </w:rPr>
        <w:t xml:space="preserve">Roselle et al, 2014). The definition of a narrative suggests </w:t>
      </w:r>
      <w:r w:rsidR="008D5384">
        <w:rPr>
          <w:rFonts w:ascii="Times New Roman" w:hAnsi="Times New Roman" w:cs="Times New Roman"/>
          <w:sz w:val="24"/>
          <w:szCs w:val="24"/>
        </w:rPr>
        <w:t>the</w:t>
      </w:r>
      <w:r w:rsidRPr="00E325D0">
        <w:rPr>
          <w:rFonts w:ascii="Times New Roman" w:hAnsi="Times New Roman" w:cs="Times New Roman"/>
          <w:sz w:val="24"/>
          <w:szCs w:val="24"/>
        </w:rPr>
        <w:t xml:space="preserve"> presence of an actor, an action, a goal or intention, a scene and instrument. Those were identified for the emergin</w:t>
      </w:r>
      <w:r w:rsidR="00C46587" w:rsidRPr="00E325D0">
        <w:rPr>
          <w:rFonts w:ascii="Times New Roman" w:hAnsi="Times New Roman" w:cs="Times New Roman"/>
          <w:sz w:val="24"/>
          <w:szCs w:val="24"/>
        </w:rPr>
        <w:t>g</w:t>
      </w:r>
      <w:r w:rsidRPr="00E325D0">
        <w:rPr>
          <w:rFonts w:ascii="Times New Roman" w:hAnsi="Times New Roman" w:cs="Times New Roman"/>
          <w:sz w:val="24"/>
          <w:szCs w:val="24"/>
        </w:rPr>
        <w:t xml:space="preserve"> ‘Sustainable Energy Europe’ narrative and tested in one empirical case study: Twitter communications surrounding the EU Sustainable Energy Week (EUSEW) 2013.</w:t>
      </w:r>
      <w:r w:rsidR="00696F2D">
        <w:rPr>
          <w:rFonts w:ascii="Times New Roman" w:hAnsi="Times New Roman" w:cs="Times New Roman"/>
          <w:sz w:val="24"/>
          <w:szCs w:val="24"/>
        </w:rPr>
        <w:t xml:space="preserve"> </w:t>
      </w:r>
      <w:r w:rsidRPr="00E325D0">
        <w:rPr>
          <w:rFonts w:ascii="Times New Roman" w:hAnsi="Times New Roman" w:cs="Times New Roman"/>
          <w:sz w:val="24"/>
          <w:szCs w:val="24"/>
        </w:rPr>
        <w:t xml:space="preserve">In its method, our analysis is among the first to explore </w:t>
      </w:r>
      <w:r w:rsidR="008D5384" w:rsidRPr="00E325D0">
        <w:rPr>
          <w:rFonts w:ascii="Times New Roman" w:hAnsi="Times New Roman" w:cs="Times New Roman"/>
          <w:sz w:val="24"/>
          <w:szCs w:val="24"/>
        </w:rPr>
        <w:t xml:space="preserve">empirically </w:t>
      </w:r>
      <w:r w:rsidRPr="00E325D0">
        <w:rPr>
          <w:rFonts w:ascii="Times New Roman" w:hAnsi="Times New Roman" w:cs="Times New Roman"/>
          <w:sz w:val="24"/>
          <w:szCs w:val="24"/>
        </w:rPr>
        <w:t>the EU’s social media communication efforts.</w:t>
      </w:r>
      <w:r w:rsidR="00C46587" w:rsidRPr="00E325D0">
        <w:rPr>
          <w:rFonts w:ascii="Times New Roman" w:hAnsi="Times New Roman" w:cs="Times New Roman"/>
          <w:sz w:val="24"/>
          <w:szCs w:val="24"/>
        </w:rPr>
        <w:t xml:space="preserve"> Answering a call for richer methodologies, which view social media data not as ‘quantitative data, rather qualitative data on a quantitative scale’ (D’Orazio,</w:t>
      </w:r>
      <w:r w:rsidR="007D68E7">
        <w:rPr>
          <w:rFonts w:ascii="Times New Roman" w:hAnsi="Times New Roman" w:cs="Times New Roman"/>
          <w:sz w:val="24"/>
          <w:szCs w:val="24"/>
        </w:rPr>
        <w:t xml:space="preserve"> 2013</w:t>
      </w:r>
      <w:r w:rsidR="00C46587" w:rsidRPr="00E325D0">
        <w:rPr>
          <w:rFonts w:ascii="Times New Roman" w:hAnsi="Times New Roman" w:cs="Times New Roman"/>
          <w:sz w:val="24"/>
          <w:szCs w:val="24"/>
        </w:rPr>
        <w:t xml:space="preserve"> np), our analysis uses </w:t>
      </w:r>
      <w:r w:rsidR="000649E7" w:rsidRPr="00E325D0">
        <w:rPr>
          <w:rFonts w:ascii="Times New Roman" w:hAnsi="Times New Roman" w:cs="Times New Roman"/>
          <w:sz w:val="24"/>
          <w:szCs w:val="24"/>
        </w:rPr>
        <w:t xml:space="preserve">an </w:t>
      </w:r>
      <w:r w:rsidR="00C46587" w:rsidRPr="00E325D0">
        <w:rPr>
          <w:rFonts w:ascii="Times New Roman" w:hAnsi="Times New Roman" w:cs="Times New Roman"/>
          <w:sz w:val="24"/>
          <w:szCs w:val="24"/>
        </w:rPr>
        <w:t>original method</w:t>
      </w:r>
      <w:r w:rsidR="000649E7" w:rsidRPr="00E325D0">
        <w:rPr>
          <w:rFonts w:ascii="Times New Roman" w:hAnsi="Times New Roman" w:cs="Times New Roman"/>
          <w:sz w:val="24"/>
          <w:szCs w:val="24"/>
        </w:rPr>
        <w:t>ology</w:t>
      </w:r>
      <w:r w:rsidR="00C46587" w:rsidRPr="00E325D0">
        <w:rPr>
          <w:rFonts w:ascii="Times New Roman" w:hAnsi="Times New Roman" w:cs="Times New Roman"/>
          <w:sz w:val="24"/>
          <w:szCs w:val="24"/>
        </w:rPr>
        <w:t xml:space="preserve"> and codes the Twitter data</w:t>
      </w:r>
      <w:r w:rsidR="000649E7" w:rsidRPr="00E325D0">
        <w:rPr>
          <w:rFonts w:ascii="Times New Roman" w:hAnsi="Times New Roman" w:cs="Times New Roman"/>
          <w:sz w:val="24"/>
          <w:szCs w:val="24"/>
        </w:rPr>
        <w:t xml:space="preserve"> using a nuanced qualitative framework. </w:t>
      </w:r>
    </w:p>
    <w:p w14:paraId="4B39D4BB" w14:textId="77777777" w:rsidR="00C46587" w:rsidRPr="00E325D0" w:rsidRDefault="00C46587" w:rsidP="00E325D0">
      <w:pPr>
        <w:spacing w:line="480" w:lineRule="auto"/>
        <w:contextualSpacing/>
        <w:rPr>
          <w:rFonts w:ascii="Times New Roman" w:hAnsi="Times New Roman" w:cs="Times New Roman"/>
          <w:sz w:val="24"/>
          <w:szCs w:val="24"/>
        </w:rPr>
      </w:pPr>
    </w:p>
    <w:p w14:paraId="52B93F00" w14:textId="1C3ABDA4" w:rsidR="00C46587" w:rsidRPr="00E325D0" w:rsidRDefault="00C46587" w:rsidP="00E325D0">
      <w:pPr>
        <w:spacing w:line="480" w:lineRule="auto"/>
        <w:contextualSpacing/>
        <w:rPr>
          <w:rFonts w:ascii="Times New Roman" w:hAnsi="Times New Roman" w:cs="Times New Roman"/>
          <w:sz w:val="24"/>
          <w:szCs w:val="24"/>
        </w:rPr>
      </w:pPr>
      <w:r w:rsidRPr="00E325D0">
        <w:rPr>
          <w:rFonts w:ascii="Times New Roman" w:hAnsi="Times New Roman" w:cs="Times New Roman"/>
          <w:b/>
          <w:sz w:val="24"/>
          <w:szCs w:val="24"/>
        </w:rPr>
        <w:t>Key words:</w:t>
      </w:r>
      <w:r w:rsidRPr="00E325D0">
        <w:rPr>
          <w:rFonts w:ascii="Times New Roman" w:hAnsi="Times New Roman" w:cs="Times New Roman"/>
          <w:sz w:val="24"/>
          <w:szCs w:val="24"/>
        </w:rPr>
        <w:t xml:space="preserve"> EU Sustainable Energy Week, </w:t>
      </w:r>
      <w:r w:rsidR="000649E7" w:rsidRPr="00E325D0">
        <w:rPr>
          <w:rFonts w:ascii="Times New Roman" w:hAnsi="Times New Roman" w:cs="Times New Roman"/>
          <w:sz w:val="24"/>
          <w:szCs w:val="24"/>
        </w:rPr>
        <w:t>normative power Europe</w:t>
      </w:r>
      <w:r w:rsidRPr="00E325D0">
        <w:rPr>
          <w:rFonts w:ascii="Times New Roman" w:hAnsi="Times New Roman" w:cs="Times New Roman"/>
          <w:sz w:val="24"/>
          <w:szCs w:val="24"/>
        </w:rPr>
        <w:t>, strategic narrative, Twitter</w:t>
      </w:r>
    </w:p>
    <w:p w14:paraId="4C38720E" w14:textId="77777777" w:rsidR="00E325D0" w:rsidRDefault="00E325D0" w:rsidP="00E325D0">
      <w:pPr>
        <w:spacing w:line="480" w:lineRule="auto"/>
        <w:contextualSpacing/>
        <w:rPr>
          <w:rFonts w:ascii="Times New Roman" w:hAnsi="Times New Roman" w:cs="Times New Roman"/>
          <w:sz w:val="24"/>
          <w:szCs w:val="24"/>
        </w:rPr>
      </w:pPr>
    </w:p>
    <w:p w14:paraId="680D01A6" w14:textId="77777777" w:rsidR="007A3733" w:rsidRDefault="007A3733" w:rsidP="00E325D0">
      <w:pPr>
        <w:spacing w:line="480" w:lineRule="auto"/>
        <w:contextualSpacing/>
        <w:rPr>
          <w:rFonts w:ascii="Times New Roman" w:hAnsi="Times New Roman" w:cs="Times New Roman"/>
          <w:sz w:val="24"/>
          <w:szCs w:val="24"/>
        </w:rPr>
      </w:pPr>
    </w:p>
    <w:p w14:paraId="5605339E" w14:textId="77777777" w:rsidR="007A3733" w:rsidRPr="00E325D0" w:rsidRDefault="007A3733" w:rsidP="00E325D0">
      <w:pPr>
        <w:spacing w:line="480" w:lineRule="auto"/>
        <w:contextualSpacing/>
        <w:rPr>
          <w:rFonts w:ascii="Times New Roman" w:hAnsi="Times New Roman" w:cs="Times New Roman"/>
          <w:sz w:val="24"/>
          <w:szCs w:val="24"/>
        </w:rPr>
      </w:pPr>
    </w:p>
    <w:p w14:paraId="183CC5CC" w14:textId="160BCA97" w:rsidR="00B75683" w:rsidRPr="00E325D0" w:rsidRDefault="00E325D0" w:rsidP="00E325D0">
      <w:pPr>
        <w:spacing w:line="480" w:lineRule="auto"/>
        <w:contextualSpacing/>
        <w:rPr>
          <w:rFonts w:ascii="Times New Roman" w:hAnsi="Times New Roman" w:cs="Times New Roman"/>
          <w:sz w:val="24"/>
          <w:szCs w:val="24"/>
        </w:rPr>
      </w:pPr>
      <w:r w:rsidRPr="00E325D0">
        <w:rPr>
          <w:rFonts w:ascii="Times New Roman" w:hAnsi="Times New Roman" w:cs="Times New Roman"/>
          <w:b/>
          <w:bCs/>
          <w:sz w:val="24"/>
          <w:szCs w:val="24"/>
        </w:rPr>
        <w:lastRenderedPageBreak/>
        <w:t>1. Introduction</w:t>
      </w:r>
    </w:p>
    <w:p w14:paraId="334CB8DE" w14:textId="77777777" w:rsidR="00AD5E9F" w:rsidRPr="00E325D0" w:rsidRDefault="00AD5E9F" w:rsidP="00E325D0">
      <w:pPr>
        <w:spacing w:line="480" w:lineRule="auto"/>
        <w:contextualSpacing/>
        <w:rPr>
          <w:rFonts w:ascii="Times New Roman" w:hAnsi="Times New Roman" w:cs="Times New Roman"/>
          <w:sz w:val="24"/>
          <w:szCs w:val="24"/>
        </w:rPr>
      </w:pPr>
    </w:p>
    <w:p w14:paraId="6E7CEFE9" w14:textId="5FFE662C" w:rsidR="00B75683" w:rsidRPr="00E325D0" w:rsidRDefault="00DD02C6" w:rsidP="00E325D0">
      <w:pPr>
        <w:spacing w:line="480" w:lineRule="auto"/>
        <w:contextualSpacing/>
        <w:rPr>
          <w:rFonts w:ascii="Times New Roman" w:hAnsi="Times New Roman" w:cs="Times New Roman"/>
          <w:sz w:val="24"/>
          <w:szCs w:val="24"/>
        </w:rPr>
      </w:pPr>
      <w:r w:rsidRPr="00E325D0">
        <w:rPr>
          <w:rFonts w:ascii="Times New Roman" w:hAnsi="Times New Roman" w:cs="Times New Roman"/>
          <w:sz w:val="24"/>
          <w:szCs w:val="24"/>
        </w:rPr>
        <w:t xml:space="preserve">As a global energy actor, </w:t>
      </w:r>
      <w:r w:rsidR="00B75683" w:rsidRPr="00E325D0">
        <w:rPr>
          <w:rFonts w:ascii="Times New Roman" w:hAnsi="Times New Roman" w:cs="Times New Roman"/>
          <w:sz w:val="24"/>
          <w:szCs w:val="24"/>
        </w:rPr>
        <w:t xml:space="preserve">the </w:t>
      </w:r>
      <w:r w:rsidRPr="00E325D0">
        <w:rPr>
          <w:rFonts w:ascii="Times New Roman" w:hAnsi="Times New Roman" w:cs="Times New Roman"/>
          <w:sz w:val="24"/>
          <w:szCs w:val="24"/>
        </w:rPr>
        <w:t xml:space="preserve">actions of the </w:t>
      </w:r>
      <w:r w:rsidR="00B75683" w:rsidRPr="00E325D0">
        <w:rPr>
          <w:rFonts w:ascii="Times New Roman" w:hAnsi="Times New Roman" w:cs="Times New Roman"/>
          <w:sz w:val="24"/>
          <w:szCs w:val="24"/>
        </w:rPr>
        <w:t>E</w:t>
      </w:r>
      <w:r w:rsidR="000C52B8" w:rsidRPr="00E325D0">
        <w:rPr>
          <w:rFonts w:ascii="Times New Roman" w:hAnsi="Times New Roman" w:cs="Times New Roman"/>
          <w:sz w:val="24"/>
          <w:szCs w:val="24"/>
        </w:rPr>
        <w:t xml:space="preserve">uropean </w:t>
      </w:r>
      <w:r w:rsidR="00B75683" w:rsidRPr="00E325D0">
        <w:rPr>
          <w:rFonts w:ascii="Times New Roman" w:hAnsi="Times New Roman" w:cs="Times New Roman"/>
          <w:sz w:val="24"/>
          <w:szCs w:val="24"/>
        </w:rPr>
        <w:t>U</w:t>
      </w:r>
      <w:r w:rsidR="000C52B8" w:rsidRPr="00E325D0">
        <w:rPr>
          <w:rFonts w:ascii="Times New Roman" w:hAnsi="Times New Roman" w:cs="Times New Roman"/>
          <w:sz w:val="24"/>
          <w:szCs w:val="24"/>
        </w:rPr>
        <w:t>nion (EU)</w:t>
      </w:r>
      <w:r w:rsidR="00B75683" w:rsidRPr="00E325D0">
        <w:rPr>
          <w:rFonts w:ascii="Times New Roman" w:hAnsi="Times New Roman" w:cs="Times New Roman"/>
          <w:sz w:val="24"/>
          <w:szCs w:val="24"/>
        </w:rPr>
        <w:t xml:space="preserve"> are guided by a set of norms and principles</w:t>
      </w:r>
      <w:r w:rsidR="00023DE5">
        <w:rPr>
          <w:rFonts w:ascii="Times New Roman" w:hAnsi="Times New Roman" w:cs="Times New Roman"/>
          <w:sz w:val="24"/>
          <w:szCs w:val="24"/>
        </w:rPr>
        <w:t>,</w:t>
      </w:r>
      <w:r w:rsidRPr="00E325D0">
        <w:rPr>
          <w:rFonts w:ascii="Times New Roman" w:hAnsi="Times New Roman" w:cs="Times New Roman"/>
          <w:sz w:val="24"/>
          <w:szCs w:val="24"/>
        </w:rPr>
        <w:t xml:space="preserve"> which reflect the EU’s ‘normative identity’. In the field of external energy policies, this </w:t>
      </w:r>
      <w:r w:rsidR="00B75683" w:rsidRPr="00E325D0">
        <w:rPr>
          <w:rFonts w:ascii="Times New Roman" w:hAnsi="Times New Roman" w:cs="Times New Roman"/>
          <w:sz w:val="24"/>
          <w:szCs w:val="24"/>
        </w:rPr>
        <w:t>identity is exemplified by three norms</w:t>
      </w:r>
      <w:r w:rsidRPr="00E325D0">
        <w:rPr>
          <w:rFonts w:ascii="Times New Roman" w:hAnsi="Times New Roman" w:cs="Times New Roman"/>
          <w:sz w:val="24"/>
          <w:szCs w:val="24"/>
        </w:rPr>
        <w:t>:</w:t>
      </w:r>
      <w:r w:rsidR="000C52B8" w:rsidRPr="00E325D0">
        <w:rPr>
          <w:rFonts w:ascii="Times New Roman" w:hAnsi="Times New Roman" w:cs="Times New Roman"/>
          <w:sz w:val="24"/>
          <w:szCs w:val="24"/>
        </w:rPr>
        <w:t xml:space="preserve"> </w:t>
      </w:r>
      <w:r w:rsidR="00B75683" w:rsidRPr="00E325D0">
        <w:rPr>
          <w:rFonts w:ascii="Times New Roman" w:hAnsi="Times New Roman" w:cs="Times New Roman"/>
          <w:sz w:val="24"/>
          <w:szCs w:val="24"/>
        </w:rPr>
        <w:t>security of supply, competitiveness and sustainability</w:t>
      </w:r>
      <w:r w:rsidR="000C52B8" w:rsidRPr="00E325D0">
        <w:rPr>
          <w:rFonts w:ascii="Times New Roman" w:hAnsi="Times New Roman" w:cs="Times New Roman"/>
          <w:sz w:val="24"/>
          <w:szCs w:val="24"/>
        </w:rPr>
        <w:t>,</w:t>
      </w:r>
      <w:r w:rsidR="00B75683" w:rsidRPr="00E325D0">
        <w:rPr>
          <w:rFonts w:ascii="Times New Roman" w:hAnsi="Times New Roman" w:cs="Times New Roman"/>
          <w:sz w:val="24"/>
          <w:szCs w:val="24"/>
        </w:rPr>
        <w:t xml:space="preserve"> declared in the EU’s numerous energy-related policies and the Treaty of Lisbon (see Introduction to this Issue).</w:t>
      </w:r>
      <w:r w:rsidR="00696F2D">
        <w:rPr>
          <w:rFonts w:ascii="Times New Roman" w:hAnsi="Times New Roman" w:cs="Times New Roman"/>
          <w:sz w:val="24"/>
          <w:szCs w:val="24"/>
        </w:rPr>
        <w:t xml:space="preserve"> </w:t>
      </w:r>
      <w:r w:rsidRPr="00E325D0">
        <w:rPr>
          <w:rFonts w:ascii="Times New Roman" w:hAnsi="Times New Roman" w:cs="Times New Roman"/>
          <w:sz w:val="24"/>
          <w:szCs w:val="24"/>
        </w:rPr>
        <w:t>We</w:t>
      </w:r>
      <w:r w:rsidR="00B75683" w:rsidRPr="00E325D0">
        <w:rPr>
          <w:rFonts w:ascii="Times New Roman" w:hAnsi="Times New Roman" w:cs="Times New Roman"/>
          <w:sz w:val="24"/>
          <w:szCs w:val="24"/>
        </w:rPr>
        <w:t xml:space="preserve"> approach the subject of the global recognition of the </w:t>
      </w:r>
      <w:r w:rsidR="0084164D" w:rsidRPr="00E325D0">
        <w:rPr>
          <w:rFonts w:ascii="Times New Roman" w:hAnsi="Times New Roman" w:cs="Times New Roman"/>
          <w:sz w:val="24"/>
          <w:szCs w:val="24"/>
        </w:rPr>
        <w:t>term ‘</w:t>
      </w:r>
      <w:r w:rsidR="00B75683" w:rsidRPr="00E325D0">
        <w:rPr>
          <w:rFonts w:ascii="Times New Roman" w:hAnsi="Times New Roman" w:cs="Times New Roman"/>
          <w:sz w:val="24"/>
          <w:szCs w:val="24"/>
        </w:rPr>
        <w:t>Normative Power Europe</w:t>
      </w:r>
      <w:r w:rsidR="0084164D" w:rsidRPr="00E325D0">
        <w:rPr>
          <w:rFonts w:ascii="Times New Roman" w:hAnsi="Times New Roman" w:cs="Times New Roman"/>
          <w:sz w:val="24"/>
          <w:szCs w:val="24"/>
        </w:rPr>
        <w:t>’</w:t>
      </w:r>
      <w:r w:rsidR="00B75683" w:rsidRPr="00E325D0">
        <w:rPr>
          <w:rFonts w:ascii="Times New Roman" w:hAnsi="Times New Roman" w:cs="Times New Roman"/>
          <w:sz w:val="24"/>
          <w:szCs w:val="24"/>
        </w:rPr>
        <w:t xml:space="preserve"> in external energy governance by engaging with the concept of strategic narratives. Narratives are the stories that </w:t>
      </w:r>
      <w:r w:rsidR="006A042B" w:rsidRPr="00E325D0">
        <w:rPr>
          <w:rFonts w:ascii="Times New Roman" w:hAnsi="Times New Roman" w:cs="Times New Roman"/>
          <w:sz w:val="24"/>
          <w:szCs w:val="24"/>
        </w:rPr>
        <w:t>‘</w:t>
      </w:r>
      <w:r w:rsidR="00B75683" w:rsidRPr="00E325D0">
        <w:rPr>
          <w:rFonts w:ascii="Times New Roman" w:hAnsi="Times New Roman" w:cs="Times New Roman"/>
          <w:sz w:val="24"/>
          <w:szCs w:val="24"/>
        </w:rPr>
        <w:t>have always shaped the way humans understand the world</w:t>
      </w:r>
      <w:r w:rsidR="006A042B" w:rsidRPr="00E325D0">
        <w:rPr>
          <w:rFonts w:ascii="Times New Roman" w:hAnsi="Times New Roman" w:cs="Times New Roman"/>
          <w:sz w:val="24"/>
          <w:szCs w:val="24"/>
        </w:rPr>
        <w:t>’</w:t>
      </w:r>
      <w:r w:rsidR="00B75683" w:rsidRPr="00E325D0">
        <w:rPr>
          <w:rFonts w:ascii="Times New Roman" w:hAnsi="Times New Roman" w:cs="Times New Roman"/>
          <w:sz w:val="24"/>
          <w:szCs w:val="24"/>
        </w:rPr>
        <w:t xml:space="preserve"> (Roselle et al</w:t>
      </w:r>
      <w:r w:rsidR="00F305D5" w:rsidRPr="00E325D0">
        <w:rPr>
          <w:rFonts w:ascii="Times New Roman" w:hAnsi="Times New Roman" w:cs="Times New Roman"/>
          <w:sz w:val="24"/>
          <w:szCs w:val="24"/>
        </w:rPr>
        <w:t>,</w:t>
      </w:r>
      <w:r w:rsidR="00B75683" w:rsidRPr="00E325D0">
        <w:rPr>
          <w:rFonts w:ascii="Times New Roman" w:hAnsi="Times New Roman" w:cs="Times New Roman"/>
          <w:sz w:val="24"/>
          <w:szCs w:val="24"/>
        </w:rPr>
        <w:t xml:space="preserve"> 2014, </w:t>
      </w:r>
      <w:r w:rsidR="00C87BC1">
        <w:rPr>
          <w:rFonts w:ascii="Times New Roman" w:hAnsi="Times New Roman" w:cs="Times New Roman"/>
          <w:sz w:val="24"/>
          <w:szCs w:val="24"/>
        </w:rPr>
        <w:t xml:space="preserve">p. </w:t>
      </w:r>
      <w:r w:rsidR="00B75683" w:rsidRPr="00E325D0">
        <w:rPr>
          <w:rFonts w:ascii="Times New Roman" w:hAnsi="Times New Roman" w:cs="Times New Roman"/>
          <w:sz w:val="24"/>
          <w:szCs w:val="24"/>
        </w:rPr>
        <w:t xml:space="preserve">74). Strategic narratives are a </w:t>
      </w:r>
      <w:r w:rsidR="006A042B" w:rsidRPr="00E325D0">
        <w:rPr>
          <w:rFonts w:ascii="Times New Roman" w:hAnsi="Times New Roman" w:cs="Times New Roman"/>
          <w:sz w:val="24"/>
          <w:szCs w:val="24"/>
        </w:rPr>
        <w:t>‘</w:t>
      </w:r>
      <w:r w:rsidR="00B75683" w:rsidRPr="00E325D0">
        <w:rPr>
          <w:rFonts w:ascii="Times New Roman" w:hAnsi="Times New Roman" w:cs="Times New Roman"/>
          <w:sz w:val="24"/>
          <w:szCs w:val="24"/>
        </w:rPr>
        <w:t>tool for political actors to extend their influence, manage expectations, and change the discursive environments in which they operate</w:t>
      </w:r>
      <w:r w:rsidR="006A042B" w:rsidRPr="00E325D0">
        <w:rPr>
          <w:rFonts w:ascii="Times New Roman" w:hAnsi="Times New Roman" w:cs="Times New Roman"/>
          <w:sz w:val="24"/>
          <w:szCs w:val="24"/>
        </w:rPr>
        <w:t>’</w:t>
      </w:r>
      <w:r w:rsidR="00B75683" w:rsidRPr="00E325D0">
        <w:rPr>
          <w:rFonts w:ascii="Times New Roman" w:hAnsi="Times New Roman" w:cs="Times New Roman"/>
          <w:sz w:val="24"/>
          <w:szCs w:val="24"/>
        </w:rPr>
        <w:t xml:space="preserve"> (Miskimmon et al</w:t>
      </w:r>
      <w:r w:rsidR="00F305D5" w:rsidRPr="00E325D0">
        <w:rPr>
          <w:rFonts w:ascii="Times New Roman" w:hAnsi="Times New Roman" w:cs="Times New Roman"/>
          <w:sz w:val="24"/>
          <w:szCs w:val="24"/>
        </w:rPr>
        <w:t>,</w:t>
      </w:r>
      <w:r w:rsidR="00B75683" w:rsidRPr="00E325D0">
        <w:rPr>
          <w:rFonts w:ascii="Times New Roman" w:hAnsi="Times New Roman" w:cs="Times New Roman"/>
          <w:sz w:val="24"/>
          <w:szCs w:val="24"/>
        </w:rPr>
        <w:t xml:space="preserve"> 2013</w:t>
      </w:r>
      <w:r w:rsidR="00640616" w:rsidRPr="00E325D0">
        <w:rPr>
          <w:rFonts w:ascii="Times New Roman" w:hAnsi="Times New Roman" w:cs="Times New Roman"/>
          <w:sz w:val="24"/>
          <w:szCs w:val="24"/>
        </w:rPr>
        <w:t xml:space="preserve">, </w:t>
      </w:r>
      <w:r w:rsidR="00C87BC1">
        <w:rPr>
          <w:rFonts w:ascii="Times New Roman" w:hAnsi="Times New Roman" w:cs="Times New Roman"/>
          <w:sz w:val="24"/>
          <w:szCs w:val="24"/>
        </w:rPr>
        <w:t xml:space="preserve">p. </w:t>
      </w:r>
      <w:r w:rsidR="00640616" w:rsidRPr="00E325D0">
        <w:rPr>
          <w:rFonts w:ascii="Times New Roman" w:hAnsi="Times New Roman" w:cs="Times New Roman"/>
          <w:sz w:val="24"/>
          <w:szCs w:val="24"/>
        </w:rPr>
        <w:t>2</w:t>
      </w:r>
      <w:r w:rsidR="00B75683" w:rsidRPr="00E325D0">
        <w:rPr>
          <w:rFonts w:ascii="Times New Roman" w:hAnsi="Times New Roman" w:cs="Times New Roman"/>
          <w:sz w:val="24"/>
          <w:szCs w:val="24"/>
        </w:rPr>
        <w:t xml:space="preserve">). Through strategic narratives, a polity seeks to be an actor </w:t>
      </w:r>
      <w:r w:rsidR="006A042B" w:rsidRPr="00E325D0">
        <w:rPr>
          <w:rFonts w:ascii="Times New Roman" w:hAnsi="Times New Roman" w:cs="Times New Roman"/>
          <w:sz w:val="24"/>
          <w:szCs w:val="24"/>
        </w:rPr>
        <w:t>‘</w:t>
      </w:r>
      <w:r w:rsidR="00B75683" w:rsidRPr="00E325D0">
        <w:rPr>
          <w:rFonts w:ascii="Times New Roman" w:hAnsi="Times New Roman" w:cs="Times New Roman"/>
          <w:sz w:val="24"/>
          <w:szCs w:val="24"/>
        </w:rPr>
        <w:t>other nations listen to, rely on and emulate out of respect and admiration</w:t>
      </w:r>
      <w:r w:rsidR="006A042B" w:rsidRPr="00E325D0">
        <w:rPr>
          <w:rFonts w:ascii="Times New Roman" w:hAnsi="Times New Roman" w:cs="Times New Roman"/>
          <w:sz w:val="24"/>
          <w:szCs w:val="24"/>
        </w:rPr>
        <w:t>’</w:t>
      </w:r>
      <w:r w:rsidR="00B75683" w:rsidRPr="00E325D0">
        <w:rPr>
          <w:rFonts w:ascii="Times New Roman" w:hAnsi="Times New Roman" w:cs="Times New Roman"/>
          <w:sz w:val="24"/>
          <w:szCs w:val="24"/>
        </w:rPr>
        <w:t xml:space="preserve"> (Slaughter</w:t>
      </w:r>
      <w:r w:rsidR="00F305D5" w:rsidRPr="00E325D0">
        <w:rPr>
          <w:rFonts w:ascii="Times New Roman" w:hAnsi="Times New Roman" w:cs="Times New Roman"/>
          <w:sz w:val="24"/>
          <w:szCs w:val="24"/>
        </w:rPr>
        <w:t>,</w:t>
      </w:r>
      <w:r w:rsidR="00B75683" w:rsidRPr="00E325D0">
        <w:rPr>
          <w:rFonts w:ascii="Times New Roman" w:hAnsi="Times New Roman" w:cs="Times New Roman"/>
          <w:sz w:val="24"/>
          <w:szCs w:val="24"/>
        </w:rPr>
        <w:t xml:space="preserve"> 2011</w:t>
      </w:r>
      <w:r w:rsidR="00640616" w:rsidRPr="00E325D0">
        <w:rPr>
          <w:rFonts w:ascii="Times New Roman" w:hAnsi="Times New Roman" w:cs="Times New Roman"/>
          <w:sz w:val="24"/>
          <w:szCs w:val="24"/>
        </w:rPr>
        <w:t xml:space="preserve">, </w:t>
      </w:r>
      <w:r w:rsidR="00C87BC1">
        <w:rPr>
          <w:rFonts w:ascii="Times New Roman" w:hAnsi="Times New Roman" w:cs="Times New Roman"/>
          <w:sz w:val="24"/>
          <w:szCs w:val="24"/>
        </w:rPr>
        <w:t xml:space="preserve">p. </w:t>
      </w:r>
      <w:r w:rsidR="00640616" w:rsidRPr="00E325D0">
        <w:rPr>
          <w:rFonts w:ascii="Times New Roman" w:hAnsi="Times New Roman" w:cs="Times New Roman"/>
          <w:sz w:val="24"/>
          <w:szCs w:val="24"/>
        </w:rPr>
        <w:t>4</w:t>
      </w:r>
      <w:r w:rsidR="00B75683" w:rsidRPr="00E325D0">
        <w:rPr>
          <w:rFonts w:ascii="Times New Roman" w:hAnsi="Times New Roman" w:cs="Times New Roman"/>
          <w:sz w:val="24"/>
          <w:szCs w:val="24"/>
        </w:rPr>
        <w:t xml:space="preserve">). </w:t>
      </w:r>
    </w:p>
    <w:p w14:paraId="612795B1" w14:textId="4051648C" w:rsidR="00B75683" w:rsidRPr="00E325D0" w:rsidRDefault="00DD02C6" w:rsidP="00E325D0">
      <w:pPr>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We</w:t>
      </w:r>
      <w:r w:rsidR="00B75683" w:rsidRPr="00E325D0">
        <w:rPr>
          <w:rFonts w:ascii="Times New Roman" w:hAnsi="Times New Roman" w:cs="Times New Roman"/>
          <w:sz w:val="24"/>
          <w:szCs w:val="24"/>
        </w:rPr>
        <w:t xml:space="preserve"> suggest that a new strategic narrative for the EU – ‘Sustainable Energy Europe’ – is emerging.</w:t>
      </w:r>
      <w:r w:rsidR="00696F2D">
        <w:rPr>
          <w:rFonts w:ascii="Times New Roman" w:hAnsi="Times New Roman" w:cs="Times New Roman"/>
          <w:sz w:val="24"/>
          <w:szCs w:val="24"/>
        </w:rPr>
        <w:t xml:space="preserve"> </w:t>
      </w:r>
      <w:r w:rsidR="00B75683" w:rsidRPr="00E325D0">
        <w:rPr>
          <w:rFonts w:ascii="Times New Roman" w:hAnsi="Times New Roman" w:cs="Times New Roman"/>
          <w:sz w:val="24"/>
          <w:szCs w:val="24"/>
        </w:rPr>
        <w:t>Classified as an issue narrative –</w:t>
      </w:r>
      <w:r w:rsidR="003C670A" w:rsidRPr="00E325D0">
        <w:rPr>
          <w:rFonts w:ascii="Times New Roman" w:hAnsi="Times New Roman" w:cs="Times New Roman"/>
          <w:sz w:val="24"/>
          <w:szCs w:val="24"/>
        </w:rPr>
        <w:t xml:space="preserve"> </w:t>
      </w:r>
      <w:r w:rsidR="00B75683" w:rsidRPr="00E325D0">
        <w:rPr>
          <w:rFonts w:ascii="Times New Roman" w:hAnsi="Times New Roman" w:cs="Times New Roman"/>
          <w:sz w:val="24"/>
          <w:szCs w:val="24"/>
        </w:rPr>
        <w:t xml:space="preserve">a narrative that is </w:t>
      </w:r>
      <w:r w:rsidR="00ED3FD9" w:rsidRPr="00E325D0">
        <w:rPr>
          <w:rFonts w:ascii="Times New Roman" w:hAnsi="Times New Roman" w:cs="Times New Roman"/>
          <w:sz w:val="24"/>
          <w:szCs w:val="24"/>
        </w:rPr>
        <w:t>‘</w:t>
      </w:r>
      <w:r w:rsidR="00B75683" w:rsidRPr="00E325D0">
        <w:rPr>
          <w:rFonts w:ascii="Times New Roman" w:hAnsi="Times New Roman" w:cs="Times New Roman"/>
          <w:sz w:val="24"/>
          <w:szCs w:val="24"/>
        </w:rPr>
        <w:t>seeking to shape the terrain on which policy discussions take place</w:t>
      </w:r>
      <w:r w:rsidR="00ED3FD9" w:rsidRPr="00E325D0">
        <w:rPr>
          <w:rFonts w:ascii="Times New Roman" w:hAnsi="Times New Roman" w:cs="Times New Roman"/>
          <w:sz w:val="24"/>
          <w:szCs w:val="24"/>
        </w:rPr>
        <w:t>’</w:t>
      </w:r>
      <w:r w:rsidR="00B75683" w:rsidRPr="00E325D0">
        <w:rPr>
          <w:rFonts w:ascii="Times New Roman" w:hAnsi="Times New Roman" w:cs="Times New Roman"/>
          <w:sz w:val="24"/>
          <w:szCs w:val="24"/>
        </w:rPr>
        <w:t xml:space="preserve"> (Miskimmon et al</w:t>
      </w:r>
      <w:r w:rsidR="00F305D5" w:rsidRPr="00E325D0">
        <w:rPr>
          <w:rFonts w:ascii="Times New Roman" w:hAnsi="Times New Roman" w:cs="Times New Roman"/>
          <w:sz w:val="24"/>
          <w:szCs w:val="24"/>
        </w:rPr>
        <w:t>,</w:t>
      </w:r>
      <w:r w:rsidR="003C670A" w:rsidRPr="00E325D0">
        <w:rPr>
          <w:rFonts w:ascii="Times New Roman" w:hAnsi="Times New Roman" w:cs="Times New Roman"/>
          <w:sz w:val="24"/>
          <w:szCs w:val="24"/>
        </w:rPr>
        <w:t xml:space="preserve"> 2013, </w:t>
      </w:r>
      <w:r w:rsidR="00C87BC1">
        <w:rPr>
          <w:rFonts w:ascii="Times New Roman" w:hAnsi="Times New Roman" w:cs="Times New Roman"/>
          <w:sz w:val="24"/>
          <w:szCs w:val="24"/>
        </w:rPr>
        <w:t xml:space="preserve">p. </w:t>
      </w:r>
      <w:r w:rsidR="003C670A" w:rsidRPr="00E325D0">
        <w:rPr>
          <w:rFonts w:ascii="Times New Roman" w:hAnsi="Times New Roman" w:cs="Times New Roman"/>
          <w:sz w:val="24"/>
          <w:szCs w:val="24"/>
        </w:rPr>
        <w:t xml:space="preserve">7) – </w:t>
      </w:r>
      <w:r w:rsidR="00B75683" w:rsidRPr="00E325D0">
        <w:rPr>
          <w:rFonts w:ascii="Times New Roman" w:hAnsi="Times New Roman" w:cs="Times New Roman"/>
          <w:sz w:val="24"/>
          <w:szCs w:val="24"/>
        </w:rPr>
        <w:t xml:space="preserve">‘Sustainable Energy Europe’ is argued to be intimately related to the identity narrative of ‘Normative Power Europe’ (NPE). Identity narratives are about </w:t>
      </w:r>
      <w:r w:rsidR="00ED3FD9" w:rsidRPr="00E325D0">
        <w:rPr>
          <w:rFonts w:ascii="Times New Roman" w:hAnsi="Times New Roman" w:cs="Times New Roman"/>
          <w:sz w:val="24"/>
          <w:szCs w:val="24"/>
        </w:rPr>
        <w:t>‘</w:t>
      </w:r>
      <w:r w:rsidR="00B75683" w:rsidRPr="00E325D0">
        <w:rPr>
          <w:rFonts w:ascii="Times New Roman" w:hAnsi="Times New Roman" w:cs="Times New Roman"/>
          <w:sz w:val="24"/>
          <w:szCs w:val="24"/>
        </w:rPr>
        <w:t>identities of actors in international affairs that are in a process of constant negotiation and contestation</w:t>
      </w:r>
      <w:r w:rsidR="00ED3FD9" w:rsidRPr="00E325D0">
        <w:rPr>
          <w:rFonts w:ascii="Times New Roman" w:hAnsi="Times New Roman" w:cs="Times New Roman"/>
          <w:sz w:val="24"/>
          <w:szCs w:val="24"/>
        </w:rPr>
        <w:t>’</w:t>
      </w:r>
      <w:r w:rsidR="00B75683" w:rsidRPr="00E325D0">
        <w:rPr>
          <w:rFonts w:ascii="Times New Roman" w:hAnsi="Times New Roman" w:cs="Times New Roman"/>
          <w:sz w:val="24"/>
          <w:szCs w:val="24"/>
        </w:rPr>
        <w:t xml:space="preserve"> (Miskimmon et al</w:t>
      </w:r>
      <w:r w:rsidR="00F305D5" w:rsidRPr="00E325D0">
        <w:rPr>
          <w:rFonts w:ascii="Times New Roman" w:hAnsi="Times New Roman" w:cs="Times New Roman"/>
          <w:sz w:val="24"/>
          <w:szCs w:val="24"/>
        </w:rPr>
        <w:t>,</w:t>
      </w:r>
      <w:r w:rsidR="00B75683" w:rsidRPr="00E325D0">
        <w:rPr>
          <w:rFonts w:ascii="Times New Roman" w:hAnsi="Times New Roman" w:cs="Times New Roman"/>
          <w:sz w:val="24"/>
          <w:szCs w:val="24"/>
        </w:rPr>
        <w:t xml:space="preserve"> 2013, </w:t>
      </w:r>
      <w:r w:rsidR="00C87BC1">
        <w:rPr>
          <w:rFonts w:ascii="Times New Roman" w:hAnsi="Times New Roman" w:cs="Times New Roman"/>
          <w:sz w:val="24"/>
          <w:szCs w:val="24"/>
        </w:rPr>
        <w:t xml:space="preserve">p. </w:t>
      </w:r>
      <w:r w:rsidR="00B75683" w:rsidRPr="00E325D0">
        <w:rPr>
          <w:rFonts w:ascii="Times New Roman" w:hAnsi="Times New Roman" w:cs="Times New Roman"/>
          <w:sz w:val="24"/>
          <w:szCs w:val="24"/>
        </w:rPr>
        <w:t xml:space="preserve">7). Defined by Manners (2002) as a peaceful power of ideas and values distinctly different from the aggressive power of economic or military coercion, NPE aims to export a set of norms both internally and externally. Norms are </w:t>
      </w:r>
      <w:r w:rsidR="00ED3FD9" w:rsidRPr="00E325D0">
        <w:rPr>
          <w:rFonts w:ascii="Times New Roman" w:hAnsi="Times New Roman" w:cs="Times New Roman"/>
          <w:sz w:val="24"/>
          <w:szCs w:val="24"/>
        </w:rPr>
        <w:t>‘</w:t>
      </w:r>
      <w:r w:rsidR="00B75683" w:rsidRPr="00E325D0">
        <w:rPr>
          <w:rFonts w:ascii="Times New Roman" w:hAnsi="Times New Roman" w:cs="Times New Roman"/>
          <w:sz w:val="24"/>
          <w:szCs w:val="24"/>
        </w:rPr>
        <w:t>collective expectations for the proper behaviour of actors with a given identity</w:t>
      </w:r>
      <w:r w:rsidR="00ED3FD9" w:rsidRPr="00E325D0">
        <w:rPr>
          <w:rFonts w:ascii="Times New Roman" w:hAnsi="Times New Roman" w:cs="Times New Roman"/>
          <w:sz w:val="24"/>
          <w:szCs w:val="24"/>
        </w:rPr>
        <w:t>’</w:t>
      </w:r>
      <w:r w:rsidR="00B75683" w:rsidRPr="00E325D0">
        <w:rPr>
          <w:rFonts w:ascii="Times New Roman" w:hAnsi="Times New Roman" w:cs="Times New Roman"/>
          <w:sz w:val="24"/>
          <w:szCs w:val="24"/>
        </w:rPr>
        <w:t xml:space="preserve"> (Manners</w:t>
      </w:r>
      <w:r w:rsidR="00F305D5" w:rsidRPr="00E325D0">
        <w:rPr>
          <w:rFonts w:ascii="Times New Roman" w:hAnsi="Times New Roman" w:cs="Times New Roman"/>
          <w:sz w:val="24"/>
          <w:szCs w:val="24"/>
        </w:rPr>
        <w:t>,</w:t>
      </w:r>
      <w:r w:rsidR="00B75683" w:rsidRPr="00E325D0">
        <w:rPr>
          <w:rFonts w:ascii="Times New Roman" w:hAnsi="Times New Roman" w:cs="Times New Roman"/>
          <w:sz w:val="24"/>
          <w:szCs w:val="24"/>
        </w:rPr>
        <w:t xml:space="preserve"> 2002). Importantly, norms exported by the EU </w:t>
      </w:r>
      <w:r w:rsidR="00BF3E5C">
        <w:rPr>
          <w:rFonts w:ascii="Times New Roman" w:hAnsi="Times New Roman" w:cs="Times New Roman"/>
          <w:sz w:val="24"/>
          <w:szCs w:val="24"/>
        </w:rPr>
        <w:t>may</w:t>
      </w:r>
      <w:r w:rsidR="00B75683" w:rsidRPr="00E325D0">
        <w:rPr>
          <w:rFonts w:ascii="Times New Roman" w:hAnsi="Times New Roman" w:cs="Times New Roman"/>
          <w:sz w:val="24"/>
          <w:szCs w:val="24"/>
        </w:rPr>
        <w:t xml:space="preserve"> trigger a range of reactions </w:t>
      </w:r>
      <w:r w:rsidR="00BF3E5C">
        <w:rPr>
          <w:rFonts w:ascii="Times New Roman" w:hAnsi="Times New Roman" w:cs="Times New Roman"/>
          <w:sz w:val="24"/>
          <w:szCs w:val="24"/>
        </w:rPr>
        <w:t xml:space="preserve">from norm receivers, </w:t>
      </w:r>
      <w:r w:rsidR="00B75683" w:rsidRPr="00E325D0">
        <w:rPr>
          <w:rFonts w:ascii="Times New Roman" w:hAnsi="Times New Roman" w:cs="Times New Roman"/>
          <w:sz w:val="24"/>
          <w:szCs w:val="24"/>
        </w:rPr>
        <w:t>from adoption and adapt</w:t>
      </w:r>
      <w:r w:rsidR="00F305D5" w:rsidRPr="00E325D0">
        <w:rPr>
          <w:rFonts w:ascii="Times New Roman" w:hAnsi="Times New Roman" w:cs="Times New Roman"/>
          <w:sz w:val="24"/>
          <w:szCs w:val="24"/>
        </w:rPr>
        <w:t>at</w:t>
      </w:r>
      <w:r w:rsidR="00B75683" w:rsidRPr="00E325D0">
        <w:rPr>
          <w:rFonts w:ascii="Times New Roman" w:hAnsi="Times New Roman" w:cs="Times New Roman"/>
          <w:sz w:val="24"/>
          <w:szCs w:val="24"/>
        </w:rPr>
        <w:t>ion to resistance and rejection (Bjorkdahl et al</w:t>
      </w:r>
      <w:r w:rsidR="00F305D5" w:rsidRPr="00E325D0">
        <w:rPr>
          <w:rFonts w:ascii="Times New Roman" w:hAnsi="Times New Roman" w:cs="Times New Roman"/>
          <w:sz w:val="24"/>
          <w:szCs w:val="24"/>
        </w:rPr>
        <w:t>,</w:t>
      </w:r>
      <w:r w:rsidR="00B75683" w:rsidRPr="00E325D0">
        <w:rPr>
          <w:rFonts w:ascii="Times New Roman" w:hAnsi="Times New Roman" w:cs="Times New Roman"/>
          <w:sz w:val="24"/>
          <w:szCs w:val="24"/>
        </w:rPr>
        <w:t xml:space="preserve"> 2015). This paper cons</w:t>
      </w:r>
      <w:r w:rsidR="003C670A" w:rsidRPr="00E325D0">
        <w:rPr>
          <w:rFonts w:ascii="Times New Roman" w:hAnsi="Times New Roman" w:cs="Times New Roman"/>
          <w:sz w:val="24"/>
          <w:szCs w:val="24"/>
        </w:rPr>
        <w:t xml:space="preserve">iders reactions to the EU as a normative </w:t>
      </w:r>
      <w:r w:rsidR="00B75683" w:rsidRPr="00E325D0">
        <w:rPr>
          <w:rFonts w:ascii="Times New Roman" w:hAnsi="Times New Roman" w:cs="Times New Roman"/>
          <w:sz w:val="24"/>
          <w:szCs w:val="24"/>
        </w:rPr>
        <w:lastRenderedPageBreak/>
        <w:t>energy actor within a tripartite scheme of strategic narrative formation, projection and reception (Misk</w:t>
      </w:r>
      <w:r w:rsidR="00935098" w:rsidRPr="00E325D0">
        <w:rPr>
          <w:rFonts w:ascii="Times New Roman" w:hAnsi="Times New Roman" w:cs="Times New Roman"/>
          <w:sz w:val="24"/>
          <w:szCs w:val="24"/>
        </w:rPr>
        <w:t>i</w:t>
      </w:r>
      <w:r w:rsidR="00B75683" w:rsidRPr="00E325D0">
        <w:rPr>
          <w:rFonts w:ascii="Times New Roman" w:hAnsi="Times New Roman" w:cs="Times New Roman"/>
          <w:sz w:val="24"/>
          <w:szCs w:val="24"/>
        </w:rPr>
        <w:t>mmon et al.</w:t>
      </w:r>
      <w:r w:rsidR="00F305D5" w:rsidRPr="00E325D0">
        <w:rPr>
          <w:rFonts w:ascii="Times New Roman" w:hAnsi="Times New Roman" w:cs="Times New Roman"/>
          <w:sz w:val="24"/>
          <w:szCs w:val="24"/>
        </w:rPr>
        <w:t>,</w:t>
      </w:r>
      <w:r w:rsidR="00B75683" w:rsidRPr="00E325D0">
        <w:rPr>
          <w:rFonts w:ascii="Times New Roman" w:hAnsi="Times New Roman" w:cs="Times New Roman"/>
          <w:sz w:val="24"/>
          <w:szCs w:val="24"/>
        </w:rPr>
        <w:t xml:space="preserve"> 2013</w:t>
      </w:r>
      <w:r w:rsidR="00054979">
        <w:rPr>
          <w:rFonts w:ascii="Times New Roman" w:hAnsi="Times New Roman" w:cs="Times New Roman"/>
          <w:sz w:val="24"/>
          <w:szCs w:val="24"/>
        </w:rPr>
        <w:t>; Roselle et al</w:t>
      </w:r>
      <w:r w:rsidR="00054979" w:rsidRPr="00E325D0">
        <w:rPr>
          <w:rFonts w:ascii="Times New Roman" w:hAnsi="Times New Roman" w:cs="Times New Roman"/>
          <w:sz w:val="24"/>
          <w:szCs w:val="24"/>
        </w:rPr>
        <w:t>, 2014</w:t>
      </w:r>
      <w:r w:rsidR="00B75683" w:rsidRPr="00E325D0">
        <w:rPr>
          <w:rFonts w:ascii="Times New Roman" w:hAnsi="Times New Roman" w:cs="Times New Roman"/>
          <w:sz w:val="24"/>
          <w:szCs w:val="24"/>
        </w:rPr>
        <w:t>). This scheme is a part of the most recent theorisation of strategic narratives (Miskimmon et al</w:t>
      </w:r>
      <w:r w:rsidR="00F305D5" w:rsidRPr="00E325D0">
        <w:rPr>
          <w:rFonts w:ascii="Times New Roman" w:hAnsi="Times New Roman" w:cs="Times New Roman"/>
          <w:sz w:val="24"/>
          <w:szCs w:val="24"/>
        </w:rPr>
        <w:t>,</w:t>
      </w:r>
      <w:r w:rsidR="00B75683" w:rsidRPr="00E325D0">
        <w:rPr>
          <w:rFonts w:ascii="Times New Roman" w:hAnsi="Times New Roman" w:cs="Times New Roman"/>
          <w:sz w:val="24"/>
          <w:szCs w:val="24"/>
        </w:rPr>
        <w:t xml:space="preserve"> 2013) </w:t>
      </w:r>
      <w:r w:rsidR="006A042B" w:rsidRPr="00E325D0">
        <w:rPr>
          <w:rFonts w:ascii="Times New Roman" w:hAnsi="Times New Roman" w:cs="Times New Roman"/>
          <w:sz w:val="24"/>
          <w:szCs w:val="24"/>
        </w:rPr>
        <w:t>that</w:t>
      </w:r>
      <w:r w:rsidR="00B75683" w:rsidRPr="00E325D0">
        <w:rPr>
          <w:rFonts w:ascii="Times New Roman" w:hAnsi="Times New Roman" w:cs="Times New Roman"/>
          <w:sz w:val="24"/>
          <w:szCs w:val="24"/>
        </w:rPr>
        <w:t xml:space="preserve"> guides our analysis. </w:t>
      </w:r>
    </w:p>
    <w:p w14:paraId="7CB233E0" w14:textId="2069F5BC" w:rsidR="00B75683" w:rsidRPr="00E325D0" w:rsidRDefault="00B75683" w:rsidP="00E325D0">
      <w:pPr>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 xml:space="preserve">The definition of a narrative suggests </w:t>
      </w:r>
      <w:r w:rsidR="00054979">
        <w:rPr>
          <w:rFonts w:ascii="Times New Roman" w:hAnsi="Times New Roman" w:cs="Times New Roman"/>
          <w:sz w:val="24"/>
          <w:szCs w:val="24"/>
        </w:rPr>
        <w:t>the</w:t>
      </w:r>
      <w:r w:rsidRPr="00E325D0">
        <w:rPr>
          <w:rFonts w:ascii="Times New Roman" w:hAnsi="Times New Roman" w:cs="Times New Roman"/>
          <w:sz w:val="24"/>
          <w:szCs w:val="24"/>
        </w:rPr>
        <w:t xml:space="preserve"> presence of an actor, an action, a goal or intention, a scene and instrument. Those were identified for the ‘Sustainable Energy Europe’ narrative and tested in one empirical case</w:t>
      </w:r>
      <w:r w:rsidR="006A042B" w:rsidRPr="00E325D0">
        <w:rPr>
          <w:rFonts w:ascii="Times New Roman" w:hAnsi="Times New Roman" w:cs="Times New Roman"/>
          <w:sz w:val="24"/>
          <w:szCs w:val="24"/>
        </w:rPr>
        <w:t xml:space="preserve"> </w:t>
      </w:r>
      <w:r w:rsidRPr="00E325D0">
        <w:rPr>
          <w:rFonts w:ascii="Times New Roman" w:hAnsi="Times New Roman" w:cs="Times New Roman"/>
          <w:sz w:val="24"/>
          <w:szCs w:val="24"/>
        </w:rPr>
        <w:t>study: Twitter communications surrounding the EU Sustainable Energy Week (EUSEW) 2013. Our attention towards social media is not accidental. The premise from Castells (2009) that an evolving communications environment is linked to the transformation of how politics works informs our research. Miskimmon et al (2013</w:t>
      </w:r>
      <w:r w:rsidR="00023DE5">
        <w:rPr>
          <w:rFonts w:ascii="Times New Roman" w:hAnsi="Times New Roman" w:cs="Times New Roman"/>
          <w:sz w:val="24"/>
          <w:szCs w:val="24"/>
        </w:rPr>
        <w:t>,</w:t>
      </w:r>
      <w:r w:rsidRPr="00E325D0">
        <w:rPr>
          <w:rFonts w:ascii="Times New Roman" w:hAnsi="Times New Roman" w:cs="Times New Roman"/>
          <w:sz w:val="24"/>
          <w:szCs w:val="24"/>
        </w:rPr>
        <w:t xml:space="preserve"> </w:t>
      </w:r>
      <w:r w:rsidR="00C87BC1">
        <w:rPr>
          <w:rFonts w:ascii="Times New Roman" w:hAnsi="Times New Roman" w:cs="Times New Roman"/>
          <w:sz w:val="24"/>
          <w:szCs w:val="24"/>
        </w:rPr>
        <w:t xml:space="preserve">p. </w:t>
      </w:r>
      <w:r w:rsidRPr="00E325D0">
        <w:rPr>
          <w:rFonts w:ascii="Times New Roman" w:hAnsi="Times New Roman" w:cs="Times New Roman"/>
          <w:sz w:val="24"/>
          <w:szCs w:val="24"/>
        </w:rPr>
        <w:t xml:space="preserve">4) extend this argument and suggest that online platforms offer </w:t>
      </w:r>
      <w:r w:rsidR="006D67BF" w:rsidRPr="00E325D0">
        <w:rPr>
          <w:rFonts w:ascii="Times New Roman" w:hAnsi="Times New Roman" w:cs="Times New Roman"/>
          <w:sz w:val="24"/>
          <w:szCs w:val="24"/>
        </w:rPr>
        <w:t>‘</w:t>
      </w:r>
      <w:r w:rsidRPr="00E325D0">
        <w:rPr>
          <w:rFonts w:ascii="Times New Roman" w:hAnsi="Times New Roman" w:cs="Times New Roman"/>
          <w:sz w:val="24"/>
          <w:szCs w:val="24"/>
        </w:rPr>
        <w:t>for the first time, normative models of public spheres and cosmopolitan dialogue</w:t>
      </w:r>
      <w:r w:rsidR="006D67BF" w:rsidRPr="00E325D0">
        <w:rPr>
          <w:rFonts w:ascii="Times New Roman" w:hAnsi="Times New Roman" w:cs="Times New Roman"/>
          <w:sz w:val="24"/>
          <w:szCs w:val="24"/>
        </w:rPr>
        <w:t>’</w:t>
      </w:r>
      <w:r w:rsidRPr="00E325D0">
        <w:rPr>
          <w:rFonts w:ascii="Times New Roman" w:hAnsi="Times New Roman" w:cs="Times New Roman"/>
          <w:sz w:val="24"/>
          <w:szCs w:val="24"/>
        </w:rPr>
        <w:t>. The key to our analysis is the two-pronged nature of the social media output. On the one hand, it is a media product</w:t>
      </w:r>
      <w:r w:rsidR="00054979">
        <w:rPr>
          <w:rFonts w:ascii="Times New Roman" w:hAnsi="Times New Roman" w:cs="Times New Roman"/>
          <w:sz w:val="24"/>
          <w:szCs w:val="24"/>
        </w:rPr>
        <w:t>:</w:t>
      </w:r>
      <w:r w:rsidRPr="00E325D0">
        <w:rPr>
          <w:rFonts w:ascii="Times New Roman" w:hAnsi="Times New Roman" w:cs="Times New Roman"/>
          <w:sz w:val="24"/>
          <w:szCs w:val="24"/>
        </w:rPr>
        <w:t xml:space="preserve"> a text </w:t>
      </w:r>
      <w:r w:rsidR="006A042B" w:rsidRPr="00E325D0">
        <w:rPr>
          <w:rFonts w:ascii="Times New Roman" w:hAnsi="Times New Roman" w:cs="Times New Roman"/>
          <w:sz w:val="24"/>
          <w:szCs w:val="24"/>
        </w:rPr>
        <w:t>t</w:t>
      </w:r>
      <w:r w:rsidRPr="00E325D0">
        <w:rPr>
          <w:rFonts w:ascii="Times New Roman" w:hAnsi="Times New Roman" w:cs="Times New Roman"/>
          <w:sz w:val="24"/>
          <w:szCs w:val="24"/>
        </w:rPr>
        <w:t>h</w:t>
      </w:r>
      <w:r w:rsidR="006A042B" w:rsidRPr="00E325D0">
        <w:rPr>
          <w:rFonts w:ascii="Times New Roman" w:hAnsi="Times New Roman" w:cs="Times New Roman"/>
          <w:sz w:val="24"/>
          <w:szCs w:val="24"/>
        </w:rPr>
        <w:t>at</w:t>
      </w:r>
      <w:r w:rsidRPr="00E325D0">
        <w:rPr>
          <w:rFonts w:ascii="Times New Roman" w:hAnsi="Times New Roman" w:cs="Times New Roman"/>
          <w:sz w:val="24"/>
          <w:szCs w:val="24"/>
        </w:rPr>
        <w:t xml:space="preserve"> may be analysed for its content and ‘</w:t>
      </w:r>
      <w:r w:rsidR="006D67BF" w:rsidRPr="00E325D0">
        <w:rPr>
          <w:rFonts w:ascii="Times New Roman" w:hAnsi="Times New Roman" w:cs="Times New Roman"/>
          <w:sz w:val="24"/>
          <w:szCs w:val="24"/>
        </w:rPr>
        <w:t xml:space="preserve">highlights packaged in </w:t>
      </w:r>
      <w:r w:rsidRPr="00E325D0">
        <w:rPr>
          <w:rFonts w:ascii="Times New Roman" w:hAnsi="Times New Roman" w:cs="Times New Roman"/>
          <w:sz w:val="24"/>
          <w:szCs w:val="24"/>
        </w:rPr>
        <w:t>select</w:t>
      </w:r>
      <w:r w:rsidR="006D67BF" w:rsidRPr="00E325D0">
        <w:rPr>
          <w:rFonts w:ascii="Times New Roman" w:hAnsi="Times New Roman" w:cs="Times New Roman"/>
          <w:sz w:val="24"/>
          <w:szCs w:val="24"/>
        </w:rPr>
        <w:t>ive, framed</w:t>
      </w:r>
      <w:r w:rsidRPr="00E325D0">
        <w:rPr>
          <w:rFonts w:ascii="Times New Roman" w:hAnsi="Times New Roman" w:cs="Times New Roman"/>
          <w:sz w:val="24"/>
          <w:szCs w:val="24"/>
        </w:rPr>
        <w:t xml:space="preserve"> communicati</w:t>
      </w:r>
      <w:r w:rsidR="006D67BF" w:rsidRPr="00E325D0">
        <w:rPr>
          <w:rFonts w:ascii="Times New Roman" w:hAnsi="Times New Roman" w:cs="Times New Roman"/>
          <w:sz w:val="24"/>
          <w:szCs w:val="24"/>
        </w:rPr>
        <w:t>ons</w:t>
      </w:r>
      <w:r w:rsidRPr="00E325D0">
        <w:rPr>
          <w:rFonts w:ascii="Times New Roman" w:hAnsi="Times New Roman" w:cs="Times New Roman"/>
          <w:sz w:val="24"/>
          <w:szCs w:val="24"/>
        </w:rPr>
        <w:t>’ (Entman 2003</w:t>
      </w:r>
      <w:r w:rsidR="006D67BF" w:rsidRPr="00E325D0">
        <w:rPr>
          <w:rFonts w:ascii="Times New Roman" w:hAnsi="Times New Roman" w:cs="Times New Roman"/>
          <w:sz w:val="24"/>
          <w:szCs w:val="24"/>
        </w:rPr>
        <w:t xml:space="preserve">, </w:t>
      </w:r>
      <w:r w:rsidR="00C87BC1">
        <w:rPr>
          <w:rFonts w:ascii="Times New Roman" w:hAnsi="Times New Roman" w:cs="Times New Roman"/>
          <w:sz w:val="24"/>
          <w:szCs w:val="24"/>
        </w:rPr>
        <w:t xml:space="preserve">p. </w:t>
      </w:r>
      <w:r w:rsidR="006D67BF" w:rsidRPr="00E325D0">
        <w:rPr>
          <w:rFonts w:ascii="Times New Roman" w:hAnsi="Times New Roman" w:cs="Times New Roman"/>
          <w:sz w:val="24"/>
          <w:szCs w:val="24"/>
        </w:rPr>
        <w:t>421</w:t>
      </w:r>
      <w:r w:rsidRPr="00E325D0">
        <w:rPr>
          <w:rFonts w:ascii="Times New Roman" w:hAnsi="Times New Roman" w:cs="Times New Roman"/>
          <w:sz w:val="24"/>
          <w:szCs w:val="24"/>
        </w:rPr>
        <w:t>). On the other hand, it is an evidence of public opinion and public engagement mediated by online media. This two-tale approach allows us to answer the core questions about any strategic narrative</w:t>
      </w:r>
      <w:r w:rsidR="002F139C" w:rsidRPr="00E325D0">
        <w:rPr>
          <w:rFonts w:ascii="Times New Roman" w:hAnsi="Times New Roman" w:cs="Times New Roman"/>
          <w:sz w:val="24"/>
          <w:szCs w:val="24"/>
        </w:rPr>
        <w:t>:</w:t>
      </w:r>
      <w:r w:rsidR="00AE6DBF" w:rsidRPr="00E325D0">
        <w:rPr>
          <w:rFonts w:ascii="Times New Roman" w:hAnsi="Times New Roman" w:cs="Times New Roman"/>
          <w:sz w:val="24"/>
          <w:szCs w:val="24"/>
        </w:rPr>
        <w:t xml:space="preserve"> </w:t>
      </w:r>
      <w:r w:rsidRPr="00E325D0">
        <w:rPr>
          <w:rFonts w:ascii="Times New Roman" w:hAnsi="Times New Roman" w:cs="Times New Roman"/>
          <w:sz w:val="24"/>
          <w:szCs w:val="24"/>
        </w:rPr>
        <w:t>How is it constructed? How is it communicated? How does it flow? And to what effect? (</w:t>
      </w:r>
      <w:r w:rsidR="002F139C" w:rsidRPr="00E325D0">
        <w:rPr>
          <w:rFonts w:ascii="Times New Roman" w:hAnsi="Times New Roman" w:cs="Times New Roman"/>
          <w:sz w:val="24"/>
          <w:szCs w:val="24"/>
        </w:rPr>
        <w:t xml:space="preserve">Miskimmon et al, 2013). </w:t>
      </w:r>
    </w:p>
    <w:p w14:paraId="69B19119" w14:textId="1BEBF4C7" w:rsidR="00B75683" w:rsidRPr="00E325D0" w:rsidRDefault="00B75683" w:rsidP="00E325D0">
      <w:pPr>
        <w:autoSpaceDE w:val="0"/>
        <w:autoSpaceDN w:val="0"/>
        <w:adjustRightInd w:val="0"/>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The novelty of this paper also lies in its method of analysis</w:t>
      </w:r>
      <w:r w:rsidR="006A042B" w:rsidRPr="00E325D0">
        <w:rPr>
          <w:rFonts w:ascii="Times New Roman" w:hAnsi="Times New Roman" w:cs="Times New Roman"/>
          <w:sz w:val="24"/>
          <w:szCs w:val="24"/>
        </w:rPr>
        <w:t>,</w:t>
      </w:r>
      <w:r w:rsidRPr="00E325D0">
        <w:rPr>
          <w:rFonts w:ascii="Times New Roman" w:hAnsi="Times New Roman" w:cs="Times New Roman"/>
          <w:sz w:val="24"/>
          <w:szCs w:val="24"/>
        </w:rPr>
        <w:t xml:space="preserve"> which is among the first to explore </w:t>
      </w:r>
      <w:r w:rsidR="006A042B" w:rsidRPr="00E325D0">
        <w:rPr>
          <w:rFonts w:ascii="Times New Roman" w:hAnsi="Times New Roman" w:cs="Times New Roman"/>
          <w:sz w:val="24"/>
          <w:szCs w:val="24"/>
        </w:rPr>
        <w:t xml:space="preserve">empirically </w:t>
      </w:r>
      <w:r w:rsidRPr="00E325D0">
        <w:rPr>
          <w:rFonts w:ascii="Times New Roman" w:hAnsi="Times New Roman" w:cs="Times New Roman"/>
          <w:sz w:val="24"/>
          <w:szCs w:val="24"/>
        </w:rPr>
        <w:t>the EU’s social media communication efforts</w:t>
      </w:r>
      <w:r w:rsidR="00DD02C6" w:rsidRPr="00E325D0">
        <w:rPr>
          <w:rFonts w:ascii="Times New Roman" w:hAnsi="Times New Roman" w:cs="Times New Roman"/>
          <w:sz w:val="24"/>
          <w:szCs w:val="24"/>
        </w:rPr>
        <w:t xml:space="preserve"> (see also Koskinen, 2013; Vergeer et al, 2010)</w:t>
      </w:r>
      <w:r w:rsidRPr="00E325D0">
        <w:rPr>
          <w:rFonts w:ascii="Times New Roman" w:hAnsi="Times New Roman" w:cs="Times New Roman"/>
          <w:sz w:val="24"/>
          <w:szCs w:val="24"/>
        </w:rPr>
        <w:t>. For studies of social media, the methodology choices are seemingly limitless</w:t>
      </w:r>
      <w:r w:rsidR="00781ABF" w:rsidRPr="00E325D0">
        <w:rPr>
          <w:rFonts w:ascii="Times New Roman" w:hAnsi="Times New Roman" w:cs="Times New Roman"/>
          <w:sz w:val="24"/>
          <w:szCs w:val="24"/>
        </w:rPr>
        <w:t>. T</w:t>
      </w:r>
      <w:r w:rsidRPr="00E325D0">
        <w:rPr>
          <w:rFonts w:ascii="Times New Roman" w:hAnsi="Times New Roman" w:cs="Times New Roman"/>
          <w:sz w:val="24"/>
          <w:szCs w:val="24"/>
        </w:rPr>
        <w:t>he nature of a platform like Twitter with its sheer volume of available data has encouraged a heavily quantitative, computerised field. D’Orazio (2013) has argued in favour of richer methodologies</w:t>
      </w:r>
      <w:r w:rsidR="00F259EA" w:rsidRPr="00E325D0">
        <w:rPr>
          <w:rFonts w:ascii="Times New Roman" w:hAnsi="Times New Roman" w:cs="Times New Roman"/>
          <w:sz w:val="24"/>
          <w:szCs w:val="24"/>
        </w:rPr>
        <w:t>,</w:t>
      </w:r>
      <w:r w:rsidRPr="00E325D0">
        <w:rPr>
          <w:rFonts w:ascii="Times New Roman" w:hAnsi="Times New Roman" w:cs="Times New Roman"/>
          <w:sz w:val="24"/>
          <w:szCs w:val="24"/>
        </w:rPr>
        <w:t xml:space="preserve"> which view social media data not as </w:t>
      </w:r>
      <w:r w:rsidR="008B6C0F" w:rsidRPr="00E325D0">
        <w:rPr>
          <w:rFonts w:ascii="Times New Roman" w:hAnsi="Times New Roman" w:cs="Times New Roman"/>
          <w:sz w:val="24"/>
          <w:szCs w:val="24"/>
        </w:rPr>
        <w:t>‘</w:t>
      </w:r>
      <w:r w:rsidRPr="00E325D0">
        <w:rPr>
          <w:rFonts w:ascii="Times New Roman" w:hAnsi="Times New Roman" w:cs="Times New Roman"/>
          <w:sz w:val="24"/>
          <w:szCs w:val="24"/>
        </w:rPr>
        <w:t>quantitative data, rather qualitative data on a quantitative scale</w:t>
      </w:r>
      <w:r w:rsidR="008B6C0F" w:rsidRPr="00E325D0">
        <w:rPr>
          <w:rFonts w:ascii="Times New Roman" w:hAnsi="Times New Roman" w:cs="Times New Roman"/>
          <w:sz w:val="24"/>
          <w:szCs w:val="24"/>
        </w:rPr>
        <w:t>’</w:t>
      </w:r>
      <w:r w:rsidRPr="00E325D0">
        <w:rPr>
          <w:rFonts w:ascii="Times New Roman" w:hAnsi="Times New Roman" w:cs="Times New Roman"/>
          <w:sz w:val="24"/>
          <w:szCs w:val="24"/>
        </w:rPr>
        <w:t xml:space="preserve"> (np). </w:t>
      </w:r>
      <w:r w:rsidR="00F259EA" w:rsidRPr="00E325D0">
        <w:rPr>
          <w:rFonts w:ascii="Times New Roman" w:hAnsi="Times New Roman" w:cs="Times New Roman"/>
          <w:sz w:val="24"/>
          <w:szCs w:val="24"/>
        </w:rPr>
        <w:t>R</w:t>
      </w:r>
      <w:r w:rsidRPr="00E325D0">
        <w:rPr>
          <w:rFonts w:ascii="Times New Roman" w:hAnsi="Times New Roman" w:cs="Times New Roman"/>
          <w:sz w:val="24"/>
          <w:szCs w:val="24"/>
        </w:rPr>
        <w:t>ather than deploying computational methods</w:t>
      </w:r>
      <w:r w:rsidR="00781ABF" w:rsidRPr="00E325D0">
        <w:rPr>
          <w:rFonts w:ascii="Times New Roman" w:hAnsi="Times New Roman" w:cs="Times New Roman"/>
          <w:sz w:val="24"/>
          <w:szCs w:val="24"/>
        </w:rPr>
        <w:t xml:space="preserve">, </w:t>
      </w:r>
      <w:r w:rsidRPr="00E325D0">
        <w:rPr>
          <w:rFonts w:ascii="Times New Roman" w:hAnsi="Times New Roman" w:cs="Times New Roman"/>
          <w:sz w:val="24"/>
          <w:szCs w:val="24"/>
        </w:rPr>
        <w:t xml:space="preserve">the Twitter data for this analysis were manually coded by a team of trained coders. This </w:t>
      </w:r>
      <w:r w:rsidRPr="00E325D0">
        <w:rPr>
          <w:rFonts w:ascii="Times New Roman" w:hAnsi="Times New Roman" w:cs="Times New Roman"/>
          <w:sz w:val="24"/>
          <w:szCs w:val="24"/>
        </w:rPr>
        <w:lastRenderedPageBreak/>
        <w:t xml:space="preserve">coders’ team enabled a more nuanced look at many of the unique content features of the sampled tweets (see details </w:t>
      </w:r>
      <w:r w:rsidRPr="00E325D0">
        <w:rPr>
          <w:rFonts w:ascii="Times New Roman" w:hAnsi="Times New Roman" w:cs="Times New Roman"/>
          <w:sz w:val="24"/>
          <w:szCs w:val="24"/>
          <w:lang w:val="en-US"/>
        </w:rPr>
        <w:t xml:space="preserve">below). </w:t>
      </w:r>
    </w:p>
    <w:p w14:paraId="27A2249C" w14:textId="461A463E" w:rsidR="00B75683" w:rsidRDefault="00B75683" w:rsidP="001A4E63">
      <w:pPr>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 xml:space="preserve">This paper starts with </w:t>
      </w:r>
      <w:r w:rsidR="0054330A">
        <w:rPr>
          <w:rFonts w:ascii="Times New Roman" w:hAnsi="Times New Roman" w:cs="Times New Roman"/>
          <w:sz w:val="24"/>
          <w:szCs w:val="24"/>
        </w:rPr>
        <w:t xml:space="preserve">a </w:t>
      </w:r>
      <w:r w:rsidRPr="00E325D0">
        <w:rPr>
          <w:rFonts w:ascii="Times New Roman" w:hAnsi="Times New Roman" w:cs="Times New Roman"/>
          <w:sz w:val="24"/>
          <w:szCs w:val="24"/>
        </w:rPr>
        <w:t xml:space="preserve">delineation of the ‘Sustainable Energy Europe’ narrative </w:t>
      </w:r>
      <w:r w:rsidR="00935098" w:rsidRPr="00E325D0">
        <w:rPr>
          <w:rFonts w:ascii="Times New Roman" w:hAnsi="Times New Roman" w:cs="Times New Roman"/>
          <w:sz w:val="24"/>
          <w:szCs w:val="24"/>
        </w:rPr>
        <w:t>and</w:t>
      </w:r>
      <w:r w:rsidRPr="00E325D0">
        <w:rPr>
          <w:rFonts w:ascii="Times New Roman" w:hAnsi="Times New Roman" w:cs="Times New Roman"/>
          <w:sz w:val="24"/>
          <w:szCs w:val="24"/>
        </w:rPr>
        <w:t xml:space="preserve"> continues with a consideration of the EU’s practice of online communication. </w:t>
      </w:r>
      <w:r w:rsidR="00935098" w:rsidRPr="00E325D0">
        <w:rPr>
          <w:rFonts w:ascii="Times New Roman" w:hAnsi="Times New Roman" w:cs="Times New Roman"/>
          <w:sz w:val="24"/>
          <w:szCs w:val="24"/>
        </w:rPr>
        <w:t>We</w:t>
      </w:r>
      <w:r w:rsidRPr="00E325D0">
        <w:rPr>
          <w:rFonts w:ascii="Times New Roman" w:hAnsi="Times New Roman" w:cs="Times New Roman"/>
          <w:sz w:val="24"/>
          <w:szCs w:val="24"/>
        </w:rPr>
        <w:t xml:space="preserve"> then operationalize the study of the ‘Sustainable Energy Europe’ narrative in terms of formation, projection and reception, and develop a set of categories for empirical analysis of the EUSEW 2013 Twitter communications. The paper ends with discussion </w:t>
      </w:r>
      <w:r w:rsidR="00054979">
        <w:rPr>
          <w:rFonts w:ascii="Times New Roman" w:hAnsi="Times New Roman" w:cs="Times New Roman"/>
          <w:sz w:val="24"/>
          <w:szCs w:val="24"/>
        </w:rPr>
        <w:t>in which</w:t>
      </w:r>
      <w:r w:rsidRPr="00E325D0">
        <w:rPr>
          <w:rFonts w:ascii="Times New Roman" w:hAnsi="Times New Roman" w:cs="Times New Roman"/>
          <w:sz w:val="24"/>
          <w:szCs w:val="24"/>
        </w:rPr>
        <w:t xml:space="preserve"> we present the emergence and growing appeal of ‘Sustainable Energy Europe’ strategic narrative and outline future research directions.</w:t>
      </w:r>
    </w:p>
    <w:p w14:paraId="4F005A7B" w14:textId="77777777" w:rsidR="00625C61" w:rsidRPr="00E325D0" w:rsidRDefault="00625C61" w:rsidP="00E325D0">
      <w:pPr>
        <w:spacing w:line="480" w:lineRule="auto"/>
        <w:contextualSpacing/>
        <w:rPr>
          <w:rFonts w:ascii="Times New Roman" w:hAnsi="Times New Roman" w:cs="Times New Roman"/>
          <w:sz w:val="24"/>
          <w:szCs w:val="24"/>
        </w:rPr>
      </w:pPr>
    </w:p>
    <w:p w14:paraId="12633470" w14:textId="105010E3" w:rsidR="00B75683" w:rsidRPr="00E325D0" w:rsidRDefault="00E325D0" w:rsidP="00E325D0">
      <w:pPr>
        <w:spacing w:line="480" w:lineRule="auto"/>
        <w:contextualSpacing/>
        <w:rPr>
          <w:rFonts w:ascii="Times New Roman" w:hAnsi="Times New Roman" w:cs="Times New Roman"/>
          <w:b/>
          <w:bCs/>
          <w:sz w:val="24"/>
          <w:szCs w:val="24"/>
        </w:rPr>
      </w:pPr>
      <w:r w:rsidRPr="00E325D0">
        <w:rPr>
          <w:rFonts w:ascii="Times New Roman" w:hAnsi="Times New Roman" w:cs="Times New Roman"/>
          <w:b/>
          <w:bCs/>
          <w:sz w:val="24"/>
          <w:szCs w:val="24"/>
        </w:rPr>
        <w:t xml:space="preserve">2. </w:t>
      </w:r>
      <w:r w:rsidR="00625C61" w:rsidRPr="00E325D0">
        <w:rPr>
          <w:rFonts w:ascii="Times New Roman" w:hAnsi="Times New Roman" w:cs="Times New Roman"/>
          <w:b/>
          <w:bCs/>
          <w:sz w:val="24"/>
          <w:szCs w:val="24"/>
        </w:rPr>
        <w:t>E</w:t>
      </w:r>
      <w:r w:rsidR="00625C61">
        <w:rPr>
          <w:rFonts w:ascii="Times New Roman" w:hAnsi="Times New Roman" w:cs="Times New Roman"/>
          <w:b/>
          <w:bCs/>
          <w:sz w:val="24"/>
          <w:szCs w:val="24"/>
        </w:rPr>
        <w:t>U</w:t>
      </w:r>
      <w:r w:rsidR="00625C61" w:rsidRPr="00E325D0">
        <w:rPr>
          <w:rFonts w:ascii="Times New Roman" w:hAnsi="Times New Roman" w:cs="Times New Roman"/>
          <w:b/>
          <w:bCs/>
          <w:sz w:val="24"/>
          <w:szCs w:val="24"/>
        </w:rPr>
        <w:t xml:space="preserve"> Strategic Narratives: N</w:t>
      </w:r>
      <w:r w:rsidR="0054330A">
        <w:rPr>
          <w:rFonts w:ascii="Times New Roman" w:hAnsi="Times New Roman" w:cs="Times New Roman"/>
          <w:b/>
          <w:bCs/>
          <w:sz w:val="24"/>
          <w:szCs w:val="24"/>
        </w:rPr>
        <w:t>PE</w:t>
      </w:r>
      <w:r w:rsidR="00342C7E">
        <w:rPr>
          <w:rFonts w:ascii="Times New Roman" w:hAnsi="Times New Roman" w:cs="Times New Roman"/>
          <w:b/>
          <w:bCs/>
          <w:sz w:val="24"/>
          <w:szCs w:val="24"/>
        </w:rPr>
        <w:t xml:space="preserve"> a</w:t>
      </w:r>
      <w:r w:rsidR="00625C61" w:rsidRPr="00E325D0">
        <w:rPr>
          <w:rFonts w:ascii="Times New Roman" w:hAnsi="Times New Roman" w:cs="Times New Roman"/>
          <w:b/>
          <w:bCs/>
          <w:sz w:val="24"/>
          <w:szCs w:val="24"/>
        </w:rPr>
        <w:t xml:space="preserve">nd </w:t>
      </w:r>
      <w:r w:rsidR="00482691">
        <w:rPr>
          <w:rFonts w:ascii="Times New Roman" w:hAnsi="Times New Roman" w:cs="Times New Roman"/>
          <w:b/>
          <w:bCs/>
          <w:sz w:val="24"/>
          <w:szCs w:val="24"/>
        </w:rPr>
        <w:t>‘</w:t>
      </w:r>
      <w:r w:rsidR="00625C61" w:rsidRPr="00E325D0">
        <w:rPr>
          <w:rFonts w:ascii="Times New Roman" w:hAnsi="Times New Roman" w:cs="Times New Roman"/>
          <w:b/>
          <w:bCs/>
          <w:sz w:val="24"/>
          <w:szCs w:val="24"/>
        </w:rPr>
        <w:t>Sustainable Energy Europe</w:t>
      </w:r>
      <w:r w:rsidR="00482691">
        <w:rPr>
          <w:rFonts w:ascii="Times New Roman" w:hAnsi="Times New Roman" w:cs="Times New Roman"/>
          <w:b/>
          <w:bCs/>
          <w:sz w:val="24"/>
          <w:szCs w:val="24"/>
        </w:rPr>
        <w:t>’</w:t>
      </w:r>
      <w:r w:rsidR="00625C61" w:rsidRPr="00E325D0">
        <w:rPr>
          <w:rFonts w:ascii="Times New Roman" w:hAnsi="Times New Roman" w:cs="Times New Roman"/>
          <w:b/>
          <w:bCs/>
          <w:sz w:val="24"/>
          <w:szCs w:val="24"/>
        </w:rPr>
        <w:t xml:space="preserve"> </w:t>
      </w:r>
    </w:p>
    <w:p w14:paraId="5B7FC047" w14:textId="77777777" w:rsidR="00625C61" w:rsidRPr="00E325D0" w:rsidRDefault="00625C61" w:rsidP="00E325D0">
      <w:pPr>
        <w:spacing w:line="480" w:lineRule="auto"/>
        <w:contextualSpacing/>
        <w:rPr>
          <w:rFonts w:ascii="Times New Roman" w:hAnsi="Times New Roman" w:cs="Times New Roman"/>
          <w:sz w:val="24"/>
          <w:szCs w:val="24"/>
        </w:rPr>
      </w:pPr>
    </w:p>
    <w:p w14:paraId="32ACD1D3" w14:textId="77777777" w:rsidR="004D7FDE" w:rsidRPr="004D7FDE" w:rsidRDefault="00B75683" w:rsidP="004D7FDE">
      <w:pPr>
        <w:spacing w:line="480" w:lineRule="auto"/>
        <w:rPr>
          <w:rFonts w:ascii="Times New Roman" w:hAnsi="Times New Roman" w:cs="Times New Roman"/>
          <w:sz w:val="24"/>
          <w:szCs w:val="24"/>
          <w:lang w:val="en-NZ"/>
        </w:rPr>
      </w:pPr>
      <w:r w:rsidRPr="00E325D0">
        <w:rPr>
          <w:rFonts w:ascii="Times New Roman" w:hAnsi="Times New Roman" w:cs="Times New Roman"/>
          <w:sz w:val="24"/>
          <w:szCs w:val="24"/>
        </w:rPr>
        <w:t>The emerging theory of strategic narratives invites a differentiation between the notions of discourse and narrative, as well as between system, identity and issue narratives (Mi</w:t>
      </w:r>
      <w:r w:rsidR="00054979">
        <w:rPr>
          <w:rFonts w:ascii="Times New Roman" w:hAnsi="Times New Roman" w:cs="Times New Roman"/>
          <w:sz w:val="24"/>
          <w:szCs w:val="24"/>
        </w:rPr>
        <w:t>s</w:t>
      </w:r>
      <w:r w:rsidRPr="00E325D0">
        <w:rPr>
          <w:rFonts w:ascii="Times New Roman" w:hAnsi="Times New Roman" w:cs="Times New Roman"/>
          <w:sz w:val="24"/>
          <w:szCs w:val="24"/>
        </w:rPr>
        <w:t>kimmon et al</w:t>
      </w:r>
      <w:r w:rsidR="00054979">
        <w:rPr>
          <w:rFonts w:ascii="Times New Roman" w:hAnsi="Times New Roman" w:cs="Times New Roman"/>
          <w:sz w:val="24"/>
          <w:szCs w:val="24"/>
        </w:rPr>
        <w:t>,</w:t>
      </w:r>
      <w:r w:rsidRPr="00E325D0">
        <w:rPr>
          <w:rFonts w:ascii="Times New Roman" w:hAnsi="Times New Roman" w:cs="Times New Roman"/>
          <w:sz w:val="24"/>
          <w:szCs w:val="24"/>
        </w:rPr>
        <w:t xml:space="preserve"> 2013).</w:t>
      </w:r>
      <w:r w:rsidR="004D7FDE">
        <w:rPr>
          <w:rFonts w:ascii="Times New Roman" w:hAnsi="Times New Roman" w:cs="Times New Roman"/>
          <w:sz w:val="24"/>
          <w:szCs w:val="24"/>
        </w:rPr>
        <w:t xml:space="preserve"> </w:t>
      </w:r>
      <w:r w:rsidRPr="00E325D0">
        <w:rPr>
          <w:rFonts w:ascii="Times New Roman" w:hAnsi="Times New Roman" w:cs="Times New Roman"/>
          <w:sz w:val="24"/>
          <w:szCs w:val="24"/>
        </w:rPr>
        <w:t xml:space="preserve"> </w:t>
      </w:r>
      <w:r w:rsidR="007E216F" w:rsidRPr="00E325D0">
        <w:rPr>
          <w:rFonts w:ascii="Times New Roman" w:hAnsi="Times New Roman" w:cs="Times New Roman"/>
          <w:sz w:val="24"/>
          <w:szCs w:val="24"/>
        </w:rPr>
        <w:t>D</w:t>
      </w:r>
      <w:r w:rsidRPr="00E325D0">
        <w:rPr>
          <w:rFonts w:ascii="Times New Roman" w:hAnsi="Times New Roman" w:cs="Times New Roman"/>
          <w:sz w:val="24"/>
          <w:szCs w:val="24"/>
        </w:rPr>
        <w:t>iscourses are con</w:t>
      </w:r>
      <w:r w:rsidR="0054330A">
        <w:rPr>
          <w:rFonts w:ascii="Times New Roman" w:hAnsi="Times New Roman" w:cs="Times New Roman"/>
          <w:sz w:val="24"/>
          <w:szCs w:val="24"/>
        </w:rPr>
        <w:t>ceptualised as static formations, which</w:t>
      </w:r>
      <w:r w:rsidRPr="00E325D0">
        <w:rPr>
          <w:rFonts w:ascii="Times New Roman" w:hAnsi="Times New Roman" w:cs="Times New Roman"/>
          <w:sz w:val="24"/>
          <w:szCs w:val="24"/>
        </w:rPr>
        <w:t xml:space="preserve"> do not offer a cause-effect explanation – the </w:t>
      </w:r>
      <w:r w:rsidR="008B6C0F" w:rsidRPr="00E325D0">
        <w:rPr>
          <w:rFonts w:ascii="Times New Roman" w:hAnsi="Times New Roman" w:cs="Times New Roman"/>
          <w:sz w:val="24"/>
          <w:szCs w:val="24"/>
        </w:rPr>
        <w:t>‘</w:t>
      </w:r>
      <w:r w:rsidRPr="00E325D0">
        <w:rPr>
          <w:rFonts w:ascii="Times New Roman" w:hAnsi="Times New Roman" w:cs="Times New Roman"/>
          <w:sz w:val="24"/>
          <w:szCs w:val="24"/>
        </w:rPr>
        <w:t>raw material for communication … that actors plot into narratives</w:t>
      </w:r>
      <w:r w:rsidR="008B6C0F" w:rsidRPr="00E325D0">
        <w:rPr>
          <w:rFonts w:ascii="Times New Roman" w:hAnsi="Times New Roman" w:cs="Times New Roman"/>
          <w:sz w:val="24"/>
          <w:szCs w:val="24"/>
        </w:rPr>
        <w:t xml:space="preserve">’ </w:t>
      </w:r>
      <w:r w:rsidRPr="00E325D0">
        <w:rPr>
          <w:rFonts w:ascii="Times New Roman" w:hAnsi="Times New Roman" w:cs="Times New Roman"/>
          <w:sz w:val="24"/>
          <w:szCs w:val="24"/>
        </w:rPr>
        <w:t>(Miskimmon et al</w:t>
      </w:r>
      <w:r w:rsidR="00BD1C43">
        <w:rPr>
          <w:rFonts w:ascii="Times New Roman" w:hAnsi="Times New Roman" w:cs="Times New Roman"/>
          <w:sz w:val="24"/>
          <w:szCs w:val="24"/>
        </w:rPr>
        <w:t>,</w:t>
      </w:r>
      <w:r w:rsidRPr="00E325D0">
        <w:rPr>
          <w:rFonts w:ascii="Times New Roman" w:hAnsi="Times New Roman" w:cs="Times New Roman"/>
          <w:sz w:val="24"/>
          <w:szCs w:val="24"/>
        </w:rPr>
        <w:t xml:space="preserve"> 2013, </w:t>
      </w:r>
      <w:r w:rsidR="00C87BC1">
        <w:rPr>
          <w:rFonts w:ascii="Times New Roman" w:hAnsi="Times New Roman" w:cs="Times New Roman"/>
          <w:sz w:val="24"/>
          <w:szCs w:val="24"/>
        </w:rPr>
        <w:t xml:space="preserve">p. </w:t>
      </w:r>
      <w:r w:rsidRPr="00E325D0">
        <w:rPr>
          <w:rFonts w:ascii="Times New Roman" w:hAnsi="Times New Roman" w:cs="Times New Roman"/>
          <w:sz w:val="24"/>
          <w:szCs w:val="24"/>
        </w:rPr>
        <w:t xml:space="preserve">7). Narratives, </w:t>
      </w:r>
      <w:r w:rsidR="00054979">
        <w:rPr>
          <w:rFonts w:ascii="Times New Roman" w:hAnsi="Times New Roman" w:cs="Times New Roman"/>
          <w:sz w:val="24"/>
          <w:szCs w:val="24"/>
        </w:rPr>
        <w:t>by contrast</w:t>
      </w:r>
      <w:r w:rsidRPr="00E325D0">
        <w:rPr>
          <w:rFonts w:ascii="Times New Roman" w:hAnsi="Times New Roman" w:cs="Times New Roman"/>
          <w:sz w:val="24"/>
          <w:szCs w:val="24"/>
        </w:rPr>
        <w:t xml:space="preserve">, feature a </w:t>
      </w:r>
      <w:r w:rsidR="008B6C0F" w:rsidRPr="00E325D0">
        <w:rPr>
          <w:rFonts w:ascii="Times New Roman" w:hAnsi="Times New Roman" w:cs="Times New Roman"/>
          <w:sz w:val="24"/>
          <w:szCs w:val="24"/>
        </w:rPr>
        <w:t>‘</w:t>
      </w:r>
      <w:r w:rsidRPr="00E325D0">
        <w:rPr>
          <w:rFonts w:ascii="Times New Roman" w:hAnsi="Times New Roman" w:cs="Times New Roman"/>
          <w:sz w:val="24"/>
          <w:szCs w:val="24"/>
        </w:rPr>
        <w:t>causal transformation which take actors from one status quo to another</w:t>
      </w:r>
      <w:r w:rsidR="008B6C0F" w:rsidRPr="00E325D0">
        <w:rPr>
          <w:rFonts w:ascii="Times New Roman" w:hAnsi="Times New Roman" w:cs="Times New Roman"/>
          <w:sz w:val="24"/>
          <w:szCs w:val="24"/>
        </w:rPr>
        <w:t>’</w:t>
      </w:r>
      <w:r w:rsidR="004D7FDE">
        <w:rPr>
          <w:rFonts w:ascii="Times New Roman" w:hAnsi="Times New Roman" w:cs="Times New Roman"/>
          <w:sz w:val="24"/>
          <w:szCs w:val="24"/>
        </w:rPr>
        <w:t xml:space="preserve"> (Ibid.), with </w:t>
      </w:r>
      <w:r w:rsidR="004D7FDE" w:rsidRPr="004D7FDE">
        <w:rPr>
          <w:rFonts w:ascii="Times New Roman" w:hAnsi="Times New Roman" w:cs="Times New Roman"/>
          <w:i/>
          <w:sz w:val="24"/>
          <w:szCs w:val="24"/>
        </w:rPr>
        <w:t>system</w:t>
      </w:r>
      <w:r w:rsidR="004D7FDE">
        <w:rPr>
          <w:rFonts w:ascii="Times New Roman" w:hAnsi="Times New Roman" w:cs="Times New Roman"/>
          <w:sz w:val="24"/>
          <w:szCs w:val="24"/>
        </w:rPr>
        <w:t xml:space="preserve"> narratives telling a story </w:t>
      </w:r>
      <w:r w:rsidR="004D7FDE" w:rsidRPr="004D7FDE">
        <w:rPr>
          <w:rFonts w:ascii="Times New Roman" w:hAnsi="Times New Roman" w:cs="Times New Roman"/>
          <w:sz w:val="24"/>
          <w:szCs w:val="24"/>
        </w:rPr>
        <w:t>how the world is arranged</w:t>
      </w:r>
      <w:r w:rsidR="004D7FDE">
        <w:rPr>
          <w:rFonts w:ascii="Times New Roman" w:hAnsi="Times New Roman" w:cs="Times New Roman"/>
          <w:sz w:val="24"/>
          <w:szCs w:val="24"/>
        </w:rPr>
        <w:t xml:space="preserve">; </w:t>
      </w:r>
      <w:r w:rsidR="004D7FDE" w:rsidRPr="004D7FDE">
        <w:rPr>
          <w:rFonts w:ascii="Times New Roman" w:hAnsi="Times New Roman" w:cs="Times New Roman"/>
          <w:i/>
          <w:sz w:val="24"/>
          <w:szCs w:val="24"/>
        </w:rPr>
        <w:t>identity</w:t>
      </w:r>
      <w:r w:rsidR="004D7FDE">
        <w:rPr>
          <w:rFonts w:ascii="Times New Roman" w:hAnsi="Times New Roman" w:cs="Times New Roman"/>
          <w:sz w:val="24"/>
          <w:szCs w:val="24"/>
        </w:rPr>
        <w:t xml:space="preserve"> narratives highlighting </w:t>
      </w:r>
      <w:r w:rsidR="004D7FDE" w:rsidRPr="004D7FDE">
        <w:rPr>
          <w:rFonts w:ascii="Times New Roman" w:hAnsi="Times New Roman" w:cs="Times New Roman"/>
          <w:sz w:val="24"/>
          <w:szCs w:val="24"/>
        </w:rPr>
        <w:t>“identities of actors in international affairs that are in a process of constant negotiation and contes</w:t>
      </w:r>
      <w:r w:rsidR="004D7FDE">
        <w:rPr>
          <w:rFonts w:ascii="Times New Roman" w:hAnsi="Times New Roman" w:cs="Times New Roman"/>
          <w:sz w:val="24"/>
          <w:szCs w:val="24"/>
        </w:rPr>
        <w:t>tation” (Miskimmon et al., 2013,</w:t>
      </w:r>
      <w:r w:rsidR="004D7FDE" w:rsidRPr="004D7FDE">
        <w:rPr>
          <w:rFonts w:ascii="Times New Roman" w:hAnsi="Times New Roman" w:cs="Times New Roman"/>
          <w:sz w:val="24"/>
          <w:szCs w:val="24"/>
        </w:rPr>
        <w:t xml:space="preserve"> </w:t>
      </w:r>
      <w:r w:rsidR="004D7FDE">
        <w:rPr>
          <w:rFonts w:ascii="Times New Roman" w:hAnsi="Times New Roman" w:cs="Times New Roman"/>
          <w:sz w:val="24"/>
          <w:szCs w:val="24"/>
        </w:rPr>
        <w:t xml:space="preserve">p. </w:t>
      </w:r>
      <w:r w:rsidR="004D7FDE" w:rsidRPr="004D7FDE">
        <w:rPr>
          <w:rFonts w:ascii="Times New Roman" w:hAnsi="Times New Roman" w:cs="Times New Roman"/>
          <w:sz w:val="24"/>
          <w:szCs w:val="24"/>
        </w:rPr>
        <w:t>7</w:t>
      </w:r>
      <w:r w:rsidR="004D7FDE">
        <w:rPr>
          <w:rFonts w:ascii="Times New Roman" w:hAnsi="Times New Roman" w:cs="Times New Roman"/>
          <w:sz w:val="24"/>
          <w:szCs w:val="24"/>
        </w:rPr>
        <w:t xml:space="preserve">) and </w:t>
      </w:r>
      <w:r w:rsidR="004D7FDE" w:rsidRPr="00902DDB">
        <w:rPr>
          <w:rFonts w:ascii="Times New Roman" w:hAnsi="Times New Roman" w:cs="Times New Roman"/>
          <w:i/>
          <w:sz w:val="24"/>
          <w:szCs w:val="24"/>
        </w:rPr>
        <w:t>issue</w:t>
      </w:r>
      <w:r w:rsidR="004D7FDE">
        <w:rPr>
          <w:rFonts w:ascii="Times New Roman" w:hAnsi="Times New Roman" w:cs="Times New Roman"/>
          <w:sz w:val="24"/>
          <w:szCs w:val="24"/>
        </w:rPr>
        <w:t xml:space="preserve"> narratives </w:t>
      </w:r>
      <w:r w:rsidR="004D7FDE" w:rsidRPr="004D7FDE">
        <w:rPr>
          <w:rFonts w:ascii="Times New Roman" w:hAnsi="Times New Roman" w:cs="Times New Roman"/>
          <w:sz w:val="24"/>
          <w:szCs w:val="24"/>
        </w:rPr>
        <w:t>“seeking to shape the terrain on which policy discussions take</w:t>
      </w:r>
      <w:r w:rsidR="004D7FDE">
        <w:rPr>
          <w:rFonts w:ascii="Times New Roman" w:hAnsi="Times New Roman" w:cs="Times New Roman"/>
          <w:sz w:val="24"/>
          <w:szCs w:val="24"/>
        </w:rPr>
        <w:t xml:space="preserve"> place” (Miskimmon et al., 2013, p.</w:t>
      </w:r>
      <w:r w:rsidR="004D7FDE" w:rsidRPr="004D7FDE">
        <w:rPr>
          <w:rFonts w:ascii="Times New Roman" w:hAnsi="Times New Roman" w:cs="Times New Roman"/>
          <w:sz w:val="24"/>
          <w:szCs w:val="24"/>
        </w:rPr>
        <w:t xml:space="preserve"> 7)</w:t>
      </w:r>
      <w:r w:rsidR="004D7FDE">
        <w:rPr>
          <w:rFonts w:ascii="Times New Roman" w:hAnsi="Times New Roman" w:cs="Times New Roman"/>
          <w:sz w:val="24"/>
          <w:szCs w:val="24"/>
        </w:rPr>
        <w:t>.</w:t>
      </w:r>
    </w:p>
    <w:p w14:paraId="09671E93" w14:textId="0B60D2DB" w:rsidR="007A17AD" w:rsidRPr="004D7FDE" w:rsidRDefault="007A17AD" w:rsidP="004D7FDE">
      <w:pPr>
        <w:spacing w:line="480" w:lineRule="auto"/>
        <w:rPr>
          <w:rFonts w:ascii="Times New Roman" w:hAnsi="Times New Roman" w:cs="Times New Roman"/>
          <w:sz w:val="24"/>
          <w:szCs w:val="24"/>
          <w:lang w:val="en-NZ"/>
        </w:rPr>
      </w:pPr>
    </w:p>
    <w:p w14:paraId="02DF7645" w14:textId="455F6837" w:rsidR="00B75683" w:rsidRPr="00E325D0" w:rsidRDefault="004D7FDE" w:rsidP="00E325D0">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00B75683" w:rsidRPr="00E325D0">
        <w:rPr>
          <w:rFonts w:ascii="Times New Roman" w:hAnsi="Times New Roman" w:cs="Times New Roman"/>
          <w:sz w:val="24"/>
          <w:szCs w:val="24"/>
        </w:rPr>
        <w:t xml:space="preserve">We argue that the identity narrative of the ‘NPE’ – captured by </w:t>
      </w:r>
      <w:r w:rsidR="00D9690A">
        <w:rPr>
          <w:rFonts w:ascii="Times New Roman" w:hAnsi="Times New Roman" w:cs="Times New Roman"/>
          <w:sz w:val="24"/>
          <w:szCs w:val="24"/>
        </w:rPr>
        <w:t>I</w:t>
      </w:r>
      <w:r w:rsidR="00B75683" w:rsidRPr="00E325D0">
        <w:rPr>
          <w:rFonts w:ascii="Times New Roman" w:hAnsi="Times New Roman" w:cs="Times New Roman"/>
          <w:sz w:val="24"/>
          <w:szCs w:val="24"/>
        </w:rPr>
        <w:t xml:space="preserve">an Manners (2002) </w:t>
      </w:r>
      <w:r w:rsidR="008B6C0F" w:rsidRPr="00E325D0">
        <w:rPr>
          <w:rFonts w:ascii="Times New Roman" w:hAnsi="Times New Roman" w:cs="Times New Roman"/>
          <w:sz w:val="24"/>
          <w:szCs w:val="24"/>
        </w:rPr>
        <w:t>–</w:t>
      </w:r>
      <w:r w:rsidR="00B75683" w:rsidRPr="00E325D0">
        <w:rPr>
          <w:rFonts w:ascii="Times New Roman" w:hAnsi="Times New Roman" w:cs="Times New Roman"/>
          <w:sz w:val="24"/>
          <w:szCs w:val="24"/>
        </w:rPr>
        <w:t xml:space="preserve"> is constructed out of the enduring discourse based on a popular, yet contested ‘idea of Europe’. This idea is based on historical generation and recognition of particular norms and values as a </w:t>
      </w:r>
      <w:r w:rsidR="00B75683" w:rsidRPr="00E325D0">
        <w:rPr>
          <w:rFonts w:ascii="Times New Roman" w:hAnsi="Times New Roman" w:cs="Times New Roman"/>
          <w:sz w:val="24"/>
          <w:szCs w:val="24"/>
        </w:rPr>
        <w:lastRenderedPageBreak/>
        <w:t>result of a centuries-long tradition of European intellectual innovations. Among those are liberty, freedom of speech, rule of law, human rights, tolerance and democracy.</w:t>
      </w:r>
    </w:p>
    <w:p w14:paraId="6F396F3D" w14:textId="2340F6AE" w:rsidR="00B75683" w:rsidRPr="00E325D0" w:rsidRDefault="00B75683" w:rsidP="00625C61">
      <w:pPr>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 xml:space="preserve">This discourse arguably informs the NPE identity narrative of the EU, a supranational non-state actor </w:t>
      </w:r>
      <w:r w:rsidR="00924C73">
        <w:rPr>
          <w:rFonts w:ascii="Times New Roman" w:hAnsi="Times New Roman" w:cs="Times New Roman"/>
          <w:sz w:val="24"/>
          <w:szCs w:val="24"/>
        </w:rPr>
        <w:t>that</w:t>
      </w:r>
      <w:r w:rsidRPr="00E325D0">
        <w:rPr>
          <w:rFonts w:ascii="Times New Roman" w:hAnsi="Times New Roman" w:cs="Times New Roman"/>
          <w:sz w:val="24"/>
          <w:szCs w:val="24"/>
        </w:rPr>
        <w:t xml:space="preserve"> is active in international relations (IR) and committed to becoming a major global actor. According to Roselle et al (2013</w:t>
      </w:r>
      <w:r w:rsidR="005359B8" w:rsidRPr="00E325D0">
        <w:rPr>
          <w:rFonts w:ascii="Times New Roman" w:hAnsi="Times New Roman" w:cs="Times New Roman"/>
          <w:sz w:val="24"/>
          <w:szCs w:val="24"/>
        </w:rPr>
        <w:t xml:space="preserve">, </w:t>
      </w:r>
      <w:r w:rsidR="00C87BC1">
        <w:rPr>
          <w:rFonts w:ascii="Times New Roman" w:hAnsi="Times New Roman" w:cs="Times New Roman"/>
          <w:sz w:val="24"/>
          <w:szCs w:val="24"/>
        </w:rPr>
        <w:t xml:space="preserve">p. </w:t>
      </w:r>
      <w:r w:rsidR="005359B8" w:rsidRPr="00E325D0">
        <w:rPr>
          <w:rFonts w:ascii="Times New Roman" w:hAnsi="Times New Roman" w:cs="Times New Roman"/>
          <w:sz w:val="24"/>
          <w:szCs w:val="24"/>
        </w:rPr>
        <w:t>77</w:t>
      </w:r>
      <w:r w:rsidRPr="00E325D0">
        <w:rPr>
          <w:rFonts w:ascii="Times New Roman" w:hAnsi="Times New Roman" w:cs="Times New Roman"/>
          <w:sz w:val="24"/>
          <w:szCs w:val="24"/>
        </w:rPr>
        <w:t>), a ‘</w:t>
      </w:r>
      <w:r w:rsidR="005359B8" w:rsidRPr="00E325D0">
        <w:rPr>
          <w:rFonts w:ascii="Times New Roman" w:hAnsi="Times New Roman" w:cs="Times New Roman"/>
          <w:sz w:val="24"/>
          <w:szCs w:val="24"/>
        </w:rPr>
        <w:t xml:space="preserve">strategic </w:t>
      </w:r>
      <w:r w:rsidRPr="00E325D0">
        <w:rPr>
          <w:rFonts w:ascii="Times New Roman" w:hAnsi="Times New Roman" w:cs="Times New Roman"/>
          <w:sz w:val="24"/>
          <w:szCs w:val="24"/>
        </w:rPr>
        <w:t>narrative</w:t>
      </w:r>
      <w:r w:rsidR="005359B8" w:rsidRPr="00E325D0">
        <w:rPr>
          <w:rFonts w:ascii="Times New Roman" w:hAnsi="Times New Roman" w:cs="Times New Roman"/>
          <w:sz w:val="24"/>
          <w:szCs w:val="24"/>
        </w:rPr>
        <w:t>s</w:t>
      </w:r>
      <w:r w:rsidRPr="00E325D0">
        <w:rPr>
          <w:rFonts w:ascii="Times New Roman" w:hAnsi="Times New Roman" w:cs="Times New Roman"/>
          <w:sz w:val="24"/>
          <w:szCs w:val="24"/>
        </w:rPr>
        <w:t xml:space="preserve"> employed at one level may affect narrative</w:t>
      </w:r>
      <w:r w:rsidR="004E0661" w:rsidRPr="00E325D0">
        <w:rPr>
          <w:rFonts w:ascii="Times New Roman" w:hAnsi="Times New Roman" w:cs="Times New Roman"/>
          <w:sz w:val="24"/>
          <w:szCs w:val="24"/>
        </w:rPr>
        <w:t>s</w:t>
      </w:r>
      <w:r w:rsidRPr="00E325D0">
        <w:rPr>
          <w:rFonts w:ascii="Times New Roman" w:hAnsi="Times New Roman" w:cs="Times New Roman"/>
          <w:sz w:val="24"/>
          <w:szCs w:val="24"/>
        </w:rPr>
        <w:t xml:space="preserve"> on the other levels’.</w:t>
      </w:r>
      <w:r w:rsidR="00696F2D">
        <w:rPr>
          <w:rFonts w:ascii="Times New Roman" w:hAnsi="Times New Roman" w:cs="Times New Roman"/>
          <w:sz w:val="24"/>
          <w:szCs w:val="24"/>
        </w:rPr>
        <w:t xml:space="preserve"> </w:t>
      </w:r>
      <w:r w:rsidRPr="00E325D0">
        <w:rPr>
          <w:rFonts w:ascii="Times New Roman" w:hAnsi="Times New Roman" w:cs="Times New Roman"/>
          <w:sz w:val="24"/>
          <w:szCs w:val="24"/>
        </w:rPr>
        <w:t xml:space="preserve">We argue that within the ‘NPE’ script </w:t>
      </w:r>
      <w:r w:rsidR="00D9690A">
        <w:rPr>
          <w:rFonts w:ascii="Times New Roman" w:hAnsi="Times New Roman" w:cs="Times New Roman"/>
          <w:sz w:val="24"/>
          <w:szCs w:val="24"/>
        </w:rPr>
        <w:t>another strong</w:t>
      </w:r>
      <w:r w:rsidRPr="00E325D0">
        <w:rPr>
          <w:rFonts w:ascii="Times New Roman" w:hAnsi="Times New Roman" w:cs="Times New Roman"/>
          <w:sz w:val="24"/>
          <w:szCs w:val="24"/>
        </w:rPr>
        <w:t xml:space="preserve"> strategic narrative </w:t>
      </w:r>
      <w:r w:rsidR="000A292E">
        <w:rPr>
          <w:rFonts w:ascii="Times New Roman" w:hAnsi="Times New Roman" w:cs="Times New Roman"/>
          <w:sz w:val="24"/>
          <w:szCs w:val="24"/>
        </w:rPr>
        <w:t>exists in the form of</w:t>
      </w:r>
      <w:r w:rsidRPr="00E325D0">
        <w:rPr>
          <w:rFonts w:ascii="Times New Roman" w:hAnsi="Times New Roman" w:cs="Times New Roman"/>
          <w:sz w:val="24"/>
          <w:szCs w:val="24"/>
        </w:rPr>
        <w:t xml:space="preserve"> ‘Sustainable Energy Europe’. </w:t>
      </w:r>
    </w:p>
    <w:p w14:paraId="439AE9CC" w14:textId="69FAC62E" w:rsidR="00B75683" w:rsidRPr="00E325D0" w:rsidRDefault="00B75683" w:rsidP="00625C61">
      <w:pPr>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Theorizing strategic narratives, Miskimmon et al (2013) prescribes the narrative to have an actor, an action, a goal or intention, a scene and instrument. Roselle et al (2104) propose a five member paradigm in a strategic narration: character or actors; se</w:t>
      </w:r>
      <w:r w:rsidR="007D68E7">
        <w:rPr>
          <w:rFonts w:ascii="Times New Roman" w:hAnsi="Times New Roman" w:cs="Times New Roman"/>
          <w:sz w:val="24"/>
          <w:szCs w:val="24"/>
        </w:rPr>
        <w:t xml:space="preserve">tting, environment or </w:t>
      </w:r>
      <w:r w:rsidRPr="00E325D0">
        <w:rPr>
          <w:rFonts w:ascii="Times New Roman" w:hAnsi="Times New Roman" w:cs="Times New Roman"/>
          <w:sz w:val="24"/>
          <w:szCs w:val="24"/>
        </w:rPr>
        <w:t xml:space="preserve">space; conflict or action; and resolution or suggested resolution. </w:t>
      </w:r>
    </w:p>
    <w:p w14:paraId="3428FB57" w14:textId="67301722" w:rsidR="00B75683" w:rsidRPr="00E325D0" w:rsidRDefault="00D9690A" w:rsidP="00625C61">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While the EU itself is of course the principal actor within our case of energy relations, t</w:t>
      </w:r>
      <w:r w:rsidR="00B75683" w:rsidRPr="00E325D0">
        <w:rPr>
          <w:rFonts w:ascii="Times New Roman" w:hAnsi="Times New Roman" w:cs="Times New Roman"/>
          <w:sz w:val="24"/>
          <w:szCs w:val="24"/>
        </w:rPr>
        <w:t xml:space="preserve">he story of ‘Sustainable Energy Europe’ </w:t>
      </w:r>
      <w:r>
        <w:rPr>
          <w:rFonts w:ascii="Times New Roman" w:hAnsi="Times New Roman" w:cs="Times New Roman"/>
          <w:sz w:val="24"/>
          <w:szCs w:val="24"/>
        </w:rPr>
        <w:t xml:space="preserve">also </w:t>
      </w:r>
      <w:r w:rsidR="00B75683" w:rsidRPr="00E325D0">
        <w:rPr>
          <w:rFonts w:ascii="Times New Roman" w:hAnsi="Times New Roman" w:cs="Times New Roman"/>
          <w:sz w:val="24"/>
          <w:szCs w:val="24"/>
        </w:rPr>
        <w:t xml:space="preserve">features a plethora of </w:t>
      </w:r>
      <w:r>
        <w:rPr>
          <w:rFonts w:ascii="Times New Roman" w:hAnsi="Times New Roman" w:cs="Times New Roman"/>
          <w:sz w:val="24"/>
          <w:szCs w:val="24"/>
        </w:rPr>
        <w:t xml:space="preserve">other EU </w:t>
      </w:r>
      <w:r w:rsidR="00B75683" w:rsidRPr="00E325D0">
        <w:rPr>
          <w:rFonts w:ascii="Times New Roman" w:hAnsi="Times New Roman" w:cs="Times New Roman"/>
          <w:i/>
          <w:iCs/>
          <w:sz w:val="24"/>
          <w:szCs w:val="24"/>
        </w:rPr>
        <w:t xml:space="preserve">actors </w:t>
      </w:r>
      <w:r w:rsidR="00B75683" w:rsidRPr="00E325D0">
        <w:rPr>
          <w:rFonts w:ascii="Times New Roman" w:hAnsi="Times New Roman" w:cs="Times New Roman"/>
          <w:sz w:val="24"/>
          <w:szCs w:val="24"/>
        </w:rPr>
        <w:t>possessing agency and a set of unique characteristics, interests and behaviours. Among these, there is the European Commission with its Commissioners and Directorates-General on Energy, DevCo, Clima, Enterprise, Environment, Research and Trade</w:t>
      </w:r>
      <w:r>
        <w:rPr>
          <w:rFonts w:ascii="Times New Roman" w:hAnsi="Times New Roman" w:cs="Times New Roman"/>
          <w:sz w:val="24"/>
          <w:szCs w:val="24"/>
        </w:rPr>
        <w:t>. These subsidiary actors are responsible for communicating and executing the EU’s strategic vision of sustainability globally. In addition, there is also the</w:t>
      </w:r>
      <w:r w:rsidR="00B75683" w:rsidRPr="00E325D0">
        <w:rPr>
          <w:rFonts w:ascii="Times New Roman" w:hAnsi="Times New Roman" w:cs="Times New Roman"/>
          <w:sz w:val="24"/>
          <w:szCs w:val="24"/>
        </w:rPr>
        <w:t xml:space="preserve"> European External Action Service (EEAS); European Parliament; Council of the EU; EU Delegations, and individual EU member states with their own governments, parliaments, ministries of energy and national diplomatic missions in third countries. The list also includes corporations and transnational companies, as well as business chambers and associations, non-governmental organisations, experts, academia and even general public. One of the defining features of the actors in this narrative is the polyphony in which voices are often not </w:t>
      </w:r>
      <w:r w:rsidR="00702F94" w:rsidRPr="00E325D0">
        <w:rPr>
          <w:rFonts w:ascii="Times New Roman" w:hAnsi="Times New Roman" w:cs="Times New Roman"/>
          <w:sz w:val="24"/>
          <w:szCs w:val="24"/>
        </w:rPr>
        <w:t>listening to each other</w:t>
      </w:r>
      <w:r w:rsidR="00B75683" w:rsidRPr="00E325D0">
        <w:rPr>
          <w:rFonts w:ascii="Times New Roman" w:hAnsi="Times New Roman" w:cs="Times New Roman"/>
          <w:sz w:val="24"/>
          <w:szCs w:val="24"/>
        </w:rPr>
        <w:t>.</w:t>
      </w:r>
      <w:r w:rsidR="00696F2D">
        <w:rPr>
          <w:rFonts w:ascii="Times New Roman" w:hAnsi="Times New Roman" w:cs="Times New Roman"/>
          <w:sz w:val="24"/>
          <w:szCs w:val="24"/>
        </w:rPr>
        <w:t xml:space="preserve"> </w:t>
      </w:r>
    </w:p>
    <w:p w14:paraId="44632038" w14:textId="7FA0B6BD" w:rsidR="00B75683" w:rsidRPr="00E325D0" w:rsidRDefault="00B75683" w:rsidP="00625C61">
      <w:pPr>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 xml:space="preserve">Energy-related </w:t>
      </w:r>
      <w:r w:rsidRPr="00E325D0">
        <w:rPr>
          <w:rFonts w:ascii="Times New Roman" w:hAnsi="Times New Roman" w:cs="Times New Roman"/>
          <w:i/>
          <w:iCs/>
          <w:sz w:val="24"/>
          <w:szCs w:val="24"/>
        </w:rPr>
        <w:t>actions</w:t>
      </w:r>
      <w:r w:rsidRPr="00E325D0">
        <w:rPr>
          <w:rFonts w:ascii="Times New Roman" w:hAnsi="Times New Roman" w:cs="Times New Roman"/>
          <w:sz w:val="24"/>
          <w:szCs w:val="24"/>
        </w:rPr>
        <w:t xml:space="preserve"> by these actors are informed by a set of norms discussed above – security of supply, competitiveness and sustainability. The actions are taking place </w:t>
      </w:r>
      <w:r w:rsidRPr="00E325D0">
        <w:rPr>
          <w:rFonts w:ascii="Times New Roman" w:eastAsia="MinionPro-Regular" w:hAnsi="Times New Roman" w:cs="Times New Roman"/>
          <w:sz w:val="24"/>
          <w:szCs w:val="24"/>
        </w:rPr>
        <w:t xml:space="preserve">in a </w:t>
      </w:r>
      <w:r w:rsidRPr="00E325D0">
        <w:rPr>
          <w:rFonts w:ascii="Times New Roman" w:eastAsia="MinionPro-Regular" w:hAnsi="Times New Roman" w:cs="Times New Roman"/>
          <w:sz w:val="24"/>
          <w:szCs w:val="24"/>
        </w:rPr>
        <w:lastRenderedPageBreak/>
        <w:t xml:space="preserve">number of international </w:t>
      </w:r>
      <w:r w:rsidRPr="00E325D0">
        <w:rPr>
          <w:rFonts w:ascii="Times New Roman" w:eastAsia="MinionPro-Regular" w:hAnsi="Times New Roman" w:cs="Times New Roman"/>
          <w:i/>
          <w:iCs/>
          <w:sz w:val="24"/>
          <w:szCs w:val="24"/>
        </w:rPr>
        <w:t>settings</w:t>
      </w:r>
      <w:r w:rsidRPr="00E325D0">
        <w:rPr>
          <w:rFonts w:ascii="Times New Roman" w:eastAsia="MinionPro-Regular" w:hAnsi="Times New Roman" w:cs="Times New Roman"/>
          <w:sz w:val="24"/>
          <w:szCs w:val="24"/>
        </w:rPr>
        <w:t xml:space="preserve">. Among those, there is International Renewable Energy Agency (IRENA), International Energy Forum (IEF); </w:t>
      </w:r>
      <w:r w:rsidR="004E0661" w:rsidRPr="00E325D0">
        <w:rPr>
          <w:rFonts w:ascii="Times New Roman" w:eastAsia="MinionPro-Regular" w:hAnsi="Times New Roman" w:cs="Times New Roman"/>
          <w:sz w:val="24"/>
          <w:szCs w:val="24"/>
        </w:rPr>
        <w:t xml:space="preserve">International Energy Agency (IEA); Energy Charter Treaty (ECT); </w:t>
      </w:r>
      <w:r w:rsidRPr="00E325D0">
        <w:rPr>
          <w:rFonts w:ascii="Times New Roman" w:eastAsia="MinionPro-Regular" w:hAnsi="Times New Roman" w:cs="Times New Roman"/>
          <w:sz w:val="24"/>
          <w:szCs w:val="24"/>
        </w:rPr>
        <w:t xml:space="preserve">G-20, Organisation of Petroleum Exporting Countries (OPEC), UN and World Bank. These multilateral representations of the EU’s are further complemented by the bilateral, mission-oriented representations through the EU Delegations (EUD). </w:t>
      </w:r>
      <w:r w:rsidRPr="00E325D0">
        <w:rPr>
          <w:rFonts w:ascii="Times New Roman" w:hAnsi="Times New Roman" w:cs="Times New Roman"/>
          <w:sz w:val="24"/>
          <w:szCs w:val="24"/>
        </w:rPr>
        <w:t xml:space="preserve">In addition to appealing to the international stakeholders, the actions are also taking place within the EU, among its </w:t>
      </w:r>
      <w:r w:rsidR="004E0661" w:rsidRPr="00E325D0">
        <w:rPr>
          <w:rFonts w:ascii="Times New Roman" w:hAnsi="Times New Roman" w:cs="Times New Roman"/>
          <w:sz w:val="24"/>
          <w:szCs w:val="24"/>
        </w:rPr>
        <w:t>m</w:t>
      </w:r>
      <w:r w:rsidRPr="00E325D0">
        <w:rPr>
          <w:rFonts w:ascii="Times New Roman" w:hAnsi="Times New Roman" w:cs="Times New Roman"/>
          <w:sz w:val="24"/>
          <w:szCs w:val="24"/>
        </w:rPr>
        <w:t xml:space="preserve">ember </w:t>
      </w:r>
      <w:r w:rsidR="004E0661" w:rsidRPr="00E325D0">
        <w:rPr>
          <w:rFonts w:ascii="Times New Roman" w:hAnsi="Times New Roman" w:cs="Times New Roman"/>
          <w:sz w:val="24"/>
          <w:szCs w:val="24"/>
        </w:rPr>
        <w:t>s</w:t>
      </w:r>
      <w:r w:rsidRPr="00E325D0">
        <w:rPr>
          <w:rFonts w:ascii="Times New Roman" w:hAnsi="Times New Roman" w:cs="Times New Roman"/>
          <w:sz w:val="24"/>
          <w:szCs w:val="24"/>
        </w:rPr>
        <w:t>tates.</w:t>
      </w:r>
      <w:r w:rsidR="00696F2D">
        <w:rPr>
          <w:rFonts w:ascii="Times New Roman" w:hAnsi="Times New Roman" w:cs="Times New Roman"/>
          <w:sz w:val="24"/>
          <w:szCs w:val="24"/>
        </w:rPr>
        <w:t xml:space="preserve"> </w:t>
      </w:r>
    </w:p>
    <w:p w14:paraId="56E7001A" w14:textId="54703382" w:rsidR="00B75683" w:rsidRPr="00E325D0" w:rsidRDefault="00B75683" w:rsidP="00625C61">
      <w:pPr>
        <w:tabs>
          <w:tab w:val="left" w:pos="3649"/>
          <w:tab w:val="left" w:pos="5349"/>
          <w:tab w:val="left" w:pos="7992"/>
          <w:tab w:val="left" w:pos="9409"/>
          <w:tab w:val="left" w:pos="10778"/>
        </w:tabs>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 xml:space="preserve">The actions are triggered by an on-going </w:t>
      </w:r>
      <w:r w:rsidRPr="00E325D0">
        <w:rPr>
          <w:rFonts w:ascii="Times New Roman" w:hAnsi="Times New Roman" w:cs="Times New Roman"/>
          <w:i/>
          <w:iCs/>
          <w:sz w:val="24"/>
          <w:szCs w:val="24"/>
        </w:rPr>
        <w:t>conflict</w:t>
      </w:r>
      <w:r w:rsidRPr="00E325D0">
        <w:rPr>
          <w:rFonts w:ascii="Times New Roman" w:hAnsi="Times New Roman" w:cs="Times New Roman"/>
          <w:sz w:val="24"/>
          <w:szCs w:val="24"/>
        </w:rPr>
        <w:t xml:space="preserve">, if not crisis, for humanity – unsustainable production of energy will lead to strategic and ecological risks, bearing in mind the future impacts of climate change and resource scarcity. </w:t>
      </w:r>
      <w:r w:rsidR="00702F94" w:rsidRPr="00E325D0">
        <w:rPr>
          <w:rFonts w:ascii="Times New Roman" w:hAnsi="Times New Roman" w:cs="Times New Roman"/>
          <w:sz w:val="24"/>
          <w:szCs w:val="24"/>
        </w:rPr>
        <w:t xml:space="preserve">As </w:t>
      </w:r>
      <w:r w:rsidRPr="00E325D0">
        <w:rPr>
          <w:rFonts w:ascii="Times New Roman" w:hAnsi="Times New Roman" w:cs="Times New Roman"/>
          <w:sz w:val="24"/>
          <w:szCs w:val="24"/>
        </w:rPr>
        <w:t>in any good story, the EU has had moments of triumph (e.g. its role in Kyoto Protocol in 200</w:t>
      </w:r>
      <w:r w:rsidR="004E0661" w:rsidRPr="00E325D0">
        <w:rPr>
          <w:rFonts w:ascii="Times New Roman" w:hAnsi="Times New Roman" w:cs="Times New Roman"/>
          <w:sz w:val="24"/>
          <w:szCs w:val="24"/>
        </w:rPr>
        <w:t>5</w:t>
      </w:r>
      <w:r w:rsidR="00924C73">
        <w:rPr>
          <w:rFonts w:ascii="Times New Roman" w:hAnsi="Times New Roman" w:cs="Times New Roman"/>
          <w:sz w:val="24"/>
          <w:szCs w:val="24"/>
        </w:rPr>
        <w:t>)</w:t>
      </w:r>
      <w:r w:rsidRPr="00E325D0">
        <w:rPr>
          <w:rFonts w:ascii="Times New Roman" w:hAnsi="Times New Roman" w:cs="Times New Roman"/>
          <w:sz w:val="24"/>
          <w:szCs w:val="24"/>
        </w:rPr>
        <w:t xml:space="preserve"> and </w:t>
      </w:r>
      <w:r w:rsidR="0054330A" w:rsidRPr="00E325D0">
        <w:rPr>
          <w:rFonts w:ascii="Times New Roman" w:hAnsi="Times New Roman" w:cs="Times New Roman"/>
          <w:sz w:val="24"/>
          <w:szCs w:val="24"/>
        </w:rPr>
        <w:t>setbacks</w:t>
      </w:r>
      <w:r w:rsidRPr="00E325D0">
        <w:rPr>
          <w:rFonts w:ascii="Times New Roman" w:hAnsi="Times New Roman" w:cs="Times New Roman"/>
          <w:sz w:val="24"/>
          <w:szCs w:val="24"/>
        </w:rPr>
        <w:t xml:space="preserve"> (e.g. Copenhagen </w:t>
      </w:r>
      <w:r w:rsidR="00D07892" w:rsidRPr="00E325D0">
        <w:rPr>
          <w:rFonts w:ascii="Times New Roman" w:hAnsi="Times New Roman" w:cs="Times New Roman"/>
          <w:sz w:val="24"/>
          <w:szCs w:val="24"/>
        </w:rPr>
        <w:t xml:space="preserve">CCC </w:t>
      </w:r>
      <w:r w:rsidRPr="00E325D0">
        <w:rPr>
          <w:rFonts w:ascii="Times New Roman" w:hAnsi="Times New Roman" w:cs="Times New Roman"/>
          <w:sz w:val="24"/>
          <w:szCs w:val="24"/>
        </w:rPr>
        <w:t>in 2009). It is a dynamic</w:t>
      </w:r>
      <w:r w:rsidR="00702F94" w:rsidRPr="00E325D0">
        <w:rPr>
          <w:rFonts w:ascii="Times New Roman" w:hAnsi="Times New Roman" w:cs="Times New Roman"/>
          <w:sz w:val="24"/>
          <w:szCs w:val="24"/>
        </w:rPr>
        <w:t>,</w:t>
      </w:r>
      <w:r w:rsidRPr="00E325D0">
        <w:rPr>
          <w:rFonts w:ascii="Times New Roman" w:hAnsi="Times New Roman" w:cs="Times New Roman"/>
          <w:sz w:val="24"/>
          <w:szCs w:val="24"/>
        </w:rPr>
        <w:t xml:space="preserve"> future-oriented narrative, with a clear cause-effect element to it. Solution of the conflict would warrant a better existence not only for the EU and its citizens, </w:t>
      </w:r>
      <w:r w:rsidR="0054330A" w:rsidRPr="00E325D0">
        <w:rPr>
          <w:rFonts w:ascii="Times New Roman" w:hAnsi="Times New Roman" w:cs="Times New Roman"/>
          <w:sz w:val="24"/>
          <w:szCs w:val="24"/>
        </w:rPr>
        <w:t>but also</w:t>
      </w:r>
      <w:r w:rsidRPr="00E325D0">
        <w:rPr>
          <w:rFonts w:ascii="Times New Roman" w:hAnsi="Times New Roman" w:cs="Times New Roman"/>
          <w:sz w:val="24"/>
          <w:szCs w:val="24"/>
        </w:rPr>
        <w:t xml:space="preserve"> for humanity. As such, this narrative has a chance to conquer hearts and minds inside and outside the EU and </w:t>
      </w:r>
      <w:r w:rsidR="009334DB" w:rsidRPr="00E325D0">
        <w:rPr>
          <w:rFonts w:ascii="Times New Roman" w:hAnsi="Times New Roman" w:cs="Times New Roman"/>
          <w:sz w:val="24"/>
          <w:szCs w:val="24"/>
        </w:rPr>
        <w:t>win over</w:t>
      </w:r>
      <w:r w:rsidRPr="00E325D0">
        <w:rPr>
          <w:rFonts w:ascii="Times New Roman" w:hAnsi="Times New Roman" w:cs="Times New Roman"/>
          <w:sz w:val="24"/>
          <w:szCs w:val="24"/>
        </w:rPr>
        <w:t xml:space="preserve"> the strategic narratives of other international actors</w:t>
      </w:r>
      <w:r w:rsidR="009334DB" w:rsidRPr="00E325D0">
        <w:rPr>
          <w:rFonts w:ascii="Times New Roman" w:hAnsi="Times New Roman" w:cs="Times New Roman"/>
          <w:sz w:val="24"/>
          <w:szCs w:val="24"/>
        </w:rPr>
        <w:t xml:space="preserve"> (see also Roselle et al (2014, </w:t>
      </w:r>
      <w:r w:rsidR="00C87BC1">
        <w:rPr>
          <w:rFonts w:ascii="Times New Roman" w:hAnsi="Times New Roman" w:cs="Times New Roman"/>
          <w:sz w:val="24"/>
          <w:szCs w:val="24"/>
        </w:rPr>
        <w:t xml:space="preserve">p. </w:t>
      </w:r>
      <w:r w:rsidR="009334DB" w:rsidRPr="00E325D0">
        <w:rPr>
          <w:rFonts w:ascii="Times New Roman" w:hAnsi="Times New Roman" w:cs="Times New Roman"/>
          <w:sz w:val="24"/>
          <w:szCs w:val="24"/>
        </w:rPr>
        <w:t xml:space="preserve">71) </w:t>
      </w:r>
      <w:r w:rsidR="00924C73">
        <w:rPr>
          <w:rFonts w:ascii="Times New Roman" w:hAnsi="Times New Roman" w:cs="Times New Roman"/>
          <w:sz w:val="24"/>
          <w:szCs w:val="24"/>
        </w:rPr>
        <w:t>that</w:t>
      </w:r>
      <w:r w:rsidR="009334DB" w:rsidRPr="00E325D0">
        <w:rPr>
          <w:rFonts w:ascii="Times New Roman" w:hAnsi="Times New Roman" w:cs="Times New Roman"/>
          <w:sz w:val="24"/>
          <w:szCs w:val="24"/>
        </w:rPr>
        <w:t xml:space="preserve"> argue that ‘international affairs has become a matter “whose story wins” (Nye Jr.</w:t>
      </w:r>
      <w:r w:rsidR="00BD1C43">
        <w:rPr>
          <w:rFonts w:ascii="Times New Roman" w:hAnsi="Times New Roman" w:cs="Times New Roman"/>
          <w:sz w:val="24"/>
          <w:szCs w:val="24"/>
        </w:rPr>
        <w:t>,</w:t>
      </w:r>
      <w:r w:rsidR="00AC33C8">
        <w:rPr>
          <w:rFonts w:ascii="Times New Roman" w:hAnsi="Times New Roman" w:cs="Times New Roman"/>
          <w:sz w:val="24"/>
          <w:szCs w:val="24"/>
        </w:rPr>
        <w:t xml:space="preserve"> 2013)’</w:t>
      </w:r>
      <w:r w:rsidRPr="00E325D0">
        <w:rPr>
          <w:rFonts w:ascii="Times New Roman" w:hAnsi="Times New Roman" w:cs="Times New Roman"/>
          <w:sz w:val="24"/>
          <w:szCs w:val="24"/>
        </w:rPr>
        <w:t xml:space="preserve">. In the increasingly multipolar world, where the power is shifting ‘from the West to the rest’ and from state to non-state actors, competition for global appeal and dominance of strategic narratives is severe. </w:t>
      </w:r>
      <w:r w:rsidR="004A1221" w:rsidRPr="00E325D0">
        <w:rPr>
          <w:rFonts w:ascii="Times New Roman" w:hAnsi="Times New Roman" w:cs="Times New Roman"/>
          <w:sz w:val="24"/>
          <w:szCs w:val="24"/>
        </w:rPr>
        <w:t>S</w:t>
      </w:r>
      <w:r w:rsidRPr="00E325D0">
        <w:rPr>
          <w:rFonts w:ascii="Times New Roman" w:hAnsi="Times New Roman" w:cs="Times New Roman"/>
          <w:sz w:val="24"/>
          <w:szCs w:val="24"/>
        </w:rPr>
        <w:t>hared consensus is highly sought after (Roselle et al</w:t>
      </w:r>
      <w:r w:rsidR="004A1221" w:rsidRPr="00E325D0">
        <w:rPr>
          <w:rFonts w:ascii="Times New Roman" w:hAnsi="Times New Roman" w:cs="Times New Roman"/>
          <w:sz w:val="24"/>
          <w:szCs w:val="24"/>
        </w:rPr>
        <w:t>,</w:t>
      </w:r>
      <w:r w:rsidRPr="00E325D0">
        <w:rPr>
          <w:rFonts w:ascii="Times New Roman" w:hAnsi="Times New Roman" w:cs="Times New Roman"/>
          <w:sz w:val="24"/>
          <w:szCs w:val="24"/>
        </w:rPr>
        <w:t xml:space="preserve"> 2014</w:t>
      </w:r>
      <w:r w:rsidR="004A1221" w:rsidRPr="00E325D0">
        <w:rPr>
          <w:rFonts w:ascii="Times New Roman" w:hAnsi="Times New Roman" w:cs="Times New Roman"/>
          <w:sz w:val="24"/>
          <w:szCs w:val="24"/>
        </w:rPr>
        <w:t xml:space="preserve">, </w:t>
      </w:r>
      <w:r w:rsidR="00C87BC1">
        <w:rPr>
          <w:rFonts w:ascii="Times New Roman" w:hAnsi="Times New Roman" w:cs="Times New Roman"/>
          <w:sz w:val="24"/>
          <w:szCs w:val="24"/>
        </w:rPr>
        <w:t xml:space="preserve">p. </w:t>
      </w:r>
      <w:r w:rsidR="004A1221" w:rsidRPr="00E325D0">
        <w:rPr>
          <w:rFonts w:ascii="Times New Roman" w:hAnsi="Times New Roman" w:cs="Times New Roman"/>
          <w:sz w:val="24"/>
          <w:szCs w:val="24"/>
        </w:rPr>
        <w:t>72</w:t>
      </w:r>
      <w:r w:rsidRPr="00E325D0">
        <w:rPr>
          <w:rFonts w:ascii="Times New Roman" w:hAnsi="Times New Roman" w:cs="Times New Roman"/>
          <w:sz w:val="24"/>
          <w:szCs w:val="24"/>
        </w:rPr>
        <w:t>). Several international for</w:t>
      </w:r>
      <w:r w:rsidR="00924C73">
        <w:rPr>
          <w:rFonts w:ascii="Times New Roman" w:hAnsi="Times New Roman" w:cs="Times New Roman"/>
          <w:sz w:val="24"/>
          <w:szCs w:val="24"/>
        </w:rPr>
        <w:t>um</w:t>
      </w:r>
      <w:r w:rsidR="00AC33C8">
        <w:rPr>
          <w:rFonts w:ascii="Times New Roman" w:hAnsi="Times New Roman" w:cs="Times New Roman"/>
          <w:sz w:val="24"/>
          <w:szCs w:val="24"/>
        </w:rPr>
        <w:t>s</w:t>
      </w:r>
      <w:r w:rsidRPr="00E325D0">
        <w:rPr>
          <w:rFonts w:ascii="Times New Roman" w:hAnsi="Times New Roman" w:cs="Times New Roman"/>
          <w:sz w:val="24"/>
          <w:szCs w:val="24"/>
        </w:rPr>
        <w:t xml:space="preserve">, such as the Copenhagen and Durban climate conferences, demonstrated that the EU’s conduct in the field of energy policies has risked isolating the EU and leading it to be perceived as a weak actor. Is the EU doing anything to ensure that its narrative appeals globally? </w:t>
      </w:r>
      <w:r w:rsidR="009334DB" w:rsidRPr="00E325D0">
        <w:rPr>
          <w:rFonts w:ascii="Times New Roman" w:hAnsi="Times New Roman" w:cs="Times New Roman"/>
          <w:sz w:val="24"/>
          <w:szCs w:val="24"/>
        </w:rPr>
        <w:tab/>
      </w:r>
    </w:p>
    <w:p w14:paraId="350B2C7E" w14:textId="66E35236" w:rsidR="00B75683" w:rsidRPr="00E325D0" w:rsidRDefault="00B75683" w:rsidP="00625C61">
      <w:pPr>
        <w:autoSpaceDE w:val="0"/>
        <w:autoSpaceDN w:val="0"/>
        <w:adjustRightInd w:val="0"/>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 xml:space="preserve">As a global energy actor, the EU possesses an arsenal of </w:t>
      </w:r>
      <w:r w:rsidRPr="00E325D0">
        <w:rPr>
          <w:rFonts w:ascii="Times New Roman" w:hAnsi="Times New Roman" w:cs="Times New Roman"/>
          <w:i/>
          <w:iCs/>
          <w:sz w:val="24"/>
          <w:szCs w:val="24"/>
        </w:rPr>
        <w:t>instruments</w:t>
      </w:r>
      <w:r w:rsidRPr="00E325D0">
        <w:rPr>
          <w:rFonts w:ascii="Times New Roman" w:hAnsi="Times New Roman" w:cs="Times New Roman"/>
          <w:sz w:val="24"/>
          <w:szCs w:val="24"/>
        </w:rPr>
        <w:t xml:space="preserve">, targeting state and non-state actors of international system. State-level instruments on bilateral and multilateral levels remain central. The former level features the EU’s Energy Dialogues, </w:t>
      </w:r>
      <w:r w:rsidRPr="00E325D0">
        <w:rPr>
          <w:rFonts w:ascii="Times New Roman" w:hAnsi="Times New Roman" w:cs="Times New Roman"/>
          <w:sz w:val="24"/>
          <w:szCs w:val="24"/>
        </w:rPr>
        <w:lastRenderedPageBreak/>
        <w:t xml:space="preserve">summits, or sectoral dialogues on the ministerial levels with a focus on energy. The latter level features negotiations during the major multilateral meetings. Instruments also include projects supported by the EU and carried out </w:t>
      </w:r>
      <w:r w:rsidR="0054330A" w:rsidRPr="00E325D0">
        <w:rPr>
          <w:rFonts w:ascii="Times New Roman" w:hAnsi="Times New Roman" w:cs="Times New Roman"/>
          <w:sz w:val="24"/>
          <w:szCs w:val="24"/>
        </w:rPr>
        <w:t>by third country stakeholders</w:t>
      </w:r>
      <w:r w:rsidRPr="00E325D0">
        <w:rPr>
          <w:rFonts w:ascii="Times New Roman" w:hAnsi="Times New Roman" w:cs="Times New Roman"/>
          <w:sz w:val="24"/>
          <w:szCs w:val="24"/>
        </w:rPr>
        <w:t xml:space="preserve"> independently or in collaboration with the EU. One of the most recent ones is the </w:t>
      </w:r>
      <w:r w:rsidR="007E216F" w:rsidRPr="00E325D0">
        <w:rPr>
          <w:rFonts w:ascii="Times New Roman" w:hAnsi="Times New Roman" w:cs="Times New Roman"/>
          <w:sz w:val="24"/>
          <w:szCs w:val="24"/>
        </w:rPr>
        <w:t>‘EU Sustainable Energy Week’ (</w:t>
      </w:r>
      <w:r w:rsidRPr="00E325D0">
        <w:rPr>
          <w:rFonts w:ascii="Times New Roman" w:hAnsi="Times New Roman" w:cs="Times New Roman"/>
          <w:sz w:val="24"/>
          <w:szCs w:val="24"/>
        </w:rPr>
        <w:t>EUSEW</w:t>
      </w:r>
      <w:r w:rsidR="007E216F" w:rsidRPr="00E325D0">
        <w:rPr>
          <w:rFonts w:ascii="Times New Roman" w:hAnsi="Times New Roman" w:cs="Times New Roman"/>
          <w:sz w:val="24"/>
          <w:szCs w:val="24"/>
        </w:rPr>
        <w:t>), an annual initiative hosted by the EU s</w:t>
      </w:r>
      <w:r w:rsidRPr="00E325D0">
        <w:rPr>
          <w:rFonts w:ascii="Times New Roman" w:hAnsi="Times New Roman" w:cs="Times New Roman"/>
          <w:sz w:val="24"/>
          <w:szCs w:val="24"/>
        </w:rPr>
        <w:t xml:space="preserve">ince 2009. During this </w:t>
      </w:r>
      <w:r w:rsidR="0054330A" w:rsidRPr="00E325D0">
        <w:rPr>
          <w:rFonts w:ascii="Times New Roman" w:hAnsi="Times New Roman" w:cs="Times New Roman"/>
          <w:sz w:val="24"/>
          <w:szCs w:val="24"/>
        </w:rPr>
        <w:t>weeklong</w:t>
      </w:r>
      <w:r w:rsidRPr="00E325D0">
        <w:rPr>
          <w:rFonts w:ascii="Times New Roman" w:hAnsi="Times New Roman" w:cs="Times New Roman"/>
          <w:sz w:val="24"/>
          <w:szCs w:val="24"/>
        </w:rPr>
        <w:t xml:space="preserve"> celebration of energy policy and public outreach, the EU hosts over 1000 events. These are aimed at the general public and business, civil society and policy stakeholders, and are intended to promote </w:t>
      </w:r>
      <w:r w:rsidR="00482691">
        <w:rPr>
          <w:rFonts w:ascii="Times New Roman" w:hAnsi="Times New Roman" w:cs="Times New Roman"/>
          <w:sz w:val="24"/>
          <w:szCs w:val="24"/>
        </w:rPr>
        <w:t>‘</w:t>
      </w:r>
      <w:r w:rsidRPr="00E325D0">
        <w:rPr>
          <w:rFonts w:ascii="Times New Roman" w:hAnsi="Times New Roman" w:cs="Times New Roman"/>
          <w:sz w:val="24"/>
          <w:szCs w:val="24"/>
        </w:rPr>
        <w:t>energy efficiency and renewable energy sources in an engaging, accessible and interactive way</w:t>
      </w:r>
      <w:r w:rsidR="00482691">
        <w:rPr>
          <w:rFonts w:ascii="Times New Roman" w:hAnsi="Times New Roman" w:cs="Times New Roman"/>
          <w:sz w:val="24"/>
          <w:szCs w:val="24"/>
        </w:rPr>
        <w:t>’</w:t>
      </w:r>
      <w:r w:rsidRPr="00E325D0">
        <w:rPr>
          <w:rFonts w:ascii="Times New Roman" w:hAnsi="Times New Roman" w:cs="Times New Roman"/>
          <w:sz w:val="24"/>
          <w:szCs w:val="24"/>
        </w:rPr>
        <w:t xml:space="preserve"> (</w:t>
      </w:r>
      <w:r w:rsidR="007D68E7" w:rsidRPr="007D68E7">
        <w:rPr>
          <w:rFonts w:ascii="Times New Roman" w:hAnsi="Times New Roman" w:cs="Times New Roman"/>
          <w:sz w:val="24"/>
          <w:szCs w:val="24"/>
        </w:rPr>
        <w:t>European Union, Sustainable Energy Week 2013</w:t>
      </w:r>
      <w:r w:rsidR="007D68E7">
        <w:rPr>
          <w:rFonts w:ascii="Times New Roman" w:hAnsi="Times New Roman" w:cs="Times New Roman"/>
          <w:sz w:val="24"/>
          <w:szCs w:val="24"/>
        </w:rPr>
        <w:t>)</w:t>
      </w:r>
      <w:r w:rsidRPr="00E325D0">
        <w:rPr>
          <w:rFonts w:ascii="Times New Roman" w:hAnsi="Times New Roman" w:cs="Times New Roman"/>
          <w:sz w:val="24"/>
          <w:szCs w:val="24"/>
        </w:rPr>
        <w:t>. One of the defining features of this initiative is its heavy online presence. This paper focus</w:t>
      </w:r>
      <w:r w:rsidR="007E216F" w:rsidRPr="00E325D0">
        <w:rPr>
          <w:rFonts w:ascii="Times New Roman" w:hAnsi="Times New Roman" w:cs="Times New Roman"/>
          <w:sz w:val="24"/>
          <w:szCs w:val="24"/>
        </w:rPr>
        <w:t>es</w:t>
      </w:r>
      <w:r w:rsidRPr="00E325D0">
        <w:rPr>
          <w:rFonts w:ascii="Times New Roman" w:hAnsi="Times New Roman" w:cs="Times New Roman"/>
          <w:sz w:val="24"/>
          <w:szCs w:val="24"/>
        </w:rPr>
        <w:t xml:space="preserve"> on </w:t>
      </w:r>
      <w:r w:rsidR="007E216F" w:rsidRPr="00E325D0">
        <w:rPr>
          <w:rFonts w:ascii="Times New Roman" w:hAnsi="Times New Roman" w:cs="Times New Roman"/>
          <w:sz w:val="24"/>
          <w:szCs w:val="24"/>
        </w:rPr>
        <w:t>the</w:t>
      </w:r>
      <w:r w:rsidRPr="00E325D0">
        <w:rPr>
          <w:rFonts w:ascii="Times New Roman" w:hAnsi="Times New Roman" w:cs="Times New Roman"/>
          <w:sz w:val="24"/>
          <w:szCs w:val="24"/>
        </w:rPr>
        <w:t xml:space="preserve"> ‘Sustainable Energy Europe’ narrative – through Twitter communications during the EUSEW 2013.</w:t>
      </w:r>
    </w:p>
    <w:p w14:paraId="166217D0" w14:textId="77777777" w:rsidR="00625C61" w:rsidRPr="00E325D0" w:rsidRDefault="00625C61" w:rsidP="00E325D0">
      <w:pPr>
        <w:autoSpaceDE w:val="0"/>
        <w:autoSpaceDN w:val="0"/>
        <w:adjustRightInd w:val="0"/>
        <w:spacing w:line="480" w:lineRule="auto"/>
        <w:contextualSpacing/>
        <w:rPr>
          <w:rFonts w:ascii="Times New Roman" w:hAnsi="Times New Roman" w:cs="Times New Roman"/>
          <w:sz w:val="24"/>
          <w:szCs w:val="24"/>
        </w:rPr>
      </w:pPr>
    </w:p>
    <w:p w14:paraId="61A6B6A0" w14:textId="6AF28DC7" w:rsidR="00B75683" w:rsidRDefault="00E325D0" w:rsidP="00E325D0">
      <w:pPr>
        <w:autoSpaceDE w:val="0"/>
        <w:autoSpaceDN w:val="0"/>
        <w:adjustRightInd w:val="0"/>
        <w:spacing w:line="480" w:lineRule="auto"/>
        <w:contextualSpacing/>
        <w:rPr>
          <w:rFonts w:ascii="Times New Roman" w:hAnsi="Times New Roman" w:cs="Times New Roman"/>
          <w:b/>
          <w:bCs/>
          <w:sz w:val="24"/>
          <w:szCs w:val="24"/>
        </w:rPr>
      </w:pPr>
      <w:r w:rsidRPr="00E325D0">
        <w:rPr>
          <w:rFonts w:ascii="Times New Roman" w:hAnsi="Times New Roman" w:cs="Times New Roman"/>
          <w:b/>
          <w:bCs/>
          <w:sz w:val="24"/>
          <w:szCs w:val="24"/>
        </w:rPr>
        <w:t xml:space="preserve">3. </w:t>
      </w:r>
      <w:r w:rsidR="00625C61" w:rsidRPr="00E325D0">
        <w:rPr>
          <w:rFonts w:ascii="Times New Roman" w:hAnsi="Times New Roman" w:cs="Times New Roman"/>
          <w:b/>
          <w:bCs/>
          <w:sz w:val="24"/>
          <w:szCs w:val="24"/>
        </w:rPr>
        <w:t>Changing Media Envir</w:t>
      </w:r>
      <w:r w:rsidR="00342C7E">
        <w:rPr>
          <w:rFonts w:ascii="Times New Roman" w:hAnsi="Times New Roman" w:cs="Times New Roman"/>
          <w:b/>
          <w:bCs/>
          <w:sz w:val="24"/>
          <w:szCs w:val="24"/>
        </w:rPr>
        <w:t>onments: Social Media and t</w:t>
      </w:r>
      <w:r w:rsidR="00625C61">
        <w:rPr>
          <w:rFonts w:ascii="Times New Roman" w:hAnsi="Times New Roman" w:cs="Times New Roman"/>
          <w:b/>
          <w:bCs/>
          <w:sz w:val="24"/>
          <w:szCs w:val="24"/>
        </w:rPr>
        <w:t>he EU</w:t>
      </w:r>
      <w:r w:rsidR="00625C61" w:rsidRPr="00E325D0">
        <w:rPr>
          <w:rFonts w:ascii="Times New Roman" w:hAnsi="Times New Roman" w:cs="Times New Roman"/>
          <w:b/>
          <w:bCs/>
          <w:sz w:val="24"/>
          <w:szCs w:val="24"/>
        </w:rPr>
        <w:t xml:space="preserve"> </w:t>
      </w:r>
    </w:p>
    <w:p w14:paraId="4C38335F" w14:textId="77777777" w:rsidR="00625C61" w:rsidRPr="00E325D0" w:rsidRDefault="00625C61" w:rsidP="00E325D0">
      <w:pPr>
        <w:autoSpaceDE w:val="0"/>
        <w:autoSpaceDN w:val="0"/>
        <w:adjustRightInd w:val="0"/>
        <w:spacing w:line="480" w:lineRule="auto"/>
        <w:contextualSpacing/>
        <w:rPr>
          <w:rFonts w:ascii="Times New Roman" w:hAnsi="Times New Roman" w:cs="Times New Roman"/>
          <w:b/>
          <w:bCs/>
          <w:sz w:val="24"/>
          <w:szCs w:val="24"/>
        </w:rPr>
      </w:pPr>
    </w:p>
    <w:p w14:paraId="53B8F1AA" w14:textId="4048A746" w:rsidR="00B75683" w:rsidRPr="00E325D0" w:rsidRDefault="00B75683" w:rsidP="00E325D0">
      <w:pPr>
        <w:autoSpaceDE w:val="0"/>
        <w:autoSpaceDN w:val="0"/>
        <w:adjustRightInd w:val="0"/>
        <w:spacing w:line="480" w:lineRule="auto"/>
        <w:contextualSpacing/>
        <w:rPr>
          <w:rFonts w:ascii="Times New Roman" w:hAnsi="Times New Roman" w:cs="Times New Roman"/>
          <w:sz w:val="24"/>
          <w:szCs w:val="24"/>
        </w:rPr>
      </w:pPr>
      <w:r w:rsidRPr="00E325D0">
        <w:rPr>
          <w:rFonts w:ascii="Times New Roman" w:hAnsi="Times New Roman" w:cs="Times New Roman"/>
          <w:sz w:val="24"/>
          <w:szCs w:val="24"/>
        </w:rPr>
        <w:t>A plethora of state and non-state actors now attempt to partake in I</w:t>
      </w:r>
      <w:r w:rsidR="00EE5F97" w:rsidRPr="00E325D0">
        <w:rPr>
          <w:rFonts w:ascii="Times New Roman" w:hAnsi="Times New Roman" w:cs="Times New Roman"/>
          <w:sz w:val="24"/>
          <w:szCs w:val="24"/>
        </w:rPr>
        <w:t xml:space="preserve">nternational </w:t>
      </w:r>
      <w:r w:rsidRPr="00E325D0">
        <w:rPr>
          <w:rFonts w:ascii="Times New Roman" w:hAnsi="Times New Roman" w:cs="Times New Roman"/>
          <w:sz w:val="24"/>
          <w:szCs w:val="24"/>
        </w:rPr>
        <w:t>R</w:t>
      </w:r>
      <w:r w:rsidR="00EE5F97" w:rsidRPr="00E325D0">
        <w:rPr>
          <w:rFonts w:ascii="Times New Roman" w:hAnsi="Times New Roman" w:cs="Times New Roman"/>
          <w:sz w:val="24"/>
          <w:szCs w:val="24"/>
        </w:rPr>
        <w:t>elations (IR)</w:t>
      </w:r>
      <w:r w:rsidRPr="00E325D0">
        <w:rPr>
          <w:rFonts w:ascii="Times New Roman" w:hAnsi="Times New Roman" w:cs="Times New Roman"/>
          <w:sz w:val="24"/>
          <w:szCs w:val="24"/>
        </w:rPr>
        <w:t>. The proliferation of IR actors on all levels means that the ability to create effective and efficient networks with transparent and speedy flow of information is highly valued.</w:t>
      </w:r>
      <w:r w:rsidR="00696F2D">
        <w:rPr>
          <w:rFonts w:ascii="Times New Roman" w:hAnsi="Times New Roman" w:cs="Times New Roman"/>
          <w:sz w:val="24"/>
          <w:szCs w:val="24"/>
        </w:rPr>
        <w:t xml:space="preserve"> </w:t>
      </w:r>
      <w:r w:rsidRPr="00E325D0">
        <w:rPr>
          <w:rFonts w:ascii="Times New Roman" w:hAnsi="Times New Roman" w:cs="Times New Roman"/>
          <w:sz w:val="24"/>
          <w:szCs w:val="24"/>
        </w:rPr>
        <w:t>The Internet, and social media within it, has emerged as vital for ensuring effective communication for numerous IR actors. Digital media – with its open and non-hierarchical design – has empowered non-state actors, and even individuals, to influence international relations by directly challenging state actors who used to possess monopoly on the IR. It also provided new powerful instruments for the international actors to maximise the process of ‘winning hearts and minds’ globally, not least due to a more effective spread of strategic narratives.</w:t>
      </w:r>
    </w:p>
    <w:p w14:paraId="3DDD3B3F" w14:textId="6C5FD623" w:rsidR="00B75683" w:rsidRPr="00E325D0" w:rsidRDefault="00B75683" w:rsidP="00625C61">
      <w:pPr>
        <w:autoSpaceDE w:val="0"/>
        <w:autoSpaceDN w:val="0"/>
        <w:adjustRightInd w:val="0"/>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lastRenderedPageBreak/>
        <w:t xml:space="preserve">The focus on social media, and in particular </w:t>
      </w:r>
      <w:r w:rsidR="00924C73">
        <w:rPr>
          <w:rFonts w:ascii="Times New Roman" w:hAnsi="Times New Roman" w:cs="Times New Roman"/>
          <w:sz w:val="24"/>
          <w:szCs w:val="24"/>
        </w:rPr>
        <w:t xml:space="preserve">on </w:t>
      </w:r>
      <w:r w:rsidRPr="00E325D0">
        <w:rPr>
          <w:rFonts w:ascii="Times New Roman" w:hAnsi="Times New Roman" w:cs="Times New Roman"/>
          <w:sz w:val="24"/>
          <w:szCs w:val="24"/>
        </w:rPr>
        <w:t>Twitter, in this analysis is key to its significance:</w:t>
      </w:r>
      <w:r w:rsidRPr="00E325D0">
        <w:rPr>
          <w:rFonts w:ascii="Times New Roman" w:hAnsi="Times New Roman" w:cs="Times New Roman"/>
          <w:color w:val="500050"/>
          <w:sz w:val="24"/>
          <w:szCs w:val="24"/>
          <w:shd w:val="clear" w:color="auto" w:fill="FFFFFF"/>
        </w:rPr>
        <w:t xml:space="preserve"> </w:t>
      </w:r>
      <w:r w:rsidRPr="00E325D0">
        <w:rPr>
          <w:rFonts w:ascii="Times New Roman" w:hAnsi="Times New Roman" w:cs="Times New Roman"/>
          <w:sz w:val="24"/>
          <w:szCs w:val="24"/>
        </w:rPr>
        <w:t>with limited exceptions, the vast major</w:t>
      </w:r>
      <w:r w:rsidR="00D950A6">
        <w:rPr>
          <w:rFonts w:ascii="Times New Roman" w:hAnsi="Times New Roman" w:cs="Times New Roman"/>
          <w:sz w:val="24"/>
          <w:szCs w:val="24"/>
        </w:rPr>
        <w:t>ity of the literature on the EU’</w:t>
      </w:r>
      <w:r w:rsidRPr="00E325D0">
        <w:rPr>
          <w:rFonts w:ascii="Times New Roman" w:hAnsi="Times New Roman" w:cs="Times New Roman"/>
          <w:sz w:val="24"/>
          <w:szCs w:val="24"/>
        </w:rPr>
        <w:t>s communication deficits</w:t>
      </w:r>
      <w:r w:rsidR="00D07892" w:rsidRPr="00E325D0">
        <w:rPr>
          <w:rFonts w:ascii="Times New Roman" w:hAnsi="Times New Roman" w:cs="Times New Roman"/>
          <w:sz w:val="24"/>
          <w:szCs w:val="24"/>
        </w:rPr>
        <w:t xml:space="preserve"> focuses on traditional media</w:t>
      </w:r>
      <w:r w:rsidR="00702F94" w:rsidRPr="00E325D0">
        <w:rPr>
          <w:rFonts w:ascii="Times New Roman" w:hAnsi="Times New Roman" w:cs="Times New Roman"/>
          <w:sz w:val="24"/>
          <w:szCs w:val="24"/>
        </w:rPr>
        <w:t xml:space="preserve"> (among many see: Meyer, 1999; van Noije, 2010; </w:t>
      </w:r>
      <w:r w:rsidR="005F0AA1" w:rsidRPr="00E325D0">
        <w:rPr>
          <w:rFonts w:ascii="Times New Roman" w:hAnsi="Times New Roman" w:cs="Times New Roman"/>
          <w:sz w:val="24"/>
          <w:szCs w:val="24"/>
        </w:rPr>
        <w:t>de Vreese, 2004)</w:t>
      </w:r>
      <w:r w:rsidR="00076383" w:rsidRPr="00E325D0">
        <w:rPr>
          <w:rFonts w:ascii="Times New Roman" w:hAnsi="Times New Roman" w:cs="Times New Roman"/>
          <w:sz w:val="24"/>
          <w:szCs w:val="24"/>
        </w:rPr>
        <w:t>.</w:t>
      </w:r>
      <w:r w:rsidRPr="00E325D0">
        <w:rPr>
          <w:rFonts w:ascii="Times New Roman" w:hAnsi="Times New Roman" w:cs="Times New Roman"/>
          <w:sz w:val="24"/>
          <w:szCs w:val="24"/>
        </w:rPr>
        <w:t xml:space="preserve"> Yet since its </w:t>
      </w:r>
      <w:r w:rsidR="007D68E7">
        <w:rPr>
          <w:rFonts w:ascii="Times New Roman" w:hAnsi="Times New Roman" w:cs="Times New Roman"/>
          <w:sz w:val="24"/>
          <w:szCs w:val="24"/>
        </w:rPr>
        <w:t>p</w:t>
      </w:r>
      <w:r w:rsidRPr="00E325D0">
        <w:rPr>
          <w:rFonts w:ascii="Times New Roman" w:hAnsi="Times New Roman" w:cs="Times New Roman"/>
          <w:sz w:val="24"/>
          <w:szCs w:val="24"/>
        </w:rPr>
        <w:t>e</w:t>
      </w:r>
      <w:r w:rsidR="007D68E7">
        <w:rPr>
          <w:rFonts w:ascii="Times New Roman" w:hAnsi="Times New Roman" w:cs="Times New Roman"/>
          <w:sz w:val="24"/>
          <w:szCs w:val="24"/>
        </w:rPr>
        <w:t>riod of r</w:t>
      </w:r>
      <w:r w:rsidRPr="00E325D0">
        <w:rPr>
          <w:rFonts w:ascii="Times New Roman" w:hAnsi="Times New Roman" w:cs="Times New Roman"/>
          <w:sz w:val="24"/>
          <w:szCs w:val="24"/>
        </w:rPr>
        <w:t>eflection and the implementation of ‘Plan-D’ (</w:t>
      </w:r>
      <w:r w:rsidR="005F0AA1" w:rsidRPr="00E325D0">
        <w:rPr>
          <w:rFonts w:ascii="Times New Roman" w:hAnsi="Times New Roman" w:cs="Times New Roman"/>
          <w:sz w:val="24"/>
          <w:szCs w:val="24"/>
        </w:rPr>
        <w:t>Commission</w:t>
      </w:r>
      <w:r w:rsidR="007D68E7">
        <w:rPr>
          <w:rFonts w:ascii="Times New Roman" w:hAnsi="Times New Roman" w:cs="Times New Roman"/>
          <w:sz w:val="24"/>
          <w:szCs w:val="24"/>
        </w:rPr>
        <w:t>, on</w:t>
      </w:r>
      <w:r w:rsidRPr="00E325D0">
        <w:rPr>
          <w:rFonts w:ascii="Times New Roman" w:hAnsi="Times New Roman" w:cs="Times New Roman"/>
          <w:sz w:val="24"/>
          <w:szCs w:val="24"/>
        </w:rPr>
        <w:t>line), the EU h</w:t>
      </w:r>
      <w:r w:rsidR="00D950A6">
        <w:rPr>
          <w:rFonts w:ascii="Times New Roman" w:hAnsi="Times New Roman" w:cs="Times New Roman"/>
          <w:sz w:val="24"/>
          <w:szCs w:val="24"/>
        </w:rPr>
        <w:t>as been particularly active in ‘</w:t>
      </w:r>
      <w:r w:rsidRPr="00E325D0">
        <w:rPr>
          <w:rFonts w:ascii="Times New Roman" w:hAnsi="Times New Roman" w:cs="Times New Roman"/>
          <w:sz w:val="24"/>
          <w:szCs w:val="24"/>
        </w:rPr>
        <w:t>new’ and social media forms</w:t>
      </w:r>
      <w:r w:rsidR="00D950A6">
        <w:rPr>
          <w:rFonts w:ascii="Times New Roman" w:hAnsi="Times New Roman" w:cs="Times New Roman"/>
          <w:sz w:val="24"/>
          <w:szCs w:val="24"/>
        </w:rPr>
        <w:t xml:space="preserve"> (Badouard and</w:t>
      </w:r>
      <w:r w:rsidR="00A3066C" w:rsidRPr="00E325D0">
        <w:rPr>
          <w:rFonts w:ascii="Times New Roman" w:hAnsi="Times New Roman" w:cs="Times New Roman"/>
          <w:sz w:val="24"/>
          <w:szCs w:val="24"/>
        </w:rPr>
        <w:t xml:space="preserve"> Monnoyer-Smith, 2013)</w:t>
      </w:r>
      <w:r w:rsidR="007D68E7">
        <w:rPr>
          <w:rFonts w:ascii="Times New Roman" w:hAnsi="Times New Roman" w:cs="Times New Roman"/>
          <w:sz w:val="24"/>
          <w:szCs w:val="24"/>
        </w:rPr>
        <w:t>. I</w:t>
      </w:r>
      <w:r w:rsidRPr="00E325D0">
        <w:rPr>
          <w:rFonts w:ascii="Times New Roman" w:hAnsi="Times New Roman" w:cs="Times New Roman"/>
          <w:sz w:val="24"/>
          <w:szCs w:val="24"/>
        </w:rPr>
        <w:t xml:space="preserve">f the empirical evidence suggests that citizens are responding and that there is dialogue and engagement, then this is significant for both the theory and practice of European political communication. This </w:t>
      </w:r>
      <w:r w:rsidR="007E216F" w:rsidRPr="00E325D0">
        <w:rPr>
          <w:rFonts w:ascii="Times New Roman" w:hAnsi="Times New Roman" w:cs="Times New Roman"/>
          <w:sz w:val="24"/>
          <w:szCs w:val="24"/>
        </w:rPr>
        <w:t xml:space="preserve">current project </w:t>
      </w:r>
      <w:r w:rsidRPr="00E325D0">
        <w:rPr>
          <w:rFonts w:ascii="Times New Roman" w:hAnsi="Times New Roman" w:cs="Times New Roman"/>
          <w:sz w:val="24"/>
          <w:szCs w:val="24"/>
        </w:rPr>
        <w:t xml:space="preserve">is among the first to </w:t>
      </w:r>
      <w:r w:rsidR="00461BB4" w:rsidRPr="00E325D0">
        <w:rPr>
          <w:rFonts w:ascii="Times New Roman" w:hAnsi="Times New Roman" w:cs="Times New Roman"/>
          <w:sz w:val="24"/>
          <w:szCs w:val="24"/>
        </w:rPr>
        <w:t xml:space="preserve">examine </w:t>
      </w:r>
      <w:r w:rsidRPr="00E325D0">
        <w:rPr>
          <w:rFonts w:ascii="Times New Roman" w:hAnsi="Times New Roman" w:cs="Times New Roman"/>
          <w:sz w:val="24"/>
          <w:szCs w:val="24"/>
        </w:rPr>
        <w:t>theoretical arguments about the EU’s communication competence</w:t>
      </w:r>
      <w:r w:rsidR="009F0B66" w:rsidRPr="00E325D0">
        <w:rPr>
          <w:rFonts w:ascii="Times New Roman" w:hAnsi="Times New Roman" w:cs="Times New Roman"/>
          <w:sz w:val="24"/>
          <w:szCs w:val="24"/>
        </w:rPr>
        <w:t xml:space="preserve"> </w:t>
      </w:r>
      <w:r w:rsidRPr="00E325D0">
        <w:rPr>
          <w:rFonts w:ascii="Times New Roman" w:hAnsi="Times New Roman" w:cs="Times New Roman"/>
          <w:sz w:val="24"/>
          <w:szCs w:val="24"/>
        </w:rPr>
        <w:t xml:space="preserve">and more broadly its public diplomacy efforts through the lens of social media. </w:t>
      </w:r>
    </w:p>
    <w:p w14:paraId="2B8BBCBF" w14:textId="247320E3" w:rsidR="00B75683" w:rsidRPr="00E325D0" w:rsidRDefault="00B75683" w:rsidP="00625C61">
      <w:pPr>
        <w:autoSpaceDE w:val="0"/>
        <w:autoSpaceDN w:val="0"/>
        <w:adjustRightInd w:val="0"/>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 xml:space="preserve">Issues of legitimacy </w:t>
      </w:r>
      <w:r w:rsidR="001A4E63">
        <w:rPr>
          <w:rFonts w:ascii="Times New Roman" w:hAnsi="Times New Roman" w:cs="Times New Roman"/>
          <w:sz w:val="24"/>
          <w:szCs w:val="24"/>
        </w:rPr>
        <w:t xml:space="preserve">have </w:t>
      </w:r>
      <w:r w:rsidRPr="00E325D0">
        <w:rPr>
          <w:rFonts w:ascii="Times New Roman" w:hAnsi="Times New Roman" w:cs="Times New Roman"/>
          <w:sz w:val="24"/>
          <w:szCs w:val="24"/>
        </w:rPr>
        <w:t>long plagued the European integration project</w:t>
      </w:r>
      <w:r w:rsidR="00354201" w:rsidRPr="00E325D0">
        <w:rPr>
          <w:rFonts w:ascii="Times New Roman" w:hAnsi="Times New Roman" w:cs="Times New Roman"/>
          <w:sz w:val="24"/>
          <w:szCs w:val="24"/>
        </w:rPr>
        <w:t xml:space="preserve"> </w:t>
      </w:r>
      <w:r w:rsidR="00461BB4" w:rsidRPr="00E325D0">
        <w:rPr>
          <w:rFonts w:ascii="Times New Roman" w:hAnsi="Times New Roman" w:cs="Times New Roman"/>
          <w:sz w:val="24"/>
          <w:szCs w:val="24"/>
        </w:rPr>
        <w:t xml:space="preserve">(see, among many </w:t>
      </w:r>
      <w:r w:rsidR="00A3066C" w:rsidRPr="00E325D0">
        <w:rPr>
          <w:rFonts w:ascii="Times New Roman" w:hAnsi="Times New Roman" w:cs="Times New Roman"/>
          <w:sz w:val="24"/>
          <w:szCs w:val="24"/>
        </w:rPr>
        <w:t xml:space="preserve">Beetham </w:t>
      </w:r>
      <w:r w:rsidR="00D950A6">
        <w:rPr>
          <w:rFonts w:ascii="Times New Roman" w:hAnsi="Times New Roman" w:cs="Times New Roman"/>
          <w:sz w:val="24"/>
          <w:szCs w:val="24"/>
        </w:rPr>
        <w:t>and</w:t>
      </w:r>
      <w:r w:rsidR="00A3066C" w:rsidRPr="00E325D0">
        <w:rPr>
          <w:rFonts w:ascii="Times New Roman" w:hAnsi="Times New Roman" w:cs="Times New Roman"/>
          <w:sz w:val="24"/>
          <w:szCs w:val="24"/>
        </w:rPr>
        <w:t xml:space="preserve"> Lord, 1998; Lord, 2000; </w:t>
      </w:r>
      <w:r w:rsidR="0091457D">
        <w:rPr>
          <w:rFonts w:ascii="Times New Roman" w:hAnsi="Times New Roman" w:cs="Times New Roman"/>
          <w:sz w:val="24"/>
          <w:szCs w:val="24"/>
        </w:rPr>
        <w:t xml:space="preserve">Verdun and Christiansen, 2000; </w:t>
      </w:r>
      <w:r w:rsidR="00A3066C" w:rsidRPr="00E325D0">
        <w:rPr>
          <w:rFonts w:ascii="Times New Roman" w:hAnsi="Times New Roman" w:cs="Times New Roman"/>
          <w:sz w:val="24"/>
          <w:szCs w:val="24"/>
        </w:rPr>
        <w:t xml:space="preserve">Eriksen </w:t>
      </w:r>
      <w:r w:rsidR="00D950A6">
        <w:rPr>
          <w:rFonts w:ascii="Times New Roman" w:hAnsi="Times New Roman" w:cs="Times New Roman"/>
          <w:sz w:val="24"/>
          <w:szCs w:val="24"/>
        </w:rPr>
        <w:t>and</w:t>
      </w:r>
      <w:r w:rsidR="00A3066C" w:rsidRPr="00E325D0">
        <w:rPr>
          <w:rFonts w:ascii="Times New Roman" w:hAnsi="Times New Roman" w:cs="Times New Roman"/>
          <w:sz w:val="24"/>
          <w:szCs w:val="24"/>
        </w:rPr>
        <w:t xml:space="preserve"> Fossum, 2002)</w:t>
      </w:r>
      <w:r w:rsidR="00354201" w:rsidRPr="00E325D0">
        <w:rPr>
          <w:rFonts w:ascii="Times New Roman" w:hAnsi="Times New Roman" w:cs="Times New Roman"/>
          <w:sz w:val="24"/>
          <w:szCs w:val="24"/>
        </w:rPr>
        <w:t>,</w:t>
      </w:r>
      <w:r w:rsidRPr="00E325D0">
        <w:rPr>
          <w:rFonts w:ascii="Times New Roman" w:hAnsi="Times New Roman" w:cs="Times New Roman"/>
          <w:sz w:val="24"/>
          <w:szCs w:val="24"/>
        </w:rPr>
        <w:t xml:space="preserve"> but such problems have attained a higher profile since the advent of the euro crisis</w:t>
      </w:r>
      <w:r w:rsidR="00461BB4" w:rsidRPr="00E325D0">
        <w:rPr>
          <w:rFonts w:ascii="Times New Roman" w:hAnsi="Times New Roman" w:cs="Times New Roman"/>
          <w:sz w:val="24"/>
          <w:szCs w:val="24"/>
        </w:rPr>
        <w:t xml:space="preserve"> (</w:t>
      </w:r>
      <w:r w:rsidR="00A3066C" w:rsidRPr="00E325D0">
        <w:rPr>
          <w:rFonts w:ascii="Times New Roman" w:hAnsi="Times New Roman" w:cs="Times New Roman"/>
          <w:sz w:val="24"/>
          <w:szCs w:val="24"/>
        </w:rPr>
        <w:t>McCartney, 2013</w:t>
      </w:r>
      <w:r w:rsidR="0091457D">
        <w:rPr>
          <w:rFonts w:ascii="Times New Roman" w:hAnsi="Times New Roman" w:cs="Times New Roman"/>
          <w:sz w:val="24"/>
          <w:szCs w:val="24"/>
        </w:rPr>
        <w:t>; Bellamy and Weale, 2015</w:t>
      </w:r>
      <w:r w:rsidR="00A3066C" w:rsidRPr="00E325D0">
        <w:rPr>
          <w:rFonts w:ascii="Times New Roman" w:hAnsi="Times New Roman" w:cs="Times New Roman"/>
          <w:sz w:val="24"/>
          <w:szCs w:val="24"/>
        </w:rPr>
        <w:t>)</w:t>
      </w:r>
      <w:r w:rsidRPr="00E325D0">
        <w:rPr>
          <w:rFonts w:ascii="Times New Roman" w:hAnsi="Times New Roman" w:cs="Times New Roman"/>
          <w:sz w:val="24"/>
          <w:szCs w:val="24"/>
        </w:rPr>
        <w:t>. In response to much of this criticism, the two Barroso Commissions were unique in their determination to engage with citizens and encourage participation and dialogue. In addition to creating a DG Communication and an active multi-platform presence, more recently the EU proclaimed 2013 to be the ‘Year of the Citizen’. The Commission now hosts its own YouTube channel featur</w:t>
      </w:r>
      <w:r w:rsidR="007E216F" w:rsidRPr="00E325D0">
        <w:rPr>
          <w:rFonts w:ascii="Times New Roman" w:hAnsi="Times New Roman" w:cs="Times New Roman"/>
          <w:sz w:val="24"/>
          <w:szCs w:val="24"/>
        </w:rPr>
        <w:t>ing</w:t>
      </w:r>
      <w:r w:rsidRPr="00E325D0">
        <w:rPr>
          <w:rFonts w:ascii="Times New Roman" w:hAnsi="Times New Roman" w:cs="Times New Roman"/>
          <w:sz w:val="24"/>
          <w:szCs w:val="24"/>
        </w:rPr>
        <w:t xml:space="preserve"> an array of videos highlighting in advert-length clips the salient points of EU legislation for EU citizens. EU politicians, particularly Commissioners, </w:t>
      </w:r>
      <w:r w:rsidR="007E216F" w:rsidRPr="00E325D0">
        <w:rPr>
          <w:rFonts w:ascii="Times New Roman" w:hAnsi="Times New Roman" w:cs="Times New Roman"/>
          <w:sz w:val="24"/>
          <w:szCs w:val="24"/>
        </w:rPr>
        <w:t>widely use Twitter. M</w:t>
      </w:r>
      <w:r w:rsidRPr="00E325D0">
        <w:rPr>
          <w:rFonts w:ascii="Times New Roman" w:hAnsi="Times New Roman" w:cs="Times New Roman"/>
          <w:sz w:val="24"/>
          <w:szCs w:val="24"/>
        </w:rPr>
        <w:t xml:space="preserve">any of </w:t>
      </w:r>
      <w:r w:rsidR="007E216F" w:rsidRPr="00E325D0">
        <w:rPr>
          <w:rFonts w:ascii="Times New Roman" w:hAnsi="Times New Roman" w:cs="Times New Roman"/>
          <w:sz w:val="24"/>
          <w:szCs w:val="24"/>
        </w:rPr>
        <w:t xml:space="preserve">them </w:t>
      </w:r>
      <w:r w:rsidRPr="00E325D0">
        <w:rPr>
          <w:rFonts w:ascii="Times New Roman" w:hAnsi="Times New Roman" w:cs="Times New Roman"/>
          <w:sz w:val="24"/>
          <w:szCs w:val="24"/>
        </w:rPr>
        <w:t xml:space="preserve">have followers in the tens of thousands and </w:t>
      </w:r>
      <w:r w:rsidR="007E216F" w:rsidRPr="00E325D0">
        <w:rPr>
          <w:rFonts w:ascii="Times New Roman" w:hAnsi="Times New Roman" w:cs="Times New Roman"/>
          <w:sz w:val="24"/>
          <w:szCs w:val="24"/>
        </w:rPr>
        <w:t xml:space="preserve">remarkably, perhaps, </w:t>
      </w:r>
      <w:r w:rsidR="00461BB4" w:rsidRPr="00E325D0">
        <w:rPr>
          <w:rFonts w:ascii="Times New Roman" w:hAnsi="Times New Roman" w:cs="Times New Roman"/>
          <w:sz w:val="24"/>
          <w:szCs w:val="24"/>
        </w:rPr>
        <w:t>many</w:t>
      </w:r>
      <w:r w:rsidRPr="00E325D0">
        <w:rPr>
          <w:rFonts w:ascii="Times New Roman" w:hAnsi="Times New Roman" w:cs="Times New Roman"/>
          <w:sz w:val="24"/>
          <w:szCs w:val="24"/>
        </w:rPr>
        <w:t xml:space="preserve"> maintain their </w:t>
      </w:r>
      <w:r w:rsidR="008554D8" w:rsidRPr="00E325D0">
        <w:rPr>
          <w:rFonts w:ascii="Times New Roman" w:hAnsi="Times New Roman" w:cs="Times New Roman"/>
          <w:sz w:val="24"/>
          <w:szCs w:val="24"/>
        </w:rPr>
        <w:t xml:space="preserve">own </w:t>
      </w:r>
      <w:r w:rsidRPr="00E325D0">
        <w:rPr>
          <w:rFonts w:ascii="Times New Roman" w:hAnsi="Times New Roman" w:cs="Times New Roman"/>
          <w:sz w:val="24"/>
          <w:szCs w:val="24"/>
        </w:rPr>
        <w:t xml:space="preserve">Twitter </w:t>
      </w:r>
      <w:r w:rsidR="00461BB4" w:rsidRPr="00E325D0">
        <w:rPr>
          <w:rFonts w:ascii="Times New Roman" w:hAnsi="Times New Roman" w:cs="Times New Roman"/>
          <w:sz w:val="24"/>
          <w:szCs w:val="24"/>
        </w:rPr>
        <w:t>feeds</w:t>
      </w:r>
      <w:r w:rsidRPr="00E325D0">
        <w:rPr>
          <w:rFonts w:ascii="Times New Roman" w:hAnsi="Times New Roman" w:cs="Times New Roman"/>
          <w:sz w:val="24"/>
          <w:szCs w:val="24"/>
        </w:rPr>
        <w:t>. Facebook groups organised by EU institutions with outreach activities around key issues</w:t>
      </w:r>
      <w:r w:rsidR="008554D8" w:rsidRPr="00E325D0">
        <w:rPr>
          <w:rFonts w:ascii="Times New Roman" w:hAnsi="Times New Roman" w:cs="Times New Roman"/>
          <w:sz w:val="24"/>
          <w:szCs w:val="24"/>
        </w:rPr>
        <w:t xml:space="preserve"> are also popular. T</w:t>
      </w:r>
      <w:r w:rsidRPr="00E325D0">
        <w:rPr>
          <w:rFonts w:ascii="Times New Roman" w:hAnsi="Times New Roman" w:cs="Times New Roman"/>
          <w:sz w:val="24"/>
          <w:szCs w:val="24"/>
        </w:rPr>
        <w:t>he EU’s efforts to engage with individual citizens go far beyond parallel activities by Member States. Clearly with public support for the EU declining</w:t>
      </w:r>
      <w:r w:rsidR="008554D8" w:rsidRPr="00E325D0">
        <w:rPr>
          <w:rFonts w:ascii="Times New Roman" w:hAnsi="Times New Roman" w:cs="Times New Roman"/>
          <w:sz w:val="24"/>
          <w:szCs w:val="24"/>
        </w:rPr>
        <w:t xml:space="preserve"> (Dendrinou, 2014) </w:t>
      </w:r>
      <w:r w:rsidRPr="00E325D0">
        <w:rPr>
          <w:rFonts w:ascii="Times New Roman" w:hAnsi="Times New Roman" w:cs="Times New Roman"/>
          <w:sz w:val="24"/>
          <w:szCs w:val="24"/>
        </w:rPr>
        <w:t xml:space="preserve">and the </w:t>
      </w:r>
      <w:r w:rsidR="007E216F" w:rsidRPr="00E325D0">
        <w:rPr>
          <w:rFonts w:ascii="Times New Roman" w:hAnsi="Times New Roman" w:cs="Times New Roman"/>
          <w:sz w:val="24"/>
          <w:szCs w:val="24"/>
        </w:rPr>
        <w:t xml:space="preserve">economic effects of the </w:t>
      </w:r>
      <w:r w:rsidRPr="00E325D0">
        <w:rPr>
          <w:rFonts w:ascii="Times New Roman" w:hAnsi="Times New Roman" w:cs="Times New Roman"/>
          <w:sz w:val="24"/>
          <w:szCs w:val="24"/>
        </w:rPr>
        <w:t>sovereign euro debt crisis continuing to be felt across the continent</w:t>
      </w:r>
      <w:r w:rsidR="00461BB4" w:rsidRPr="00E325D0">
        <w:rPr>
          <w:rFonts w:ascii="Times New Roman" w:hAnsi="Times New Roman" w:cs="Times New Roman"/>
          <w:sz w:val="24"/>
          <w:szCs w:val="24"/>
        </w:rPr>
        <w:t xml:space="preserve"> (Verdun, 2013)</w:t>
      </w:r>
      <w:r w:rsidRPr="00E325D0">
        <w:rPr>
          <w:rFonts w:ascii="Times New Roman" w:hAnsi="Times New Roman" w:cs="Times New Roman"/>
          <w:sz w:val="24"/>
          <w:szCs w:val="24"/>
        </w:rPr>
        <w:t xml:space="preserve">, these efforts by the EU are likely to often meet with scepticism </w:t>
      </w:r>
      <w:r w:rsidRPr="00E325D0">
        <w:rPr>
          <w:rFonts w:ascii="Times New Roman" w:hAnsi="Times New Roman" w:cs="Times New Roman"/>
          <w:sz w:val="24"/>
          <w:szCs w:val="24"/>
        </w:rPr>
        <w:lastRenderedPageBreak/>
        <w:t xml:space="preserve">and ambivalence. But it is no longer true simply </w:t>
      </w:r>
      <w:r w:rsidR="00C31924">
        <w:rPr>
          <w:rFonts w:ascii="Times New Roman" w:hAnsi="Times New Roman" w:cs="Times New Roman"/>
          <w:sz w:val="24"/>
          <w:szCs w:val="24"/>
        </w:rPr>
        <w:t xml:space="preserve">to </w:t>
      </w:r>
      <w:r w:rsidRPr="00E325D0">
        <w:rPr>
          <w:rFonts w:ascii="Times New Roman" w:hAnsi="Times New Roman" w:cs="Times New Roman"/>
          <w:sz w:val="24"/>
          <w:szCs w:val="24"/>
        </w:rPr>
        <w:t xml:space="preserve">claim, as Longo and Murray have, that the EU has shown an </w:t>
      </w:r>
      <w:r w:rsidR="00354201" w:rsidRPr="00E325D0">
        <w:rPr>
          <w:rFonts w:ascii="Times New Roman" w:hAnsi="Times New Roman" w:cs="Times New Roman"/>
          <w:sz w:val="24"/>
          <w:szCs w:val="24"/>
        </w:rPr>
        <w:t>‘</w:t>
      </w:r>
      <w:r w:rsidRPr="00E325D0">
        <w:rPr>
          <w:rFonts w:ascii="Times New Roman" w:hAnsi="Times New Roman" w:cs="Times New Roman"/>
          <w:sz w:val="24"/>
          <w:szCs w:val="24"/>
        </w:rPr>
        <w:t>inability or unwillingness…to provide the conditions for informed public deliberation on the need for further integration</w:t>
      </w:r>
      <w:r w:rsidR="00354201" w:rsidRPr="00E325D0">
        <w:rPr>
          <w:rFonts w:ascii="Times New Roman" w:hAnsi="Times New Roman" w:cs="Times New Roman"/>
          <w:sz w:val="24"/>
          <w:szCs w:val="24"/>
        </w:rPr>
        <w:t xml:space="preserve">’ </w:t>
      </w:r>
      <w:r w:rsidR="00C87BC1">
        <w:rPr>
          <w:rFonts w:ascii="Times New Roman" w:hAnsi="Times New Roman" w:cs="Times New Roman"/>
          <w:sz w:val="24"/>
          <w:szCs w:val="24"/>
        </w:rPr>
        <w:t xml:space="preserve">(2011, p. </w:t>
      </w:r>
      <w:r w:rsidRPr="00E325D0">
        <w:rPr>
          <w:rFonts w:ascii="Times New Roman" w:hAnsi="Times New Roman" w:cs="Times New Roman"/>
          <w:sz w:val="24"/>
          <w:szCs w:val="24"/>
        </w:rPr>
        <w:t>669).</w:t>
      </w:r>
    </w:p>
    <w:p w14:paraId="1055047C" w14:textId="6FC16773" w:rsidR="00B75683" w:rsidRDefault="00B75683" w:rsidP="001A4E63">
      <w:pPr>
        <w:autoSpaceDE w:val="0"/>
        <w:autoSpaceDN w:val="0"/>
        <w:adjustRightInd w:val="0"/>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 xml:space="preserve">Longo and Murray (2011, pp. 671-672) claim that one of the problems with EU efforts at facilitating public dialogues is the lack of bottom-up movements in these; that EU ‘sponsored’ civil society engagement clouds the very civilian nature of authentic public sphere discussion. Yet empirical literature </w:t>
      </w:r>
      <w:r w:rsidR="007E216F" w:rsidRPr="00E325D0">
        <w:rPr>
          <w:rFonts w:ascii="Times New Roman" w:hAnsi="Times New Roman" w:cs="Times New Roman"/>
          <w:sz w:val="24"/>
          <w:szCs w:val="24"/>
        </w:rPr>
        <w:t xml:space="preserve">that </w:t>
      </w:r>
      <w:r w:rsidRPr="00E325D0">
        <w:rPr>
          <w:rFonts w:ascii="Times New Roman" w:hAnsi="Times New Roman" w:cs="Times New Roman"/>
          <w:sz w:val="24"/>
          <w:szCs w:val="24"/>
        </w:rPr>
        <w:t>explores the relationship between the EU institutions and European citizens via social media is scarce. Kosiken</w:t>
      </w:r>
      <w:r w:rsidR="007E216F" w:rsidRPr="00E325D0">
        <w:rPr>
          <w:rFonts w:ascii="Times New Roman" w:hAnsi="Times New Roman" w:cs="Times New Roman"/>
          <w:sz w:val="24"/>
          <w:szCs w:val="24"/>
        </w:rPr>
        <w:t xml:space="preserve"> (2013) </w:t>
      </w:r>
      <w:r w:rsidRPr="00E325D0">
        <w:rPr>
          <w:rFonts w:ascii="Times New Roman" w:hAnsi="Times New Roman" w:cs="Times New Roman"/>
          <w:sz w:val="24"/>
          <w:szCs w:val="24"/>
        </w:rPr>
        <w:t xml:space="preserve">is one of the few </w:t>
      </w:r>
      <w:r w:rsidR="007E216F" w:rsidRPr="00E325D0">
        <w:rPr>
          <w:rFonts w:ascii="Times New Roman" w:hAnsi="Times New Roman" w:cs="Times New Roman"/>
          <w:sz w:val="24"/>
          <w:szCs w:val="24"/>
        </w:rPr>
        <w:t xml:space="preserve">who </w:t>
      </w:r>
      <w:r w:rsidRPr="00E325D0">
        <w:rPr>
          <w:rFonts w:ascii="Times New Roman" w:hAnsi="Times New Roman" w:cs="Times New Roman"/>
          <w:sz w:val="24"/>
          <w:szCs w:val="24"/>
        </w:rPr>
        <w:t>explores in</w:t>
      </w:r>
      <w:r w:rsidR="007E216F" w:rsidRPr="00E325D0">
        <w:rPr>
          <w:rFonts w:ascii="Times New Roman" w:hAnsi="Times New Roman" w:cs="Times New Roman"/>
          <w:sz w:val="24"/>
          <w:szCs w:val="24"/>
        </w:rPr>
        <w:t xml:space="preserve"> some</w:t>
      </w:r>
      <w:r w:rsidRPr="00E325D0">
        <w:rPr>
          <w:rFonts w:ascii="Times New Roman" w:hAnsi="Times New Roman" w:cs="Times New Roman"/>
          <w:sz w:val="24"/>
          <w:szCs w:val="24"/>
        </w:rPr>
        <w:t xml:space="preserve"> detail contributions made by the European Commission via social media and the emergence of English as a Commission lingua franca in these efforts. Our analysis </w:t>
      </w:r>
      <w:r w:rsidR="00CC4036" w:rsidRPr="00E325D0">
        <w:rPr>
          <w:rFonts w:ascii="Times New Roman" w:hAnsi="Times New Roman" w:cs="Times New Roman"/>
          <w:sz w:val="24"/>
          <w:szCs w:val="24"/>
        </w:rPr>
        <w:t xml:space="preserve">presents </w:t>
      </w:r>
      <w:r w:rsidRPr="00E325D0">
        <w:rPr>
          <w:rFonts w:ascii="Times New Roman" w:hAnsi="Times New Roman" w:cs="Times New Roman"/>
          <w:sz w:val="24"/>
          <w:szCs w:val="24"/>
        </w:rPr>
        <w:t xml:space="preserve">a systematic empirical insight into how communications on the EU as a sustainable energy actor are constructed, disseminated and received via Twitter. </w:t>
      </w:r>
    </w:p>
    <w:p w14:paraId="7B02E811" w14:textId="77777777" w:rsidR="00625C61" w:rsidRPr="00E325D0" w:rsidRDefault="00625C61" w:rsidP="00E325D0">
      <w:pPr>
        <w:autoSpaceDE w:val="0"/>
        <w:autoSpaceDN w:val="0"/>
        <w:adjustRightInd w:val="0"/>
        <w:spacing w:line="480" w:lineRule="auto"/>
        <w:contextualSpacing/>
        <w:rPr>
          <w:rFonts w:ascii="Times New Roman" w:hAnsi="Times New Roman" w:cs="Times New Roman"/>
          <w:sz w:val="24"/>
          <w:szCs w:val="24"/>
        </w:rPr>
      </w:pPr>
    </w:p>
    <w:p w14:paraId="2899B089" w14:textId="3889FC29" w:rsidR="00B75683" w:rsidRPr="00E325D0" w:rsidRDefault="00E325D0" w:rsidP="00E325D0">
      <w:pPr>
        <w:autoSpaceDE w:val="0"/>
        <w:autoSpaceDN w:val="0"/>
        <w:adjustRightInd w:val="0"/>
        <w:spacing w:line="480" w:lineRule="auto"/>
        <w:contextualSpacing/>
        <w:rPr>
          <w:rFonts w:ascii="Times New Roman" w:hAnsi="Times New Roman" w:cs="Times New Roman"/>
          <w:b/>
          <w:bCs/>
          <w:sz w:val="24"/>
          <w:szCs w:val="24"/>
        </w:rPr>
      </w:pPr>
      <w:r w:rsidRPr="00E325D0">
        <w:rPr>
          <w:rFonts w:ascii="Times New Roman" w:hAnsi="Times New Roman" w:cs="Times New Roman"/>
          <w:b/>
          <w:bCs/>
          <w:sz w:val="24"/>
          <w:szCs w:val="24"/>
        </w:rPr>
        <w:t xml:space="preserve">4. </w:t>
      </w:r>
      <w:r w:rsidR="00625C61" w:rsidRPr="00E325D0">
        <w:rPr>
          <w:rFonts w:ascii="Times New Roman" w:hAnsi="Times New Roman" w:cs="Times New Roman"/>
          <w:b/>
          <w:bCs/>
          <w:sz w:val="24"/>
          <w:szCs w:val="24"/>
        </w:rPr>
        <w:t>Operati</w:t>
      </w:r>
      <w:r w:rsidR="007D68E7">
        <w:rPr>
          <w:rFonts w:ascii="Times New Roman" w:hAnsi="Times New Roman" w:cs="Times New Roman"/>
          <w:b/>
          <w:bCs/>
          <w:sz w:val="24"/>
          <w:szCs w:val="24"/>
        </w:rPr>
        <w:t>onaliz</w:t>
      </w:r>
      <w:r w:rsidR="00342C7E">
        <w:rPr>
          <w:rFonts w:ascii="Times New Roman" w:hAnsi="Times New Roman" w:cs="Times New Roman"/>
          <w:b/>
          <w:bCs/>
          <w:sz w:val="24"/>
          <w:szCs w:val="24"/>
        </w:rPr>
        <w:t>ing Theory: Key Concepts a</w:t>
      </w:r>
      <w:r w:rsidR="00625C61" w:rsidRPr="00E325D0">
        <w:rPr>
          <w:rFonts w:ascii="Times New Roman" w:hAnsi="Times New Roman" w:cs="Times New Roman"/>
          <w:b/>
          <w:bCs/>
          <w:sz w:val="24"/>
          <w:szCs w:val="24"/>
        </w:rPr>
        <w:t>nd Methods</w:t>
      </w:r>
    </w:p>
    <w:p w14:paraId="2B16470C" w14:textId="77777777" w:rsidR="00B75683" w:rsidRPr="00E325D0" w:rsidRDefault="00B75683" w:rsidP="00E325D0">
      <w:pPr>
        <w:autoSpaceDE w:val="0"/>
        <w:autoSpaceDN w:val="0"/>
        <w:adjustRightInd w:val="0"/>
        <w:spacing w:line="480" w:lineRule="auto"/>
        <w:contextualSpacing/>
        <w:rPr>
          <w:rFonts w:ascii="Times New Roman" w:hAnsi="Times New Roman" w:cs="Times New Roman"/>
          <w:sz w:val="24"/>
          <w:szCs w:val="24"/>
        </w:rPr>
      </w:pPr>
    </w:p>
    <w:p w14:paraId="573679C6" w14:textId="69AA8F73" w:rsidR="00B75683" w:rsidRPr="00E325D0" w:rsidRDefault="00B75683" w:rsidP="00E325D0">
      <w:pPr>
        <w:autoSpaceDE w:val="0"/>
        <w:autoSpaceDN w:val="0"/>
        <w:adjustRightInd w:val="0"/>
        <w:spacing w:line="480" w:lineRule="auto"/>
        <w:contextualSpacing/>
        <w:rPr>
          <w:rFonts w:ascii="Times New Roman" w:hAnsi="Times New Roman" w:cs="Times New Roman"/>
          <w:sz w:val="24"/>
          <w:szCs w:val="24"/>
        </w:rPr>
      </w:pPr>
      <w:r w:rsidRPr="00E325D0">
        <w:rPr>
          <w:rFonts w:ascii="Times New Roman" w:hAnsi="Times New Roman" w:cs="Times New Roman"/>
          <w:sz w:val="24"/>
          <w:szCs w:val="24"/>
        </w:rPr>
        <w:t>Following Miskimmon et al (2013), this study suggests a comprehensive insight into the phenomenon of strategic narrative by looking into its formation, projection and reception. The three perspectives remain overlooked in the studies of the strategic narratives.</w:t>
      </w:r>
      <w:r w:rsidR="00696F2D">
        <w:rPr>
          <w:rFonts w:ascii="Times New Roman" w:hAnsi="Times New Roman" w:cs="Times New Roman"/>
          <w:sz w:val="24"/>
          <w:szCs w:val="24"/>
        </w:rPr>
        <w:t xml:space="preserve"> </w:t>
      </w:r>
    </w:p>
    <w:p w14:paraId="434C1407" w14:textId="0402F528" w:rsidR="00B75683" w:rsidRPr="00E325D0" w:rsidRDefault="00653292" w:rsidP="00625C61">
      <w:pPr>
        <w:autoSpaceDE w:val="0"/>
        <w:autoSpaceDN w:val="0"/>
        <w:adjustRightInd w:val="0"/>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Process t</w:t>
      </w:r>
      <w:r w:rsidR="00B75683" w:rsidRPr="00E325D0">
        <w:rPr>
          <w:rFonts w:ascii="Times New Roman" w:hAnsi="Times New Roman" w:cs="Times New Roman"/>
          <w:sz w:val="24"/>
          <w:szCs w:val="24"/>
        </w:rPr>
        <w:t xml:space="preserve">racing </w:t>
      </w:r>
      <w:r w:rsidRPr="00E325D0">
        <w:rPr>
          <w:rFonts w:ascii="Times New Roman" w:hAnsi="Times New Roman" w:cs="Times New Roman"/>
          <w:sz w:val="24"/>
          <w:szCs w:val="24"/>
        </w:rPr>
        <w:t>is a useful tool for the</w:t>
      </w:r>
      <w:r w:rsidR="00B75683" w:rsidRPr="00E325D0">
        <w:rPr>
          <w:rFonts w:ascii="Times New Roman" w:hAnsi="Times New Roman" w:cs="Times New Roman"/>
          <w:sz w:val="24"/>
          <w:szCs w:val="24"/>
        </w:rPr>
        <w:t xml:space="preserve"> analysis of the </w:t>
      </w:r>
      <w:r w:rsidR="00B75683" w:rsidRPr="00E325D0">
        <w:rPr>
          <w:rFonts w:ascii="Times New Roman" w:hAnsi="Times New Roman" w:cs="Times New Roman"/>
          <w:i/>
          <w:iCs/>
          <w:sz w:val="24"/>
          <w:szCs w:val="24"/>
        </w:rPr>
        <w:t>formation</w:t>
      </w:r>
      <w:r w:rsidR="00B75683" w:rsidRPr="00E325D0">
        <w:rPr>
          <w:rFonts w:ascii="Times New Roman" w:hAnsi="Times New Roman" w:cs="Times New Roman"/>
          <w:sz w:val="24"/>
          <w:szCs w:val="24"/>
        </w:rPr>
        <w:t xml:space="preserve"> of the narrative (complemented by textual analysis and interviews)</w:t>
      </w:r>
      <w:r w:rsidRPr="00E325D0">
        <w:rPr>
          <w:rFonts w:ascii="Times New Roman" w:hAnsi="Times New Roman" w:cs="Times New Roman"/>
          <w:sz w:val="24"/>
          <w:szCs w:val="24"/>
        </w:rPr>
        <w:t xml:space="preserve"> Roselle et al (2014, </w:t>
      </w:r>
      <w:r w:rsidR="00C87BC1">
        <w:rPr>
          <w:rFonts w:ascii="Times New Roman" w:hAnsi="Times New Roman" w:cs="Times New Roman"/>
          <w:sz w:val="24"/>
          <w:szCs w:val="24"/>
        </w:rPr>
        <w:t xml:space="preserve">p. </w:t>
      </w:r>
      <w:r w:rsidRPr="00E325D0">
        <w:rPr>
          <w:rFonts w:ascii="Times New Roman" w:hAnsi="Times New Roman" w:cs="Times New Roman"/>
          <w:sz w:val="24"/>
          <w:szCs w:val="24"/>
        </w:rPr>
        <w:t>78)</w:t>
      </w:r>
      <w:r w:rsidR="00B75683" w:rsidRPr="00E325D0">
        <w:rPr>
          <w:rFonts w:ascii="Times New Roman" w:hAnsi="Times New Roman" w:cs="Times New Roman"/>
          <w:sz w:val="24"/>
          <w:szCs w:val="24"/>
        </w:rPr>
        <w:t xml:space="preserve">. These elements are instrumental in understanding </w:t>
      </w:r>
      <w:r w:rsidR="00AE6A25" w:rsidRPr="00E325D0">
        <w:rPr>
          <w:rFonts w:ascii="Times New Roman" w:hAnsi="Times New Roman" w:cs="Times New Roman"/>
          <w:sz w:val="24"/>
          <w:szCs w:val="24"/>
        </w:rPr>
        <w:t>‘</w:t>
      </w:r>
      <w:r w:rsidR="00B75683" w:rsidRPr="00E325D0">
        <w:rPr>
          <w:rFonts w:ascii="Times New Roman" w:hAnsi="Times New Roman" w:cs="Times New Roman"/>
          <w:sz w:val="24"/>
          <w:szCs w:val="24"/>
        </w:rPr>
        <w:t>domestic political pressures evident when studying policy narratives</w:t>
      </w:r>
      <w:r w:rsidR="00AE6A25" w:rsidRPr="00E325D0">
        <w:rPr>
          <w:rFonts w:ascii="Times New Roman" w:hAnsi="Times New Roman" w:cs="Times New Roman"/>
          <w:sz w:val="24"/>
          <w:szCs w:val="24"/>
        </w:rPr>
        <w:t>’</w:t>
      </w:r>
      <w:r w:rsidR="00B75683" w:rsidRPr="00E325D0">
        <w:rPr>
          <w:rFonts w:ascii="Times New Roman" w:hAnsi="Times New Roman" w:cs="Times New Roman"/>
          <w:sz w:val="24"/>
          <w:szCs w:val="24"/>
        </w:rPr>
        <w:t xml:space="preserve"> (</w:t>
      </w:r>
      <w:r w:rsidR="007D68E7" w:rsidRPr="00E325D0">
        <w:rPr>
          <w:rFonts w:ascii="Times New Roman" w:hAnsi="Times New Roman" w:cs="Times New Roman"/>
          <w:sz w:val="24"/>
          <w:szCs w:val="24"/>
        </w:rPr>
        <w:t xml:space="preserve">Roselle et al (2014, </w:t>
      </w:r>
      <w:r w:rsidR="007D68E7">
        <w:rPr>
          <w:rFonts w:ascii="Times New Roman" w:hAnsi="Times New Roman" w:cs="Times New Roman"/>
          <w:sz w:val="24"/>
          <w:szCs w:val="24"/>
        </w:rPr>
        <w:t xml:space="preserve">p. </w:t>
      </w:r>
      <w:r w:rsidR="007D68E7" w:rsidRPr="00E325D0">
        <w:rPr>
          <w:rFonts w:ascii="Times New Roman" w:hAnsi="Times New Roman" w:cs="Times New Roman"/>
          <w:sz w:val="24"/>
          <w:szCs w:val="24"/>
        </w:rPr>
        <w:t xml:space="preserve">78). </w:t>
      </w:r>
      <w:r w:rsidR="00FA030A" w:rsidRPr="00E325D0">
        <w:rPr>
          <w:rFonts w:ascii="Times New Roman" w:hAnsi="Times New Roman" w:cs="Times New Roman"/>
          <w:sz w:val="24"/>
          <w:szCs w:val="24"/>
        </w:rPr>
        <w:t>T</w:t>
      </w:r>
      <w:r w:rsidR="00B75683" w:rsidRPr="00E325D0">
        <w:rPr>
          <w:rFonts w:ascii="Times New Roman" w:hAnsi="Times New Roman" w:cs="Times New Roman"/>
          <w:sz w:val="24"/>
          <w:szCs w:val="24"/>
        </w:rPr>
        <w:t>his paper traces the process around the creation and running of the EUSEW classified here as a public diplomacy initiative</w:t>
      </w:r>
      <w:r w:rsidR="00461BB4" w:rsidRPr="00E325D0">
        <w:rPr>
          <w:rFonts w:ascii="Times New Roman" w:hAnsi="Times New Roman" w:cs="Times New Roman"/>
          <w:sz w:val="24"/>
          <w:szCs w:val="24"/>
        </w:rPr>
        <w:t>,</w:t>
      </w:r>
      <w:r w:rsidR="00B75683" w:rsidRPr="00E325D0">
        <w:rPr>
          <w:rFonts w:ascii="Times New Roman" w:hAnsi="Times New Roman" w:cs="Times New Roman"/>
          <w:sz w:val="24"/>
          <w:szCs w:val="24"/>
        </w:rPr>
        <w:t xml:space="preserve"> conceived with the intention of raising a positive profile of the EU among different stakeholders in the field of sustainable energy production, research and practice – both within and outside the EU. </w:t>
      </w:r>
      <w:r w:rsidR="00B75683" w:rsidRPr="00E325D0">
        <w:rPr>
          <w:rFonts w:ascii="Times New Roman" w:hAnsi="Times New Roman" w:cs="Times New Roman"/>
          <w:sz w:val="24"/>
          <w:szCs w:val="24"/>
        </w:rPr>
        <w:lastRenderedPageBreak/>
        <w:t>Sustainability is obviously central to EUSEW priorities, but is it achievable and normatively desirable? How does the domestic audience react – do</w:t>
      </w:r>
      <w:r w:rsidR="007D68E7">
        <w:rPr>
          <w:rFonts w:ascii="Times New Roman" w:hAnsi="Times New Roman" w:cs="Times New Roman"/>
          <w:sz w:val="24"/>
          <w:szCs w:val="24"/>
        </w:rPr>
        <w:t>es it</w:t>
      </w:r>
      <w:r w:rsidR="00B75683" w:rsidRPr="00E325D0">
        <w:rPr>
          <w:rFonts w:ascii="Times New Roman" w:hAnsi="Times New Roman" w:cs="Times New Roman"/>
          <w:sz w:val="24"/>
          <w:szCs w:val="24"/>
        </w:rPr>
        <w:t xml:space="preserve"> support or contest</w:t>
      </w:r>
      <w:r w:rsidR="007D68E7">
        <w:rPr>
          <w:rFonts w:ascii="Times New Roman" w:hAnsi="Times New Roman" w:cs="Times New Roman"/>
          <w:sz w:val="24"/>
          <w:szCs w:val="24"/>
        </w:rPr>
        <w:t xml:space="preserve"> sustainability</w:t>
      </w:r>
      <w:r w:rsidR="00B75683" w:rsidRPr="00E325D0">
        <w:rPr>
          <w:rFonts w:ascii="Times New Roman" w:hAnsi="Times New Roman" w:cs="Times New Roman"/>
          <w:sz w:val="24"/>
          <w:szCs w:val="24"/>
        </w:rPr>
        <w:t xml:space="preserve">? </w:t>
      </w:r>
    </w:p>
    <w:p w14:paraId="6EEDEAB3" w14:textId="0083A0BB" w:rsidR="00B75683" w:rsidRPr="00E325D0" w:rsidRDefault="00B75683" w:rsidP="00625C61">
      <w:pPr>
        <w:autoSpaceDE w:val="0"/>
        <w:autoSpaceDN w:val="0"/>
        <w:adjustRightInd w:val="0"/>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 xml:space="preserve">According to Roselle et al (2014, </w:t>
      </w:r>
      <w:r w:rsidR="00C87BC1">
        <w:rPr>
          <w:rFonts w:ascii="Times New Roman" w:hAnsi="Times New Roman" w:cs="Times New Roman"/>
          <w:sz w:val="24"/>
          <w:szCs w:val="24"/>
        </w:rPr>
        <w:t xml:space="preserve">p. </w:t>
      </w:r>
      <w:r w:rsidRPr="00E325D0">
        <w:rPr>
          <w:rFonts w:ascii="Times New Roman" w:hAnsi="Times New Roman" w:cs="Times New Roman"/>
          <w:sz w:val="24"/>
          <w:szCs w:val="24"/>
        </w:rPr>
        <w:t xml:space="preserve">78), </w:t>
      </w:r>
      <w:r w:rsidRPr="00E325D0">
        <w:rPr>
          <w:rFonts w:ascii="Times New Roman" w:hAnsi="Times New Roman" w:cs="Times New Roman"/>
          <w:i/>
          <w:iCs/>
          <w:sz w:val="24"/>
          <w:szCs w:val="24"/>
        </w:rPr>
        <w:t>projection</w:t>
      </w:r>
      <w:r w:rsidRPr="00E325D0">
        <w:rPr>
          <w:rFonts w:ascii="Times New Roman" w:hAnsi="Times New Roman" w:cs="Times New Roman"/>
          <w:sz w:val="24"/>
          <w:szCs w:val="24"/>
        </w:rPr>
        <w:t xml:space="preserve"> of the narrative involves communication of the positions. To study this element involves tracing the narrative flow. In our EUSEW </w:t>
      </w:r>
      <w:r w:rsidR="00CD114A" w:rsidRPr="00E325D0">
        <w:rPr>
          <w:rFonts w:ascii="Times New Roman" w:hAnsi="Times New Roman" w:cs="Times New Roman"/>
          <w:sz w:val="24"/>
          <w:szCs w:val="24"/>
        </w:rPr>
        <w:t>case study</w:t>
      </w:r>
      <w:r w:rsidRPr="00E325D0">
        <w:rPr>
          <w:rFonts w:ascii="Times New Roman" w:hAnsi="Times New Roman" w:cs="Times New Roman"/>
          <w:sz w:val="24"/>
          <w:szCs w:val="24"/>
        </w:rPr>
        <w:t>, the EU and its actors communicate on Twitter (among other digital locations). However, social media allows communication of the position by all sorts of actors, including receivers of the EU messages. This analysis studies the flow of the narrative between the EU actors and other non-EU actors (state, non-state and individuals). Who is speaking on behalf of the EU? Who else is speaking in the EU? Outside the EU?</w:t>
      </w:r>
      <w:r w:rsidR="00696F2D">
        <w:rPr>
          <w:rFonts w:ascii="Times New Roman" w:hAnsi="Times New Roman" w:cs="Times New Roman"/>
          <w:sz w:val="24"/>
          <w:szCs w:val="24"/>
        </w:rPr>
        <w:t xml:space="preserve"> </w:t>
      </w:r>
      <w:r w:rsidR="00FA030A" w:rsidRPr="00E325D0">
        <w:rPr>
          <w:rFonts w:ascii="Times New Roman" w:hAnsi="Times New Roman" w:cs="Times New Roman"/>
          <w:sz w:val="24"/>
          <w:szCs w:val="24"/>
        </w:rPr>
        <w:t>T</w:t>
      </w:r>
      <w:r w:rsidRPr="00E325D0">
        <w:rPr>
          <w:rFonts w:ascii="Times New Roman" w:hAnsi="Times New Roman" w:cs="Times New Roman"/>
          <w:sz w:val="24"/>
          <w:szCs w:val="24"/>
        </w:rPr>
        <w:t>he data from Twitter was analysed</w:t>
      </w:r>
      <w:r w:rsidR="00FA030A" w:rsidRPr="00E325D0">
        <w:rPr>
          <w:rFonts w:ascii="Times New Roman" w:hAnsi="Times New Roman" w:cs="Times New Roman"/>
          <w:sz w:val="24"/>
          <w:szCs w:val="24"/>
        </w:rPr>
        <w:t xml:space="preserve"> </w:t>
      </w:r>
      <w:r w:rsidRPr="00E325D0">
        <w:rPr>
          <w:rFonts w:ascii="Times New Roman" w:hAnsi="Times New Roman" w:cs="Times New Roman"/>
          <w:sz w:val="24"/>
          <w:szCs w:val="24"/>
        </w:rPr>
        <w:t xml:space="preserve">in terms of actors speaking (authors of the tweets) and selective information highlights (frames) present in the texts. </w:t>
      </w:r>
    </w:p>
    <w:p w14:paraId="3401261E" w14:textId="4E0B5EC3" w:rsidR="00B75683" w:rsidRPr="00E325D0" w:rsidRDefault="00B75683" w:rsidP="00625C61">
      <w:pPr>
        <w:autoSpaceDE w:val="0"/>
        <w:autoSpaceDN w:val="0"/>
        <w:adjustRightInd w:val="0"/>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 xml:space="preserve">The third, and final element in narrative existence is </w:t>
      </w:r>
      <w:r w:rsidRPr="00E325D0">
        <w:rPr>
          <w:rFonts w:ascii="Times New Roman" w:hAnsi="Times New Roman" w:cs="Times New Roman"/>
          <w:i/>
          <w:iCs/>
          <w:sz w:val="24"/>
          <w:szCs w:val="24"/>
        </w:rPr>
        <w:t>reception</w:t>
      </w:r>
      <w:r w:rsidRPr="00E325D0">
        <w:rPr>
          <w:rFonts w:ascii="Times New Roman" w:hAnsi="Times New Roman" w:cs="Times New Roman"/>
          <w:sz w:val="24"/>
          <w:szCs w:val="24"/>
        </w:rPr>
        <w:t xml:space="preserve">. How is the actor recognised? Is it worth emulating? Is there connectivity between EU/global public and the EU as a producer of the narrative? Do non-EU actors talk to each other bypassing the EU? As discussed above, social media data could be interpreted from two </w:t>
      </w:r>
      <w:r w:rsidR="00461BB4" w:rsidRPr="00E325D0">
        <w:rPr>
          <w:rFonts w:ascii="Times New Roman" w:hAnsi="Times New Roman" w:cs="Times New Roman"/>
          <w:sz w:val="24"/>
          <w:szCs w:val="24"/>
        </w:rPr>
        <w:t>angle</w:t>
      </w:r>
      <w:r w:rsidR="001F6380" w:rsidRPr="00E325D0">
        <w:rPr>
          <w:rFonts w:ascii="Times New Roman" w:hAnsi="Times New Roman" w:cs="Times New Roman"/>
          <w:sz w:val="24"/>
          <w:szCs w:val="24"/>
        </w:rPr>
        <w:t>s</w:t>
      </w:r>
      <w:r w:rsidRPr="00E325D0">
        <w:rPr>
          <w:rFonts w:ascii="Times New Roman" w:hAnsi="Times New Roman" w:cs="Times New Roman"/>
          <w:sz w:val="24"/>
          <w:szCs w:val="24"/>
        </w:rPr>
        <w:t xml:space="preserve">: as media content – </w:t>
      </w:r>
      <w:r w:rsidR="001F6380" w:rsidRPr="00E325D0">
        <w:rPr>
          <w:rFonts w:ascii="Times New Roman" w:hAnsi="Times New Roman" w:cs="Times New Roman"/>
          <w:sz w:val="24"/>
          <w:szCs w:val="24"/>
        </w:rPr>
        <w:t xml:space="preserve">‘highlights packed into </w:t>
      </w:r>
      <w:r w:rsidRPr="00E325D0">
        <w:rPr>
          <w:rFonts w:ascii="Times New Roman" w:hAnsi="Times New Roman" w:cs="Times New Roman"/>
          <w:sz w:val="24"/>
          <w:szCs w:val="24"/>
        </w:rPr>
        <w:t>select</w:t>
      </w:r>
      <w:r w:rsidR="001F6380" w:rsidRPr="00E325D0">
        <w:rPr>
          <w:rFonts w:ascii="Times New Roman" w:hAnsi="Times New Roman" w:cs="Times New Roman"/>
          <w:sz w:val="24"/>
          <w:szCs w:val="24"/>
        </w:rPr>
        <w:t>ive, framed</w:t>
      </w:r>
      <w:r w:rsidRPr="00E325D0">
        <w:rPr>
          <w:rFonts w:ascii="Times New Roman" w:hAnsi="Times New Roman" w:cs="Times New Roman"/>
          <w:sz w:val="24"/>
          <w:szCs w:val="24"/>
        </w:rPr>
        <w:t xml:space="preserve"> communicat</w:t>
      </w:r>
      <w:r w:rsidR="001F6380" w:rsidRPr="00E325D0">
        <w:rPr>
          <w:rFonts w:ascii="Times New Roman" w:hAnsi="Times New Roman" w:cs="Times New Roman"/>
          <w:sz w:val="24"/>
          <w:szCs w:val="24"/>
        </w:rPr>
        <w:t>ions’ (Entm</w:t>
      </w:r>
      <w:r w:rsidR="00B20357">
        <w:rPr>
          <w:rFonts w:ascii="Times New Roman" w:hAnsi="Times New Roman" w:cs="Times New Roman"/>
          <w:sz w:val="24"/>
          <w:szCs w:val="24"/>
        </w:rPr>
        <w:t xml:space="preserve">an 2003, </w:t>
      </w:r>
      <w:r w:rsidR="001F6380" w:rsidRPr="00E325D0">
        <w:rPr>
          <w:rFonts w:ascii="Times New Roman" w:hAnsi="Times New Roman" w:cs="Times New Roman"/>
          <w:sz w:val="24"/>
          <w:szCs w:val="24"/>
        </w:rPr>
        <w:t>p. 421)</w:t>
      </w:r>
      <w:r w:rsidRPr="00E325D0">
        <w:rPr>
          <w:rFonts w:ascii="Times New Roman" w:hAnsi="Times New Roman" w:cs="Times New Roman"/>
          <w:sz w:val="24"/>
          <w:szCs w:val="24"/>
        </w:rPr>
        <w:t>; and as an evidence of public opinion, public engagement facilitated by the online mediation.</w:t>
      </w:r>
      <w:r w:rsidR="00133D11" w:rsidRPr="00E325D0">
        <w:rPr>
          <w:rFonts w:ascii="Times New Roman" w:hAnsi="Times New Roman" w:cs="Times New Roman"/>
          <w:sz w:val="24"/>
          <w:szCs w:val="24"/>
        </w:rPr>
        <w:t xml:space="preserve"> </w:t>
      </w:r>
      <w:r w:rsidR="00FA030A" w:rsidRPr="00E325D0">
        <w:rPr>
          <w:rFonts w:ascii="Times New Roman" w:hAnsi="Times New Roman" w:cs="Times New Roman"/>
          <w:sz w:val="24"/>
          <w:szCs w:val="24"/>
        </w:rPr>
        <w:t>T</w:t>
      </w:r>
      <w:r w:rsidRPr="00E325D0">
        <w:rPr>
          <w:rFonts w:ascii="Times New Roman" w:hAnsi="Times New Roman" w:cs="Times New Roman"/>
          <w:sz w:val="24"/>
          <w:szCs w:val="24"/>
        </w:rPr>
        <w:t xml:space="preserve">his analysis identifies the patterns of connectivity in terms of one-directional messages, dialogic messages and re-tweets (RTs). We also analyse the content of the tweets in terms of who </w:t>
      </w:r>
      <w:r w:rsidR="00FA030A" w:rsidRPr="00E325D0">
        <w:rPr>
          <w:rFonts w:ascii="Times New Roman" w:hAnsi="Times New Roman" w:cs="Times New Roman"/>
          <w:sz w:val="24"/>
          <w:szCs w:val="24"/>
        </w:rPr>
        <w:t>are</w:t>
      </w:r>
      <w:r w:rsidRPr="00E325D0">
        <w:rPr>
          <w:rFonts w:ascii="Times New Roman" w:hAnsi="Times New Roman" w:cs="Times New Roman"/>
          <w:sz w:val="24"/>
          <w:szCs w:val="24"/>
        </w:rPr>
        <w:t xml:space="preserve"> seen as the most visible actors, what EU norms are perceived to dominate, what issues are recognised by the receivers to</w:t>
      </w:r>
      <w:r w:rsidR="00696F2D">
        <w:rPr>
          <w:rFonts w:ascii="Times New Roman" w:hAnsi="Times New Roman" w:cs="Times New Roman"/>
          <w:sz w:val="24"/>
          <w:szCs w:val="24"/>
        </w:rPr>
        <w:t xml:space="preserve"> </w:t>
      </w:r>
      <w:r w:rsidRPr="00E325D0">
        <w:rPr>
          <w:rFonts w:ascii="Times New Roman" w:hAnsi="Times New Roman" w:cs="Times New Roman"/>
          <w:sz w:val="24"/>
          <w:szCs w:val="24"/>
        </w:rPr>
        <w:t>top</w:t>
      </w:r>
      <w:r w:rsidR="00696F2D">
        <w:rPr>
          <w:rFonts w:ascii="Times New Roman" w:hAnsi="Times New Roman" w:cs="Times New Roman"/>
          <w:sz w:val="24"/>
          <w:szCs w:val="24"/>
        </w:rPr>
        <w:t xml:space="preserve"> </w:t>
      </w:r>
      <w:r w:rsidR="00FA030A" w:rsidRPr="00E325D0">
        <w:rPr>
          <w:rFonts w:ascii="Times New Roman" w:hAnsi="Times New Roman" w:cs="Times New Roman"/>
          <w:sz w:val="24"/>
          <w:szCs w:val="24"/>
        </w:rPr>
        <w:t xml:space="preserve">the </w:t>
      </w:r>
      <w:r w:rsidRPr="00E325D0">
        <w:rPr>
          <w:rFonts w:ascii="Times New Roman" w:hAnsi="Times New Roman" w:cs="Times New Roman"/>
          <w:sz w:val="24"/>
          <w:szCs w:val="24"/>
        </w:rPr>
        <w:t xml:space="preserve">agenda and what sentiments </w:t>
      </w:r>
      <w:r w:rsidR="001F6380" w:rsidRPr="00E325D0">
        <w:rPr>
          <w:rFonts w:ascii="Times New Roman" w:hAnsi="Times New Roman" w:cs="Times New Roman"/>
          <w:sz w:val="24"/>
          <w:szCs w:val="24"/>
        </w:rPr>
        <w:t xml:space="preserve">are seen to </w:t>
      </w:r>
      <w:r w:rsidRPr="00E325D0">
        <w:rPr>
          <w:rFonts w:ascii="Times New Roman" w:hAnsi="Times New Roman" w:cs="Times New Roman"/>
          <w:sz w:val="24"/>
          <w:szCs w:val="24"/>
        </w:rPr>
        <w:t xml:space="preserve">guide </w:t>
      </w:r>
      <w:r w:rsidR="00461BB4" w:rsidRPr="00E325D0">
        <w:rPr>
          <w:rFonts w:ascii="Times New Roman" w:hAnsi="Times New Roman" w:cs="Times New Roman"/>
          <w:sz w:val="24"/>
          <w:szCs w:val="24"/>
        </w:rPr>
        <w:t xml:space="preserve">perceptions toward </w:t>
      </w:r>
      <w:r w:rsidRPr="00E325D0">
        <w:rPr>
          <w:rFonts w:ascii="Times New Roman" w:hAnsi="Times New Roman" w:cs="Times New Roman"/>
          <w:sz w:val="24"/>
          <w:szCs w:val="24"/>
        </w:rPr>
        <w:t xml:space="preserve">the EU as sustainable energy actor. </w:t>
      </w:r>
    </w:p>
    <w:p w14:paraId="2B200EB0" w14:textId="77777777" w:rsidR="00B75683" w:rsidRPr="00E325D0" w:rsidRDefault="00B75683" w:rsidP="00E325D0">
      <w:pPr>
        <w:autoSpaceDE w:val="0"/>
        <w:autoSpaceDN w:val="0"/>
        <w:adjustRightInd w:val="0"/>
        <w:spacing w:line="480" w:lineRule="auto"/>
        <w:contextualSpacing/>
        <w:rPr>
          <w:rFonts w:ascii="Times New Roman" w:hAnsi="Times New Roman" w:cs="Times New Roman"/>
          <w:sz w:val="24"/>
          <w:szCs w:val="24"/>
        </w:rPr>
      </w:pPr>
    </w:p>
    <w:p w14:paraId="07E03BD9" w14:textId="77777777" w:rsidR="00B75683" w:rsidRPr="00625C61" w:rsidRDefault="00B75683" w:rsidP="00E325D0">
      <w:pPr>
        <w:autoSpaceDE w:val="0"/>
        <w:autoSpaceDN w:val="0"/>
        <w:adjustRightInd w:val="0"/>
        <w:spacing w:line="480" w:lineRule="auto"/>
        <w:contextualSpacing/>
        <w:rPr>
          <w:rFonts w:ascii="Times New Roman" w:hAnsi="Times New Roman" w:cs="Times New Roman"/>
          <w:bCs/>
          <w:i/>
          <w:iCs/>
          <w:sz w:val="24"/>
          <w:szCs w:val="24"/>
        </w:rPr>
      </w:pPr>
      <w:r w:rsidRPr="00625C61">
        <w:rPr>
          <w:rFonts w:ascii="Times New Roman" w:hAnsi="Times New Roman" w:cs="Times New Roman"/>
          <w:bCs/>
          <w:i/>
          <w:iCs/>
          <w:sz w:val="24"/>
          <w:szCs w:val="24"/>
        </w:rPr>
        <w:t>Methods of Analysis</w:t>
      </w:r>
    </w:p>
    <w:p w14:paraId="73281433" w14:textId="07B910CB" w:rsidR="00B20357" w:rsidRPr="00E325D0" w:rsidRDefault="00B75683" w:rsidP="00625C61">
      <w:pPr>
        <w:autoSpaceDE w:val="0"/>
        <w:autoSpaceDN w:val="0"/>
        <w:adjustRightInd w:val="0"/>
        <w:spacing w:line="480" w:lineRule="auto"/>
        <w:contextualSpacing/>
        <w:rPr>
          <w:rFonts w:ascii="Times New Roman" w:hAnsi="Times New Roman" w:cs="Times New Roman"/>
          <w:sz w:val="24"/>
          <w:szCs w:val="24"/>
        </w:rPr>
      </w:pPr>
      <w:r w:rsidRPr="00E325D0">
        <w:rPr>
          <w:rFonts w:ascii="Times New Roman" w:hAnsi="Times New Roman" w:cs="Times New Roman"/>
          <w:sz w:val="24"/>
          <w:szCs w:val="24"/>
        </w:rPr>
        <w:t>The data used was a set of Twitter posts from the EU’s Sustainable Energy Week 2013, which ran from 24-28 June.</w:t>
      </w:r>
      <w:r w:rsidR="00B20357" w:rsidRPr="00E325D0">
        <w:rPr>
          <w:rStyle w:val="EndnoteReference"/>
          <w:rFonts w:ascii="Times New Roman" w:hAnsi="Times New Roman" w:cs="Times New Roman"/>
          <w:sz w:val="24"/>
          <w:szCs w:val="24"/>
        </w:rPr>
        <w:endnoteReference w:id="1"/>
      </w:r>
      <w:r w:rsidR="00B20357" w:rsidRPr="00E325D0">
        <w:rPr>
          <w:rFonts w:ascii="Times New Roman" w:hAnsi="Times New Roman" w:cs="Times New Roman"/>
          <w:sz w:val="24"/>
          <w:szCs w:val="24"/>
        </w:rPr>
        <w:t xml:space="preserve"> Tweets were included in the sample according to their use of the EU’s </w:t>
      </w:r>
      <w:r w:rsidR="00B20357" w:rsidRPr="00E325D0">
        <w:rPr>
          <w:rFonts w:ascii="Times New Roman" w:hAnsi="Times New Roman" w:cs="Times New Roman"/>
          <w:sz w:val="24"/>
          <w:szCs w:val="24"/>
        </w:rPr>
        <w:lastRenderedPageBreak/>
        <w:t>official EUSEW hashtag #EUSEW13. A total of 2,560 English language tweets were gathered. The decision to restrict the sample to English was made in order to remove the complications arising from translation to</w:t>
      </w:r>
      <w:r w:rsidR="00C31924">
        <w:rPr>
          <w:rFonts w:ascii="Times New Roman" w:hAnsi="Times New Roman" w:cs="Times New Roman"/>
          <w:sz w:val="24"/>
          <w:szCs w:val="24"/>
        </w:rPr>
        <w:t xml:space="preserve"> and </w:t>
      </w:r>
      <w:r w:rsidR="00B20357" w:rsidRPr="00E325D0">
        <w:rPr>
          <w:rFonts w:ascii="Times New Roman" w:hAnsi="Times New Roman" w:cs="Times New Roman"/>
          <w:sz w:val="24"/>
          <w:szCs w:val="24"/>
        </w:rPr>
        <w:t xml:space="preserve">from multiple languages. </w:t>
      </w:r>
    </w:p>
    <w:p w14:paraId="6FCEB928" w14:textId="71FA4089" w:rsidR="00B20357" w:rsidRPr="00E325D0" w:rsidRDefault="00B20357" w:rsidP="00625C61">
      <w:pPr>
        <w:autoSpaceDE w:val="0"/>
        <w:autoSpaceDN w:val="0"/>
        <w:adjustRightInd w:val="0"/>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While this dataset is small in comparison to the ‘big data’ analysis typical of Twitter studies (for an overview of the literature</w:t>
      </w:r>
      <w:r w:rsidR="00C31924">
        <w:rPr>
          <w:rFonts w:ascii="Times New Roman" w:hAnsi="Times New Roman" w:cs="Times New Roman"/>
          <w:sz w:val="24"/>
          <w:szCs w:val="24"/>
        </w:rPr>
        <w:t xml:space="preserve"> see </w:t>
      </w:r>
      <w:r w:rsidR="00C31924" w:rsidRPr="00E325D0">
        <w:rPr>
          <w:rFonts w:ascii="Times New Roman" w:hAnsi="Times New Roman" w:cs="Times New Roman"/>
          <w:sz w:val="24"/>
          <w:szCs w:val="24"/>
        </w:rPr>
        <w:t xml:space="preserve">Bruns </w:t>
      </w:r>
      <w:r w:rsidR="00C31924">
        <w:rPr>
          <w:rFonts w:ascii="Times New Roman" w:hAnsi="Times New Roman" w:cs="Times New Roman"/>
          <w:sz w:val="24"/>
          <w:szCs w:val="24"/>
        </w:rPr>
        <w:t>and</w:t>
      </w:r>
      <w:r w:rsidR="0078758D">
        <w:rPr>
          <w:rFonts w:ascii="Times New Roman" w:hAnsi="Times New Roman" w:cs="Times New Roman"/>
          <w:sz w:val="24"/>
          <w:szCs w:val="24"/>
        </w:rPr>
        <w:t xml:space="preserve"> Stie</w:t>
      </w:r>
      <w:r w:rsidR="00C31924" w:rsidRPr="00E325D0">
        <w:rPr>
          <w:rFonts w:ascii="Times New Roman" w:hAnsi="Times New Roman" w:cs="Times New Roman"/>
          <w:sz w:val="24"/>
          <w:szCs w:val="24"/>
        </w:rPr>
        <w:t>glitz, 201</w:t>
      </w:r>
      <w:r w:rsidR="00AC33C8">
        <w:rPr>
          <w:rFonts w:ascii="Times New Roman" w:hAnsi="Times New Roman" w:cs="Times New Roman"/>
          <w:sz w:val="24"/>
          <w:szCs w:val="24"/>
        </w:rPr>
        <w:t>3</w:t>
      </w:r>
      <w:r w:rsidRPr="00E325D0">
        <w:rPr>
          <w:rFonts w:ascii="Times New Roman" w:hAnsi="Times New Roman" w:cs="Times New Roman"/>
          <w:sz w:val="24"/>
          <w:szCs w:val="24"/>
        </w:rPr>
        <w:t>)</w:t>
      </w:r>
      <w:r w:rsidR="00C31924">
        <w:rPr>
          <w:rFonts w:ascii="Times New Roman" w:hAnsi="Times New Roman" w:cs="Times New Roman"/>
          <w:sz w:val="24"/>
          <w:szCs w:val="24"/>
        </w:rPr>
        <w:t>,</w:t>
      </w:r>
      <w:r w:rsidRPr="00E325D0">
        <w:rPr>
          <w:rFonts w:ascii="Times New Roman" w:hAnsi="Times New Roman" w:cs="Times New Roman"/>
          <w:sz w:val="24"/>
          <w:szCs w:val="24"/>
        </w:rPr>
        <w:t xml:space="preserve"> our choice of manual coding meant restrictions were necessary. Further, while expanding our sampling criteria was considered, our project was eager to hone in on one specific conversation around a unique public diplomacy initiative and thus the decision to limit our criteria was seen as the best choice. The team of coders were trained </w:t>
      </w:r>
      <w:r>
        <w:rPr>
          <w:rFonts w:ascii="Times New Roman" w:hAnsi="Times New Roman" w:cs="Times New Roman"/>
          <w:sz w:val="24"/>
          <w:szCs w:val="24"/>
        </w:rPr>
        <w:t>one-on-one in an intensive week</w:t>
      </w:r>
      <w:r w:rsidRPr="00E325D0">
        <w:rPr>
          <w:rFonts w:ascii="Times New Roman" w:hAnsi="Times New Roman" w:cs="Times New Roman"/>
          <w:sz w:val="24"/>
          <w:szCs w:val="24"/>
        </w:rPr>
        <w:t xml:space="preserve">long workshop to ensure inter-coder reliability. </w:t>
      </w:r>
    </w:p>
    <w:p w14:paraId="30ECAD87" w14:textId="35E3B723" w:rsidR="00B20357" w:rsidRDefault="00B20357" w:rsidP="00625C61">
      <w:pPr>
        <w:autoSpaceDE w:val="0"/>
        <w:autoSpaceDN w:val="0"/>
        <w:adjustRightInd w:val="0"/>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 xml:space="preserve">Information about the framing categories, energy issues and sentiment categories can be found in the Introduction to this Issue. The authors of each tweet were identified manually through the reading of their public profile. In some cases people who were initially thought to be ‘ordinary citizens’ were found instead to be linked to a business or interest group. If they were tweeting in their capacity as an employee of such a group, they were then coded accordingly. The N/A category presented in Figure 1 (sources) represents the ‘long tail’ of Twitter in which the majority of participants are relatively silent, making just one contribution to the conversation, which Vis notes should be factored into any reading of Twitter data (Vis 2013, p. 33). Due to the manual coding process, and for practicality, only tweet authors who posted more than once were ‘coded’ into a source category. </w:t>
      </w:r>
    </w:p>
    <w:p w14:paraId="1CD3209C" w14:textId="43F727F4" w:rsidR="00B20357" w:rsidRPr="00E325D0" w:rsidRDefault="00B20357" w:rsidP="001A4E63">
      <w:pPr>
        <w:autoSpaceDE w:val="0"/>
        <w:autoSpaceDN w:val="0"/>
        <w:adjustRightInd w:val="0"/>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 xml:space="preserve">This analysis offers a particular methodological innovation in its analysis of sentiment using the tool of conceptual metaphors contained within Twitter dialogues. The majority of sentiment analysis undertaken on social media data utilises computational software like SentiStrength which offer a rigorously tested algorithm for coding sentiment in short text samples (see Thelwall et al, 2011). However, after a pilot test comparing our preliminary manual coding of tweets for sentiment with the results from Sentistrength, it was determined </w:t>
      </w:r>
      <w:r w:rsidRPr="00E325D0">
        <w:rPr>
          <w:rFonts w:ascii="Times New Roman" w:hAnsi="Times New Roman" w:cs="Times New Roman"/>
          <w:sz w:val="24"/>
          <w:szCs w:val="24"/>
        </w:rPr>
        <w:lastRenderedPageBreak/>
        <w:t xml:space="preserve">that our combination of manually coding for general sentiment as well as the more nuanced sentiment contained within conceptual metaphors would offer a more accurate and richer approach. </w:t>
      </w:r>
    </w:p>
    <w:p w14:paraId="6A96B2DF" w14:textId="77777777" w:rsidR="00B20357" w:rsidRPr="00E325D0" w:rsidRDefault="00B20357" w:rsidP="00E325D0">
      <w:pPr>
        <w:autoSpaceDE w:val="0"/>
        <w:autoSpaceDN w:val="0"/>
        <w:adjustRightInd w:val="0"/>
        <w:spacing w:line="480" w:lineRule="auto"/>
        <w:contextualSpacing/>
        <w:rPr>
          <w:rFonts w:ascii="Times New Roman" w:hAnsi="Times New Roman" w:cs="Times New Roman"/>
          <w:b/>
          <w:bCs/>
          <w:sz w:val="24"/>
          <w:szCs w:val="24"/>
        </w:rPr>
      </w:pPr>
    </w:p>
    <w:p w14:paraId="325909AD" w14:textId="108C8566" w:rsidR="00B20357" w:rsidRPr="00E325D0" w:rsidRDefault="00B20357" w:rsidP="00E325D0">
      <w:pPr>
        <w:autoSpaceDE w:val="0"/>
        <w:autoSpaceDN w:val="0"/>
        <w:adjustRightInd w:val="0"/>
        <w:spacing w:line="480" w:lineRule="auto"/>
        <w:contextualSpacing/>
        <w:rPr>
          <w:rFonts w:ascii="Times New Roman" w:hAnsi="Times New Roman" w:cs="Times New Roman"/>
          <w:b/>
          <w:bCs/>
          <w:sz w:val="24"/>
          <w:szCs w:val="24"/>
        </w:rPr>
      </w:pPr>
      <w:r w:rsidRPr="00E325D0">
        <w:rPr>
          <w:rFonts w:ascii="Times New Roman" w:hAnsi="Times New Roman" w:cs="Times New Roman"/>
          <w:b/>
          <w:bCs/>
          <w:sz w:val="24"/>
          <w:szCs w:val="24"/>
        </w:rPr>
        <w:t xml:space="preserve">5. </w:t>
      </w:r>
      <w:r>
        <w:rPr>
          <w:rFonts w:ascii="Times New Roman" w:hAnsi="Times New Roman" w:cs="Times New Roman"/>
          <w:b/>
          <w:bCs/>
          <w:sz w:val="24"/>
          <w:szCs w:val="24"/>
        </w:rPr>
        <w:t>Findings</w:t>
      </w:r>
    </w:p>
    <w:p w14:paraId="1CD50492" w14:textId="77777777" w:rsidR="00B20357" w:rsidRPr="00E325D0" w:rsidRDefault="00B20357" w:rsidP="00E325D0">
      <w:pPr>
        <w:autoSpaceDE w:val="0"/>
        <w:autoSpaceDN w:val="0"/>
        <w:adjustRightInd w:val="0"/>
        <w:spacing w:line="480" w:lineRule="auto"/>
        <w:contextualSpacing/>
        <w:rPr>
          <w:rFonts w:ascii="Times New Roman" w:hAnsi="Times New Roman" w:cs="Times New Roman"/>
          <w:sz w:val="24"/>
          <w:szCs w:val="24"/>
        </w:rPr>
      </w:pPr>
    </w:p>
    <w:p w14:paraId="331D1CE5" w14:textId="66156C53" w:rsidR="00B20357" w:rsidRPr="00625C61" w:rsidRDefault="00B20357" w:rsidP="00E325D0">
      <w:pPr>
        <w:autoSpaceDE w:val="0"/>
        <w:autoSpaceDN w:val="0"/>
        <w:adjustRightInd w:val="0"/>
        <w:spacing w:line="480" w:lineRule="auto"/>
        <w:contextualSpacing/>
        <w:rPr>
          <w:rFonts w:ascii="Times New Roman" w:hAnsi="Times New Roman" w:cs="Times New Roman"/>
          <w:bCs/>
          <w:i/>
          <w:iCs/>
          <w:sz w:val="24"/>
          <w:szCs w:val="24"/>
        </w:rPr>
      </w:pPr>
      <w:r w:rsidRPr="00625C61">
        <w:rPr>
          <w:rFonts w:ascii="Times New Roman" w:hAnsi="Times New Roman" w:cs="Times New Roman"/>
          <w:bCs/>
          <w:i/>
          <w:iCs/>
          <w:sz w:val="24"/>
          <w:szCs w:val="24"/>
        </w:rPr>
        <w:t>Formation: Process Tracing of the EUSEW</w:t>
      </w:r>
    </w:p>
    <w:p w14:paraId="34D95F19" w14:textId="6ADC5E9B" w:rsidR="00C2101E" w:rsidRPr="00AC33C8" w:rsidRDefault="00B20357" w:rsidP="00AC33C8">
      <w:pPr>
        <w:spacing w:line="480" w:lineRule="auto"/>
        <w:contextualSpacing/>
        <w:rPr>
          <w:rFonts w:ascii="Times New Roman" w:hAnsi="Times New Roman" w:cs="Times New Roman"/>
          <w:sz w:val="24"/>
          <w:szCs w:val="24"/>
        </w:rPr>
      </w:pPr>
      <w:r w:rsidRPr="00E325D0">
        <w:rPr>
          <w:rFonts w:ascii="Times New Roman" w:hAnsi="Times New Roman" w:cs="Times New Roman"/>
          <w:sz w:val="24"/>
          <w:szCs w:val="24"/>
        </w:rPr>
        <w:t>As an actor keen to engage with citizens and policy-makers alike, the EU and its representative institutions undertake a vast range of outreach activities. The energy field is no different. The EUSEW was created with a view to facilitate networking and bring together key participants, since ‘one of the EU’s priorities in all policy areas is to facilitate the sharing of ideas and best-practises, and to encourage networking and exchange, to support the replication of successful projects across Europe’ (</w:t>
      </w:r>
      <w:r w:rsidR="007D68E7">
        <w:rPr>
          <w:rFonts w:ascii="Times New Roman" w:hAnsi="Times New Roman" w:cs="Times New Roman"/>
          <w:sz w:val="24"/>
          <w:szCs w:val="24"/>
        </w:rPr>
        <w:t>European Union 2013</w:t>
      </w:r>
      <w:r w:rsidRPr="00E325D0">
        <w:rPr>
          <w:rFonts w:ascii="Times New Roman" w:hAnsi="Times New Roman" w:cs="Times New Roman"/>
          <w:sz w:val="24"/>
          <w:szCs w:val="24"/>
        </w:rPr>
        <w:t>, np.).</w:t>
      </w:r>
      <w:r>
        <w:rPr>
          <w:rFonts w:ascii="Times New Roman" w:hAnsi="Times New Roman" w:cs="Times New Roman"/>
          <w:sz w:val="24"/>
          <w:szCs w:val="24"/>
        </w:rPr>
        <w:t xml:space="preserve"> </w:t>
      </w:r>
      <w:r w:rsidRPr="00E325D0">
        <w:rPr>
          <w:rFonts w:ascii="Times New Roman" w:hAnsi="Times New Roman" w:cs="Times New Roman"/>
          <w:sz w:val="24"/>
          <w:szCs w:val="24"/>
        </w:rPr>
        <w:t xml:space="preserve">As with all EU events and activities now, social media plays an important role in facilitating the public outreach and engagement, as was the case for EUSEW13. This project chose to focus its attention on the Twitter account ‘EU Energy Week’, username @euenergyweek. Energy Week was conceived as a platform to profile and reward excellence in the field of sustainable energy. From its inception in 2009, the initiative was organised by the EU to ‘encourage a bottom-up approach’, in line with the EU’s broader goals of making itself more accessible and transparent to its citizens and stakeholders. While the events are primarily focused on the EU, the EUSEW is designed to involve participants from non-EU partners, and although the primary focus of EUSEW is on sustainability, we can see from the EU’s press releases evidence that the EU’s ‘normative energy triangle’ of frames is embedded throughout: </w:t>
      </w:r>
      <w:r w:rsidRPr="00E325D0">
        <w:rPr>
          <w:rFonts w:ascii="Times New Roman" w:hAnsi="Times New Roman" w:cs="Times New Roman"/>
          <w:i/>
          <w:iCs/>
          <w:sz w:val="24"/>
          <w:szCs w:val="24"/>
        </w:rPr>
        <w:t>sustainability</w:t>
      </w:r>
      <w:r w:rsidRPr="00E325D0">
        <w:rPr>
          <w:rFonts w:ascii="Times New Roman" w:hAnsi="Times New Roman" w:cs="Times New Roman"/>
          <w:sz w:val="24"/>
          <w:szCs w:val="24"/>
        </w:rPr>
        <w:t xml:space="preserve"> is highlighted but the benefits of this for economic growth and </w:t>
      </w:r>
      <w:r w:rsidRPr="00E325D0">
        <w:rPr>
          <w:rFonts w:ascii="Times New Roman" w:hAnsi="Times New Roman" w:cs="Times New Roman"/>
          <w:i/>
          <w:iCs/>
          <w:sz w:val="24"/>
          <w:szCs w:val="24"/>
        </w:rPr>
        <w:t>competitiveness</w:t>
      </w:r>
      <w:r w:rsidRPr="00E325D0">
        <w:rPr>
          <w:rFonts w:ascii="Times New Roman" w:hAnsi="Times New Roman" w:cs="Times New Roman"/>
          <w:sz w:val="24"/>
          <w:szCs w:val="24"/>
        </w:rPr>
        <w:t xml:space="preserve"> are routinely noted, as are alternative energy sources which can help </w:t>
      </w:r>
      <w:r w:rsidRPr="00E325D0">
        <w:rPr>
          <w:rFonts w:ascii="Times New Roman" w:hAnsi="Times New Roman" w:cs="Times New Roman"/>
          <w:i/>
          <w:iCs/>
          <w:sz w:val="24"/>
          <w:szCs w:val="24"/>
        </w:rPr>
        <w:t>secure</w:t>
      </w:r>
      <w:r w:rsidRPr="00E325D0">
        <w:rPr>
          <w:rFonts w:ascii="Times New Roman" w:hAnsi="Times New Roman" w:cs="Times New Roman"/>
          <w:sz w:val="24"/>
          <w:szCs w:val="24"/>
        </w:rPr>
        <w:t xml:space="preserve"> Europe’s energy future (see </w:t>
      </w:r>
      <w:hyperlink r:id="rId9" w:history="1">
        <w:r w:rsidR="00C2101E" w:rsidRPr="002C4D3F">
          <w:rPr>
            <w:rStyle w:val="Hyperlink"/>
            <w:rFonts w:ascii="Times New Roman" w:hAnsi="Times New Roman" w:cs="Times New Roman"/>
            <w:sz w:val="24"/>
            <w:szCs w:val="24"/>
          </w:rPr>
          <w:t>http://europa.eu/rapid/press-release_MEMO-13-596_en.htm</w:t>
        </w:r>
      </w:hyperlink>
      <w:r w:rsidRPr="00E325D0">
        <w:rPr>
          <w:rFonts w:ascii="Times New Roman" w:hAnsi="Times New Roman" w:cs="Times New Roman"/>
          <w:sz w:val="24"/>
          <w:szCs w:val="24"/>
        </w:rPr>
        <w:t>).</w:t>
      </w:r>
      <w:r w:rsidR="00C2101E">
        <w:rPr>
          <w:rFonts w:ascii="Times New Roman" w:hAnsi="Times New Roman" w:cs="Times New Roman"/>
          <w:sz w:val="24"/>
          <w:szCs w:val="24"/>
        </w:rPr>
        <w:t xml:space="preserve"> </w:t>
      </w:r>
    </w:p>
    <w:p w14:paraId="3873AED7" w14:textId="77777777" w:rsidR="00C2101E" w:rsidRPr="00625C61" w:rsidRDefault="00C2101E" w:rsidP="00E325D0">
      <w:pPr>
        <w:spacing w:line="480" w:lineRule="auto"/>
        <w:contextualSpacing/>
        <w:rPr>
          <w:rFonts w:ascii="Times New Roman" w:hAnsi="Times New Roman" w:cs="Times New Roman"/>
          <w:sz w:val="24"/>
          <w:szCs w:val="24"/>
        </w:rPr>
      </w:pPr>
    </w:p>
    <w:p w14:paraId="12456572" w14:textId="77777777" w:rsidR="00B20357" w:rsidRPr="00625C61" w:rsidRDefault="00B20357" w:rsidP="00E325D0">
      <w:pPr>
        <w:spacing w:line="480" w:lineRule="auto"/>
        <w:contextualSpacing/>
        <w:rPr>
          <w:rFonts w:ascii="Times New Roman" w:hAnsi="Times New Roman" w:cs="Times New Roman"/>
          <w:bCs/>
          <w:i/>
          <w:iCs/>
          <w:sz w:val="24"/>
          <w:szCs w:val="24"/>
        </w:rPr>
      </w:pPr>
      <w:r w:rsidRPr="00625C61">
        <w:rPr>
          <w:rFonts w:ascii="Times New Roman" w:hAnsi="Times New Roman" w:cs="Times New Roman"/>
          <w:bCs/>
          <w:i/>
          <w:iCs/>
          <w:sz w:val="24"/>
          <w:szCs w:val="24"/>
        </w:rPr>
        <w:t>Projection</w:t>
      </w:r>
    </w:p>
    <w:p w14:paraId="0B51819C" w14:textId="08AC66BC" w:rsidR="00B20357" w:rsidRPr="00E325D0" w:rsidRDefault="00B20357" w:rsidP="00E325D0">
      <w:pPr>
        <w:spacing w:line="480" w:lineRule="auto"/>
        <w:contextualSpacing/>
        <w:rPr>
          <w:rFonts w:ascii="Times New Roman" w:hAnsi="Times New Roman" w:cs="Times New Roman"/>
          <w:sz w:val="24"/>
          <w:szCs w:val="24"/>
        </w:rPr>
      </w:pPr>
      <w:r w:rsidRPr="00E325D0">
        <w:rPr>
          <w:rFonts w:ascii="Times New Roman" w:hAnsi="Times New Roman" w:cs="Times New Roman"/>
          <w:sz w:val="24"/>
          <w:szCs w:val="24"/>
        </w:rPr>
        <w:t xml:space="preserve">Insight into who communicates the position is one of the key elements in the analysis of the projection element of a strategic narrative. We first identified the authors of EUSEW tweets as this category highlights </w:t>
      </w:r>
      <w:r w:rsidRPr="00E325D0">
        <w:rPr>
          <w:rFonts w:ascii="Times New Roman" w:hAnsi="Times New Roman" w:cs="Times New Roman"/>
          <w:i/>
          <w:iCs/>
          <w:sz w:val="24"/>
          <w:szCs w:val="24"/>
        </w:rPr>
        <w:t>who</w:t>
      </w:r>
      <w:r w:rsidRPr="00E325D0">
        <w:rPr>
          <w:rFonts w:ascii="Times New Roman" w:hAnsi="Times New Roman" w:cs="Times New Roman"/>
          <w:sz w:val="24"/>
          <w:szCs w:val="24"/>
        </w:rPr>
        <w:t xml:space="preserve"> was speaking to/from the EU and which EU representatives were most vocal during this particular energy-related week. The findings can be seen in Figure </w:t>
      </w:r>
      <w:r w:rsidR="001A4E63">
        <w:rPr>
          <w:rFonts w:ascii="Times New Roman" w:hAnsi="Times New Roman" w:cs="Times New Roman"/>
          <w:sz w:val="24"/>
          <w:szCs w:val="24"/>
        </w:rPr>
        <w:t>1</w:t>
      </w:r>
      <w:r w:rsidRPr="00E325D0">
        <w:rPr>
          <w:rFonts w:ascii="Times New Roman" w:hAnsi="Times New Roman" w:cs="Times New Roman"/>
          <w:sz w:val="24"/>
          <w:szCs w:val="24"/>
        </w:rPr>
        <w:t>.</w:t>
      </w:r>
    </w:p>
    <w:p w14:paraId="50E6042E" w14:textId="77777777" w:rsidR="00B20357" w:rsidRPr="00E325D0" w:rsidRDefault="00B20357" w:rsidP="00E325D0">
      <w:pPr>
        <w:spacing w:line="480" w:lineRule="auto"/>
        <w:contextualSpacing/>
        <w:rPr>
          <w:rFonts w:ascii="Times New Roman" w:hAnsi="Times New Roman" w:cs="Times New Roman"/>
          <w:sz w:val="24"/>
          <w:szCs w:val="24"/>
        </w:rPr>
      </w:pPr>
    </w:p>
    <w:p w14:paraId="233B2FA1" w14:textId="5F5EB170" w:rsidR="00B20357" w:rsidRPr="00E325D0" w:rsidRDefault="00AC33C8" w:rsidP="00E325D0">
      <w:pPr>
        <w:spacing w:line="480" w:lineRule="auto"/>
        <w:contextualSpacing/>
        <w:rPr>
          <w:rFonts w:ascii="Times New Roman" w:hAnsi="Times New Roman" w:cs="Times New Roman"/>
          <w:sz w:val="24"/>
          <w:szCs w:val="24"/>
        </w:rPr>
      </w:pPr>
      <w:r>
        <w:rPr>
          <w:noProof/>
          <w:lang w:eastAsia="en-GB"/>
        </w:rPr>
        <w:drawing>
          <wp:inline distT="0" distB="0" distL="0" distR="0" wp14:anchorId="4EC9F66B" wp14:editId="33B7E461">
            <wp:extent cx="5760720" cy="3601681"/>
            <wp:effectExtent l="0" t="0" r="11430" b="1841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09F01F1" w14:textId="58EDE3BB" w:rsidR="00B20357" w:rsidRPr="00E325D0" w:rsidRDefault="00B20357" w:rsidP="00E325D0">
      <w:pPr>
        <w:spacing w:line="480" w:lineRule="auto"/>
        <w:contextualSpacing/>
        <w:rPr>
          <w:rFonts w:ascii="Times New Roman" w:hAnsi="Times New Roman" w:cs="Times New Roman"/>
          <w:b/>
          <w:bCs/>
          <w:sz w:val="24"/>
          <w:szCs w:val="24"/>
        </w:rPr>
      </w:pPr>
      <w:r w:rsidRPr="00E325D0">
        <w:rPr>
          <w:rFonts w:ascii="Times New Roman" w:hAnsi="Times New Roman" w:cs="Times New Roman"/>
          <w:b/>
          <w:bCs/>
          <w:sz w:val="24"/>
          <w:szCs w:val="24"/>
        </w:rPr>
        <w:t xml:space="preserve">Figure </w:t>
      </w:r>
      <w:r w:rsidR="001A4E63">
        <w:rPr>
          <w:rFonts w:ascii="Times New Roman" w:hAnsi="Times New Roman" w:cs="Times New Roman"/>
          <w:b/>
          <w:bCs/>
          <w:sz w:val="24"/>
          <w:szCs w:val="24"/>
        </w:rPr>
        <w:t>1</w:t>
      </w:r>
      <w:r w:rsidRPr="00E325D0">
        <w:rPr>
          <w:rFonts w:ascii="Times New Roman" w:hAnsi="Times New Roman" w:cs="Times New Roman"/>
          <w:b/>
          <w:bCs/>
          <w:sz w:val="24"/>
          <w:szCs w:val="24"/>
        </w:rPr>
        <w:t>: Author Categories of EUSEW Tweets</w:t>
      </w:r>
    </w:p>
    <w:p w14:paraId="5F1A34D8" w14:textId="77777777" w:rsidR="00B20357" w:rsidRPr="00E325D0" w:rsidRDefault="00B20357" w:rsidP="00E325D0">
      <w:pPr>
        <w:spacing w:line="480" w:lineRule="auto"/>
        <w:contextualSpacing/>
        <w:rPr>
          <w:rFonts w:ascii="Times New Roman" w:hAnsi="Times New Roman" w:cs="Times New Roman"/>
          <w:sz w:val="24"/>
          <w:szCs w:val="24"/>
        </w:rPr>
      </w:pPr>
    </w:p>
    <w:p w14:paraId="0B6A2873" w14:textId="3F97F7E1" w:rsidR="00B20357" w:rsidRPr="00E325D0" w:rsidRDefault="00B20357" w:rsidP="00E325D0">
      <w:pPr>
        <w:spacing w:line="480" w:lineRule="auto"/>
        <w:contextualSpacing/>
        <w:rPr>
          <w:rFonts w:ascii="Times New Roman" w:hAnsi="Times New Roman" w:cs="Times New Roman"/>
          <w:sz w:val="24"/>
          <w:szCs w:val="24"/>
        </w:rPr>
      </w:pPr>
      <w:r w:rsidRPr="00E325D0">
        <w:rPr>
          <w:rFonts w:ascii="Times New Roman" w:hAnsi="Times New Roman" w:cs="Times New Roman"/>
          <w:sz w:val="24"/>
          <w:szCs w:val="24"/>
        </w:rPr>
        <w:t xml:space="preserve">Figure </w:t>
      </w:r>
      <w:r w:rsidR="001A4E63">
        <w:rPr>
          <w:rFonts w:ascii="Times New Roman" w:hAnsi="Times New Roman" w:cs="Times New Roman"/>
          <w:sz w:val="24"/>
          <w:szCs w:val="24"/>
        </w:rPr>
        <w:t>1</w:t>
      </w:r>
      <w:r w:rsidRPr="00E325D0">
        <w:rPr>
          <w:rFonts w:ascii="Times New Roman" w:hAnsi="Times New Roman" w:cs="Times New Roman"/>
          <w:sz w:val="24"/>
          <w:szCs w:val="24"/>
        </w:rPr>
        <w:t xml:space="preserve"> gives some insights into the nature of the conversation on the EUSEW. Interest groups – a category that included lobbyists, think tanks and consultancies – dominated the Twitter conversation during our period of analysis. This result is unsurprising since these organisations and groups often have dedicated Public Relations (PR) and communication staff as well as social media managers and are thus e</w:t>
      </w:r>
      <w:r w:rsidR="007A3733">
        <w:rPr>
          <w:rFonts w:ascii="Times New Roman" w:hAnsi="Times New Roman" w:cs="Times New Roman"/>
          <w:sz w:val="24"/>
          <w:szCs w:val="24"/>
        </w:rPr>
        <w:t>ffective social media ‘players’, and</w:t>
      </w:r>
      <w:r w:rsidRPr="00E325D0">
        <w:rPr>
          <w:rFonts w:ascii="Times New Roman" w:hAnsi="Times New Roman" w:cs="Times New Roman"/>
          <w:sz w:val="24"/>
          <w:szCs w:val="24"/>
        </w:rPr>
        <w:t xml:space="preserve"> the EU has </w:t>
      </w:r>
      <w:r w:rsidRPr="00E325D0">
        <w:rPr>
          <w:rFonts w:ascii="Times New Roman" w:hAnsi="Times New Roman" w:cs="Times New Roman"/>
          <w:sz w:val="24"/>
          <w:szCs w:val="24"/>
        </w:rPr>
        <w:lastRenderedPageBreak/>
        <w:t xml:space="preserve">one of the most complex and strong lobby environments in the world, with an estimated 30,000 lobbyists working to influence legislation in Brussels (Traynor, 2014). </w:t>
      </w:r>
    </w:p>
    <w:p w14:paraId="158B1C31" w14:textId="28CD5BE7" w:rsidR="00B20357" w:rsidRPr="00E325D0" w:rsidRDefault="00B20357" w:rsidP="00E325D0">
      <w:pPr>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 xml:space="preserve">Notable is both the limited number of EU-related authors and the relatively high volume of ‘ordinary citizens’ involved in the conversation. While the numbers are much smaller than the combined lobby numbers, still the above chart does indicate that there is a level of engagement with the EU by ordinary, interested people. We argue that this </w:t>
      </w:r>
      <w:r w:rsidR="00C31924">
        <w:rPr>
          <w:rFonts w:ascii="Times New Roman" w:hAnsi="Times New Roman" w:cs="Times New Roman"/>
          <w:sz w:val="24"/>
          <w:szCs w:val="24"/>
        </w:rPr>
        <w:t xml:space="preserve">result </w:t>
      </w:r>
      <w:r w:rsidRPr="00E325D0">
        <w:rPr>
          <w:rFonts w:ascii="Times New Roman" w:hAnsi="Times New Roman" w:cs="Times New Roman"/>
          <w:sz w:val="24"/>
          <w:szCs w:val="24"/>
        </w:rPr>
        <w:t>challenges the notion that the public are disengaged and disinterested in EU affairs</w:t>
      </w:r>
      <w:r w:rsidR="00C31924">
        <w:rPr>
          <w:rFonts w:ascii="Times New Roman" w:hAnsi="Times New Roman" w:cs="Times New Roman"/>
          <w:sz w:val="24"/>
          <w:szCs w:val="24"/>
        </w:rPr>
        <w:t xml:space="preserve">. It also </w:t>
      </w:r>
      <w:r w:rsidRPr="00E325D0">
        <w:rPr>
          <w:rFonts w:ascii="Times New Roman" w:hAnsi="Times New Roman" w:cs="Times New Roman"/>
          <w:sz w:val="24"/>
          <w:szCs w:val="24"/>
        </w:rPr>
        <w:t>suggest</w:t>
      </w:r>
      <w:r w:rsidR="00C31924">
        <w:rPr>
          <w:rFonts w:ascii="Times New Roman" w:hAnsi="Times New Roman" w:cs="Times New Roman"/>
          <w:sz w:val="24"/>
          <w:szCs w:val="24"/>
        </w:rPr>
        <w:t>s</w:t>
      </w:r>
      <w:r w:rsidRPr="00E325D0">
        <w:rPr>
          <w:rFonts w:ascii="Times New Roman" w:hAnsi="Times New Roman" w:cs="Times New Roman"/>
          <w:sz w:val="24"/>
          <w:szCs w:val="24"/>
        </w:rPr>
        <w:t xml:space="preserve"> that the narrative of ‘Sustainable Energy Europe’ is indeed appealing to citizens.</w:t>
      </w:r>
      <w:r>
        <w:rPr>
          <w:rFonts w:ascii="Times New Roman" w:hAnsi="Times New Roman" w:cs="Times New Roman"/>
          <w:sz w:val="24"/>
          <w:szCs w:val="24"/>
        </w:rPr>
        <w:t xml:space="preserve"> </w:t>
      </w:r>
    </w:p>
    <w:p w14:paraId="6E8194F9" w14:textId="0F446BC2" w:rsidR="00B20357" w:rsidRPr="00E325D0" w:rsidRDefault="00B20357" w:rsidP="00E325D0">
      <w:pPr>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Twitter offers perhaps the most direct form of democratic engagement for citizens interested in EU politics</w:t>
      </w:r>
      <w:r w:rsidR="00C31924">
        <w:rPr>
          <w:rFonts w:ascii="Times New Roman" w:hAnsi="Times New Roman" w:cs="Times New Roman"/>
          <w:sz w:val="24"/>
          <w:szCs w:val="24"/>
        </w:rPr>
        <w:t xml:space="preserve"> –</w:t>
      </w:r>
      <w:r w:rsidRPr="00E325D0">
        <w:rPr>
          <w:rFonts w:ascii="Times New Roman" w:hAnsi="Times New Roman" w:cs="Times New Roman"/>
          <w:sz w:val="24"/>
          <w:szCs w:val="24"/>
        </w:rPr>
        <w:t xml:space="preserve"> a space where individuals can genuinely engage in a one-on-one basis with political matters. However, mass media (individual journalists and news outlets) do not appear to share that interest or engagement. In this example, we see a replication in the social media world of a problem the EU has long suffered in the mass mediated world: a lack of interest by the mainstream media in its supposedly complex and bureaucratic affairs (Burton, 2005). </w:t>
      </w:r>
    </w:p>
    <w:p w14:paraId="4ACD917E" w14:textId="430ECE05" w:rsidR="00B20357" w:rsidRDefault="00B20357" w:rsidP="00E325D0">
      <w:pPr>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 xml:space="preserve">Projection was also examined on the level of the selected communication highlights </w:t>
      </w:r>
      <w:r w:rsidR="0078758D">
        <w:rPr>
          <w:rFonts w:ascii="Times New Roman" w:hAnsi="Times New Roman" w:cs="Times New Roman"/>
          <w:sz w:val="24"/>
          <w:szCs w:val="24"/>
        </w:rPr>
        <w:t>–</w:t>
      </w:r>
      <w:r w:rsidRPr="00E325D0">
        <w:rPr>
          <w:rFonts w:ascii="Times New Roman" w:hAnsi="Times New Roman" w:cs="Times New Roman"/>
          <w:sz w:val="24"/>
          <w:szCs w:val="24"/>
        </w:rPr>
        <w:t xml:space="preserve"> frames </w:t>
      </w:r>
      <w:r w:rsidR="0078758D">
        <w:rPr>
          <w:rFonts w:ascii="Times New Roman" w:hAnsi="Times New Roman" w:cs="Times New Roman"/>
          <w:sz w:val="24"/>
          <w:szCs w:val="24"/>
        </w:rPr>
        <w:t>–</w:t>
      </w:r>
      <w:r w:rsidRPr="00E325D0">
        <w:rPr>
          <w:rFonts w:ascii="Times New Roman" w:hAnsi="Times New Roman" w:cs="Times New Roman"/>
          <w:sz w:val="24"/>
          <w:szCs w:val="24"/>
        </w:rPr>
        <w:t xml:space="preserve"> that surfaced when communications on the EU energy </w:t>
      </w:r>
      <w:r w:rsidR="00CB5841">
        <w:rPr>
          <w:rFonts w:ascii="Times New Roman" w:hAnsi="Times New Roman" w:cs="Times New Roman"/>
          <w:sz w:val="24"/>
          <w:szCs w:val="24"/>
        </w:rPr>
        <w:t xml:space="preserve">issues </w:t>
      </w:r>
      <w:r w:rsidRPr="00E325D0">
        <w:rPr>
          <w:rFonts w:ascii="Times New Roman" w:hAnsi="Times New Roman" w:cs="Times New Roman"/>
          <w:sz w:val="24"/>
          <w:szCs w:val="24"/>
        </w:rPr>
        <w:t xml:space="preserve">took place (Figure </w:t>
      </w:r>
      <w:r w:rsidR="001A4E63">
        <w:rPr>
          <w:rFonts w:ascii="Times New Roman" w:hAnsi="Times New Roman" w:cs="Times New Roman"/>
          <w:sz w:val="24"/>
          <w:szCs w:val="24"/>
        </w:rPr>
        <w:t>2</w:t>
      </w:r>
      <w:r w:rsidRPr="00E325D0">
        <w:rPr>
          <w:rFonts w:ascii="Times New Roman" w:hAnsi="Times New Roman" w:cs="Times New Roman"/>
          <w:sz w:val="24"/>
          <w:szCs w:val="24"/>
        </w:rPr>
        <w:t xml:space="preserve">). Importantly, even in a conversational space as limited as Twitter, discussions of politics and </w:t>
      </w:r>
      <w:r w:rsidR="00CB5841">
        <w:rPr>
          <w:rFonts w:ascii="Times New Roman" w:hAnsi="Times New Roman" w:cs="Times New Roman"/>
          <w:sz w:val="24"/>
          <w:szCs w:val="24"/>
        </w:rPr>
        <w:t>economy</w:t>
      </w:r>
      <w:r w:rsidR="00CB5841" w:rsidRPr="00E325D0">
        <w:rPr>
          <w:rFonts w:ascii="Times New Roman" w:hAnsi="Times New Roman" w:cs="Times New Roman"/>
          <w:sz w:val="24"/>
          <w:szCs w:val="24"/>
        </w:rPr>
        <w:t xml:space="preserve"> </w:t>
      </w:r>
      <w:r w:rsidRPr="00E325D0">
        <w:rPr>
          <w:rFonts w:ascii="Times New Roman" w:hAnsi="Times New Roman" w:cs="Times New Roman"/>
          <w:sz w:val="24"/>
          <w:szCs w:val="24"/>
        </w:rPr>
        <w:t xml:space="preserve">were seldom discussed as single issues and multiple frames were observed in individual examples. </w:t>
      </w:r>
    </w:p>
    <w:p w14:paraId="2F7A3AB4" w14:textId="2A026F23" w:rsidR="00C2101E" w:rsidRPr="00E325D0" w:rsidRDefault="00C2101E" w:rsidP="00C2101E">
      <w:pPr>
        <w:spacing w:line="480" w:lineRule="auto"/>
        <w:ind w:firstLine="720"/>
        <w:contextualSpacing/>
        <w:jc w:val="center"/>
        <w:rPr>
          <w:rFonts w:ascii="Times New Roman" w:hAnsi="Times New Roman" w:cs="Times New Roman"/>
          <w:sz w:val="24"/>
          <w:szCs w:val="24"/>
        </w:rPr>
      </w:pPr>
      <w:r>
        <w:rPr>
          <w:rFonts w:ascii="Times New Roman" w:hAnsi="Times New Roman" w:cs="Times New Roman"/>
          <w:sz w:val="24"/>
          <w:szCs w:val="24"/>
        </w:rPr>
        <w:t xml:space="preserve">[Figure </w:t>
      </w:r>
      <w:r w:rsidR="001A4E63">
        <w:rPr>
          <w:rFonts w:ascii="Times New Roman" w:hAnsi="Times New Roman" w:cs="Times New Roman"/>
          <w:sz w:val="24"/>
          <w:szCs w:val="24"/>
        </w:rPr>
        <w:t>2</w:t>
      </w:r>
      <w:r>
        <w:rPr>
          <w:rFonts w:ascii="Times New Roman" w:hAnsi="Times New Roman" w:cs="Times New Roman"/>
          <w:sz w:val="24"/>
          <w:szCs w:val="24"/>
        </w:rPr>
        <w:t xml:space="preserve"> about here]</w:t>
      </w:r>
    </w:p>
    <w:p w14:paraId="6828A1E9" w14:textId="77777777" w:rsidR="00B20357" w:rsidRPr="00E325D0" w:rsidRDefault="00B20357" w:rsidP="00E325D0">
      <w:pPr>
        <w:spacing w:line="480" w:lineRule="auto"/>
        <w:contextualSpacing/>
        <w:rPr>
          <w:rFonts w:ascii="Times New Roman" w:hAnsi="Times New Roman" w:cs="Times New Roman"/>
          <w:sz w:val="24"/>
          <w:szCs w:val="24"/>
        </w:rPr>
      </w:pPr>
    </w:p>
    <w:p w14:paraId="40AE6AA3" w14:textId="3A6E499D" w:rsidR="00B20357" w:rsidRDefault="00B20357" w:rsidP="00E325D0">
      <w:pPr>
        <w:spacing w:line="480" w:lineRule="auto"/>
        <w:contextualSpacing/>
        <w:rPr>
          <w:rFonts w:ascii="Times New Roman" w:hAnsi="Times New Roman" w:cs="Times New Roman"/>
          <w:b/>
          <w:bCs/>
          <w:sz w:val="24"/>
          <w:szCs w:val="24"/>
        </w:rPr>
      </w:pPr>
      <w:r w:rsidRPr="00E325D0">
        <w:rPr>
          <w:rFonts w:ascii="Times New Roman" w:hAnsi="Times New Roman" w:cs="Times New Roman"/>
          <w:b/>
          <w:bCs/>
          <w:sz w:val="24"/>
          <w:szCs w:val="24"/>
        </w:rPr>
        <w:t xml:space="preserve">Figure </w:t>
      </w:r>
      <w:r w:rsidR="001A4E63">
        <w:rPr>
          <w:rFonts w:ascii="Times New Roman" w:hAnsi="Times New Roman" w:cs="Times New Roman"/>
          <w:b/>
          <w:bCs/>
          <w:sz w:val="24"/>
          <w:szCs w:val="24"/>
        </w:rPr>
        <w:t>2</w:t>
      </w:r>
      <w:r w:rsidRPr="00E325D0">
        <w:rPr>
          <w:rFonts w:ascii="Times New Roman" w:hAnsi="Times New Roman" w:cs="Times New Roman"/>
          <w:b/>
          <w:bCs/>
          <w:sz w:val="24"/>
          <w:szCs w:val="24"/>
        </w:rPr>
        <w:t>: Frames of communications in EUSEW Tweets</w:t>
      </w:r>
    </w:p>
    <w:p w14:paraId="49F2204E" w14:textId="68CE388F" w:rsidR="00C2101E" w:rsidRDefault="00C2101E" w:rsidP="00E325D0">
      <w:pPr>
        <w:spacing w:line="480" w:lineRule="auto"/>
        <w:contextualSpacing/>
        <w:rPr>
          <w:rFonts w:ascii="Times New Roman" w:hAnsi="Times New Roman" w:cs="Times New Roman"/>
          <w:b/>
          <w:bCs/>
          <w:sz w:val="24"/>
          <w:szCs w:val="24"/>
        </w:rPr>
      </w:pPr>
      <w:r w:rsidRPr="002F092D">
        <w:rPr>
          <w:rFonts w:asciiTheme="majorHAnsi" w:hAnsiTheme="majorHAnsi"/>
          <w:noProof/>
          <w:lang w:eastAsia="en-GB"/>
        </w:rPr>
        <w:lastRenderedPageBreak/>
        <w:drawing>
          <wp:inline distT="0" distB="0" distL="0" distR="0" wp14:anchorId="4A5CB930" wp14:editId="132CE902">
            <wp:extent cx="4572000" cy="27432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E3DCE38" w14:textId="77777777" w:rsidR="00B20357" w:rsidRPr="00E325D0" w:rsidRDefault="00B20357" w:rsidP="00E325D0">
      <w:pPr>
        <w:spacing w:line="480" w:lineRule="auto"/>
        <w:contextualSpacing/>
        <w:rPr>
          <w:rFonts w:ascii="Times New Roman" w:hAnsi="Times New Roman" w:cs="Times New Roman"/>
          <w:sz w:val="24"/>
          <w:szCs w:val="24"/>
        </w:rPr>
      </w:pPr>
    </w:p>
    <w:p w14:paraId="241D46D6" w14:textId="44E8009D" w:rsidR="00B20357" w:rsidRPr="00E325D0" w:rsidRDefault="00B20357" w:rsidP="00E325D0">
      <w:pPr>
        <w:spacing w:line="480" w:lineRule="auto"/>
        <w:contextualSpacing/>
        <w:rPr>
          <w:rFonts w:ascii="Times New Roman" w:hAnsi="Times New Roman" w:cs="Times New Roman"/>
          <w:sz w:val="24"/>
          <w:szCs w:val="24"/>
        </w:rPr>
      </w:pPr>
      <w:r w:rsidRPr="00E325D0">
        <w:rPr>
          <w:rFonts w:ascii="Times New Roman" w:hAnsi="Times New Roman" w:cs="Times New Roman"/>
          <w:sz w:val="24"/>
          <w:szCs w:val="24"/>
        </w:rPr>
        <w:t xml:space="preserve">A predominance of business and political </w:t>
      </w:r>
      <w:r w:rsidR="007D68E7">
        <w:rPr>
          <w:rFonts w:ascii="Times New Roman" w:hAnsi="Times New Roman" w:cs="Times New Roman"/>
          <w:sz w:val="24"/>
          <w:szCs w:val="24"/>
        </w:rPr>
        <w:t>concerns is again, unsurprising. B</w:t>
      </w:r>
      <w:r w:rsidRPr="00E325D0">
        <w:rPr>
          <w:rFonts w:ascii="Times New Roman" w:hAnsi="Times New Roman" w:cs="Times New Roman"/>
          <w:sz w:val="24"/>
          <w:szCs w:val="24"/>
        </w:rPr>
        <w:t xml:space="preserve">ut </w:t>
      </w:r>
      <w:r w:rsidR="007D68E7">
        <w:rPr>
          <w:rFonts w:ascii="Times New Roman" w:hAnsi="Times New Roman" w:cs="Times New Roman"/>
          <w:sz w:val="24"/>
          <w:szCs w:val="24"/>
        </w:rPr>
        <w:t xml:space="preserve">it is noteworthy that there </w:t>
      </w:r>
      <w:r w:rsidR="00D9690A">
        <w:rPr>
          <w:rFonts w:ascii="Times New Roman" w:hAnsi="Times New Roman" w:cs="Times New Roman"/>
          <w:sz w:val="24"/>
          <w:szCs w:val="24"/>
        </w:rPr>
        <w:t>were only limited volumes</w:t>
      </w:r>
      <w:r w:rsidRPr="00E325D0">
        <w:rPr>
          <w:rFonts w:ascii="Times New Roman" w:hAnsi="Times New Roman" w:cs="Times New Roman"/>
          <w:sz w:val="24"/>
          <w:szCs w:val="24"/>
        </w:rPr>
        <w:t xml:space="preserve"> of climate change and environmental concern apparent </w:t>
      </w:r>
      <w:r w:rsidR="00CB5841">
        <w:rPr>
          <w:rFonts w:ascii="Times New Roman" w:hAnsi="Times New Roman" w:cs="Times New Roman"/>
          <w:sz w:val="24"/>
          <w:szCs w:val="24"/>
        </w:rPr>
        <w:t xml:space="preserve">when </w:t>
      </w:r>
      <w:r w:rsidRPr="00E325D0">
        <w:rPr>
          <w:rFonts w:ascii="Times New Roman" w:hAnsi="Times New Roman" w:cs="Times New Roman"/>
          <w:sz w:val="24"/>
          <w:szCs w:val="24"/>
        </w:rPr>
        <w:t>EU positions were communic</w:t>
      </w:r>
      <w:r w:rsidR="007D68E7">
        <w:rPr>
          <w:rFonts w:ascii="Times New Roman" w:hAnsi="Times New Roman" w:cs="Times New Roman"/>
          <w:sz w:val="24"/>
          <w:szCs w:val="24"/>
        </w:rPr>
        <w:t>ated in the Tweets</w:t>
      </w:r>
      <w:r w:rsidRPr="00E325D0">
        <w:rPr>
          <w:rFonts w:ascii="Times New Roman" w:hAnsi="Times New Roman" w:cs="Times New Roman"/>
          <w:sz w:val="24"/>
          <w:szCs w:val="24"/>
        </w:rPr>
        <w:t xml:space="preserve">. It indicates that when the EU’s energy </w:t>
      </w:r>
      <w:r w:rsidR="002C3CE4">
        <w:rPr>
          <w:rFonts w:ascii="Times New Roman" w:hAnsi="Times New Roman" w:cs="Times New Roman"/>
          <w:sz w:val="24"/>
          <w:szCs w:val="24"/>
        </w:rPr>
        <w:t>matters</w:t>
      </w:r>
      <w:r w:rsidR="002C3CE4" w:rsidRPr="00E325D0">
        <w:rPr>
          <w:rFonts w:ascii="Times New Roman" w:hAnsi="Times New Roman" w:cs="Times New Roman"/>
          <w:sz w:val="24"/>
          <w:szCs w:val="24"/>
        </w:rPr>
        <w:t xml:space="preserve"> </w:t>
      </w:r>
      <w:r w:rsidRPr="00E325D0">
        <w:rPr>
          <w:rFonts w:ascii="Times New Roman" w:hAnsi="Times New Roman" w:cs="Times New Roman"/>
          <w:sz w:val="24"/>
          <w:szCs w:val="24"/>
        </w:rPr>
        <w:t xml:space="preserve">are discussed, the political and economic advantages or challenges posed by its energy </w:t>
      </w:r>
      <w:r w:rsidR="00CB5841">
        <w:rPr>
          <w:rFonts w:ascii="Times New Roman" w:hAnsi="Times New Roman" w:cs="Times New Roman"/>
          <w:sz w:val="24"/>
          <w:szCs w:val="24"/>
        </w:rPr>
        <w:t>actions</w:t>
      </w:r>
      <w:r w:rsidR="002C3CE4" w:rsidRPr="00E325D0">
        <w:rPr>
          <w:rFonts w:ascii="Times New Roman" w:hAnsi="Times New Roman" w:cs="Times New Roman"/>
          <w:sz w:val="24"/>
          <w:szCs w:val="24"/>
        </w:rPr>
        <w:t xml:space="preserve"> </w:t>
      </w:r>
      <w:r w:rsidRPr="00E325D0">
        <w:rPr>
          <w:rFonts w:ascii="Times New Roman" w:hAnsi="Times New Roman" w:cs="Times New Roman"/>
          <w:sz w:val="24"/>
          <w:szCs w:val="24"/>
        </w:rPr>
        <w:t>strongly shape the conversation. These efforts then ultimately shape a normative agenda and we see the EU emerge as a leader in, for example, gender equality law. Perhaps a similar effort is under way in terms of shaping ‘Sustainable Energy Europe’ narrative. A normative strength emerges, but it uses economic pragmatism as the driver.</w:t>
      </w:r>
    </w:p>
    <w:p w14:paraId="549396BC" w14:textId="77777777" w:rsidR="00B20357" w:rsidRPr="00E325D0" w:rsidRDefault="00B20357" w:rsidP="00E325D0">
      <w:pPr>
        <w:spacing w:line="480" w:lineRule="auto"/>
        <w:contextualSpacing/>
        <w:rPr>
          <w:rFonts w:ascii="Times New Roman" w:hAnsi="Times New Roman" w:cs="Times New Roman"/>
          <w:b/>
          <w:bCs/>
          <w:sz w:val="24"/>
          <w:szCs w:val="24"/>
        </w:rPr>
      </w:pPr>
    </w:p>
    <w:p w14:paraId="3D0A8B7B" w14:textId="77777777" w:rsidR="00B20357" w:rsidRPr="00625C61" w:rsidRDefault="00B20357" w:rsidP="00E325D0">
      <w:pPr>
        <w:autoSpaceDE w:val="0"/>
        <w:autoSpaceDN w:val="0"/>
        <w:adjustRightInd w:val="0"/>
        <w:spacing w:line="480" w:lineRule="auto"/>
        <w:contextualSpacing/>
        <w:rPr>
          <w:rFonts w:ascii="Times New Roman" w:hAnsi="Times New Roman" w:cs="Times New Roman"/>
          <w:bCs/>
          <w:i/>
          <w:iCs/>
          <w:sz w:val="24"/>
          <w:szCs w:val="24"/>
        </w:rPr>
      </w:pPr>
      <w:r w:rsidRPr="00625C61">
        <w:rPr>
          <w:rFonts w:ascii="Times New Roman" w:hAnsi="Times New Roman" w:cs="Times New Roman"/>
          <w:bCs/>
          <w:i/>
          <w:iCs/>
          <w:sz w:val="24"/>
          <w:szCs w:val="24"/>
        </w:rPr>
        <w:t>Reception</w:t>
      </w:r>
    </w:p>
    <w:p w14:paraId="5895B7B6" w14:textId="365C5985" w:rsidR="00B20357" w:rsidRPr="00E325D0" w:rsidRDefault="00B20357" w:rsidP="00E325D0">
      <w:pPr>
        <w:pStyle w:val="CommentText"/>
        <w:spacing w:line="480" w:lineRule="auto"/>
        <w:contextualSpacing/>
        <w:rPr>
          <w:rFonts w:ascii="Times New Roman" w:hAnsi="Times New Roman" w:cs="Times New Roman"/>
          <w:sz w:val="24"/>
          <w:szCs w:val="24"/>
        </w:rPr>
      </w:pPr>
      <w:r w:rsidRPr="00E325D0">
        <w:rPr>
          <w:rFonts w:ascii="Times New Roman" w:hAnsi="Times New Roman" w:cs="Times New Roman"/>
          <w:sz w:val="24"/>
          <w:szCs w:val="24"/>
        </w:rPr>
        <w:t xml:space="preserve">Tracing the flow of communication further, this study found a significant share of RTs (over 900 in a 2560 size sample). The EU was not observed to tweet and then engage in </w:t>
      </w:r>
      <w:r w:rsidRPr="00E325D0">
        <w:rPr>
          <w:rFonts w:ascii="Times New Roman" w:hAnsi="Times New Roman" w:cs="Times New Roman"/>
          <w:i/>
          <w:sz w:val="24"/>
          <w:szCs w:val="24"/>
        </w:rPr>
        <w:t>discussion</w:t>
      </w:r>
      <w:r w:rsidRPr="00E325D0">
        <w:rPr>
          <w:rFonts w:ascii="Times New Roman" w:hAnsi="Times New Roman" w:cs="Times New Roman"/>
          <w:sz w:val="24"/>
          <w:szCs w:val="24"/>
        </w:rPr>
        <w:t xml:space="preserve"> in this particular case. Empirical observations instead bring forward a p</w:t>
      </w:r>
      <w:r w:rsidR="007D68E7">
        <w:rPr>
          <w:rFonts w:ascii="Times New Roman" w:hAnsi="Times New Roman" w:cs="Times New Roman"/>
          <w:sz w:val="24"/>
          <w:szCs w:val="24"/>
        </w:rPr>
        <w:t xml:space="preserve">romotional, shouting or </w:t>
      </w:r>
      <w:r w:rsidRPr="00E325D0">
        <w:rPr>
          <w:rFonts w:ascii="Times New Roman" w:hAnsi="Times New Roman" w:cs="Times New Roman"/>
          <w:sz w:val="24"/>
          <w:szCs w:val="24"/>
        </w:rPr>
        <w:t>sharing type of conversation on Twitter around EUSEW – one</w:t>
      </w:r>
      <w:r w:rsidR="0078758D">
        <w:rPr>
          <w:rFonts w:ascii="Times New Roman" w:hAnsi="Times New Roman" w:cs="Times New Roman"/>
          <w:sz w:val="24"/>
          <w:szCs w:val="24"/>
        </w:rPr>
        <w:t>-</w:t>
      </w:r>
      <w:r w:rsidRPr="00E325D0">
        <w:rPr>
          <w:rFonts w:ascii="Times New Roman" w:hAnsi="Times New Roman" w:cs="Times New Roman"/>
          <w:sz w:val="24"/>
          <w:szCs w:val="24"/>
        </w:rPr>
        <w:t xml:space="preserve">off </w:t>
      </w:r>
      <w:r w:rsidR="00C87BC1" w:rsidRPr="00E325D0">
        <w:rPr>
          <w:rFonts w:ascii="Times New Roman" w:hAnsi="Times New Roman" w:cs="Times New Roman"/>
          <w:sz w:val="24"/>
          <w:szCs w:val="24"/>
        </w:rPr>
        <w:t>comments that</w:t>
      </w:r>
      <w:r w:rsidRPr="00E325D0">
        <w:rPr>
          <w:rFonts w:ascii="Times New Roman" w:hAnsi="Times New Roman" w:cs="Times New Roman"/>
          <w:sz w:val="24"/>
          <w:szCs w:val="24"/>
        </w:rPr>
        <w:t xml:space="preserve"> were communicated and sometimes shared (retweeted). This phenomenon is relatively typical on Twitter, owing to its particular </w:t>
      </w:r>
      <w:r w:rsidR="00C87BC1" w:rsidRPr="00E325D0">
        <w:rPr>
          <w:rFonts w:ascii="Times New Roman" w:hAnsi="Times New Roman" w:cs="Times New Roman"/>
          <w:sz w:val="24"/>
          <w:szCs w:val="24"/>
        </w:rPr>
        <w:t>structure that</w:t>
      </w:r>
      <w:r w:rsidRPr="00E325D0">
        <w:rPr>
          <w:rFonts w:ascii="Times New Roman" w:hAnsi="Times New Roman" w:cs="Times New Roman"/>
          <w:sz w:val="24"/>
          <w:szCs w:val="24"/>
        </w:rPr>
        <w:t xml:space="preserve"> disperses conversation through an often diverse network (boyd et al, 2010). In their study of the conversational patterns on Twitter, boyd et al </w:t>
      </w:r>
      <w:r w:rsidRPr="00E325D0">
        <w:rPr>
          <w:rFonts w:ascii="Times New Roman" w:hAnsi="Times New Roman" w:cs="Times New Roman"/>
          <w:sz w:val="24"/>
          <w:szCs w:val="24"/>
        </w:rPr>
        <w:lastRenderedPageBreak/>
        <w:t xml:space="preserve">have noted that in Twitter, ‘Many people may talk about a particular topic at once, such that others have a sense of being </w:t>
      </w:r>
      <w:r w:rsidRPr="00E325D0">
        <w:rPr>
          <w:rFonts w:ascii="Times New Roman" w:hAnsi="Times New Roman" w:cs="Times New Roman"/>
          <w:i/>
          <w:iCs/>
          <w:sz w:val="24"/>
          <w:szCs w:val="24"/>
        </w:rPr>
        <w:t>surrounded b</w:t>
      </w:r>
      <w:r w:rsidRPr="00E325D0">
        <w:rPr>
          <w:rFonts w:ascii="Times New Roman" w:hAnsi="Times New Roman" w:cs="Times New Roman"/>
          <w:sz w:val="24"/>
          <w:szCs w:val="24"/>
        </w:rPr>
        <w:t xml:space="preserve">y a conversation, despite perhaps not being an active contributor. The stream of messages provided by Twitter allows individuals to be peripherally aware without directly participating’ (2010, p. 1, emphasis added). This conceptualisation enables us to view retweeting as a form of information diffusion and participation and thus we view the ‘spreading and sharing’ of EUSEW tweets as more than just ‘throw away’ comments, but rather as an important way of validating the messages (boyd et al., 2010) and potentially engaging with others (who receive but may not distribute the messages themselves). </w:t>
      </w:r>
    </w:p>
    <w:p w14:paraId="0EACDC28" w14:textId="3726F751" w:rsidR="00B20357" w:rsidRPr="00E325D0" w:rsidRDefault="00B20357" w:rsidP="00E325D0">
      <w:pPr>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 xml:space="preserve">Another element in our analysis of reception was the actors who were under discussion. How visible were EU energy actors in the EUSEW Twitter dialogue? Which other actors were prominent and what does this tell us about how the EU is represented in social media conversations about energy policy? Figure </w:t>
      </w:r>
      <w:r w:rsidR="00B565A9">
        <w:rPr>
          <w:rFonts w:ascii="Times New Roman" w:hAnsi="Times New Roman" w:cs="Times New Roman"/>
          <w:sz w:val="24"/>
          <w:szCs w:val="24"/>
        </w:rPr>
        <w:t>3</w:t>
      </w:r>
      <w:r w:rsidRPr="00E325D0">
        <w:rPr>
          <w:rFonts w:ascii="Times New Roman" w:hAnsi="Times New Roman" w:cs="Times New Roman"/>
          <w:sz w:val="24"/>
          <w:szCs w:val="24"/>
        </w:rPr>
        <w:t xml:space="preserve">, below reflects the findings of this category. </w:t>
      </w:r>
    </w:p>
    <w:p w14:paraId="1886B670" w14:textId="0FE3257A" w:rsidR="00B20357" w:rsidRPr="00E325D0" w:rsidRDefault="00C2101E" w:rsidP="00C2101E">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[Figure </w:t>
      </w:r>
      <w:r w:rsidR="001A4E63">
        <w:rPr>
          <w:rFonts w:ascii="Times New Roman" w:hAnsi="Times New Roman" w:cs="Times New Roman"/>
          <w:sz w:val="24"/>
          <w:szCs w:val="24"/>
        </w:rPr>
        <w:t>3</w:t>
      </w:r>
      <w:r>
        <w:rPr>
          <w:rFonts w:ascii="Times New Roman" w:hAnsi="Times New Roman" w:cs="Times New Roman"/>
          <w:sz w:val="24"/>
          <w:szCs w:val="24"/>
        </w:rPr>
        <w:t xml:space="preserve"> about here]</w:t>
      </w:r>
    </w:p>
    <w:p w14:paraId="0311B13F" w14:textId="15C73074" w:rsidR="00B20357" w:rsidRPr="00E325D0" w:rsidRDefault="00B20357" w:rsidP="00E325D0">
      <w:pPr>
        <w:spacing w:line="480" w:lineRule="auto"/>
        <w:contextualSpacing/>
        <w:rPr>
          <w:rFonts w:ascii="Times New Roman" w:hAnsi="Times New Roman" w:cs="Times New Roman"/>
          <w:sz w:val="24"/>
          <w:szCs w:val="24"/>
        </w:rPr>
      </w:pPr>
    </w:p>
    <w:p w14:paraId="58C96719" w14:textId="18216ADA" w:rsidR="00B20357" w:rsidRDefault="00B20357" w:rsidP="00E325D0">
      <w:pPr>
        <w:spacing w:line="480" w:lineRule="auto"/>
        <w:contextualSpacing/>
        <w:rPr>
          <w:rFonts w:ascii="Times New Roman" w:hAnsi="Times New Roman" w:cs="Times New Roman"/>
          <w:b/>
          <w:bCs/>
          <w:sz w:val="24"/>
          <w:szCs w:val="24"/>
        </w:rPr>
      </w:pPr>
      <w:r w:rsidRPr="00E325D0">
        <w:rPr>
          <w:rFonts w:ascii="Times New Roman" w:hAnsi="Times New Roman" w:cs="Times New Roman"/>
          <w:b/>
          <w:bCs/>
          <w:sz w:val="24"/>
          <w:szCs w:val="24"/>
        </w:rPr>
        <w:t xml:space="preserve">Figure </w:t>
      </w:r>
      <w:r w:rsidR="001A4E63">
        <w:rPr>
          <w:rFonts w:ascii="Times New Roman" w:hAnsi="Times New Roman" w:cs="Times New Roman"/>
          <w:b/>
          <w:bCs/>
          <w:sz w:val="24"/>
          <w:szCs w:val="24"/>
        </w:rPr>
        <w:t>3</w:t>
      </w:r>
      <w:r w:rsidRPr="00E325D0">
        <w:rPr>
          <w:rFonts w:ascii="Times New Roman" w:hAnsi="Times New Roman" w:cs="Times New Roman"/>
          <w:b/>
          <w:bCs/>
          <w:sz w:val="24"/>
          <w:szCs w:val="24"/>
        </w:rPr>
        <w:t>: Actors Mentioned in Tweets about EUSEW13</w:t>
      </w:r>
    </w:p>
    <w:p w14:paraId="4185002D" w14:textId="069DD22C" w:rsidR="00B20357" w:rsidRDefault="00B565A9" w:rsidP="00E325D0">
      <w:pPr>
        <w:spacing w:line="480" w:lineRule="auto"/>
        <w:contextualSpacing/>
        <w:rPr>
          <w:rFonts w:ascii="Times New Roman" w:hAnsi="Times New Roman" w:cs="Times New Roman"/>
          <w:b/>
          <w:bCs/>
          <w:sz w:val="24"/>
          <w:szCs w:val="24"/>
        </w:rPr>
      </w:pPr>
      <w:r>
        <w:rPr>
          <w:noProof/>
          <w:lang w:eastAsia="en-GB"/>
        </w:rPr>
        <w:lastRenderedPageBreak/>
        <w:drawing>
          <wp:inline distT="0" distB="0" distL="0" distR="0" wp14:anchorId="6F94A80A" wp14:editId="76F1CC0B">
            <wp:extent cx="5760720" cy="3900795"/>
            <wp:effectExtent l="0" t="0" r="11430" b="2413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2CF1396" w14:textId="77777777" w:rsidR="00C2101E" w:rsidRPr="00C2101E" w:rsidRDefault="00C2101E" w:rsidP="00E325D0">
      <w:pPr>
        <w:spacing w:line="480" w:lineRule="auto"/>
        <w:contextualSpacing/>
        <w:rPr>
          <w:rFonts w:ascii="Times New Roman" w:hAnsi="Times New Roman" w:cs="Times New Roman"/>
          <w:b/>
          <w:bCs/>
          <w:sz w:val="24"/>
          <w:szCs w:val="24"/>
        </w:rPr>
      </w:pPr>
    </w:p>
    <w:p w14:paraId="7DEFA6EE" w14:textId="110DEDEF" w:rsidR="00B75683" w:rsidRPr="00E325D0" w:rsidRDefault="00C87BC1" w:rsidP="00E325D0">
      <w:pPr>
        <w:spacing w:line="480" w:lineRule="auto"/>
        <w:contextualSpacing/>
        <w:rPr>
          <w:rFonts w:ascii="Times New Roman" w:hAnsi="Times New Roman" w:cs="Times New Roman"/>
          <w:sz w:val="24"/>
          <w:szCs w:val="24"/>
        </w:rPr>
      </w:pPr>
      <w:r w:rsidRPr="00E325D0">
        <w:rPr>
          <w:rFonts w:ascii="Times New Roman" w:hAnsi="Times New Roman" w:cs="Times New Roman"/>
          <w:sz w:val="24"/>
          <w:szCs w:val="24"/>
        </w:rPr>
        <w:t>A list of over 200 different individual actors was</w:t>
      </w:r>
      <w:r w:rsidR="00B20357" w:rsidRPr="00E325D0">
        <w:rPr>
          <w:rFonts w:ascii="Times New Roman" w:hAnsi="Times New Roman" w:cs="Times New Roman"/>
          <w:sz w:val="24"/>
          <w:szCs w:val="24"/>
        </w:rPr>
        <w:t xml:space="preserve"> identified and Figure </w:t>
      </w:r>
      <w:r w:rsidR="001A4E63">
        <w:rPr>
          <w:rFonts w:ascii="Times New Roman" w:hAnsi="Times New Roman" w:cs="Times New Roman"/>
          <w:sz w:val="24"/>
          <w:szCs w:val="24"/>
        </w:rPr>
        <w:t>3</w:t>
      </w:r>
      <w:r w:rsidR="00B20357" w:rsidRPr="00E325D0">
        <w:rPr>
          <w:rFonts w:ascii="Times New Roman" w:hAnsi="Times New Roman" w:cs="Times New Roman"/>
          <w:sz w:val="24"/>
          <w:szCs w:val="24"/>
        </w:rPr>
        <w:t xml:space="preserve"> presents only the top 13 categories perceived to be acting. </w:t>
      </w:r>
      <w:r w:rsidR="0078758D">
        <w:rPr>
          <w:rFonts w:ascii="Times New Roman" w:hAnsi="Times New Roman" w:cs="Times New Roman"/>
          <w:sz w:val="24"/>
          <w:szCs w:val="24"/>
        </w:rPr>
        <w:t>F</w:t>
      </w:r>
      <w:r w:rsidR="00B20357" w:rsidRPr="00E325D0">
        <w:rPr>
          <w:rFonts w:ascii="Times New Roman" w:hAnsi="Times New Roman" w:cs="Times New Roman"/>
          <w:sz w:val="24"/>
          <w:szCs w:val="24"/>
        </w:rPr>
        <w:t xml:space="preserve">or ease of discussion, we have </w:t>
      </w:r>
      <w:r w:rsidR="0078758D">
        <w:rPr>
          <w:rFonts w:ascii="Times New Roman" w:hAnsi="Times New Roman" w:cs="Times New Roman"/>
          <w:sz w:val="24"/>
          <w:szCs w:val="24"/>
        </w:rPr>
        <w:t xml:space="preserve">in some cases </w:t>
      </w:r>
      <w:r w:rsidR="00B20357" w:rsidRPr="00E325D0">
        <w:rPr>
          <w:rFonts w:ascii="Times New Roman" w:hAnsi="Times New Roman" w:cs="Times New Roman"/>
          <w:sz w:val="24"/>
          <w:szCs w:val="24"/>
        </w:rPr>
        <w:t>grouped together certain types of actors.</w:t>
      </w:r>
      <w:r w:rsidR="00B20357" w:rsidRPr="00E325D0">
        <w:rPr>
          <w:rStyle w:val="EndnoteReference"/>
          <w:rFonts w:ascii="Times New Roman" w:hAnsi="Times New Roman" w:cs="Times New Roman"/>
          <w:sz w:val="24"/>
          <w:szCs w:val="24"/>
        </w:rPr>
        <w:endnoteReference w:id="2"/>
      </w:r>
      <w:r w:rsidR="00B20357" w:rsidRPr="00E325D0">
        <w:rPr>
          <w:rFonts w:ascii="Times New Roman" w:hAnsi="Times New Roman" w:cs="Times New Roman"/>
          <w:sz w:val="24"/>
          <w:szCs w:val="24"/>
        </w:rPr>
        <w:t xml:space="preserve"> </w:t>
      </w:r>
      <w:r w:rsidR="00B75683" w:rsidRPr="00E325D0">
        <w:rPr>
          <w:rFonts w:ascii="Times New Roman" w:hAnsi="Times New Roman" w:cs="Times New Roman"/>
          <w:sz w:val="24"/>
          <w:szCs w:val="24"/>
        </w:rPr>
        <w:t xml:space="preserve">The visibility of the EU as a whole is not surprising and the numbers in Figure </w:t>
      </w:r>
      <w:r w:rsidR="001A4E63">
        <w:rPr>
          <w:rFonts w:ascii="Times New Roman" w:hAnsi="Times New Roman" w:cs="Times New Roman"/>
          <w:sz w:val="24"/>
          <w:szCs w:val="24"/>
        </w:rPr>
        <w:t>3</w:t>
      </w:r>
      <w:r w:rsidR="00B75683" w:rsidRPr="00E325D0">
        <w:rPr>
          <w:rFonts w:ascii="Times New Roman" w:hAnsi="Times New Roman" w:cs="Times New Roman"/>
          <w:sz w:val="24"/>
          <w:szCs w:val="24"/>
        </w:rPr>
        <w:t xml:space="preserve"> concern only </w:t>
      </w:r>
      <w:r w:rsidR="00B75683" w:rsidRPr="00E325D0">
        <w:rPr>
          <w:rFonts w:ascii="Times New Roman" w:hAnsi="Times New Roman" w:cs="Times New Roman"/>
          <w:i/>
          <w:iCs/>
          <w:sz w:val="24"/>
          <w:szCs w:val="24"/>
        </w:rPr>
        <w:t>additional</w:t>
      </w:r>
      <w:r w:rsidR="00B75683" w:rsidRPr="00E325D0">
        <w:rPr>
          <w:rFonts w:ascii="Times New Roman" w:hAnsi="Times New Roman" w:cs="Times New Roman"/>
          <w:sz w:val="24"/>
          <w:szCs w:val="24"/>
        </w:rPr>
        <w:t xml:space="preserve"> mentions of the EU; obviously every tweet in our sample included the hashtag #EUSEW13 which already contains reference to the EU itself: the above Figure indicates EU mentions in addition to this. The Commission is dominant, </w:t>
      </w:r>
      <w:r w:rsidR="00371DC5" w:rsidRPr="00E325D0">
        <w:rPr>
          <w:rFonts w:ascii="Times New Roman" w:hAnsi="Times New Roman" w:cs="Times New Roman"/>
          <w:sz w:val="24"/>
          <w:szCs w:val="24"/>
        </w:rPr>
        <w:t>as are</w:t>
      </w:r>
      <w:r w:rsidR="00B75683" w:rsidRPr="00E325D0">
        <w:rPr>
          <w:rFonts w:ascii="Times New Roman" w:hAnsi="Times New Roman" w:cs="Times New Roman"/>
          <w:sz w:val="24"/>
          <w:szCs w:val="24"/>
        </w:rPr>
        <w:t xml:space="preserve"> its two most prominent representatives (former Commissioners responsible for energy (Gunter Oettinger) and for climate change (Connie Hedegaard). There are some surprises, most notably the visibility of Arnold Schwarzenegger: the film star and Governor of California has been a prominent activist in the field of energy sustainability in recent years and his involvement in the EUSEW events was high profile, trumping references to the whole of the United States. </w:t>
      </w:r>
    </w:p>
    <w:p w14:paraId="6DE40181" w14:textId="17A97E24" w:rsidR="00B75683" w:rsidRPr="00E325D0" w:rsidRDefault="00B75683" w:rsidP="00E325D0">
      <w:pPr>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lastRenderedPageBreak/>
        <w:t xml:space="preserve">Figure </w:t>
      </w:r>
      <w:r w:rsidR="001A4E63">
        <w:rPr>
          <w:rFonts w:ascii="Times New Roman" w:hAnsi="Times New Roman" w:cs="Times New Roman"/>
          <w:sz w:val="24"/>
          <w:szCs w:val="24"/>
        </w:rPr>
        <w:t>3</w:t>
      </w:r>
      <w:r w:rsidRPr="00E325D0">
        <w:rPr>
          <w:rFonts w:ascii="Times New Roman" w:hAnsi="Times New Roman" w:cs="Times New Roman"/>
          <w:sz w:val="24"/>
          <w:szCs w:val="24"/>
        </w:rPr>
        <w:t xml:space="preserve"> </w:t>
      </w:r>
      <w:r w:rsidR="00323F67" w:rsidRPr="00E325D0">
        <w:rPr>
          <w:rFonts w:ascii="Times New Roman" w:hAnsi="Times New Roman" w:cs="Times New Roman"/>
          <w:sz w:val="24"/>
          <w:szCs w:val="24"/>
        </w:rPr>
        <w:t>shows</w:t>
      </w:r>
      <w:r w:rsidRPr="00E325D0">
        <w:rPr>
          <w:rFonts w:ascii="Times New Roman" w:hAnsi="Times New Roman" w:cs="Times New Roman"/>
          <w:sz w:val="24"/>
          <w:szCs w:val="24"/>
        </w:rPr>
        <w:t xml:space="preserve"> that EU actors were highly visible. We suggest that this indicates a growing recognition of the EU and its actors as the protagonists in the narration of the strategic s</w:t>
      </w:r>
      <w:r w:rsidR="00482691">
        <w:rPr>
          <w:rFonts w:ascii="Times New Roman" w:hAnsi="Times New Roman" w:cs="Times New Roman"/>
          <w:sz w:val="24"/>
          <w:szCs w:val="24"/>
        </w:rPr>
        <w:t>tory ‘Sustainable Energy Europe</w:t>
      </w:r>
      <w:r w:rsidRPr="00E325D0">
        <w:rPr>
          <w:rFonts w:ascii="Times New Roman" w:hAnsi="Times New Roman" w:cs="Times New Roman"/>
          <w:sz w:val="24"/>
          <w:szCs w:val="24"/>
        </w:rPr>
        <w:t>’</w:t>
      </w:r>
      <w:r w:rsidR="00482691">
        <w:rPr>
          <w:rFonts w:ascii="Times New Roman" w:hAnsi="Times New Roman" w:cs="Times New Roman"/>
          <w:sz w:val="24"/>
          <w:szCs w:val="24"/>
        </w:rPr>
        <w:t>.</w:t>
      </w:r>
      <w:r w:rsidRPr="00E325D0">
        <w:rPr>
          <w:rFonts w:ascii="Times New Roman" w:hAnsi="Times New Roman" w:cs="Times New Roman"/>
          <w:sz w:val="24"/>
          <w:szCs w:val="24"/>
        </w:rPr>
        <w:t xml:space="preserve"> The lack of diversity is perhaps most concerning from a public diplomacy angle since there is evidence that the EU is not engaged beyond its borders. </w:t>
      </w:r>
      <w:r w:rsidR="00323F67" w:rsidRPr="00E325D0">
        <w:rPr>
          <w:rFonts w:ascii="Times New Roman" w:hAnsi="Times New Roman" w:cs="Times New Roman"/>
          <w:sz w:val="24"/>
          <w:szCs w:val="24"/>
        </w:rPr>
        <w:t>Despite its claimed goals, t</w:t>
      </w:r>
      <w:r w:rsidRPr="00E325D0">
        <w:rPr>
          <w:rFonts w:ascii="Times New Roman" w:hAnsi="Times New Roman" w:cs="Times New Roman"/>
          <w:sz w:val="24"/>
          <w:szCs w:val="24"/>
        </w:rPr>
        <w:t xml:space="preserve">his event was seen in the Twittersphere as an internal concern for Europe. </w:t>
      </w:r>
    </w:p>
    <w:p w14:paraId="19B5FB66" w14:textId="5C58F9FA" w:rsidR="00B75683" w:rsidRPr="00E325D0" w:rsidRDefault="00B75683" w:rsidP="00625C61">
      <w:pPr>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 xml:space="preserve">Our analysis of the reception also examines which EU norms are seen as influencing global conversations around energy. As such, the EUSEW tweets were coded for the three frames informing this Issue: sustainability, competitiveness and security of supply. Given the focus of the event itself on sustainability, it was unsurprising to find a predominance of the sustainability frame, as seen in Figure </w:t>
      </w:r>
      <w:r w:rsidR="001A4E63">
        <w:rPr>
          <w:rFonts w:ascii="Times New Roman" w:hAnsi="Times New Roman" w:cs="Times New Roman"/>
          <w:sz w:val="24"/>
          <w:szCs w:val="24"/>
        </w:rPr>
        <w:t>4</w:t>
      </w:r>
      <w:r w:rsidRPr="00E325D0">
        <w:rPr>
          <w:rFonts w:ascii="Times New Roman" w:hAnsi="Times New Roman" w:cs="Times New Roman"/>
          <w:sz w:val="24"/>
          <w:szCs w:val="24"/>
        </w:rPr>
        <w:t xml:space="preserve">. This finding suggests that there is a growing recognition of the issue narrative ‘Sustainable Energy Europe’ linked to the supranational normative narrative </w:t>
      </w:r>
      <w:r w:rsidR="00323F67" w:rsidRPr="00E325D0">
        <w:rPr>
          <w:rFonts w:ascii="Times New Roman" w:hAnsi="Times New Roman" w:cs="Times New Roman"/>
          <w:sz w:val="24"/>
          <w:szCs w:val="24"/>
        </w:rPr>
        <w:t>‘</w:t>
      </w:r>
      <w:r w:rsidRPr="00E325D0">
        <w:rPr>
          <w:rFonts w:ascii="Times New Roman" w:hAnsi="Times New Roman" w:cs="Times New Roman"/>
          <w:sz w:val="24"/>
          <w:szCs w:val="24"/>
        </w:rPr>
        <w:t>NPE</w:t>
      </w:r>
      <w:r w:rsidR="00323F67" w:rsidRPr="00E325D0">
        <w:rPr>
          <w:rFonts w:ascii="Times New Roman" w:hAnsi="Times New Roman" w:cs="Times New Roman"/>
          <w:sz w:val="24"/>
          <w:szCs w:val="24"/>
        </w:rPr>
        <w:t>’</w:t>
      </w:r>
      <w:r w:rsidRPr="00E325D0">
        <w:rPr>
          <w:rFonts w:ascii="Times New Roman" w:hAnsi="Times New Roman" w:cs="Times New Roman"/>
          <w:sz w:val="24"/>
          <w:szCs w:val="24"/>
        </w:rPr>
        <w:t>.</w:t>
      </w:r>
      <w:r w:rsidR="00323F67" w:rsidRPr="00E325D0">
        <w:rPr>
          <w:rFonts w:ascii="Times New Roman" w:hAnsi="Times New Roman" w:cs="Times New Roman"/>
          <w:sz w:val="24"/>
          <w:szCs w:val="24"/>
        </w:rPr>
        <w:t xml:space="preserve"> </w:t>
      </w:r>
      <w:r w:rsidRPr="00E325D0">
        <w:rPr>
          <w:rFonts w:ascii="Times New Roman" w:hAnsi="Times New Roman" w:cs="Times New Roman"/>
          <w:sz w:val="24"/>
          <w:szCs w:val="24"/>
        </w:rPr>
        <w:t xml:space="preserve">The EU’s normative influence in the sphere of energy policy resonates in the reception of the sustainability frame, arguably creating a picture of the EU as an actor inextricably linked with sustainability concerns. </w:t>
      </w:r>
    </w:p>
    <w:p w14:paraId="1AA200FF" w14:textId="727471C5" w:rsidR="00B75683" w:rsidRDefault="00B75683" w:rsidP="00E325D0">
      <w:pPr>
        <w:spacing w:line="480" w:lineRule="auto"/>
        <w:contextualSpacing/>
        <w:rPr>
          <w:rFonts w:ascii="Times New Roman" w:hAnsi="Times New Roman" w:cs="Times New Roman"/>
          <w:sz w:val="24"/>
          <w:szCs w:val="24"/>
        </w:rPr>
      </w:pPr>
    </w:p>
    <w:p w14:paraId="783D85A7" w14:textId="77777777" w:rsidR="000A292E" w:rsidRDefault="000A292E" w:rsidP="00E325D0">
      <w:pPr>
        <w:spacing w:line="480" w:lineRule="auto"/>
        <w:contextualSpacing/>
        <w:rPr>
          <w:rFonts w:ascii="Times New Roman" w:hAnsi="Times New Roman" w:cs="Times New Roman"/>
          <w:sz w:val="24"/>
          <w:szCs w:val="24"/>
        </w:rPr>
      </w:pPr>
    </w:p>
    <w:p w14:paraId="6B3D57DE" w14:textId="77777777" w:rsidR="000A292E" w:rsidRDefault="000A292E" w:rsidP="00E325D0">
      <w:pPr>
        <w:spacing w:line="480" w:lineRule="auto"/>
        <w:contextualSpacing/>
        <w:rPr>
          <w:rFonts w:ascii="Times New Roman" w:hAnsi="Times New Roman" w:cs="Times New Roman"/>
          <w:sz w:val="24"/>
          <w:szCs w:val="24"/>
        </w:rPr>
      </w:pPr>
    </w:p>
    <w:p w14:paraId="2B60D7C3" w14:textId="77777777" w:rsidR="000A292E" w:rsidRDefault="000A292E" w:rsidP="00E325D0">
      <w:pPr>
        <w:spacing w:line="480" w:lineRule="auto"/>
        <w:contextualSpacing/>
        <w:rPr>
          <w:rFonts w:ascii="Times New Roman" w:hAnsi="Times New Roman" w:cs="Times New Roman"/>
          <w:sz w:val="24"/>
          <w:szCs w:val="24"/>
        </w:rPr>
      </w:pPr>
    </w:p>
    <w:p w14:paraId="3D420DE9" w14:textId="77777777" w:rsidR="000A292E" w:rsidRPr="00E325D0" w:rsidRDefault="000A292E" w:rsidP="00E325D0">
      <w:pPr>
        <w:spacing w:line="480" w:lineRule="auto"/>
        <w:contextualSpacing/>
        <w:rPr>
          <w:rFonts w:ascii="Times New Roman" w:hAnsi="Times New Roman" w:cs="Times New Roman"/>
          <w:sz w:val="24"/>
          <w:szCs w:val="24"/>
        </w:rPr>
      </w:pPr>
    </w:p>
    <w:p w14:paraId="540CFD38" w14:textId="5C7ACFEC" w:rsidR="00B75683" w:rsidRDefault="00B75683" w:rsidP="00E325D0">
      <w:pPr>
        <w:spacing w:line="480" w:lineRule="auto"/>
        <w:contextualSpacing/>
        <w:rPr>
          <w:rFonts w:ascii="Times New Roman" w:hAnsi="Times New Roman" w:cs="Times New Roman"/>
          <w:b/>
          <w:bCs/>
          <w:sz w:val="24"/>
          <w:szCs w:val="24"/>
        </w:rPr>
      </w:pPr>
      <w:r w:rsidRPr="00E325D0">
        <w:rPr>
          <w:rFonts w:ascii="Times New Roman" w:hAnsi="Times New Roman" w:cs="Times New Roman"/>
          <w:b/>
          <w:bCs/>
          <w:sz w:val="24"/>
          <w:szCs w:val="24"/>
        </w:rPr>
        <w:t xml:space="preserve">Figure </w:t>
      </w:r>
      <w:r w:rsidR="001A4E63">
        <w:rPr>
          <w:rFonts w:ascii="Times New Roman" w:hAnsi="Times New Roman" w:cs="Times New Roman"/>
          <w:b/>
          <w:bCs/>
          <w:sz w:val="24"/>
          <w:szCs w:val="24"/>
        </w:rPr>
        <w:t>4</w:t>
      </w:r>
      <w:r w:rsidRPr="00E325D0">
        <w:rPr>
          <w:rFonts w:ascii="Times New Roman" w:hAnsi="Times New Roman" w:cs="Times New Roman"/>
          <w:b/>
          <w:bCs/>
          <w:sz w:val="24"/>
          <w:szCs w:val="24"/>
        </w:rPr>
        <w:t>: Energy Frames in EUSEW Tweets</w:t>
      </w:r>
    </w:p>
    <w:p w14:paraId="52314038" w14:textId="46799004" w:rsidR="00C2101E" w:rsidRPr="00E325D0" w:rsidRDefault="00C2101E" w:rsidP="00E325D0">
      <w:pPr>
        <w:spacing w:line="480" w:lineRule="auto"/>
        <w:contextualSpacing/>
        <w:rPr>
          <w:rFonts w:ascii="Times New Roman" w:hAnsi="Times New Roman" w:cs="Times New Roman"/>
          <w:b/>
          <w:bCs/>
          <w:sz w:val="24"/>
          <w:szCs w:val="24"/>
        </w:rPr>
      </w:pPr>
      <w:r w:rsidRPr="002F092D">
        <w:rPr>
          <w:rFonts w:asciiTheme="majorHAnsi" w:hAnsiTheme="majorHAnsi"/>
          <w:noProof/>
          <w:lang w:eastAsia="en-GB"/>
        </w:rPr>
        <w:lastRenderedPageBreak/>
        <w:drawing>
          <wp:inline distT="0" distB="0" distL="0" distR="0" wp14:anchorId="4096C3F7" wp14:editId="3A2626AD">
            <wp:extent cx="4572000" cy="2743200"/>
            <wp:effectExtent l="0" t="0" r="19050"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A317609" w14:textId="77777777" w:rsidR="00C2101E" w:rsidRDefault="00C2101E" w:rsidP="00E325D0">
      <w:pPr>
        <w:spacing w:line="480" w:lineRule="auto"/>
        <w:contextualSpacing/>
        <w:rPr>
          <w:rFonts w:ascii="Times New Roman" w:hAnsi="Times New Roman" w:cs="Times New Roman"/>
          <w:sz w:val="24"/>
          <w:szCs w:val="24"/>
        </w:rPr>
      </w:pPr>
    </w:p>
    <w:p w14:paraId="719640C2" w14:textId="6E878459" w:rsidR="00B75683" w:rsidRDefault="00B75683" w:rsidP="00E325D0">
      <w:pPr>
        <w:spacing w:line="480" w:lineRule="auto"/>
        <w:contextualSpacing/>
        <w:rPr>
          <w:rFonts w:ascii="Times New Roman" w:hAnsi="Times New Roman" w:cs="Times New Roman"/>
          <w:sz w:val="24"/>
          <w:szCs w:val="24"/>
        </w:rPr>
      </w:pPr>
      <w:r w:rsidRPr="00E325D0">
        <w:rPr>
          <w:rFonts w:ascii="Times New Roman" w:hAnsi="Times New Roman" w:cs="Times New Roman"/>
          <w:sz w:val="24"/>
          <w:szCs w:val="24"/>
        </w:rPr>
        <w:t xml:space="preserve">How exactly the topic of energy is discussed in Twitter by </w:t>
      </w:r>
      <w:r w:rsidR="003C670A" w:rsidRPr="00E325D0">
        <w:rPr>
          <w:rFonts w:ascii="Times New Roman" w:hAnsi="Times New Roman" w:cs="Times New Roman"/>
          <w:sz w:val="24"/>
          <w:szCs w:val="24"/>
        </w:rPr>
        <w:t>involved</w:t>
      </w:r>
      <w:r w:rsidRPr="00E325D0">
        <w:rPr>
          <w:rFonts w:ascii="Times New Roman" w:hAnsi="Times New Roman" w:cs="Times New Roman"/>
          <w:sz w:val="24"/>
          <w:szCs w:val="24"/>
        </w:rPr>
        <w:t xml:space="preserve"> parties was of particular interest in this paper. In what areas of energy policy is the EU seen to play a role? Figure </w:t>
      </w:r>
      <w:r w:rsidR="001A4E63">
        <w:rPr>
          <w:rFonts w:ascii="Times New Roman" w:hAnsi="Times New Roman" w:cs="Times New Roman"/>
          <w:sz w:val="24"/>
          <w:szCs w:val="24"/>
        </w:rPr>
        <w:t>5</w:t>
      </w:r>
      <w:r w:rsidRPr="00E325D0">
        <w:rPr>
          <w:rFonts w:ascii="Times New Roman" w:hAnsi="Times New Roman" w:cs="Times New Roman"/>
          <w:sz w:val="24"/>
          <w:szCs w:val="24"/>
        </w:rPr>
        <w:t xml:space="preserve"> highlights the specific energy issues </w:t>
      </w:r>
      <w:r w:rsidR="00323F67" w:rsidRPr="00E325D0">
        <w:rPr>
          <w:rFonts w:ascii="Times New Roman" w:hAnsi="Times New Roman" w:cs="Times New Roman"/>
          <w:sz w:val="24"/>
          <w:szCs w:val="24"/>
        </w:rPr>
        <w:t xml:space="preserve">that </w:t>
      </w:r>
      <w:r w:rsidRPr="00E325D0">
        <w:rPr>
          <w:rFonts w:ascii="Times New Roman" w:hAnsi="Times New Roman" w:cs="Times New Roman"/>
          <w:sz w:val="24"/>
          <w:szCs w:val="24"/>
        </w:rPr>
        <w:t xml:space="preserve">shaped </w:t>
      </w:r>
      <w:r w:rsidR="00323F67" w:rsidRPr="00E325D0">
        <w:rPr>
          <w:rFonts w:ascii="Times New Roman" w:hAnsi="Times New Roman" w:cs="Times New Roman"/>
          <w:sz w:val="24"/>
          <w:szCs w:val="24"/>
        </w:rPr>
        <w:t xml:space="preserve">the </w:t>
      </w:r>
      <w:r w:rsidRPr="00E325D0">
        <w:rPr>
          <w:rFonts w:ascii="Times New Roman" w:hAnsi="Times New Roman" w:cs="Times New Roman"/>
          <w:sz w:val="24"/>
          <w:szCs w:val="24"/>
        </w:rPr>
        <w:t xml:space="preserve">Twitter discussion of the EUSEW. </w:t>
      </w:r>
      <w:r w:rsidR="00323F67" w:rsidRPr="00E325D0">
        <w:rPr>
          <w:rFonts w:ascii="Times New Roman" w:hAnsi="Times New Roman" w:cs="Times New Roman"/>
          <w:sz w:val="24"/>
          <w:szCs w:val="24"/>
        </w:rPr>
        <w:t>M</w:t>
      </w:r>
      <w:r w:rsidRPr="00E325D0">
        <w:rPr>
          <w:rFonts w:ascii="Times New Roman" w:hAnsi="Times New Roman" w:cs="Times New Roman"/>
          <w:sz w:val="24"/>
          <w:szCs w:val="24"/>
        </w:rPr>
        <w:t xml:space="preserve">ostly likely reflecting the interest groups involved (many of whom would have run or participated in specific public events during the EUSEW), </w:t>
      </w:r>
      <w:r w:rsidR="00C87BC1" w:rsidRPr="00E325D0">
        <w:rPr>
          <w:rFonts w:ascii="Times New Roman" w:hAnsi="Times New Roman" w:cs="Times New Roman"/>
          <w:sz w:val="24"/>
          <w:szCs w:val="24"/>
        </w:rPr>
        <w:t>tweets that focused solely on EUSEW public events</w:t>
      </w:r>
      <w:r w:rsidRPr="00E325D0">
        <w:rPr>
          <w:rFonts w:ascii="Times New Roman" w:hAnsi="Times New Roman" w:cs="Times New Roman"/>
          <w:sz w:val="24"/>
          <w:szCs w:val="24"/>
        </w:rPr>
        <w:t xml:space="preserve"> were the biggest energy issue identified. However, taken together, the next two issues – sustainable development and energy efficiency – received a higher volume of tweets. The two issues reflect specific concerns with the global energy agenda that the EU has sought to shape for a number of years – and are arguably reflected in the emerging strategic narrative of </w:t>
      </w:r>
      <w:r w:rsidR="00D41DA9" w:rsidRPr="00E325D0">
        <w:rPr>
          <w:rFonts w:ascii="Times New Roman" w:hAnsi="Times New Roman" w:cs="Times New Roman"/>
          <w:sz w:val="24"/>
          <w:szCs w:val="24"/>
        </w:rPr>
        <w:t>‘</w:t>
      </w:r>
      <w:r w:rsidRPr="00E325D0">
        <w:rPr>
          <w:rFonts w:ascii="Times New Roman" w:hAnsi="Times New Roman" w:cs="Times New Roman"/>
          <w:sz w:val="24"/>
          <w:szCs w:val="24"/>
        </w:rPr>
        <w:t>Sustainable Energy Europe</w:t>
      </w:r>
      <w:r w:rsidR="00C87BC1">
        <w:rPr>
          <w:rFonts w:ascii="Times New Roman" w:hAnsi="Times New Roman" w:cs="Times New Roman"/>
          <w:sz w:val="24"/>
          <w:szCs w:val="24"/>
        </w:rPr>
        <w:t>’</w:t>
      </w:r>
      <w:r w:rsidRPr="00E325D0">
        <w:rPr>
          <w:rFonts w:ascii="Times New Roman" w:hAnsi="Times New Roman" w:cs="Times New Roman"/>
          <w:sz w:val="24"/>
          <w:szCs w:val="24"/>
        </w:rPr>
        <w:t>. Addressing the EU’s own energy security is often seen to be intertwined with a plan for sustainable development and cutting energy wastage</w:t>
      </w:r>
      <w:r w:rsidR="00D104BF" w:rsidRPr="00E325D0">
        <w:rPr>
          <w:rFonts w:ascii="Times New Roman" w:hAnsi="Times New Roman" w:cs="Times New Roman"/>
          <w:sz w:val="24"/>
          <w:szCs w:val="24"/>
        </w:rPr>
        <w:t xml:space="preserve"> </w:t>
      </w:r>
      <w:r w:rsidRPr="00E325D0">
        <w:rPr>
          <w:rFonts w:ascii="Times New Roman" w:hAnsi="Times New Roman" w:cs="Times New Roman"/>
          <w:sz w:val="24"/>
          <w:szCs w:val="24"/>
        </w:rPr>
        <w:t>th</w:t>
      </w:r>
      <w:r w:rsidR="00D104BF" w:rsidRPr="00E325D0">
        <w:rPr>
          <w:rFonts w:ascii="Times New Roman" w:hAnsi="Times New Roman" w:cs="Times New Roman"/>
          <w:sz w:val="24"/>
          <w:szCs w:val="24"/>
        </w:rPr>
        <w:t>at</w:t>
      </w:r>
      <w:r w:rsidRPr="00E325D0">
        <w:rPr>
          <w:rFonts w:ascii="Times New Roman" w:hAnsi="Times New Roman" w:cs="Times New Roman"/>
          <w:sz w:val="24"/>
          <w:szCs w:val="24"/>
        </w:rPr>
        <w:t xml:space="preserve"> seems to resonate with the EUSEW Twitter audience. </w:t>
      </w:r>
    </w:p>
    <w:p w14:paraId="4B6BC02E" w14:textId="77777777" w:rsidR="00C2101E" w:rsidRDefault="00C2101E" w:rsidP="00E325D0">
      <w:pPr>
        <w:spacing w:line="480" w:lineRule="auto"/>
        <w:contextualSpacing/>
        <w:rPr>
          <w:rFonts w:ascii="Times New Roman" w:hAnsi="Times New Roman" w:cs="Times New Roman"/>
          <w:sz w:val="24"/>
          <w:szCs w:val="24"/>
        </w:rPr>
      </w:pPr>
    </w:p>
    <w:p w14:paraId="25E8A2E0" w14:textId="5FED2E96" w:rsidR="00C2101E" w:rsidRPr="00E325D0" w:rsidRDefault="00C2101E" w:rsidP="00C2101E">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[Figure </w:t>
      </w:r>
      <w:r w:rsidR="001A4E63">
        <w:rPr>
          <w:rFonts w:ascii="Times New Roman" w:hAnsi="Times New Roman" w:cs="Times New Roman"/>
          <w:sz w:val="24"/>
          <w:szCs w:val="24"/>
        </w:rPr>
        <w:t>5</w:t>
      </w:r>
      <w:r>
        <w:rPr>
          <w:rFonts w:ascii="Times New Roman" w:hAnsi="Times New Roman" w:cs="Times New Roman"/>
          <w:sz w:val="24"/>
          <w:szCs w:val="24"/>
        </w:rPr>
        <w:t xml:space="preserve"> about here]</w:t>
      </w:r>
    </w:p>
    <w:p w14:paraId="1567A28C" w14:textId="3057DB8D" w:rsidR="00B75683" w:rsidRPr="00E325D0" w:rsidRDefault="00B75683" w:rsidP="00E325D0">
      <w:pPr>
        <w:spacing w:line="480" w:lineRule="auto"/>
        <w:contextualSpacing/>
        <w:rPr>
          <w:rFonts w:ascii="Times New Roman" w:hAnsi="Times New Roman" w:cs="Times New Roman"/>
          <w:sz w:val="24"/>
          <w:szCs w:val="24"/>
        </w:rPr>
      </w:pPr>
    </w:p>
    <w:p w14:paraId="43D382DE" w14:textId="29210BAE" w:rsidR="00B75683" w:rsidRDefault="00B75683" w:rsidP="00E325D0">
      <w:pPr>
        <w:spacing w:line="480" w:lineRule="auto"/>
        <w:contextualSpacing/>
        <w:rPr>
          <w:rFonts w:ascii="Times New Roman" w:hAnsi="Times New Roman" w:cs="Times New Roman"/>
          <w:b/>
          <w:bCs/>
          <w:sz w:val="24"/>
          <w:szCs w:val="24"/>
        </w:rPr>
      </w:pPr>
      <w:r w:rsidRPr="00E325D0">
        <w:rPr>
          <w:rFonts w:ascii="Times New Roman" w:hAnsi="Times New Roman" w:cs="Times New Roman"/>
          <w:b/>
          <w:bCs/>
          <w:sz w:val="24"/>
          <w:szCs w:val="24"/>
        </w:rPr>
        <w:t xml:space="preserve">Figure </w:t>
      </w:r>
      <w:r w:rsidR="001A4E63">
        <w:rPr>
          <w:rFonts w:ascii="Times New Roman" w:hAnsi="Times New Roman" w:cs="Times New Roman"/>
          <w:b/>
          <w:bCs/>
          <w:sz w:val="24"/>
          <w:szCs w:val="24"/>
        </w:rPr>
        <w:t>5</w:t>
      </w:r>
      <w:r w:rsidRPr="00E325D0">
        <w:rPr>
          <w:rFonts w:ascii="Times New Roman" w:hAnsi="Times New Roman" w:cs="Times New Roman"/>
          <w:b/>
          <w:bCs/>
          <w:sz w:val="24"/>
          <w:szCs w:val="24"/>
        </w:rPr>
        <w:t>: Energy Issues Shaping Twitter Discussions of EUSEW13</w:t>
      </w:r>
    </w:p>
    <w:p w14:paraId="0F1B9651" w14:textId="306255F4" w:rsidR="00C2101E" w:rsidRPr="00E325D0" w:rsidRDefault="00C2101E" w:rsidP="00E325D0">
      <w:pPr>
        <w:spacing w:line="480" w:lineRule="auto"/>
        <w:contextualSpacing/>
        <w:rPr>
          <w:rFonts w:ascii="Times New Roman" w:hAnsi="Times New Roman" w:cs="Times New Roman"/>
          <w:b/>
          <w:bCs/>
          <w:sz w:val="24"/>
          <w:szCs w:val="24"/>
        </w:rPr>
      </w:pPr>
      <w:r w:rsidRPr="002F092D">
        <w:rPr>
          <w:rFonts w:asciiTheme="majorHAnsi" w:hAnsiTheme="majorHAnsi"/>
          <w:noProof/>
          <w:lang w:eastAsia="en-GB"/>
        </w:rPr>
        <w:lastRenderedPageBreak/>
        <w:drawing>
          <wp:inline distT="0" distB="0" distL="0" distR="0" wp14:anchorId="478831C7" wp14:editId="64A68BFE">
            <wp:extent cx="5731510" cy="3471360"/>
            <wp:effectExtent l="0" t="0" r="21590" b="1524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58E84F8" w14:textId="77777777" w:rsidR="00C2101E" w:rsidRPr="00E325D0" w:rsidRDefault="00C2101E" w:rsidP="00E325D0">
      <w:pPr>
        <w:spacing w:line="480" w:lineRule="auto"/>
        <w:contextualSpacing/>
        <w:rPr>
          <w:rFonts w:ascii="Times New Roman" w:hAnsi="Times New Roman" w:cs="Times New Roman"/>
          <w:sz w:val="24"/>
          <w:szCs w:val="24"/>
        </w:rPr>
      </w:pPr>
    </w:p>
    <w:p w14:paraId="36A7E461" w14:textId="2F241A0B" w:rsidR="00B75683" w:rsidRPr="00E325D0" w:rsidRDefault="00B75683" w:rsidP="00E325D0">
      <w:pPr>
        <w:spacing w:line="480" w:lineRule="auto"/>
        <w:contextualSpacing/>
        <w:rPr>
          <w:rFonts w:ascii="Times New Roman" w:hAnsi="Times New Roman" w:cs="Times New Roman"/>
          <w:sz w:val="24"/>
          <w:szCs w:val="24"/>
        </w:rPr>
      </w:pPr>
      <w:r w:rsidRPr="00E325D0">
        <w:rPr>
          <w:rFonts w:ascii="Times New Roman" w:hAnsi="Times New Roman" w:cs="Times New Roman"/>
          <w:sz w:val="24"/>
          <w:szCs w:val="24"/>
        </w:rPr>
        <w:t xml:space="preserve">Owing to our use of conceptual metaphors as an additional qualitative device in measuring sentiment, our study is able to detect a much more nuanced degree of sentiment. </w:t>
      </w:r>
      <w:r w:rsidR="003D0D93" w:rsidRPr="00E325D0">
        <w:rPr>
          <w:rFonts w:ascii="Times New Roman" w:hAnsi="Times New Roman" w:cs="Times New Roman"/>
          <w:sz w:val="24"/>
          <w:szCs w:val="24"/>
        </w:rPr>
        <w:t>We argue that t</w:t>
      </w:r>
      <w:r w:rsidRPr="00E325D0">
        <w:rPr>
          <w:rFonts w:ascii="Times New Roman" w:hAnsi="Times New Roman" w:cs="Times New Roman"/>
          <w:sz w:val="24"/>
          <w:szCs w:val="24"/>
        </w:rPr>
        <w:t xml:space="preserve">he complexity of language is heightened in a space as restricted as Twitter and thus the value and power of linguistic devices like metaphor are strengthened. Importantly for our focus on the strategic narratives, metaphors are seen to be capable of </w:t>
      </w:r>
      <w:r w:rsidR="00D41DA9" w:rsidRPr="00E325D0">
        <w:rPr>
          <w:rFonts w:ascii="Times New Roman" w:hAnsi="Times New Roman" w:cs="Times New Roman"/>
          <w:sz w:val="24"/>
          <w:szCs w:val="24"/>
        </w:rPr>
        <w:t>‘</w:t>
      </w:r>
      <w:r w:rsidRPr="00E325D0">
        <w:rPr>
          <w:rFonts w:ascii="Times New Roman" w:hAnsi="Times New Roman" w:cs="Times New Roman"/>
          <w:sz w:val="24"/>
          <w:szCs w:val="24"/>
        </w:rPr>
        <w:t>trigger[ing] and/or shap[ing] narratives</w:t>
      </w:r>
      <w:r w:rsidR="00D41DA9" w:rsidRPr="00E325D0">
        <w:rPr>
          <w:rFonts w:ascii="Times New Roman" w:hAnsi="Times New Roman" w:cs="Times New Roman"/>
          <w:sz w:val="24"/>
          <w:szCs w:val="24"/>
        </w:rPr>
        <w:t>’</w:t>
      </w:r>
      <w:r w:rsidRPr="00E325D0">
        <w:rPr>
          <w:rFonts w:ascii="Times New Roman" w:hAnsi="Times New Roman" w:cs="Times New Roman"/>
          <w:sz w:val="24"/>
          <w:szCs w:val="24"/>
        </w:rPr>
        <w:t xml:space="preserve"> (Miskimmon et al</w:t>
      </w:r>
      <w:r w:rsidR="00BD1C43">
        <w:rPr>
          <w:rFonts w:ascii="Times New Roman" w:hAnsi="Times New Roman" w:cs="Times New Roman"/>
          <w:sz w:val="24"/>
          <w:szCs w:val="24"/>
        </w:rPr>
        <w:t>,</w:t>
      </w:r>
      <w:r w:rsidRPr="00E325D0">
        <w:rPr>
          <w:rFonts w:ascii="Times New Roman" w:hAnsi="Times New Roman" w:cs="Times New Roman"/>
          <w:sz w:val="24"/>
          <w:szCs w:val="24"/>
        </w:rPr>
        <w:t xml:space="preserve"> 2013, </w:t>
      </w:r>
      <w:r w:rsidR="00C87BC1">
        <w:rPr>
          <w:rFonts w:ascii="Times New Roman" w:hAnsi="Times New Roman" w:cs="Times New Roman"/>
          <w:sz w:val="24"/>
          <w:szCs w:val="24"/>
        </w:rPr>
        <w:t xml:space="preserve">p. </w:t>
      </w:r>
      <w:r w:rsidRPr="00E325D0">
        <w:rPr>
          <w:rFonts w:ascii="Times New Roman" w:hAnsi="Times New Roman" w:cs="Times New Roman"/>
          <w:sz w:val="24"/>
          <w:szCs w:val="24"/>
        </w:rPr>
        <w:t xml:space="preserve">7). Figure </w:t>
      </w:r>
      <w:r w:rsidR="00B565A9">
        <w:rPr>
          <w:rFonts w:ascii="Times New Roman" w:hAnsi="Times New Roman" w:cs="Times New Roman"/>
          <w:sz w:val="24"/>
          <w:szCs w:val="24"/>
        </w:rPr>
        <w:t>6</w:t>
      </w:r>
      <w:r w:rsidRPr="00E325D0">
        <w:rPr>
          <w:rFonts w:ascii="Times New Roman" w:hAnsi="Times New Roman" w:cs="Times New Roman"/>
          <w:sz w:val="24"/>
          <w:szCs w:val="24"/>
        </w:rPr>
        <w:t xml:space="preserve">, presents the results of the sentiment analysis of our Twitter sample on EUSEW. </w:t>
      </w:r>
    </w:p>
    <w:p w14:paraId="7DC3CCF8" w14:textId="2F517AFD" w:rsidR="00B75683" w:rsidRDefault="00B75683" w:rsidP="00E325D0">
      <w:pPr>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Neutrality is the largest proportion</w:t>
      </w:r>
      <w:r w:rsidR="00D104BF" w:rsidRPr="00E325D0">
        <w:rPr>
          <w:rFonts w:ascii="Times New Roman" w:hAnsi="Times New Roman" w:cs="Times New Roman"/>
          <w:sz w:val="24"/>
          <w:szCs w:val="24"/>
        </w:rPr>
        <w:t>. O</w:t>
      </w:r>
      <w:r w:rsidRPr="00E325D0">
        <w:rPr>
          <w:rFonts w:ascii="Times New Roman" w:hAnsi="Times New Roman" w:cs="Times New Roman"/>
          <w:sz w:val="24"/>
          <w:szCs w:val="24"/>
        </w:rPr>
        <w:t xml:space="preserve">n a topic like the EUSEW, and indeed in discussions of policy generally, it is unsurprising to find a high level of neutrality. </w:t>
      </w:r>
      <w:r w:rsidR="003C670A" w:rsidRPr="00E325D0">
        <w:rPr>
          <w:rFonts w:ascii="Times New Roman" w:hAnsi="Times New Roman" w:cs="Times New Roman"/>
          <w:sz w:val="24"/>
          <w:szCs w:val="24"/>
        </w:rPr>
        <w:t>Many</w:t>
      </w:r>
      <w:r w:rsidRPr="00E325D0">
        <w:rPr>
          <w:rFonts w:ascii="Times New Roman" w:hAnsi="Times New Roman" w:cs="Times New Roman"/>
          <w:sz w:val="24"/>
          <w:szCs w:val="24"/>
        </w:rPr>
        <w:t xml:space="preserve"> tweets relating to our topic were simply advertising/PR messages promoting a specific EUSEW event, and oftentimes such tweets were entirely neutral. However</w:t>
      </w:r>
      <w:r w:rsidR="00D104BF" w:rsidRPr="00E325D0">
        <w:rPr>
          <w:rFonts w:ascii="Times New Roman" w:hAnsi="Times New Roman" w:cs="Times New Roman"/>
          <w:sz w:val="24"/>
          <w:szCs w:val="24"/>
        </w:rPr>
        <w:t>,</w:t>
      </w:r>
      <w:r w:rsidRPr="00E325D0">
        <w:rPr>
          <w:rFonts w:ascii="Times New Roman" w:hAnsi="Times New Roman" w:cs="Times New Roman"/>
          <w:sz w:val="24"/>
          <w:szCs w:val="24"/>
        </w:rPr>
        <w:t xml:space="preserve"> it is in the more nuanced levels of sentiment where we begin to see an interesting pic</w:t>
      </w:r>
      <w:r w:rsidR="003C670A" w:rsidRPr="00E325D0">
        <w:rPr>
          <w:rFonts w:ascii="Times New Roman" w:hAnsi="Times New Roman" w:cs="Times New Roman"/>
          <w:sz w:val="24"/>
          <w:szCs w:val="24"/>
        </w:rPr>
        <w:t xml:space="preserve">ture. As can be seen in Figure </w:t>
      </w:r>
      <w:r w:rsidR="001A4E63">
        <w:rPr>
          <w:rFonts w:ascii="Times New Roman" w:hAnsi="Times New Roman" w:cs="Times New Roman"/>
          <w:sz w:val="24"/>
          <w:szCs w:val="24"/>
        </w:rPr>
        <w:t>6</w:t>
      </w:r>
      <w:r w:rsidRPr="00E325D0">
        <w:rPr>
          <w:rFonts w:ascii="Times New Roman" w:hAnsi="Times New Roman" w:cs="Times New Roman"/>
          <w:sz w:val="24"/>
          <w:szCs w:val="24"/>
        </w:rPr>
        <w:t xml:space="preserve">, neutral-to-positive and positive tweets far outweighed the volume of negative ones. </w:t>
      </w:r>
      <w:r w:rsidR="00D104BF" w:rsidRPr="00E325D0">
        <w:rPr>
          <w:rFonts w:ascii="Times New Roman" w:hAnsi="Times New Roman" w:cs="Times New Roman"/>
          <w:sz w:val="24"/>
          <w:szCs w:val="24"/>
        </w:rPr>
        <w:t>It might be that</w:t>
      </w:r>
      <w:r w:rsidRPr="00E325D0">
        <w:rPr>
          <w:rFonts w:ascii="Times New Roman" w:hAnsi="Times New Roman" w:cs="Times New Roman"/>
          <w:sz w:val="24"/>
          <w:szCs w:val="24"/>
        </w:rPr>
        <w:t xml:space="preserve"> those who are actively engaged in the initiative have come with more positive </w:t>
      </w:r>
      <w:r w:rsidRPr="00E325D0">
        <w:rPr>
          <w:rFonts w:ascii="Times New Roman" w:hAnsi="Times New Roman" w:cs="Times New Roman"/>
          <w:sz w:val="24"/>
          <w:szCs w:val="24"/>
        </w:rPr>
        <w:lastRenderedPageBreak/>
        <w:t xml:space="preserve">views because they have an interest. They are likely to be supportive. In more general studies of the EU’s Twitter communication, a higher level of negativity is probable, given the levels of societal </w:t>
      </w:r>
      <w:r w:rsidR="00D104BF" w:rsidRPr="00E325D0">
        <w:rPr>
          <w:rFonts w:ascii="Times New Roman" w:hAnsi="Times New Roman" w:cs="Times New Roman"/>
          <w:sz w:val="24"/>
          <w:szCs w:val="24"/>
        </w:rPr>
        <w:t>Euroscepticism. I</w:t>
      </w:r>
      <w:r w:rsidRPr="00E325D0">
        <w:rPr>
          <w:rFonts w:ascii="Times New Roman" w:hAnsi="Times New Roman" w:cs="Times New Roman"/>
          <w:sz w:val="24"/>
          <w:szCs w:val="24"/>
        </w:rPr>
        <w:t>n this case, we observed strong evidence of a positive image of the EU as an energy actor involved in sustainable energy issues. This finding may be another indicator that narrative ‘Sustainable Energy Europe’ is able to elicit positive attitudes from the participants in communication – yet another promising sign of an emerging narrative.</w:t>
      </w:r>
    </w:p>
    <w:p w14:paraId="46759DE4" w14:textId="77777777" w:rsidR="0078758D" w:rsidRDefault="0078758D" w:rsidP="00E325D0">
      <w:pPr>
        <w:spacing w:line="480" w:lineRule="auto"/>
        <w:ind w:firstLine="720"/>
        <w:contextualSpacing/>
        <w:rPr>
          <w:rFonts w:ascii="Times New Roman" w:hAnsi="Times New Roman" w:cs="Times New Roman"/>
          <w:sz w:val="24"/>
          <w:szCs w:val="24"/>
        </w:rPr>
      </w:pPr>
    </w:p>
    <w:p w14:paraId="2DAB71E0" w14:textId="63E7F59A" w:rsidR="00C2101E" w:rsidRDefault="00C2101E" w:rsidP="00C2101E">
      <w:pPr>
        <w:spacing w:line="480" w:lineRule="auto"/>
        <w:ind w:firstLine="720"/>
        <w:contextualSpacing/>
        <w:jc w:val="center"/>
        <w:rPr>
          <w:rFonts w:ascii="Times New Roman" w:hAnsi="Times New Roman" w:cs="Times New Roman"/>
          <w:sz w:val="24"/>
          <w:szCs w:val="24"/>
        </w:rPr>
      </w:pPr>
      <w:r>
        <w:rPr>
          <w:rFonts w:ascii="Times New Roman" w:hAnsi="Times New Roman" w:cs="Times New Roman"/>
          <w:sz w:val="24"/>
          <w:szCs w:val="24"/>
        </w:rPr>
        <w:t xml:space="preserve">[Figure </w:t>
      </w:r>
      <w:r w:rsidR="001A4E63">
        <w:rPr>
          <w:rFonts w:ascii="Times New Roman" w:hAnsi="Times New Roman" w:cs="Times New Roman"/>
          <w:sz w:val="24"/>
          <w:szCs w:val="24"/>
        </w:rPr>
        <w:t>6</w:t>
      </w:r>
      <w:r>
        <w:rPr>
          <w:rFonts w:ascii="Times New Roman" w:hAnsi="Times New Roman" w:cs="Times New Roman"/>
          <w:sz w:val="24"/>
          <w:szCs w:val="24"/>
        </w:rPr>
        <w:t xml:space="preserve"> about here]</w:t>
      </w:r>
    </w:p>
    <w:p w14:paraId="6E046D71" w14:textId="747E55B8" w:rsidR="00B75683" w:rsidRPr="00E325D0" w:rsidRDefault="00B75683" w:rsidP="00E325D0">
      <w:pPr>
        <w:spacing w:line="480" w:lineRule="auto"/>
        <w:contextualSpacing/>
        <w:rPr>
          <w:rFonts w:ascii="Times New Roman" w:hAnsi="Times New Roman" w:cs="Times New Roman"/>
          <w:sz w:val="24"/>
          <w:szCs w:val="24"/>
        </w:rPr>
      </w:pPr>
    </w:p>
    <w:p w14:paraId="3AE776F2" w14:textId="54C60FE7" w:rsidR="00B75683" w:rsidRDefault="00B75683" w:rsidP="00E325D0">
      <w:pPr>
        <w:spacing w:line="480" w:lineRule="auto"/>
        <w:contextualSpacing/>
        <w:rPr>
          <w:rFonts w:ascii="Times New Roman" w:hAnsi="Times New Roman" w:cs="Times New Roman"/>
          <w:b/>
          <w:bCs/>
          <w:sz w:val="24"/>
          <w:szCs w:val="24"/>
        </w:rPr>
      </w:pPr>
      <w:r w:rsidRPr="00E325D0">
        <w:rPr>
          <w:rFonts w:ascii="Times New Roman" w:hAnsi="Times New Roman" w:cs="Times New Roman"/>
          <w:b/>
          <w:bCs/>
          <w:sz w:val="24"/>
          <w:szCs w:val="24"/>
        </w:rPr>
        <w:t xml:space="preserve">Figure </w:t>
      </w:r>
      <w:r w:rsidR="001A4E63">
        <w:rPr>
          <w:rFonts w:ascii="Times New Roman" w:hAnsi="Times New Roman" w:cs="Times New Roman"/>
          <w:b/>
          <w:bCs/>
          <w:sz w:val="24"/>
          <w:szCs w:val="24"/>
        </w:rPr>
        <w:t>6</w:t>
      </w:r>
      <w:r w:rsidRPr="00E325D0">
        <w:rPr>
          <w:rFonts w:ascii="Times New Roman" w:hAnsi="Times New Roman" w:cs="Times New Roman"/>
          <w:b/>
          <w:bCs/>
          <w:sz w:val="24"/>
          <w:szCs w:val="24"/>
        </w:rPr>
        <w:t>: Sentiment Stance of EUSEW Tweets</w:t>
      </w:r>
    </w:p>
    <w:p w14:paraId="57C3CD87" w14:textId="0DB0A57D" w:rsidR="00C2101E" w:rsidRPr="00E325D0" w:rsidRDefault="00C2101E" w:rsidP="00E325D0">
      <w:pPr>
        <w:spacing w:line="480" w:lineRule="auto"/>
        <w:contextualSpacing/>
        <w:rPr>
          <w:rFonts w:ascii="Times New Roman" w:hAnsi="Times New Roman" w:cs="Times New Roman"/>
          <w:b/>
          <w:bCs/>
          <w:sz w:val="24"/>
          <w:szCs w:val="24"/>
        </w:rPr>
      </w:pPr>
      <w:r w:rsidRPr="002F092D">
        <w:rPr>
          <w:rFonts w:asciiTheme="majorHAnsi" w:hAnsiTheme="majorHAnsi"/>
          <w:noProof/>
          <w:lang w:eastAsia="en-GB"/>
        </w:rPr>
        <w:drawing>
          <wp:inline distT="0" distB="0" distL="0" distR="0" wp14:anchorId="4CC96009" wp14:editId="6455849C">
            <wp:extent cx="4572000" cy="2743200"/>
            <wp:effectExtent l="0" t="0" r="19050" b="190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FFB9DBC" w14:textId="77777777" w:rsidR="00C2101E" w:rsidRPr="00E325D0" w:rsidRDefault="00C2101E" w:rsidP="00E325D0">
      <w:pPr>
        <w:spacing w:line="480" w:lineRule="auto"/>
        <w:contextualSpacing/>
        <w:rPr>
          <w:rFonts w:ascii="Times New Roman" w:hAnsi="Times New Roman" w:cs="Times New Roman"/>
          <w:sz w:val="24"/>
          <w:szCs w:val="24"/>
        </w:rPr>
      </w:pPr>
    </w:p>
    <w:p w14:paraId="712BF82A" w14:textId="221E26BC" w:rsidR="00B75683" w:rsidRPr="00E325D0" w:rsidRDefault="00B75683" w:rsidP="00E325D0">
      <w:pPr>
        <w:spacing w:line="480" w:lineRule="auto"/>
        <w:contextualSpacing/>
        <w:rPr>
          <w:rFonts w:ascii="Times New Roman" w:hAnsi="Times New Roman" w:cs="Times New Roman"/>
          <w:sz w:val="24"/>
          <w:szCs w:val="24"/>
        </w:rPr>
      </w:pPr>
      <w:r w:rsidRPr="00E325D0">
        <w:rPr>
          <w:rFonts w:ascii="Times New Roman" w:hAnsi="Times New Roman" w:cs="Times New Roman"/>
          <w:sz w:val="24"/>
          <w:szCs w:val="24"/>
        </w:rPr>
        <w:t xml:space="preserve">Within each of our sentiment categories, there were a number of conceptual metaphors identified. Figure </w:t>
      </w:r>
      <w:r w:rsidR="00B565A9">
        <w:rPr>
          <w:rFonts w:ascii="Times New Roman" w:hAnsi="Times New Roman" w:cs="Times New Roman"/>
          <w:sz w:val="24"/>
          <w:szCs w:val="24"/>
        </w:rPr>
        <w:t>7</w:t>
      </w:r>
      <w:r w:rsidRPr="00E325D0">
        <w:rPr>
          <w:rFonts w:ascii="Times New Roman" w:hAnsi="Times New Roman" w:cs="Times New Roman"/>
          <w:sz w:val="24"/>
          <w:szCs w:val="24"/>
        </w:rPr>
        <w:t xml:space="preserve"> presents distribution of metaphors according to the expressed sentiment.</w:t>
      </w:r>
    </w:p>
    <w:p w14:paraId="24AA5C9A" w14:textId="54234E90" w:rsidR="00B75683" w:rsidRDefault="00B75683" w:rsidP="00E325D0">
      <w:pPr>
        <w:spacing w:line="480" w:lineRule="auto"/>
        <w:contextualSpacing/>
        <w:rPr>
          <w:rFonts w:ascii="Times New Roman" w:hAnsi="Times New Roman" w:cs="Times New Roman"/>
          <w:sz w:val="24"/>
          <w:szCs w:val="24"/>
        </w:rPr>
      </w:pPr>
    </w:p>
    <w:p w14:paraId="6989DEC0" w14:textId="4D5CED87" w:rsidR="00C2101E" w:rsidRDefault="00C2101E" w:rsidP="00C2101E">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[Figure </w:t>
      </w:r>
      <w:r w:rsidR="001A4E63">
        <w:rPr>
          <w:rFonts w:ascii="Times New Roman" w:hAnsi="Times New Roman" w:cs="Times New Roman"/>
          <w:sz w:val="24"/>
          <w:szCs w:val="24"/>
        </w:rPr>
        <w:t>7</w:t>
      </w:r>
      <w:r>
        <w:rPr>
          <w:rFonts w:ascii="Times New Roman" w:hAnsi="Times New Roman" w:cs="Times New Roman"/>
          <w:sz w:val="24"/>
          <w:szCs w:val="24"/>
        </w:rPr>
        <w:t xml:space="preserve"> about here]</w:t>
      </w:r>
    </w:p>
    <w:p w14:paraId="2936FF95" w14:textId="77777777" w:rsidR="0078758D" w:rsidRPr="00E325D0" w:rsidRDefault="0078758D" w:rsidP="00C2101E">
      <w:pPr>
        <w:spacing w:line="480" w:lineRule="auto"/>
        <w:contextualSpacing/>
        <w:jc w:val="center"/>
        <w:rPr>
          <w:rFonts w:ascii="Times New Roman" w:hAnsi="Times New Roman" w:cs="Times New Roman"/>
          <w:sz w:val="24"/>
          <w:szCs w:val="24"/>
        </w:rPr>
      </w:pPr>
    </w:p>
    <w:p w14:paraId="36AF55AA" w14:textId="0111415E" w:rsidR="00B75683" w:rsidRPr="00E325D0" w:rsidRDefault="00B75683" w:rsidP="00E325D0">
      <w:pPr>
        <w:spacing w:line="480" w:lineRule="auto"/>
        <w:contextualSpacing/>
        <w:rPr>
          <w:rFonts w:ascii="Times New Roman" w:hAnsi="Times New Roman" w:cs="Times New Roman"/>
          <w:b/>
          <w:bCs/>
          <w:sz w:val="24"/>
          <w:szCs w:val="24"/>
        </w:rPr>
      </w:pPr>
      <w:r w:rsidRPr="00E325D0">
        <w:rPr>
          <w:rFonts w:ascii="Times New Roman" w:hAnsi="Times New Roman" w:cs="Times New Roman"/>
          <w:b/>
          <w:bCs/>
          <w:sz w:val="24"/>
          <w:szCs w:val="24"/>
        </w:rPr>
        <w:t xml:space="preserve">Figure </w:t>
      </w:r>
      <w:r w:rsidR="001A4E63">
        <w:rPr>
          <w:rFonts w:ascii="Times New Roman" w:hAnsi="Times New Roman" w:cs="Times New Roman"/>
          <w:b/>
          <w:bCs/>
          <w:sz w:val="24"/>
          <w:szCs w:val="24"/>
        </w:rPr>
        <w:t>7</w:t>
      </w:r>
      <w:r w:rsidRPr="00E325D0">
        <w:rPr>
          <w:rFonts w:ascii="Times New Roman" w:hAnsi="Times New Roman" w:cs="Times New Roman"/>
          <w:b/>
          <w:bCs/>
          <w:sz w:val="24"/>
          <w:szCs w:val="24"/>
        </w:rPr>
        <w:t>: Volume of Conceptual Metaphors according to Stance</w:t>
      </w:r>
    </w:p>
    <w:p w14:paraId="1B8FCEFA" w14:textId="77777777" w:rsidR="00C2101E" w:rsidRPr="002F092D" w:rsidRDefault="00C2101E" w:rsidP="00C2101E">
      <w:pPr>
        <w:jc w:val="both"/>
        <w:rPr>
          <w:rFonts w:asciiTheme="majorHAnsi" w:hAnsiTheme="majorHAnsi"/>
        </w:rPr>
      </w:pPr>
    </w:p>
    <w:p w14:paraId="77041101" w14:textId="77777777" w:rsidR="00C2101E" w:rsidRPr="002F092D" w:rsidRDefault="00C2101E" w:rsidP="00C2101E">
      <w:pPr>
        <w:jc w:val="both"/>
        <w:rPr>
          <w:rFonts w:asciiTheme="majorHAnsi" w:hAnsiTheme="majorHAnsi"/>
        </w:rPr>
      </w:pPr>
      <w:r w:rsidRPr="002F092D">
        <w:rPr>
          <w:rFonts w:asciiTheme="majorHAnsi" w:hAnsiTheme="majorHAnsi"/>
          <w:noProof/>
          <w:lang w:eastAsia="en-GB"/>
        </w:rPr>
        <w:lastRenderedPageBreak/>
        <w:drawing>
          <wp:inline distT="0" distB="0" distL="0" distR="0" wp14:anchorId="720D3870" wp14:editId="3FCD3FBF">
            <wp:extent cx="5328138" cy="2795954"/>
            <wp:effectExtent l="0" t="0" r="25400" b="2349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E971BFA" w14:textId="77777777" w:rsidR="00C2101E" w:rsidRPr="00E325D0" w:rsidRDefault="00C2101E" w:rsidP="00E325D0">
      <w:pPr>
        <w:spacing w:line="480" w:lineRule="auto"/>
        <w:contextualSpacing/>
        <w:rPr>
          <w:rFonts w:ascii="Times New Roman" w:hAnsi="Times New Roman" w:cs="Times New Roman"/>
          <w:sz w:val="24"/>
          <w:szCs w:val="24"/>
        </w:rPr>
      </w:pPr>
    </w:p>
    <w:p w14:paraId="1D04C987" w14:textId="1FB26864" w:rsidR="00B75683" w:rsidRPr="00625C61" w:rsidRDefault="00B75683" w:rsidP="00E325D0">
      <w:pPr>
        <w:spacing w:line="480" w:lineRule="auto"/>
        <w:contextualSpacing/>
        <w:rPr>
          <w:rFonts w:ascii="Times New Roman" w:hAnsi="Times New Roman" w:cs="Times New Roman"/>
          <w:sz w:val="24"/>
          <w:szCs w:val="24"/>
        </w:rPr>
      </w:pPr>
      <w:r w:rsidRPr="00E325D0">
        <w:rPr>
          <w:rFonts w:ascii="Times New Roman" w:hAnsi="Times New Roman" w:cs="Times New Roman"/>
          <w:sz w:val="24"/>
          <w:szCs w:val="24"/>
        </w:rPr>
        <w:t xml:space="preserve">Our analysis of metaphors in each category identified a set of common images. Negative evaluations were often carried by </w:t>
      </w:r>
      <w:r w:rsidR="004638DB" w:rsidRPr="00E325D0">
        <w:rPr>
          <w:rFonts w:ascii="Times New Roman" w:hAnsi="Times New Roman" w:cs="Times New Roman"/>
          <w:sz w:val="24"/>
          <w:szCs w:val="24"/>
        </w:rPr>
        <w:t>metaphors that</w:t>
      </w:r>
      <w:r w:rsidRPr="00E325D0">
        <w:rPr>
          <w:rFonts w:ascii="Times New Roman" w:hAnsi="Times New Roman" w:cs="Times New Roman"/>
          <w:sz w:val="24"/>
          <w:szCs w:val="24"/>
        </w:rPr>
        <w:t xml:space="preserve"> compared the EU’s action to problematic progress – a restricted or obstructed movement, sometimes leading to bottlenecks. Sometimes forward movement came to an end without reaching a goal. Metaphors of personification sometimes compared the EU to an individual with bottomless appetite (i.e. never satisfied), or an ignorant challenged person not in the information loop, or a person experiencing negative (angry or frustrated) emotions. </w:t>
      </w:r>
      <w:r w:rsidR="00D104BF" w:rsidRPr="00E325D0">
        <w:rPr>
          <w:rFonts w:ascii="Times New Roman" w:hAnsi="Times New Roman" w:cs="Times New Roman"/>
          <w:sz w:val="24"/>
          <w:szCs w:val="24"/>
        </w:rPr>
        <w:t>R</w:t>
      </w:r>
      <w:r w:rsidRPr="00E325D0">
        <w:rPr>
          <w:rFonts w:ascii="Times New Roman" w:hAnsi="Times New Roman" w:cs="Times New Roman"/>
          <w:sz w:val="24"/>
          <w:szCs w:val="24"/>
        </w:rPr>
        <w:t>ather surprisingly, the analysis identified an almost identical set of metaphors within the positive imagery categories – metaphors of movement and personification dominated. In this case, though, the movement forward was successful, with the EU making mighty progress while reaching milestones and ambitious goals. Metaphors of personification compared the EU to an able athlete who is kicking off sports games and leaping over barriers. It was even described as a champion. In a related set of images, the EU was constructed as an energetic, adventurous and strong individual – a pioneer, seizing opportunities, buzzing with excitement and providing support. Positive metaphorical images rested heavily on the side of personification and suggest that the reception registered the EU as a protagonist in the strategic story of’ ‘Sustainable Energy Europe’. Metaphors of forward movement suggest the narrative is future-oriented.</w:t>
      </w:r>
      <w:r w:rsidR="00696F2D">
        <w:rPr>
          <w:rFonts w:ascii="Times New Roman" w:hAnsi="Times New Roman" w:cs="Times New Roman"/>
          <w:sz w:val="24"/>
          <w:szCs w:val="24"/>
        </w:rPr>
        <w:t xml:space="preserve"> </w:t>
      </w:r>
      <w:r w:rsidRPr="00E325D0">
        <w:rPr>
          <w:rFonts w:ascii="Times New Roman" w:hAnsi="Times New Roman" w:cs="Times New Roman"/>
          <w:sz w:val="24"/>
          <w:szCs w:val="24"/>
        </w:rPr>
        <w:t xml:space="preserve">Notably, our analysis also discovered a </w:t>
      </w:r>
      <w:r w:rsidRPr="00E325D0">
        <w:rPr>
          <w:rFonts w:ascii="Times New Roman" w:hAnsi="Times New Roman" w:cs="Times New Roman"/>
          <w:sz w:val="24"/>
          <w:szCs w:val="24"/>
        </w:rPr>
        <w:lastRenderedPageBreak/>
        <w:t xml:space="preserve">number of examples featuring conflicting images (both positive and negative) in the same tweets. Mixed evaluations, though not dominant, are argued here to be indicative that reception of the EU as an energy actor remains a challenging cognitive exercise. As a supranational actor, the EU remains an atypical producer of energy policies and diplomatic outcomes in an energy field still dominated by state-centred actors and practices. </w:t>
      </w:r>
    </w:p>
    <w:p w14:paraId="79E66521" w14:textId="77777777" w:rsidR="00625C61" w:rsidRDefault="00625C61" w:rsidP="00E325D0">
      <w:pPr>
        <w:spacing w:line="480" w:lineRule="auto"/>
        <w:contextualSpacing/>
        <w:rPr>
          <w:rFonts w:ascii="Times New Roman" w:hAnsi="Times New Roman" w:cs="Times New Roman"/>
          <w:b/>
          <w:bCs/>
          <w:sz w:val="24"/>
          <w:szCs w:val="24"/>
        </w:rPr>
      </w:pPr>
    </w:p>
    <w:p w14:paraId="0F17A745" w14:textId="77777777" w:rsidR="00625C61" w:rsidRPr="00E325D0" w:rsidRDefault="00625C61" w:rsidP="00E325D0">
      <w:pPr>
        <w:spacing w:line="480" w:lineRule="auto"/>
        <w:contextualSpacing/>
        <w:rPr>
          <w:rFonts w:ascii="Times New Roman" w:hAnsi="Times New Roman" w:cs="Times New Roman"/>
          <w:b/>
          <w:bCs/>
          <w:sz w:val="24"/>
          <w:szCs w:val="24"/>
        </w:rPr>
      </w:pPr>
    </w:p>
    <w:p w14:paraId="5BB3F551" w14:textId="5B9BEFBB" w:rsidR="00B75683" w:rsidRDefault="00625C61" w:rsidP="00E325D0">
      <w:pPr>
        <w:spacing w:line="480" w:lineRule="auto"/>
        <w:contextualSpacing/>
        <w:rPr>
          <w:rFonts w:ascii="Times New Roman" w:hAnsi="Times New Roman" w:cs="Times New Roman"/>
          <w:b/>
          <w:bCs/>
          <w:sz w:val="24"/>
          <w:szCs w:val="24"/>
        </w:rPr>
      </w:pPr>
      <w:r>
        <w:rPr>
          <w:rFonts w:ascii="Times New Roman" w:hAnsi="Times New Roman" w:cs="Times New Roman"/>
          <w:b/>
          <w:bCs/>
          <w:sz w:val="24"/>
          <w:szCs w:val="24"/>
        </w:rPr>
        <w:t xml:space="preserve">6. </w:t>
      </w:r>
      <w:r w:rsidR="00B75683" w:rsidRPr="00E325D0">
        <w:rPr>
          <w:rFonts w:ascii="Times New Roman" w:hAnsi="Times New Roman" w:cs="Times New Roman"/>
          <w:b/>
          <w:bCs/>
          <w:sz w:val="24"/>
          <w:szCs w:val="24"/>
        </w:rPr>
        <w:t>Discussion</w:t>
      </w:r>
    </w:p>
    <w:p w14:paraId="16C2A358" w14:textId="77777777" w:rsidR="00625C61" w:rsidRPr="00E325D0" w:rsidRDefault="00625C61" w:rsidP="00E325D0">
      <w:pPr>
        <w:spacing w:line="480" w:lineRule="auto"/>
        <w:contextualSpacing/>
        <w:rPr>
          <w:rFonts w:ascii="Times New Roman" w:hAnsi="Times New Roman" w:cs="Times New Roman"/>
          <w:b/>
          <w:bCs/>
          <w:sz w:val="24"/>
          <w:szCs w:val="24"/>
        </w:rPr>
      </w:pPr>
    </w:p>
    <w:p w14:paraId="21D703E3" w14:textId="0A23313D" w:rsidR="00B75683" w:rsidRPr="00E325D0" w:rsidRDefault="00B75683" w:rsidP="00E325D0">
      <w:pPr>
        <w:spacing w:line="480" w:lineRule="auto"/>
        <w:contextualSpacing/>
        <w:rPr>
          <w:rFonts w:ascii="Times New Roman" w:hAnsi="Times New Roman" w:cs="Times New Roman"/>
          <w:sz w:val="24"/>
          <w:szCs w:val="24"/>
        </w:rPr>
      </w:pPr>
      <w:r w:rsidRPr="00E325D0">
        <w:rPr>
          <w:rFonts w:ascii="Times New Roman" w:hAnsi="Times New Roman" w:cs="Times New Roman"/>
          <w:sz w:val="24"/>
          <w:szCs w:val="24"/>
        </w:rPr>
        <w:t xml:space="preserve">Our analysis demonstrated that ‘Sustainable Energy Europe’ is emerging as an appealing strategic narrative of the EU, resonating internally and externally. The ‘story’ of ‘Sustainable Energy Europe’ has all the necessary elements to classify it as a narrative according to </w:t>
      </w:r>
      <w:r w:rsidRPr="00E325D0">
        <w:rPr>
          <w:rFonts w:ascii="Times New Roman" w:hAnsi="Times New Roman" w:cs="Times New Roman"/>
          <w:sz w:val="24"/>
          <w:szCs w:val="24"/>
          <w:lang w:val="en-US"/>
        </w:rPr>
        <w:t xml:space="preserve">Miskimmon et al (2013)’s configuration: </w:t>
      </w:r>
      <w:r w:rsidRPr="00E325D0">
        <w:rPr>
          <w:rFonts w:ascii="Times New Roman" w:hAnsi="Times New Roman" w:cs="Times New Roman"/>
          <w:sz w:val="24"/>
          <w:szCs w:val="24"/>
        </w:rPr>
        <w:t xml:space="preserve">actors, actions, intentions, settings and instruments. It features causes and effects and it is future-oriented. Thus, our comprehensive consideration of one relevant case study – social media communication of ‘Sustainable Energy Europe’ during the EUSEW 2013 – presents a promising dynamic for this narrative in terms of formation, projection and reception. The EUSEW was found to be formulated with clear goal of networking in mind, targeting both domestic and international receivers of the EU messages. The use of social media within it has </w:t>
      </w:r>
      <w:r w:rsidR="00D104BF" w:rsidRPr="00E325D0">
        <w:rPr>
          <w:rFonts w:ascii="Times New Roman" w:hAnsi="Times New Roman" w:cs="Times New Roman"/>
          <w:sz w:val="24"/>
          <w:szCs w:val="24"/>
        </w:rPr>
        <w:t>possibly</w:t>
      </w:r>
      <w:r w:rsidRPr="00E325D0">
        <w:rPr>
          <w:rFonts w:ascii="Times New Roman" w:hAnsi="Times New Roman" w:cs="Times New Roman"/>
          <w:sz w:val="24"/>
          <w:szCs w:val="24"/>
        </w:rPr>
        <w:t xml:space="preserve"> amplified the core objective of the EUSEW of networking and communicating among the EU and stakeholders. Further, our analysis of projection has revealed that the EU is among the most active authors formulating the message</w:t>
      </w:r>
      <w:r w:rsidR="00F35B82" w:rsidRPr="00E325D0">
        <w:rPr>
          <w:rFonts w:ascii="Times New Roman" w:hAnsi="Times New Roman" w:cs="Times New Roman"/>
          <w:sz w:val="24"/>
          <w:szCs w:val="24"/>
        </w:rPr>
        <w:t xml:space="preserve">. The </w:t>
      </w:r>
      <w:r w:rsidRPr="00E325D0">
        <w:rPr>
          <w:rFonts w:ascii="Times New Roman" w:hAnsi="Times New Roman" w:cs="Times New Roman"/>
          <w:sz w:val="24"/>
          <w:szCs w:val="24"/>
        </w:rPr>
        <w:t>content analysis of th</w:t>
      </w:r>
      <w:r w:rsidR="00F35B82" w:rsidRPr="00E325D0">
        <w:rPr>
          <w:rFonts w:ascii="Times New Roman" w:hAnsi="Times New Roman" w:cs="Times New Roman"/>
          <w:sz w:val="24"/>
          <w:szCs w:val="24"/>
        </w:rPr>
        <w:t>at message</w:t>
      </w:r>
      <w:r w:rsidRPr="00E325D0">
        <w:rPr>
          <w:rFonts w:ascii="Times New Roman" w:hAnsi="Times New Roman" w:cs="Times New Roman"/>
          <w:sz w:val="24"/>
          <w:szCs w:val="24"/>
        </w:rPr>
        <w:t xml:space="preserve"> revealed a particular frame projected to receivers – a frame of economic benefits arising from participation in the EUSEW and from engagement in sustainable energy field in general, and with Europe in particular. The analysis of reception showed that crucially for the narrative, the EU is recognised to be a</w:t>
      </w:r>
      <w:r w:rsidR="003C670A" w:rsidRPr="00E325D0">
        <w:rPr>
          <w:rFonts w:ascii="Times New Roman" w:hAnsi="Times New Roman" w:cs="Times New Roman"/>
          <w:sz w:val="24"/>
          <w:szCs w:val="24"/>
        </w:rPr>
        <w:t xml:space="preserve"> valid actor undertaking action</w:t>
      </w:r>
      <w:r w:rsidRPr="00E325D0">
        <w:rPr>
          <w:rFonts w:ascii="Times New Roman" w:hAnsi="Times New Roman" w:cs="Times New Roman"/>
          <w:sz w:val="24"/>
          <w:szCs w:val="24"/>
        </w:rPr>
        <w:t>.</w:t>
      </w:r>
      <w:r w:rsidR="00F47BD6">
        <w:rPr>
          <w:rFonts w:ascii="Times New Roman" w:hAnsi="Times New Roman" w:cs="Times New Roman"/>
          <w:sz w:val="24"/>
          <w:szCs w:val="24"/>
        </w:rPr>
        <w:t xml:space="preserve"> </w:t>
      </w:r>
      <w:r w:rsidR="00F47BD6" w:rsidRPr="00F47BD6">
        <w:rPr>
          <w:rFonts w:ascii="Times New Roman" w:hAnsi="Times New Roman" w:cs="Times New Roman"/>
          <w:sz w:val="24"/>
          <w:szCs w:val="24"/>
        </w:rPr>
        <w:t xml:space="preserve">The emphasis on economic pragmatism typical in the discussion of energy </w:t>
      </w:r>
      <w:r w:rsidR="00F47BD6" w:rsidRPr="00F47BD6">
        <w:rPr>
          <w:rFonts w:ascii="Times New Roman" w:hAnsi="Times New Roman" w:cs="Times New Roman"/>
          <w:sz w:val="24"/>
          <w:szCs w:val="24"/>
        </w:rPr>
        <w:lastRenderedPageBreak/>
        <w:t>matters</w:t>
      </w:r>
      <w:r w:rsidR="00F47BD6">
        <w:rPr>
          <w:rFonts w:ascii="Times New Roman" w:hAnsi="Times New Roman" w:cs="Times New Roman"/>
          <w:sz w:val="24"/>
          <w:szCs w:val="24"/>
        </w:rPr>
        <w:t xml:space="preserve"> during the EUSEW</w:t>
      </w:r>
      <w:r w:rsidR="00F47BD6" w:rsidRPr="00F47BD6">
        <w:rPr>
          <w:rFonts w:ascii="Times New Roman" w:hAnsi="Times New Roman" w:cs="Times New Roman"/>
          <w:sz w:val="24"/>
          <w:szCs w:val="24"/>
        </w:rPr>
        <w:t xml:space="preserve"> has resulted in a heighted salience of business and political themes among ordinary citizens </w:t>
      </w:r>
      <w:r w:rsidR="008B1DAB">
        <w:rPr>
          <w:rFonts w:ascii="Times New Roman" w:hAnsi="Times New Roman" w:cs="Times New Roman"/>
          <w:sz w:val="24"/>
          <w:szCs w:val="24"/>
        </w:rPr>
        <w:t xml:space="preserve">reactions to EU communications </w:t>
      </w:r>
      <w:r w:rsidR="00F47BD6" w:rsidRPr="00F47BD6">
        <w:rPr>
          <w:rFonts w:ascii="Times New Roman" w:hAnsi="Times New Roman" w:cs="Times New Roman"/>
          <w:sz w:val="24"/>
          <w:szCs w:val="24"/>
        </w:rPr>
        <w:t xml:space="preserve">(people often ‘vote with their wallets’, and </w:t>
      </w:r>
      <w:r w:rsidR="000A292E">
        <w:rPr>
          <w:rFonts w:ascii="Times New Roman" w:hAnsi="Times New Roman" w:cs="Times New Roman"/>
          <w:sz w:val="24"/>
          <w:szCs w:val="24"/>
        </w:rPr>
        <w:t xml:space="preserve">the field of </w:t>
      </w:r>
      <w:r w:rsidR="00F47BD6" w:rsidRPr="00F47BD6">
        <w:rPr>
          <w:rFonts w:ascii="Times New Roman" w:hAnsi="Times New Roman" w:cs="Times New Roman"/>
          <w:sz w:val="24"/>
          <w:szCs w:val="24"/>
        </w:rPr>
        <w:t>energy is no exception).  Indeed, p</w:t>
      </w:r>
      <w:r w:rsidRPr="00E325D0">
        <w:rPr>
          <w:rFonts w:ascii="Times New Roman" w:hAnsi="Times New Roman" w:cs="Times New Roman"/>
          <w:sz w:val="24"/>
          <w:szCs w:val="24"/>
        </w:rPr>
        <w:t>lenty of ordinary citizens were found among those who received the EU’s communications thus demonstrating popular appeal of the narrative</w:t>
      </w:r>
      <w:r w:rsidR="00F47BD6">
        <w:rPr>
          <w:rFonts w:ascii="Times New Roman" w:hAnsi="Times New Roman" w:cs="Times New Roman"/>
          <w:sz w:val="24"/>
          <w:szCs w:val="24"/>
        </w:rPr>
        <w:t xml:space="preserve">. </w:t>
      </w:r>
      <w:r w:rsidRPr="00E325D0">
        <w:rPr>
          <w:rFonts w:ascii="Times New Roman" w:hAnsi="Times New Roman" w:cs="Times New Roman"/>
          <w:sz w:val="24"/>
          <w:szCs w:val="24"/>
        </w:rPr>
        <w:t>Positive sentiment was the most visible, suggesting the presence of a growing, positive attitude towards the EU as an energy actor. Finally, the norm of sustainability was the most recognised, which reflects that there is some recognition of the EU’s ‘normative’ identity.</w:t>
      </w:r>
    </w:p>
    <w:p w14:paraId="78B76A10" w14:textId="0324AA4C" w:rsidR="00B75683" w:rsidRPr="00E325D0" w:rsidRDefault="00B75683" w:rsidP="00E325D0">
      <w:pPr>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 xml:space="preserve">However, the study’s findings also point to some potential challenges. The analysis of formation revealed an ambitious goal for the EU to reach both domestic and international audiences through the public diplomacy initiative of the EUSEW and to appeal to both state and non-state actors. This </w:t>
      </w:r>
      <w:r w:rsidR="00091A13" w:rsidRPr="00E325D0">
        <w:rPr>
          <w:rFonts w:ascii="Times New Roman" w:hAnsi="Times New Roman" w:cs="Times New Roman"/>
          <w:sz w:val="24"/>
          <w:szCs w:val="24"/>
        </w:rPr>
        <w:t xml:space="preserve">finding </w:t>
      </w:r>
      <w:r w:rsidRPr="00E325D0">
        <w:rPr>
          <w:rFonts w:ascii="Times New Roman" w:hAnsi="Times New Roman" w:cs="Times New Roman"/>
          <w:sz w:val="24"/>
          <w:szCs w:val="24"/>
        </w:rPr>
        <w:t xml:space="preserve">would suggest a need for a multi-faceted strategy to set up and run such an initiative effectively. How sophisticated and </w:t>
      </w:r>
      <w:r w:rsidR="004638DB" w:rsidRPr="00E325D0">
        <w:rPr>
          <w:rFonts w:ascii="Times New Roman" w:hAnsi="Times New Roman" w:cs="Times New Roman"/>
          <w:sz w:val="24"/>
          <w:szCs w:val="24"/>
        </w:rPr>
        <w:t>well thought</w:t>
      </w:r>
      <w:r w:rsidRPr="00E325D0">
        <w:rPr>
          <w:rFonts w:ascii="Times New Roman" w:hAnsi="Times New Roman" w:cs="Times New Roman"/>
          <w:sz w:val="24"/>
          <w:szCs w:val="24"/>
        </w:rPr>
        <w:t xml:space="preserve"> through this strategy is remains an open question. On the level of projection, </w:t>
      </w:r>
      <w:r w:rsidR="00091A13" w:rsidRPr="00E325D0">
        <w:rPr>
          <w:rFonts w:ascii="Times New Roman" w:hAnsi="Times New Roman" w:cs="Times New Roman"/>
          <w:sz w:val="24"/>
          <w:szCs w:val="24"/>
        </w:rPr>
        <w:t>especially</w:t>
      </w:r>
      <w:r w:rsidRPr="00E325D0">
        <w:rPr>
          <w:rFonts w:ascii="Times New Roman" w:hAnsi="Times New Roman" w:cs="Times New Roman"/>
          <w:sz w:val="24"/>
          <w:szCs w:val="24"/>
        </w:rPr>
        <w:t xml:space="preserve"> when it comes to selecting communicative highlights, it seems that the EU uses the same ‘formula’ for communicating ‘Sustainable Energy Europe’ as it has done in the past when communicating gender </w:t>
      </w:r>
      <w:r w:rsidR="003C670A" w:rsidRPr="00E325D0">
        <w:rPr>
          <w:rFonts w:ascii="Times New Roman" w:hAnsi="Times New Roman" w:cs="Times New Roman"/>
          <w:sz w:val="24"/>
          <w:szCs w:val="24"/>
        </w:rPr>
        <w:t>equality</w:t>
      </w:r>
      <w:r w:rsidRPr="00E325D0">
        <w:rPr>
          <w:rFonts w:ascii="Times New Roman" w:hAnsi="Times New Roman" w:cs="Times New Roman"/>
          <w:sz w:val="24"/>
          <w:szCs w:val="24"/>
        </w:rPr>
        <w:t xml:space="preserve"> issues, for example. Rather than highlighting a perhaps contentious policy shift driven by a moral or ethical ideology, it has instead used its ‘policy entrepreneurship’ (Laffan</w:t>
      </w:r>
      <w:r w:rsidR="00AA3CD0" w:rsidRPr="00E325D0">
        <w:rPr>
          <w:rFonts w:ascii="Times New Roman" w:hAnsi="Times New Roman" w:cs="Times New Roman"/>
          <w:sz w:val="24"/>
          <w:szCs w:val="24"/>
        </w:rPr>
        <w:t>,</w:t>
      </w:r>
      <w:r w:rsidRPr="00E325D0">
        <w:rPr>
          <w:rFonts w:ascii="Times New Roman" w:hAnsi="Times New Roman" w:cs="Times New Roman"/>
          <w:sz w:val="24"/>
          <w:szCs w:val="24"/>
        </w:rPr>
        <w:t xml:space="preserve"> 1997) and primed the focus on the economic benefits or the likely economic consequences from not taking its suggested path. Through this pragmatic approach, arguably a normative agenda has emerged and is beginning to be successfully projected. On the level of reception, however, we observed a lack of dialogic communication. Instead, the patterns showed high volumes of ‘one-off’ messages of an often promotional character; a dominance of monologue vs. dialogue is often viewed as counterproductive for establishing true collaboration. Yet we agree with </w:t>
      </w:r>
      <w:r w:rsidR="005D62CE" w:rsidRPr="00E325D0">
        <w:rPr>
          <w:rFonts w:ascii="Times New Roman" w:hAnsi="Times New Roman" w:cs="Times New Roman"/>
          <w:sz w:val="24"/>
          <w:szCs w:val="24"/>
        </w:rPr>
        <w:t>b</w:t>
      </w:r>
      <w:r w:rsidRPr="00E325D0">
        <w:rPr>
          <w:rFonts w:ascii="Times New Roman" w:hAnsi="Times New Roman" w:cs="Times New Roman"/>
          <w:sz w:val="24"/>
          <w:szCs w:val="24"/>
        </w:rPr>
        <w:t xml:space="preserve">oyd et al. (2010) who have </w:t>
      </w:r>
      <w:r w:rsidR="00091A13" w:rsidRPr="00E325D0">
        <w:rPr>
          <w:rFonts w:ascii="Times New Roman" w:hAnsi="Times New Roman" w:cs="Times New Roman"/>
          <w:sz w:val="24"/>
          <w:szCs w:val="24"/>
        </w:rPr>
        <w:t xml:space="preserve">pointed to </w:t>
      </w:r>
      <w:r w:rsidRPr="00E325D0">
        <w:rPr>
          <w:rFonts w:ascii="Times New Roman" w:hAnsi="Times New Roman" w:cs="Times New Roman"/>
          <w:sz w:val="24"/>
          <w:szCs w:val="24"/>
        </w:rPr>
        <w:t xml:space="preserve">the value that can be derived from this type of </w:t>
      </w:r>
      <w:r w:rsidR="00F35B82" w:rsidRPr="00E325D0">
        <w:rPr>
          <w:rFonts w:ascii="Times New Roman" w:hAnsi="Times New Roman" w:cs="Times New Roman"/>
          <w:sz w:val="24"/>
          <w:szCs w:val="24"/>
        </w:rPr>
        <w:t xml:space="preserve">Twitter </w:t>
      </w:r>
      <w:r w:rsidRPr="00E325D0">
        <w:rPr>
          <w:rFonts w:ascii="Times New Roman" w:hAnsi="Times New Roman" w:cs="Times New Roman"/>
          <w:sz w:val="24"/>
          <w:szCs w:val="24"/>
        </w:rPr>
        <w:t xml:space="preserve">communication. This analysis conceptualises RTs as an </w:t>
      </w:r>
      <w:r w:rsidRPr="00E325D0">
        <w:rPr>
          <w:rFonts w:ascii="Times New Roman" w:hAnsi="Times New Roman" w:cs="Times New Roman"/>
          <w:sz w:val="24"/>
          <w:szCs w:val="24"/>
        </w:rPr>
        <w:lastRenderedPageBreak/>
        <w:t xml:space="preserve">important part of Twitter conversations because, </w:t>
      </w:r>
      <w:r w:rsidR="005D62CE" w:rsidRPr="00E325D0">
        <w:rPr>
          <w:rFonts w:ascii="Times New Roman" w:hAnsi="Times New Roman" w:cs="Times New Roman"/>
          <w:sz w:val="24"/>
          <w:szCs w:val="24"/>
        </w:rPr>
        <w:t>‘</w:t>
      </w:r>
      <w:r w:rsidRPr="00E325D0">
        <w:rPr>
          <w:rFonts w:ascii="Times New Roman" w:hAnsi="Times New Roman" w:cs="Times New Roman"/>
          <w:sz w:val="24"/>
          <w:szCs w:val="24"/>
        </w:rPr>
        <w:t>[w]hile retweeting can simply be seen as the act of copying and rebroadcasting, the practice contributes to a conversational ecology in which conversations are composed of a public interplay of voices that give rise to an emotional sense of shared conversational context</w:t>
      </w:r>
      <w:r w:rsidR="005D62CE" w:rsidRPr="00E325D0">
        <w:rPr>
          <w:rFonts w:ascii="Times New Roman" w:hAnsi="Times New Roman" w:cs="Times New Roman"/>
          <w:sz w:val="24"/>
          <w:szCs w:val="24"/>
        </w:rPr>
        <w:t>’</w:t>
      </w:r>
      <w:r w:rsidRPr="00E325D0">
        <w:rPr>
          <w:rFonts w:ascii="Times New Roman" w:hAnsi="Times New Roman" w:cs="Times New Roman"/>
          <w:sz w:val="24"/>
          <w:szCs w:val="24"/>
        </w:rPr>
        <w:t xml:space="preserve"> (p. 1). For the ‘Sustainable Energy Europe’ narrative, then, all parts of this shared conversation are contributing to </w:t>
      </w:r>
      <w:r w:rsidR="00F35B82" w:rsidRPr="00E325D0">
        <w:rPr>
          <w:rFonts w:ascii="Times New Roman" w:hAnsi="Times New Roman" w:cs="Times New Roman"/>
          <w:sz w:val="24"/>
          <w:szCs w:val="24"/>
        </w:rPr>
        <w:t xml:space="preserve">heightened salience of the message and therefore potentially greater </w:t>
      </w:r>
      <w:r w:rsidRPr="00E325D0">
        <w:rPr>
          <w:rFonts w:ascii="Times New Roman" w:hAnsi="Times New Roman" w:cs="Times New Roman"/>
          <w:sz w:val="24"/>
          <w:szCs w:val="24"/>
        </w:rPr>
        <w:t>engagement with it</w:t>
      </w:r>
      <w:r w:rsidR="00F35B82" w:rsidRPr="00E325D0">
        <w:rPr>
          <w:rFonts w:ascii="Times New Roman" w:hAnsi="Times New Roman" w:cs="Times New Roman"/>
          <w:sz w:val="24"/>
          <w:szCs w:val="24"/>
        </w:rPr>
        <w:t xml:space="preserve">. </w:t>
      </w:r>
    </w:p>
    <w:p w14:paraId="7CC658F6" w14:textId="0FB48B8A" w:rsidR="00B75683" w:rsidRPr="00E325D0" w:rsidRDefault="00B75683" w:rsidP="00E325D0">
      <w:pPr>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 xml:space="preserve">We also found that media stakeholders were </w:t>
      </w:r>
      <w:r w:rsidR="00091A13" w:rsidRPr="00E325D0">
        <w:rPr>
          <w:rFonts w:ascii="Times New Roman" w:hAnsi="Times New Roman" w:cs="Times New Roman"/>
          <w:sz w:val="24"/>
          <w:szCs w:val="24"/>
        </w:rPr>
        <w:t xml:space="preserve">much less present in our sample and thus engaging much less with EUSEW via </w:t>
      </w:r>
      <w:r w:rsidRPr="00E325D0">
        <w:rPr>
          <w:rFonts w:ascii="Times New Roman" w:hAnsi="Times New Roman" w:cs="Times New Roman"/>
          <w:sz w:val="24"/>
          <w:szCs w:val="24"/>
        </w:rPr>
        <w:t>Twitter</w:t>
      </w:r>
      <w:r w:rsidR="00091A13" w:rsidRPr="00E325D0">
        <w:rPr>
          <w:rFonts w:ascii="Times New Roman" w:hAnsi="Times New Roman" w:cs="Times New Roman"/>
          <w:sz w:val="24"/>
          <w:szCs w:val="24"/>
        </w:rPr>
        <w:t>.</w:t>
      </w:r>
      <w:r w:rsidRPr="00E325D0">
        <w:rPr>
          <w:rFonts w:ascii="Times New Roman" w:hAnsi="Times New Roman" w:cs="Times New Roman"/>
          <w:sz w:val="24"/>
          <w:szCs w:val="24"/>
        </w:rPr>
        <w:t xml:space="preserve"> </w:t>
      </w:r>
      <w:r w:rsidR="00091A13" w:rsidRPr="00E325D0">
        <w:rPr>
          <w:rFonts w:ascii="Times New Roman" w:hAnsi="Times New Roman" w:cs="Times New Roman"/>
          <w:sz w:val="24"/>
          <w:szCs w:val="24"/>
        </w:rPr>
        <w:t>Y</w:t>
      </w:r>
      <w:r w:rsidRPr="00E325D0">
        <w:rPr>
          <w:rFonts w:ascii="Times New Roman" w:hAnsi="Times New Roman" w:cs="Times New Roman"/>
          <w:sz w:val="24"/>
          <w:szCs w:val="24"/>
        </w:rPr>
        <w:t>et</w:t>
      </w:r>
      <w:r w:rsidR="005D62CE" w:rsidRPr="00E325D0">
        <w:rPr>
          <w:rFonts w:ascii="Times New Roman" w:hAnsi="Times New Roman" w:cs="Times New Roman"/>
          <w:sz w:val="24"/>
          <w:szCs w:val="24"/>
        </w:rPr>
        <w:t>,</w:t>
      </w:r>
      <w:r w:rsidRPr="00E325D0">
        <w:rPr>
          <w:rFonts w:ascii="Times New Roman" w:hAnsi="Times New Roman" w:cs="Times New Roman"/>
          <w:sz w:val="24"/>
          <w:szCs w:val="24"/>
        </w:rPr>
        <w:t xml:space="preserve"> </w:t>
      </w:r>
      <w:r w:rsidR="00FB5AFD" w:rsidRPr="00E325D0">
        <w:rPr>
          <w:rFonts w:ascii="Times New Roman" w:hAnsi="Times New Roman" w:cs="Times New Roman"/>
          <w:sz w:val="24"/>
          <w:szCs w:val="24"/>
        </w:rPr>
        <w:t>mass media</w:t>
      </w:r>
      <w:r w:rsidRPr="00E325D0">
        <w:rPr>
          <w:rFonts w:ascii="Times New Roman" w:hAnsi="Times New Roman" w:cs="Times New Roman"/>
          <w:sz w:val="24"/>
          <w:szCs w:val="24"/>
        </w:rPr>
        <w:t xml:space="preserve"> are key in EU outreach to its citizens and experts and building a public sphere on issues around sustainable energy. Finally, the generally positive sentiment may have been triggered by a specific type of receiver group – the EUSEW participants. Bruns and Stieglitz (2012, </w:t>
      </w:r>
      <w:r w:rsidR="00C87BC1">
        <w:rPr>
          <w:rFonts w:ascii="Times New Roman" w:hAnsi="Times New Roman" w:cs="Times New Roman"/>
          <w:sz w:val="24"/>
          <w:szCs w:val="24"/>
        </w:rPr>
        <w:t xml:space="preserve">p. </w:t>
      </w:r>
      <w:r w:rsidRPr="00E325D0">
        <w:rPr>
          <w:rFonts w:ascii="Times New Roman" w:hAnsi="Times New Roman" w:cs="Times New Roman"/>
          <w:sz w:val="24"/>
          <w:szCs w:val="24"/>
        </w:rPr>
        <w:t xml:space="preserve">171) have noted previously that Twitter ‘conversations’ are most often shaped by a </w:t>
      </w:r>
      <w:r w:rsidR="005D62CE" w:rsidRPr="00E325D0">
        <w:rPr>
          <w:rFonts w:ascii="Times New Roman" w:hAnsi="Times New Roman" w:cs="Times New Roman"/>
          <w:sz w:val="24"/>
          <w:szCs w:val="24"/>
        </w:rPr>
        <w:t>‘</w:t>
      </w:r>
      <w:r w:rsidRPr="00E325D0">
        <w:rPr>
          <w:rFonts w:ascii="Times New Roman" w:hAnsi="Times New Roman" w:cs="Times New Roman"/>
          <w:sz w:val="24"/>
          <w:szCs w:val="24"/>
        </w:rPr>
        <w:t>dedicated in-group</w:t>
      </w:r>
      <w:r w:rsidR="005D62CE" w:rsidRPr="00E325D0">
        <w:rPr>
          <w:rFonts w:ascii="Times New Roman" w:hAnsi="Times New Roman" w:cs="Times New Roman"/>
          <w:sz w:val="24"/>
          <w:szCs w:val="24"/>
        </w:rPr>
        <w:t>’</w:t>
      </w:r>
      <w:r w:rsidRPr="00E325D0">
        <w:rPr>
          <w:rFonts w:ascii="Times New Roman" w:hAnsi="Times New Roman" w:cs="Times New Roman"/>
          <w:sz w:val="24"/>
          <w:szCs w:val="24"/>
        </w:rPr>
        <w:t xml:space="preserve">– a small, but vocal minority who dominate the dialogue. Our analysis would appear to confirm this argument in EU </w:t>
      </w:r>
      <w:r w:rsidR="00F35B82" w:rsidRPr="00E325D0">
        <w:rPr>
          <w:rFonts w:ascii="Times New Roman" w:hAnsi="Times New Roman" w:cs="Times New Roman"/>
          <w:sz w:val="24"/>
          <w:szCs w:val="24"/>
        </w:rPr>
        <w:t xml:space="preserve">social media </w:t>
      </w:r>
      <w:r w:rsidRPr="00E325D0">
        <w:rPr>
          <w:rFonts w:ascii="Times New Roman" w:hAnsi="Times New Roman" w:cs="Times New Roman"/>
          <w:sz w:val="24"/>
          <w:szCs w:val="24"/>
        </w:rPr>
        <w:t xml:space="preserve">discussions on energy policy. As such, the EU could be described to be ‘preaching to the converted’ and not going beyond </w:t>
      </w:r>
      <w:r w:rsidR="003C670A" w:rsidRPr="00E325D0">
        <w:rPr>
          <w:rFonts w:ascii="Times New Roman" w:hAnsi="Times New Roman" w:cs="Times New Roman"/>
          <w:sz w:val="24"/>
          <w:szCs w:val="24"/>
        </w:rPr>
        <w:t>this</w:t>
      </w:r>
      <w:r w:rsidRPr="00E325D0">
        <w:rPr>
          <w:rFonts w:ascii="Times New Roman" w:hAnsi="Times New Roman" w:cs="Times New Roman"/>
          <w:sz w:val="24"/>
          <w:szCs w:val="24"/>
        </w:rPr>
        <w:t xml:space="preserve"> to reach a wider audience.</w:t>
      </w:r>
    </w:p>
    <w:p w14:paraId="6F17D282" w14:textId="1F9A3617" w:rsidR="00B75683" w:rsidRPr="00E325D0" w:rsidRDefault="00B75683" w:rsidP="00E325D0">
      <w:pPr>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These results could be of interest to scholars working in</w:t>
      </w:r>
      <w:r w:rsidR="003C670A" w:rsidRPr="00E325D0">
        <w:rPr>
          <w:rFonts w:ascii="Times New Roman" w:hAnsi="Times New Roman" w:cs="Times New Roman"/>
          <w:sz w:val="24"/>
          <w:szCs w:val="24"/>
        </w:rPr>
        <w:t xml:space="preserve"> the fields of EU public policy-</w:t>
      </w:r>
      <w:r w:rsidRPr="00E325D0">
        <w:rPr>
          <w:rFonts w:ascii="Times New Roman" w:hAnsi="Times New Roman" w:cs="Times New Roman"/>
          <w:sz w:val="24"/>
          <w:szCs w:val="24"/>
        </w:rPr>
        <w:t xml:space="preserve">making and communication, as well as to practitioners – European political communication and social media experts, decision-makers and civil society across the various levels of EU governance. However, we </w:t>
      </w:r>
      <w:r w:rsidR="003C670A" w:rsidRPr="00E325D0">
        <w:rPr>
          <w:rFonts w:ascii="Times New Roman" w:hAnsi="Times New Roman" w:cs="Times New Roman"/>
          <w:sz w:val="24"/>
          <w:szCs w:val="24"/>
        </w:rPr>
        <w:t>must</w:t>
      </w:r>
      <w:r w:rsidRPr="00E325D0">
        <w:rPr>
          <w:rFonts w:ascii="Times New Roman" w:hAnsi="Times New Roman" w:cs="Times New Roman"/>
          <w:sz w:val="24"/>
          <w:szCs w:val="24"/>
        </w:rPr>
        <w:t xml:space="preserve"> be careful not to make ‘blanket’ conclusions. </w:t>
      </w:r>
      <w:r w:rsidR="00857B3B" w:rsidRPr="00E325D0">
        <w:rPr>
          <w:rFonts w:ascii="Times New Roman" w:hAnsi="Times New Roman" w:cs="Times New Roman"/>
          <w:sz w:val="24"/>
          <w:szCs w:val="24"/>
        </w:rPr>
        <w:t xml:space="preserve">Our </w:t>
      </w:r>
      <w:r w:rsidRPr="00E325D0">
        <w:rPr>
          <w:rFonts w:ascii="Times New Roman" w:hAnsi="Times New Roman" w:cs="Times New Roman"/>
          <w:sz w:val="24"/>
          <w:szCs w:val="24"/>
        </w:rPr>
        <w:t xml:space="preserve">paper presents a </w:t>
      </w:r>
      <w:r w:rsidR="003C670A" w:rsidRPr="00E325D0">
        <w:rPr>
          <w:rFonts w:ascii="Times New Roman" w:hAnsi="Times New Roman" w:cs="Times New Roman"/>
          <w:sz w:val="24"/>
          <w:szCs w:val="24"/>
        </w:rPr>
        <w:t>set of preliminary observations;</w:t>
      </w:r>
      <w:r w:rsidRPr="00E325D0">
        <w:rPr>
          <w:rFonts w:ascii="Times New Roman" w:hAnsi="Times New Roman" w:cs="Times New Roman"/>
          <w:sz w:val="24"/>
          <w:szCs w:val="24"/>
        </w:rPr>
        <w:t xml:space="preserve"> one of the first empirical attempts to assess the creation, dissemination and reception of EU strategic narratives within a social media space. Future studies of the ‘Sustainable Energy Europe’ narrative should explore the views of EU policy and decision-makers, as well as non-EU, non-governmental organisers of the process in general, and EUSEW in particular. Also, while in our case communication of EU positions is occurring through the popular social media platform of Twitter, there are other media where projection of the narrative could take place. Future studies could examine and compare how </w:t>
      </w:r>
      <w:r w:rsidRPr="00E325D0">
        <w:rPr>
          <w:rFonts w:ascii="Times New Roman" w:hAnsi="Times New Roman" w:cs="Times New Roman"/>
          <w:sz w:val="24"/>
          <w:szCs w:val="24"/>
        </w:rPr>
        <w:lastRenderedPageBreak/>
        <w:t xml:space="preserve">the EU communicates </w:t>
      </w:r>
      <w:r w:rsidR="004638DB">
        <w:rPr>
          <w:rFonts w:ascii="Times New Roman" w:hAnsi="Times New Roman" w:cs="Times New Roman"/>
          <w:sz w:val="24"/>
          <w:szCs w:val="24"/>
        </w:rPr>
        <w:t xml:space="preserve">in other media discourses, for example </w:t>
      </w:r>
      <w:r w:rsidR="00857B3B" w:rsidRPr="00E325D0">
        <w:rPr>
          <w:rFonts w:ascii="Times New Roman" w:hAnsi="Times New Roman" w:cs="Times New Roman"/>
          <w:sz w:val="24"/>
          <w:szCs w:val="24"/>
        </w:rPr>
        <w:t xml:space="preserve">other social media platforms as compared to </w:t>
      </w:r>
      <w:r w:rsidRPr="00E325D0">
        <w:rPr>
          <w:rFonts w:ascii="Times New Roman" w:hAnsi="Times New Roman" w:cs="Times New Roman"/>
          <w:sz w:val="24"/>
          <w:szCs w:val="24"/>
        </w:rPr>
        <w:t>press or broadcast media. Finally, studies of reception element may also be enriched by incorporation of focus group interviews and opinion surveys.</w:t>
      </w:r>
    </w:p>
    <w:p w14:paraId="44D30B54" w14:textId="4BBF39ED" w:rsidR="00B75683" w:rsidRPr="00E325D0" w:rsidRDefault="00B75683" w:rsidP="00E325D0">
      <w:pPr>
        <w:spacing w:line="480" w:lineRule="auto"/>
        <w:ind w:firstLine="720"/>
        <w:contextualSpacing/>
        <w:rPr>
          <w:rFonts w:ascii="Times New Roman" w:hAnsi="Times New Roman" w:cs="Times New Roman"/>
          <w:sz w:val="24"/>
          <w:szCs w:val="24"/>
        </w:rPr>
      </w:pPr>
      <w:r w:rsidRPr="00E325D0">
        <w:rPr>
          <w:rFonts w:ascii="Times New Roman" w:hAnsi="Times New Roman" w:cs="Times New Roman"/>
          <w:sz w:val="24"/>
          <w:szCs w:val="24"/>
        </w:rPr>
        <w:t xml:space="preserve">In conclusion, </w:t>
      </w:r>
      <w:r w:rsidR="00857B3B" w:rsidRPr="00E325D0">
        <w:rPr>
          <w:rFonts w:ascii="Times New Roman" w:hAnsi="Times New Roman" w:cs="Times New Roman"/>
          <w:sz w:val="24"/>
          <w:szCs w:val="24"/>
        </w:rPr>
        <w:t>we</w:t>
      </w:r>
      <w:r w:rsidRPr="00E325D0">
        <w:rPr>
          <w:rFonts w:ascii="Times New Roman" w:hAnsi="Times New Roman" w:cs="Times New Roman"/>
          <w:sz w:val="24"/>
          <w:szCs w:val="24"/>
        </w:rPr>
        <w:t xml:space="preserve"> argue that despite its challenges, the EUSEW initiative remains a unique event in international energy relations. It is a public diplomacy undertaking, aiming at engendering positive attitudes towards the EU and its energy policies long-term. It is a ‘normatively’ based initiative and it is about networking between a supranational actor with state and non-state stakeholders, and even general public. This general public appeal remains a missing element in energy diplomacy conduct </w:t>
      </w:r>
      <w:r w:rsidR="004638DB" w:rsidRPr="00E325D0">
        <w:rPr>
          <w:rFonts w:ascii="Times New Roman" w:hAnsi="Times New Roman" w:cs="Times New Roman"/>
          <w:sz w:val="24"/>
          <w:szCs w:val="24"/>
        </w:rPr>
        <w:t>worldwide</w:t>
      </w:r>
      <w:r w:rsidR="00C37E85" w:rsidRPr="00E325D0">
        <w:rPr>
          <w:rFonts w:ascii="Times New Roman" w:hAnsi="Times New Roman" w:cs="Times New Roman"/>
          <w:sz w:val="24"/>
          <w:szCs w:val="24"/>
        </w:rPr>
        <w:t>. T</w:t>
      </w:r>
      <w:r w:rsidRPr="00E325D0">
        <w:rPr>
          <w:rFonts w:ascii="Times New Roman" w:hAnsi="Times New Roman" w:cs="Times New Roman"/>
          <w:sz w:val="24"/>
          <w:szCs w:val="24"/>
        </w:rPr>
        <w:t xml:space="preserve">he EU </w:t>
      </w:r>
      <w:r w:rsidR="00C37E85" w:rsidRPr="00E325D0">
        <w:rPr>
          <w:rFonts w:ascii="Times New Roman" w:hAnsi="Times New Roman" w:cs="Times New Roman"/>
          <w:sz w:val="24"/>
          <w:szCs w:val="24"/>
        </w:rPr>
        <w:t>may</w:t>
      </w:r>
      <w:r w:rsidRPr="00E325D0">
        <w:rPr>
          <w:rFonts w:ascii="Times New Roman" w:hAnsi="Times New Roman" w:cs="Times New Roman"/>
          <w:sz w:val="24"/>
          <w:szCs w:val="24"/>
        </w:rPr>
        <w:t xml:space="preserve"> be seen here as a pioneer and analysed </w:t>
      </w:r>
      <w:r w:rsidR="00C37E85" w:rsidRPr="00E325D0">
        <w:rPr>
          <w:rFonts w:ascii="Times New Roman" w:hAnsi="Times New Roman" w:cs="Times New Roman"/>
          <w:sz w:val="24"/>
          <w:szCs w:val="24"/>
        </w:rPr>
        <w:t xml:space="preserve">further </w:t>
      </w:r>
      <w:r w:rsidRPr="00E325D0">
        <w:rPr>
          <w:rFonts w:ascii="Times New Roman" w:hAnsi="Times New Roman" w:cs="Times New Roman"/>
          <w:sz w:val="24"/>
          <w:szCs w:val="24"/>
        </w:rPr>
        <w:t xml:space="preserve">in </w:t>
      </w:r>
      <w:r w:rsidR="00C37E85" w:rsidRPr="00E325D0">
        <w:rPr>
          <w:rFonts w:ascii="Times New Roman" w:hAnsi="Times New Roman" w:cs="Times New Roman"/>
          <w:sz w:val="24"/>
          <w:szCs w:val="24"/>
        </w:rPr>
        <w:t xml:space="preserve">future </w:t>
      </w:r>
      <w:r w:rsidRPr="00E325D0">
        <w:rPr>
          <w:rFonts w:ascii="Times New Roman" w:hAnsi="Times New Roman" w:cs="Times New Roman"/>
          <w:sz w:val="24"/>
          <w:szCs w:val="24"/>
        </w:rPr>
        <w:t xml:space="preserve">studies. </w:t>
      </w:r>
    </w:p>
    <w:p w14:paraId="6F6666A9" w14:textId="77777777" w:rsidR="00B75683" w:rsidRPr="00E325D0" w:rsidRDefault="00B75683" w:rsidP="00E325D0">
      <w:pPr>
        <w:spacing w:line="480" w:lineRule="auto"/>
        <w:contextualSpacing/>
        <w:rPr>
          <w:rFonts w:ascii="Times New Roman" w:hAnsi="Times New Roman" w:cs="Times New Roman"/>
          <w:sz w:val="24"/>
          <w:szCs w:val="24"/>
        </w:rPr>
      </w:pPr>
    </w:p>
    <w:p w14:paraId="179EE89A" w14:textId="5138C031" w:rsidR="00B75683" w:rsidRPr="00625C61" w:rsidRDefault="00625C61" w:rsidP="00E325D0">
      <w:pPr>
        <w:spacing w:line="480" w:lineRule="auto"/>
        <w:contextualSpacing/>
        <w:rPr>
          <w:rFonts w:ascii="Times New Roman" w:hAnsi="Times New Roman" w:cs="Times New Roman"/>
          <w:b/>
          <w:sz w:val="24"/>
          <w:szCs w:val="24"/>
        </w:rPr>
      </w:pPr>
      <w:r>
        <w:rPr>
          <w:rFonts w:ascii="Times New Roman" w:hAnsi="Times New Roman" w:cs="Times New Roman"/>
          <w:sz w:val="24"/>
          <w:szCs w:val="24"/>
        </w:rPr>
        <w:br w:type="column"/>
      </w:r>
      <w:r>
        <w:rPr>
          <w:rFonts w:ascii="Times New Roman" w:hAnsi="Times New Roman" w:cs="Times New Roman"/>
          <w:b/>
          <w:sz w:val="24"/>
          <w:szCs w:val="24"/>
        </w:rPr>
        <w:lastRenderedPageBreak/>
        <w:t>References</w:t>
      </w:r>
    </w:p>
    <w:p w14:paraId="7C6A3BA5" w14:textId="3D4EE73C" w:rsidR="00625C61" w:rsidRPr="00E325D0" w:rsidRDefault="00625C61" w:rsidP="00625C61">
      <w:pPr>
        <w:spacing w:line="480" w:lineRule="auto"/>
        <w:ind w:left="720" w:hanging="720"/>
        <w:contextualSpacing/>
        <w:rPr>
          <w:rFonts w:ascii="Times New Roman" w:hAnsi="Times New Roman" w:cs="Times New Roman"/>
          <w:sz w:val="24"/>
          <w:szCs w:val="24"/>
        </w:rPr>
      </w:pPr>
      <w:r w:rsidRPr="00E325D0">
        <w:rPr>
          <w:rFonts w:ascii="Times New Roman" w:hAnsi="Times New Roman" w:cs="Times New Roman"/>
          <w:sz w:val="24"/>
          <w:szCs w:val="24"/>
        </w:rPr>
        <w:t xml:space="preserve">Badouard, </w:t>
      </w:r>
      <w:r w:rsidR="008116EE">
        <w:rPr>
          <w:rFonts w:ascii="Times New Roman" w:hAnsi="Times New Roman" w:cs="Times New Roman"/>
          <w:sz w:val="24"/>
          <w:szCs w:val="24"/>
        </w:rPr>
        <w:t>R., &amp; Monnoyer-Smith, L. (2013)</w:t>
      </w:r>
      <w:r w:rsidRPr="00E325D0">
        <w:rPr>
          <w:rFonts w:ascii="Times New Roman" w:hAnsi="Times New Roman" w:cs="Times New Roman"/>
          <w:sz w:val="24"/>
          <w:szCs w:val="24"/>
        </w:rPr>
        <w:t xml:space="preserve"> Hyperlinks as Political Resources: The European Commission Confronted with Online Activism. </w:t>
      </w:r>
      <w:r w:rsidRPr="008116EE">
        <w:rPr>
          <w:rFonts w:ascii="Times New Roman" w:hAnsi="Times New Roman" w:cs="Times New Roman"/>
          <w:i/>
          <w:sz w:val="24"/>
          <w:szCs w:val="24"/>
        </w:rPr>
        <w:t>Policy &amp; Internet</w:t>
      </w:r>
      <w:r w:rsidRPr="00E325D0">
        <w:rPr>
          <w:rFonts w:ascii="Times New Roman" w:hAnsi="Times New Roman" w:cs="Times New Roman"/>
          <w:sz w:val="24"/>
          <w:szCs w:val="24"/>
        </w:rPr>
        <w:t xml:space="preserve"> </w:t>
      </w:r>
      <w:r w:rsidR="008116EE">
        <w:rPr>
          <w:rFonts w:ascii="Times New Roman" w:hAnsi="Times New Roman" w:cs="Times New Roman"/>
          <w:sz w:val="24"/>
          <w:szCs w:val="24"/>
        </w:rPr>
        <w:t>5(</w:t>
      </w:r>
      <w:r w:rsidRPr="00E325D0">
        <w:rPr>
          <w:rFonts w:ascii="Times New Roman" w:hAnsi="Times New Roman" w:cs="Times New Roman"/>
          <w:sz w:val="24"/>
          <w:szCs w:val="24"/>
        </w:rPr>
        <w:t>1</w:t>
      </w:r>
      <w:r w:rsidR="008116EE">
        <w:rPr>
          <w:rFonts w:ascii="Times New Roman" w:hAnsi="Times New Roman" w:cs="Times New Roman"/>
          <w:sz w:val="24"/>
          <w:szCs w:val="24"/>
        </w:rPr>
        <w:t>):</w:t>
      </w:r>
      <w:r w:rsidRPr="00E325D0">
        <w:rPr>
          <w:rFonts w:ascii="Times New Roman" w:hAnsi="Times New Roman" w:cs="Times New Roman"/>
          <w:sz w:val="24"/>
          <w:szCs w:val="24"/>
        </w:rPr>
        <w:t xml:space="preserve"> 101–117</w:t>
      </w:r>
      <w:r w:rsidR="008116EE">
        <w:rPr>
          <w:rFonts w:ascii="Times New Roman" w:hAnsi="Times New Roman" w:cs="Times New Roman"/>
          <w:sz w:val="24"/>
          <w:szCs w:val="24"/>
        </w:rPr>
        <w:t>.</w:t>
      </w:r>
    </w:p>
    <w:p w14:paraId="3F84AE66" w14:textId="77777777" w:rsidR="0091457D" w:rsidRDefault="00625C61" w:rsidP="00625C61">
      <w:pPr>
        <w:spacing w:line="480" w:lineRule="auto"/>
        <w:ind w:left="720" w:hanging="720"/>
        <w:contextualSpacing/>
        <w:rPr>
          <w:rFonts w:ascii="Times New Roman" w:hAnsi="Times New Roman" w:cs="Times New Roman"/>
          <w:sz w:val="24"/>
          <w:szCs w:val="24"/>
        </w:rPr>
      </w:pPr>
      <w:r w:rsidRPr="00E325D0">
        <w:rPr>
          <w:rFonts w:ascii="Times New Roman" w:hAnsi="Times New Roman" w:cs="Times New Roman"/>
          <w:sz w:val="24"/>
          <w:szCs w:val="24"/>
        </w:rPr>
        <w:t>Beetham, Da</w:t>
      </w:r>
      <w:r w:rsidR="008116EE">
        <w:rPr>
          <w:rFonts w:ascii="Times New Roman" w:hAnsi="Times New Roman" w:cs="Times New Roman"/>
          <w:sz w:val="24"/>
          <w:szCs w:val="24"/>
        </w:rPr>
        <w:t>vid and Christopher Lord (1998)</w:t>
      </w:r>
      <w:r w:rsidRPr="00E325D0">
        <w:rPr>
          <w:rFonts w:ascii="Times New Roman" w:hAnsi="Times New Roman" w:cs="Times New Roman"/>
          <w:sz w:val="24"/>
          <w:szCs w:val="24"/>
        </w:rPr>
        <w:t xml:space="preserve"> </w:t>
      </w:r>
      <w:r w:rsidRPr="008116EE">
        <w:rPr>
          <w:rFonts w:ascii="Times New Roman" w:hAnsi="Times New Roman" w:cs="Times New Roman"/>
          <w:i/>
          <w:sz w:val="24"/>
          <w:szCs w:val="24"/>
        </w:rPr>
        <w:t>Legitimacy and the European Union</w:t>
      </w:r>
      <w:r w:rsidRPr="00E325D0">
        <w:rPr>
          <w:rFonts w:ascii="Times New Roman" w:hAnsi="Times New Roman" w:cs="Times New Roman"/>
          <w:sz w:val="24"/>
          <w:szCs w:val="24"/>
        </w:rPr>
        <w:t xml:space="preserve"> Essex: Addison Wesley Longman.</w:t>
      </w:r>
    </w:p>
    <w:p w14:paraId="75A0DF2C" w14:textId="6EAADFBD" w:rsidR="0091457D" w:rsidRPr="0091457D" w:rsidRDefault="0091457D" w:rsidP="00625C61">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Bellamy, R. and Weale, A. (2015) </w:t>
      </w:r>
      <w:r w:rsidRPr="0091457D">
        <w:rPr>
          <w:rFonts w:ascii="Times New Roman" w:hAnsi="Times New Roman" w:cs="Times New Roman"/>
          <w:sz w:val="24"/>
          <w:szCs w:val="24"/>
        </w:rPr>
        <w:t xml:space="preserve">Political </w:t>
      </w:r>
      <w:r>
        <w:rPr>
          <w:rFonts w:ascii="Times New Roman" w:hAnsi="Times New Roman" w:cs="Times New Roman"/>
          <w:sz w:val="24"/>
          <w:szCs w:val="24"/>
        </w:rPr>
        <w:t>Legitimacy a</w:t>
      </w:r>
      <w:r w:rsidRPr="0091457D">
        <w:rPr>
          <w:rFonts w:ascii="Times New Roman" w:hAnsi="Times New Roman" w:cs="Times New Roman"/>
          <w:sz w:val="24"/>
          <w:szCs w:val="24"/>
        </w:rPr>
        <w:t>nd European Monetary Union: Contracts, Constitutionalism</w:t>
      </w:r>
      <w:r>
        <w:rPr>
          <w:rFonts w:ascii="Times New Roman" w:hAnsi="Times New Roman" w:cs="Times New Roman"/>
          <w:sz w:val="24"/>
          <w:szCs w:val="24"/>
        </w:rPr>
        <w:t xml:space="preserve"> and the Normative Logic o</w:t>
      </w:r>
      <w:r w:rsidRPr="0091457D">
        <w:rPr>
          <w:rFonts w:ascii="Times New Roman" w:hAnsi="Times New Roman" w:cs="Times New Roman"/>
          <w:sz w:val="24"/>
          <w:szCs w:val="24"/>
        </w:rPr>
        <w:t>f Two-Level Games</w:t>
      </w:r>
      <w:r>
        <w:rPr>
          <w:rFonts w:ascii="Times New Roman" w:hAnsi="Times New Roman" w:cs="Times New Roman"/>
          <w:sz w:val="24"/>
          <w:szCs w:val="24"/>
        </w:rPr>
        <w:t xml:space="preserve">, </w:t>
      </w:r>
      <w:r>
        <w:rPr>
          <w:rFonts w:ascii="Times New Roman" w:hAnsi="Times New Roman" w:cs="Times New Roman"/>
          <w:i/>
          <w:sz w:val="24"/>
          <w:szCs w:val="24"/>
        </w:rPr>
        <w:t>Journal of European Public Policy</w:t>
      </w:r>
      <w:r>
        <w:rPr>
          <w:rFonts w:ascii="Times New Roman" w:hAnsi="Times New Roman" w:cs="Times New Roman"/>
          <w:sz w:val="24"/>
          <w:szCs w:val="24"/>
        </w:rPr>
        <w:t>, 22(2):</w:t>
      </w:r>
      <w:r w:rsidRPr="0091457D">
        <w:t xml:space="preserve"> </w:t>
      </w:r>
      <w:r w:rsidRPr="0091457D">
        <w:rPr>
          <w:rFonts w:ascii="Times New Roman" w:hAnsi="Times New Roman" w:cs="Times New Roman"/>
          <w:sz w:val="24"/>
          <w:szCs w:val="24"/>
        </w:rPr>
        <w:t>257-274</w:t>
      </w:r>
      <w:r>
        <w:rPr>
          <w:rFonts w:ascii="Times New Roman" w:hAnsi="Times New Roman" w:cs="Times New Roman"/>
          <w:sz w:val="24"/>
          <w:szCs w:val="24"/>
        </w:rPr>
        <w:t>.</w:t>
      </w:r>
    </w:p>
    <w:p w14:paraId="3334E3F2" w14:textId="30A5E780" w:rsidR="00625C61" w:rsidRPr="00E325D0" w:rsidRDefault="00625C61" w:rsidP="00625C61">
      <w:pPr>
        <w:spacing w:line="480" w:lineRule="auto"/>
        <w:ind w:left="720" w:hanging="720"/>
        <w:contextualSpacing/>
        <w:rPr>
          <w:rFonts w:ascii="Times New Roman" w:hAnsi="Times New Roman" w:cs="Times New Roman"/>
          <w:sz w:val="24"/>
          <w:szCs w:val="24"/>
        </w:rPr>
      </w:pPr>
      <w:r w:rsidRPr="00E325D0">
        <w:rPr>
          <w:rFonts w:ascii="Times New Roman" w:hAnsi="Times New Roman" w:cs="Times New Roman"/>
          <w:sz w:val="24"/>
          <w:szCs w:val="24"/>
        </w:rPr>
        <w:t xml:space="preserve">Björkdahl, A., N. Chaban, J. Leslie and A. Masselot (eds), Importing EU norms? Conceptual Framework and Empirical Findings, </w:t>
      </w:r>
      <w:r w:rsidR="007D68E7" w:rsidRPr="007D68E7">
        <w:rPr>
          <w:rFonts w:ascii="Times New Roman" w:hAnsi="Times New Roman" w:cs="Times New Roman"/>
          <w:sz w:val="24"/>
          <w:szCs w:val="24"/>
        </w:rPr>
        <w:t xml:space="preserve">Cham/Heidelberg/New York/Dordrecht/London: </w:t>
      </w:r>
      <w:r w:rsidRPr="00E325D0">
        <w:rPr>
          <w:rFonts w:ascii="Times New Roman" w:hAnsi="Times New Roman" w:cs="Times New Roman"/>
          <w:sz w:val="24"/>
          <w:szCs w:val="24"/>
        </w:rPr>
        <w:t>Springer, forthcoming 2015</w:t>
      </w:r>
    </w:p>
    <w:p w14:paraId="0F198B17" w14:textId="1547597C" w:rsidR="00625C61" w:rsidRDefault="00C87BC1" w:rsidP="00625C61">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b</w:t>
      </w:r>
      <w:r w:rsidR="00D950A6">
        <w:rPr>
          <w:rFonts w:ascii="Times New Roman" w:hAnsi="Times New Roman" w:cs="Times New Roman"/>
          <w:sz w:val="24"/>
          <w:szCs w:val="24"/>
        </w:rPr>
        <w:t>oyd, D., Golder, S., and</w:t>
      </w:r>
      <w:r w:rsidR="008116EE">
        <w:rPr>
          <w:rFonts w:ascii="Times New Roman" w:hAnsi="Times New Roman" w:cs="Times New Roman"/>
          <w:sz w:val="24"/>
          <w:szCs w:val="24"/>
        </w:rPr>
        <w:t xml:space="preserve"> Lotan, G. (2010)</w:t>
      </w:r>
      <w:r w:rsidR="00625C61" w:rsidRPr="00E325D0">
        <w:rPr>
          <w:rFonts w:ascii="Times New Roman" w:hAnsi="Times New Roman" w:cs="Times New Roman"/>
          <w:sz w:val="24"/>
          <w:szCs w:val="24"/>
        </w:rPr>
        <w:t xml:space="preserve"> Tweet, Tweet, Retweet: Conversational Aspects of Retweeting on Twitter, </w:t>
      </w:r>
      <w:r w:rsidR="00625C61" w:rsidRPr="008116EE">
        <w:rPr>
          <w:rFonts w:ascii="Times New Roman" w:hAnsi="Times New Roman" w:cs="Times New Roman"/>
          <w:i/>
          <w:sz w:val="24"/>
          <w:szCs w:val="24"/>
        </w:rPr>
        <w:t>43rd Hawaii International Conference on System Sciences</w:t>
      </w:r>
      <w:r w:rsidR="00625C61" w:rsidRPr="00E325D0">
        <w:rPr>
          <w:rFonts w:ascii="Times New Roman" w:hAnsi="Times New Roman" w:cs="Times New Roman"/>
          <w:sz w:val="24"/>
          <w:szCs w:val="24"/>
        </w:rPr>
        <w:t xml:space="preserve">, 1–10. </w:t>
      </w:r>
    </w:p>
    <w:p w14:paraId="05E71D61" w14:textId="432FA486" w:rsidR="001A4E63" w:rsidRDefault="001A4E63" w:rsidP="001A4E63">
      <w:pPr>
        <w:pStyle w:val="NormalWeb"/>
        <w:ind w:left="480" w:hanging="480"/>
      </w:pPr>
      <w:r>
        <w:t xml:space="preserve">Bruns, A., and S. Stieglitz, (2013) Towards more systematic Twitter analysis : metrics for tweeting activities, </w:t>
      </w:r>
      <w:r w:rsidRPr="00AC33C8">
        <w:rPr>
          <w:i/>
        </w:rPr>
        <w:t>International Journal of Social Research Methodology</w:t>
      </w:r>
      <w:r>
        <w:t>, 16(2): 91-108.</w:t>
      </w:r>
    </w:p>
    <w:p w14:paraId="7A17DE26" w14:textId="0E5EBFA6" w:rsidR="008116EE" w:rsidRPr="00E325D0" w:rsidRDefault="001A4E63" w:rsidP="001A4E63">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 </w:t>
      </w:r>
      <w:r w:rsidR="008116EE">
        <w:rPr>
          <w:rFonts w:ascii="Times New Roman" w:hAnsi="Times New Roman" w:cs="Times New Roman"/>
          <w:sz w:val="24"/>
          <w:szCs w:val="24"/>
        </w:rPr>
        <w:t>Entman, R. (</w:t>
      </w:r>
      <w:r w:rsidR="008116EE" w:rsidRPr="00E325D0">
        <w:rPr>
          <w:rFonts w:ascii="Times New Roman" w:hAnsi="Times New Roman" w:cs="Times New Roman"/>
          <w:sz w:val="24"/>
          <w:szCs w:val="24"/>
        </w:rPr>
        <w:t>2</w:t>
      </w:r>
      <w:r w:rsidR="008116EE">
        <w:rPr>
          <w:rFonts w:ascii="Times New Roman" w:hAnsi="Times New Roman" w:cs="Times New Roman"/>
          <w:sz w:val="24"/>
          <w:szCs w:val="24"/>
        </w:rPr>
        <w:t>003)</w:t>
      </w:r>
      <w:r w:rsidR="008116EE" w:rsidRPr="00E325D0">
        <w:rPr>
          <w:rFonts w:ascii="Times New Roman" w:hAnsi="Times New Roman" w:cs="Times New Roman"/>
          <w:sz w:val="24"/>
          <w:szCs w:val="24"/>
        </w:rPr>
        <w:t xml:space="preserve"> </w:t>
      </w:r>
      <w:r w:rsidR="008116EE" w:rsidRPr="008116EE">
        <w:rPr>
          <w:rFonts w:ascii="Times New Roman" w:hAnsi="Times New Roman" w:cs="Times New Roman"/>
          <w:i/>
          <w:sz w:val="24"/>
          <w:szCs w:val="24"/>
        </w:rPr>
        <w:t>Projections of Power: Framing News, Public Opinion, and U.S. Foreign Policy.</w:t>
      </w:r>
      <w:r w:rsidR="008116EE" w:rsidRPr="00E325D0">
        <w:rPr>
          <w:rFonts w:ascii="Times New Roman" w:hAnsi="Times New Roman" w:cs="Times New Roman"/>
          <w:sz w:val="24"/>
          <w:szCs w:val="24"/>
        </w:rPr>
        <w:t xml:space="preserve"> Chicago: University of Chicago Press. </w:t>
      </w:r>
    </w:p>
    <w:p w14:paraId="61F9B277" w14:textId="44321EAB" w:rsidR="00625C61" w:rsidRPr="00E325D0" w:rsidRDefault="00625C61" w:rsidP="00625C61">
      <w:pPr>
        <w:spacing w:line="480" w:lineRule="auto"/>
        <w:ind w:left="720" w:hanging="720"/>
        <w:contextualSpacing/>
        <w:rPr>
          <w:rFonts w:ascii="Times New Roman" w:hAnsi="Times New Roman" w:cs="Times New Roman"/>
          <w:sz w:val="24"/>
          <w:szCs w:val="24"/>
        </w:rPr>
      </w:pPr>
      <w:r w:rsidRPr="00E325D0">
        <w:rPr>
          <w:rFonts w:ascii="Times New Roman" w:hAnsi="Times New Roman" w:cs="Times New Roman"/>
          <w:sz w:val="24"/>
          <w:szCs w:val="24"/>
        </w:rPr>
        <w:t xml:space="preserve">Eriksen, E. and J. Fossum, (2002), Europe in Search of its Legitimacy: Assessing Strategies of Legitimation, </w:t>
      </w:r>
      <w:r w:rsidRPr="008116EE">
        <w:rPr>
          <w:rFonts w:ascii="Times New Roman" w:hAnsi="Times New Roman" w:cs="Times New Roman"/>
          <w:i/>
          <w:sz w:val="24"/>
          <w:szCs w:val="24"/>
        </w:rPr>
        <w:t>ARENA Working Papers</w:t>
      </w:r>
      <w:r w:rsidRPr="00E325D0">
        <w:rPr>
          <w:rFonts w:ascii="Times New Roman" w:hAnsi="Times New Roman" w:cs="Times New Roman"/>
          <w:sz w:val="24"/>
          <w:szCs w:val="24"/>
        </w:rPr>
        <w:t>, WP 02/38.</w:t>
      </w:r>
      <w:r w:rsidR="00696F2D">
        <w:rPr>
          <w:rFonts w:ascii="Times New Roman" w:hAnsi="Times New Roman" w:cs="Times New Roman"/>
          <w:sz w:val="24"/>
          <w:szCs w:val="24"/>
        </w:rPr>
        <w:t xml:space="preserve"> </w:t>
      </w:r>
    </w:p>
    <w:p w14:paraId="43407983" w14:textId="2820350E" w:rsidR="00625C61" w:rsidRPr="00E325D0" w:rsidRDefault="00625C61" w:rsidP="00625C61">
      <w:pPr>
        <w:spacing w:line="480" w:lineRule="auto"/>
        <w:ind w:left="720" w:hanging="720"/>
        <w:contextualSpacing/>
        <w:rPr>
          <w:rFonts w:ascii="Times New Roman" w:hAnsi="Times New Roman" w:cs="Times New Roman"/>
          <w:sz w:val="24"/>
          <w:szCs w:val="24"/>
        </w:rPr>
      </w:pPr>
      <w:r w:rsidRPr="00E325D0">
        <w:rPr>
          <w:rFonts w:ascii="Times New Roman" w:hAnsi="Times New Roman" w:cs="Times New Roman"/>
          <w:sz w:val="24"/>
          <w:szCs w:val="24"/>
        </w:rPr>
        <w:t>European Commission</w:t>
      </w:r>
      <w:r w:rsidR="007D68E7">
        <w:rPr>
          <w:rFonts w:ascii="Times New Roman" w:hAnsi="Times New Roman" w:cs="Times New Roman"/>
          <w:sz w:val="24"/>
          <w:szCs w:val="24"/>
        </w:rPr>
        <w:t xml:space="preserve"> (2013)</w:t>
      </w:r>
      <w:r w:rsidRPr="00E325D0">
        <w:rPr>
          <w:rFonts w:ascii="Times New Roman" w:hAnsi="Times New Roman" w:cs="Times New Roman"/>
          <w:sz w:val="24"/>
          <w:szCs w:val="24"/>
        </w:rPr>
        <w:t>, EU Sustainable Energy Week 2013: FAQ and main features,</w:t>
      </w:r>
      <w:r w:rsidR="00696F2D">
        <w:rPr>
          <w:rFonts w:ascii="Times New Roman" w:hAnsi="Times New Roman" w:cs="Times New Roman"/>
          <w:sz w:val="24"/>
          <w:szCs w:val="24"/>
        </w:rPr>
        <w:t xml:space="preserve"> </w:t>
      </w:r>
      <w:r w:rsidRPr="00E325D0">
        <w:rPr>
          <w:rFonts w:ascii="Times New Roman" w:hAnsi="Times New Roman" w:cs="Times New Roman"/>
          <w:sz w:val="24"/>
          <w:szCs w:val="24"/>
        </w:rPr>
        <w:t xml:space="preserve">http://europa.eu/rapid/press-release_MEMO-13-596_en.htm, Accessed 29 September 2013. </w:t>
      </w:r>
    </w:p>
    <w:p w14:paraId="1B828137" w14:textId="76A0338D" w:rsidR="00625C61" w:rsidRPr="00E325D0" w:rsidRDefault="00625C61" w:rsidP="00625C61">
      <w:pPr>
        <w:spacing w:line="480" w:lineRule="auto"/>
        <w:ind w:left="720" w:hanging="720"/>
        <w:contextualSpacing/>
        <w:rPr>
          <w:rFonts w:ascii="Times New Roman" w:hAnsi="Times New Roman" w:cs="Times New Roman"/>
          <w:sz w:val="24"/>
          <w:szCs w:val="24"/>
        </w:rPr>
      </w:pPr>
      <w:r w:rsidRPr="00E325D0">
        <w:rPr>
          <w:rFonts w:ascii="Times New Roman" w:hAnsi="Times New Roman" w:cs="Times New Roman"/>
          <w:sz w:val="24"/>
          <w:szCs w:val="24"/>
        </w:rPr>
        <w:lastRenderedPageBreak/>
        <w:t>European Commission</w:t>
      </w:r>
      <w:r w:rsidR="007D68E7">
        <w:rPr>
          <w:rFonts w:ascii="Times New Roman" w:hAnsi="Times New Roman" w:cs="Times New Roman"/>
          <w:sz w:val="24"/>
          <w:szCs w:val="24"/>
        </w:rPr>
        <w:t xml:space="preserve"> (2014)</w:t>
      </w:r>
      <w:r w:rsidRPr="00E325D0">
        <w:rPr>
          <w:rFonts w:ascii="Times New Roman" w:hAnsi="Times New Roman" w:cs="Times New Roman"/>
          <w:sz w:val="24"/>
          <w:szCs w:val="24"/>
        </w:rPr>
        <w:t>, Plan D for Democracy, Dialogue and Debate, http://europa.eu/legislation_summaries/institutional_affairs/decisionmaking_process/a30000_en.htm, Accessed 30 November 2014.</w:t>
      </w:r>
    </w:p>
    <w:p w14:paraId="78A3E0A9" w14:textId="7AE6946A" w:rsidR="00625C61" w:rsidRPr="00E325D0" w:rsidRDefault="00625C61" w:rsidP="00625C61">
      <w:pPr>
        <w:pStyle w:val="NormalWeb"/>
        <w:spacing w:before="0" w:beforeAutospacing="0" w:after="0" w:afterAutospacing="0" w:line="480" w:lineRule="auto"/>
        <w:ind w:left="720" w:hanging="720"/>
        <w:contextualSpacing/>
        <w:rPr>
          <w:rFonts w:eastAsia="Calibri"/>
          <w:lang w:eastAsia="en-US"/>
        </w:rPr>
      </w:pPr>
      <w:r w:rsidRPr="00E325D0">
        <w:rPr>
          <w:rFonts w:eastAsia="Calibri"/>
          <w:lang w:eastAsia="en-US"/>
        </w:rPr>
        <w:t>European Union</w:t>
      </w:r>
      <w:r w:rsidR="007D68E7">
        <w:rPr>
          <w:rFonts w:eastAsia="Calibri"/>
          <w:lang w:eastAsia="en-US"/>
        </w:rPr>
        <w:t xml:space="preserve"> (2013)</w:t>
      </w:r>
      <w:r w:rsidRPr="00E325D0">
        <w:rPr>
          <w:rFonts w:eastAsia="Calibri"/>
          <w:lang w:eastAsia="en-US"/>
        </w:rPr>
        <w:t xml:space="preserve">, Sustainable Energy Week 2013, </w:t>
      </w:r>
      <w:hyperlink r:id="rId17" w:history="1">
        <w:r w:rsidRPr="00E325D0">
          <w:rPr>
            <w:rFonts w:eastAsia="Calibri"/>
            <w:lang w:eastAsia="en-US"/>
          </w:rPr>
          <w:t>http://www.eusew.eu/</w:t>
        </w:r>
      </w:hyperlink>
      <w:r w:rsidRPr="00E325D0">
        <w:rPr>
          <w:rFonts w:eastAsia="Calibri"/>
          <w:lang w:eastAsia="en-US"/>
        </w:rPr>
        <w:t xml:space="preserve"> </w:t>
      </w:r>
    </w:p>
    <w:p w14:paraId="41EEB0C0" w14:textId="7B588AB4" w:rsidR="00625C61" w:rsidRPr="00E325D0" w:rsidRDefault="00625C61" w:rsidP="00625C61">
      <w:pPr>
        <w:spacing w:line="480" w:lineRule="auto"/>
        <w:ind w:left="720" w:hanging="720"/>
        <w:contextualSpacing/>
        <w:rPr>
          <w:rFonts w:ascii="Times New Roman" w:hAnsi="Times New Roman" w:cs="Times New Roman"/>
          <w:sz w:val="24"/>
          <w:szCs w:val="24"/>
        </w:rPr>
      </w:pPr>
      <w:r w:rsidRPr="00E325D0">
        <w:rPr>
          <w:rFonts w:ascii="Times New Roman" w:hAnsi="Times New Roman" w:cs="Times New Roman"/>
          <w:sz w:val="24"/>
          <w:szCs w:val="24"/>
        </w:rPr>
        <w:t>Koskinen, K</w:t>
      </w:r>
      <w:r w:rsidR="008116EE">
        <w:rPr>
          <w:rFonts w:ascii="Times New Roman" w:hAnsi="Times New Roman" w:cs="Times New Roman"/>
          <w:sz w:val="24"/>
          <w:szCs w:val="24"/>
        </w:rPr>
        <w:t xml:space="preserve">. (2013) </w:t>
      </w:r>
      <w:r w:rsidRPr="00E325D0">
        <w:rPr>
          <w:rFonts w:ascii="Times New Roman" w:hAnsi="Times New Roman" w:cs="Times New Roman"/>
          <w:sz w:val="24"/>
          <w:szCs w:val="24"/>
        </w:rPr>
        <w:t xml:space="preserve">Social media and the institutional illusions of EU communication. </w:t>
      </w:r>
      <w:r w:rsidRPr="008116EE">
        <w:rPr>
          <w:rFonts w:ascii="Times New Roman" w:hAnsi="Times New Roman" w:cs="Times New Roman"/>
          <w:i/>
          <w:sz w:val="24"/>
          <w:szCs w:val="24"/>
        </w:rPr>
        <w:t>International Journal of Applied Linguistics</w:t>
      </w:r>
      <w:r w:rsidR="008116EE">
        <w:rPr>
          <w:rFonts w:ascii="Times New Roman" w:hAnsi="Times New Roman" w:cs="Times New Roman"/>
          <w:sz w:val="24"/>
          <w:szCs w:val="24"/>
        </w:rPr>
        <w:t xml:space="preserve"> 23(1):</w:t>
      </w:r>
      <w:r w:rsidRPr="00E325D0">
        <w:rPr>
          <w:rFonts w:ascii="Times New Roman" w:hAnsi="Times New Roman" w:cs="Times New Roman"/>
          <w:sz w:val="24"/>
          <w:szCs w:val="24"/>
        </w:rPr>
        <w:t> 80–92</w:t>
      </w:r>
      <w:r w:rsidR="008116EE">
        <w:rPr>
          <w:rFonts w:ascii="Times New Roman" w:hAnsi="Times New Roman" w:cs="Times New Roman"/>
          <w:sz w:val="24"/>
          <w:szCs w:val="24"/>
        </w:rPr>
        <w:t>.</w:t>
      </w:r>
    </w:p>
    <w:p w14:paraId="7CFF8B3D" w14:textId="0317B282" w:rsidR="00625C61" w:rsidRPr="00E325D0" w:rsidRDefault="00625C61" w:rsidP="00625C61">
      <w:pPr>
        <w:spacing w:line="480" w:lineRule="auto"/>
        <w:ind w:left="720" w:hanging="720"/>
        <w:contextualSpacing/>
        <w:rPr>
          <w:rFonts w:ascii="Times New Roman" w:hAnsi="Times New Roman" w:cs="Times New Roman"/>
          <w:sz w:val="24"/>
          <w:szCs w:val="24"/>
        </w:rPr>
      </w:pPr>
      <w:r w:rsidRPr="00E325D0">
        <w:rPr>
          <w:rFonts w:ascii="Times New Roman" w:hAnsi="Times New Roman" w:cs="Times New Roman"/>
          <w:sz w:val="24"/>
          <w:szCs w:val="24"/>
        </w:rPr>
        <w:t xml:space="preserve">Laffan, B. (1997) From policy entrepreneur to policy manager: the challenge facing the European Commission, </w:t>
      </w:r>
      <w:r w:rsidRPr="008116EE">
        <w:rPr>
          <w:rFonts w:ascii="Times New Roman" w:hAnsi="Times New Roman" w:cs="Times New Roman"/>
          <w:i/>
          <w:sz w:val="24"/>
          <w:szCs w:val="24"/>
        </w:rPr>
        <w:t>Journ</w:t>
      </w:r>
      <w:r w:rsidR="008116EE" w:rsidRPr="008116EE">
        <w:rPr>
          <w:rFonts w:ascii="Times New Roman" w:hAnsi="Times New Roman" w:cs="Times New Roman"/>
          <w:i/>
          <w:sz w:val="24"/>
          <w:szCs w:val="24"/>
        </w:rPr>
        <w:t>al of European Public Policy</w:t>
      </w:r>
      <w:r w:rsidR="008116EE">
        <w:rPr>
          <w:rFonts w:ascii="Times New Roman" w:hAnsi="Times New Roman" w:cs="Times New Roman"/>
          <w:sz w:val="24"/>
          <w:szCs w:val="24"/>
        </w:rPr>
        <w:t xml:space="preserve"> 4(</w:t>
      </w:r>
      <w:r w:rsidRPr="00E325D0">
        <w:rPr>
          <w:rFonts w:ascii="Times New Roman" w:hAnsi="Times New Roman" w:cs="Times New Roman"/>
          <w:sz w:val="24"/>
          <w:szCs w:val="24"/>
        </w:rPr>
        <w:t>3</w:t>
      </w:r>
      <w:r w:rsidR="008116EE">
        <w:rPr>
          <w:rFonts w:ascii="Times New Roman" w:hAnsi="Times New Roman" w:cs="Times New Roman"/>
          <w:sz w:val="24"/>
          <w:szCs w:val="24"/>
        </w:rPr>
        <w:t>):</w:t>
      </w:r>
      <w:r w:rsidRPr="00E325D0">
        <w:rPr>
          <w:rFonts w:ascii="Times New Roman" w:hAnsi="Times New Roman" w:cs="Times New Roman"/>
          <w:sz w:val="24"/>
          <w:szCs w:val="24"/>
        </w:rPr>
        <w:t xml:space="preserve"> 422-438</w:t>
      </w:r>
      <w:r w:rsidR="008116EE">
        <w:rPr>
          <w:rFonts w:ascii="Times New Roman" w:hAnsi="Times New Roman" w:cs="Times New Roman"/>
          <w:sz w:val="24"/>
          <w:szCs w:val="24"/>
        </w:rPr>
        <w:t>.</w:t>
      </w:r>
    </w:p>
    <w:p w14:paraId="728DAD07" w14:textId="33D9DFFE" w:rsidR="00625C61" w:rsidRPr="00E325D0" w:rsidRDefault="008116EE" w:rsidP="00625C61">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Longo, M., &amp; Murray, P. (2011)</w:t>
      </w:r>
      <w:r w:rsidR="00625C61" w:rsidRPr="00E325D0">
        <w:rPr>
          <w:rFonts w:ascii="Times New Roman" w:hAnsi="Times New Roman" w:cs="Times New Roman"/>
          <w:sz w:val="24"/>
          <w:szCs w:val="24"/>
        </w:rPr>
        <w:t xml:space="preserve"> No ode to joy? Reflections on the European Union’s legitimacy. </w:t>
      </w:r>
      <w:r w:rsidR="00625C61" w:rsidRPr="008116EE">
        <w:rPr>
          <w:rFonts w:ascii="Times New Roman" w:hAnsi="Times New Roman" w:cs="Times New Roman"/>
          <w:i/>
          <w:sz w:val="24"/>
          <w:szCs w:val="24"/>
        </w:rPr>
        <w:t>International Politics</w:t>
      </w:r>
      <w:r>
        <w:rPr>
          <w:rFonts w:ascii="Times New Roman" w:hAnsi="Times New Roman" w:cs="Times New Roman"/>
          <w:sz w:val="24"/>
          <w:szCs w:val="24"/>
        </w:rPr>
        <w:t xml:space="preserve"> 48(</w:t>
      </w:r>
      <w:r w:rsidR="00625C61" w:rsidRPr="00E325D0">
        <w:rPr>
          <w:rFonts w:ascii="Times New Roman" w:hAnsi="Times New Roman" w:cs="Times New Roman"/>
          <w:sz w:val="24"/>
          <w:szCs w:val="24"/>
        </w:rPr>
        <w:t>6</w:t>
      </w:r>
      <w:r>
        <w:rPr>
          <w:rFonts w:ascii="Times New Roman" w:hAnsi="Times New Roman" w:cs="Times New Roman"/>
          <w:sz w:val="24"/>
          <w:szCs w:val="24"/>
        </w:rPr>
        <w:t>):</w:t>
      </w:r>
      <w:r w:rsidR="00625C61" w:rsidRPr="00E325D0">
        <w:rPr>
          <w:rFonts w:ascii="Times New Roman" w:hAnsi="Times New Roman" w:cs="Times New Roman"/>
          <w:sz w:val="24"/>
          <w:szCs w:val="24"/>
        </w:rPr>
        <w:t xml:space="preserve"> 667–690. </w:t>
      </w:r>
    </w:p>
    <w:p w14:paraId="4033C7C6" w14:textId="022258BB" w:rsidR="00625C61" w:rsidRPr="00E325D0" w:rsidRDefault="008116EE" w:rsidP="00625C61">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Lord, C. (2000)</w:t>
      </w:r>
      <w:r w:rsidR="00625C61" w:rsidRPr="00E325D0">
        <w:rPr>
          <w:rFonts w:ascii="Times New Roman" w:hAnsi="Times New Roman" w:cs="Times New Roman"/>
          <w:sz w:val="24"/>
          <w:szCs w:val="24"/>
        </w:rPr>
        <w:t xml:space="preserve"> Legitimacy, Democracy and the EU: When Abstract Questions Become Practical Policy Problems</w:t>
      </w:r>
      <w:r w:rsidR="00625C61" w:rsidRPr="008116EE">
        <w:rPr>
          <w:rFonts w:ascii="Times New Roman" w:hAnsi="Times New Roman" w:cs="Times New Roman"/>
          <w:i/>
          <w:sz w:val="24"/>
          <w:szCs w:val="24"/>
        </w:rPr>
        <w:t xml:space="preserve">, Economic and Social Research Council Policy Paper </w:t>
      </w:r>
      <w:r w:rsidR="00625C61" w:rsidRPr="00E325D0">
        <w:rPr>
          <w:rFonts w:ascii="Times New Roman" w:hAnsi="Times New Roman" w:cs="Times New Roman"/>
          <w:sz w:val="24"/>
          <w:szCs w:val="24"/>
        </w:rPr>
        <w:t>03/00</w:t>
      </w:r>
    </w:p>
    <w:p w14:paraId="1D83D5DE" w14:textId="478EDE27" w:rsidR="00625C61" w:rsidRPr="00E325D0" w:rsidRDefault="008116EE" w:rsidP="00625C61">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Macartney, H. (2013)</w:t>
      </w:r>
      <w:r w:rsidR="00625C61" w:rsidRPr="00E325D0">
        <w:rPr>
          <w:rFonts w:ascii="Times New Roman" w:hAnsi="Times New Roman" w:cs="Times New Roman"/>
          <w:sz w:val="24"/>
          <w:szCs w:val="24"/>
        </w:rPr>
        <w:t xml:space="preserve"> </w:t>
      </w:r>
      <w:r w:rsidR="00625C61" w:rsidRPr="008116EE">
        <w:rPr>
          <w:rFonts w:ascii="Times New Roman" w:hAnsi="Times New Roman" w:cs="Times New Roman"/>
          <w:i/>
          <w:sz w:val="24"/>
          <w:szCs w:val="24"/>
        </w:rPr>
        <w:t>The Debt Crisis and European Democratic Legitimacy</w:t>
      </w:r>
      <w:r w:rsidR="00625C61" w:rsidRPr="00E325D0">
        <w:rPr>
          <w:rFonts w:ascii="Times New Roman" w:hAnsi="Times New Roman" w:cs="Times New Roman"/>
          <w:sz w:val="24"/>
          <w:szCs w:val="24"/>
        </w:rPr>
        <w:t>. Basingstoke: Palgrave Macmillan</w:t>
      </w:r>
    </w:p>
    <w:p w14:paraId="65B05E71" w14:textId="036660F3" w:rsidR="00625C61" w:rsidRPr="00E325D0" w:rsidRDefault="008116EE" w:rsidP="00625C61">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Manners, I. (2002) </w:t>
      </w:r>
      <w:r w:rsidR="00625C61" w:rsidRPr="00E325D0">
        <w:rPr>
          <w:rFonts w:ascii="Times New Roman" w:hAnsi="Times New Roman" w:cs="Times New Roman"/>
          <w:sz w:val="24"/>
          <w:szCs w:val="24"/>
        </w:rPr>
        <w:t xml:space="preserve">Normative power Europe: a contradiction in terms? </w:t>
      </w:r>
      <w:r w:rsidR="00625C61" w:rsidRPr="008116EE">
        <w:rPr>
          <w:rFonts w:ascii="Times New Roman" w:hAnsi="Times New Roman" w:cs="Times New Roman"/>
          <w:i/>
          <w:sz w:val="24"/>
          <w:szCs w:val="24"/>
        </w:rPr>
        <w:t>J</w:t>
      </w:r>
      <w:r w:rsidR="007D68E7">
        <w:rPr>
          <w:rFonts w:ascii="Times New Roman" w:hAnsi="Times New Roman" w:cs="Times New Roman"/>
          <w:i/>
          <w:sz w:val="24"/>
          <w:szCs w:val="24"/>
        </w:rPr>
        <w:t>CMS: J</w:t>
      </w:r>
      <w:r w:rsidR="00625C61" w:rsidRPr="008116EE">
        <w:rPr>
          <w:rFonts w:ascii="Times New Roman" w:hAnsi="Times New Roman" w:cs="Times New Roman"/>
          <w:i/>
          <w:sz w:val="24"/>
          <w:szCs w:val="24"/>
        </w:rPr>
        <w:t>ournal of Common Market Studies</w:t>
      </w:r>
      <w:r>
        <w:rPr>
          <w:rFonts w:ascii="Times New Roman" w:hAnsi="Times New Roman" w:cs="Times New Roman"/>
          <w:sz w:val="24"/>
          <w:szCs w:val="24"/>
        </w:rPr>
        <w:t xml:space="preserve"> 40(2):</w:t>
      </w:r>
      <w:r w:rsidR="00625C61" w:rsidRPr="00E325D0">
        <w:rPr>
          <w:rFonts w:ascii="Times New Roman" w:hAnsi="Times New Roman" w:cs="Times New Roman"/>
          <w:sz w:val="24"/>
          <w:szCs w:val="24"/>
        </w:rPr>
        <w:t xml:space="preserve"> 235–58</w:t>
      </w:r>
      <w:r>
        <w:rPr>
          <w:rFonts w:ascii="Times New Roman" w:hAnsi="Times New Roman" w:cs="Times New Roman"/>
          <w:sz w:val="24"/>
          <w:szCs w:val="24"/>
        </w:rPr>
        <w:t>.</w:t>
      </w:r>
    </w:p>
    <w:p w14:paraId="3A24091E" w14:textId="77777777" w:rsidR="00625C61" w:rsidRPr="00E325D0" w:rsidRDefault="00625C61" w:rsidP="00625C61">
      <w:pPr>
        <w:spacing w:line="480" w:lineRule="auto"/>
        <w:ind w:left="720" w:hanging="720"/>
        <w:contextualSpacing/>
        <w:rPr>
          <w:rFonts w:ascii="Times New Roman" w:hAnsi="Times New Roman" w:cs="Times New Roman"/>
          <w:sz w:val="24"/>
          <w:szCs w:val="24"/>
        </w:rPr>
      </w:pPr>
      <w:r w:rsidRPr="00E325D0">
        <w:rPr>
          <w:rFonts w:ascii="Times New Roman" w:hAnsi="Times New Roman" w:cs="Times New Roman"/>
          <w:sz w:val="24"/>
          <w:szCs w:val="24"/>
        </w:rPr>
        <w:t>Miskimmon A, O’Loughlin B and Roselle L (2013)</w:t>
      </w:r>
      <w:r w:rsidRPr="008116EE">
        <w:rPr>
          <w:rFonts w:ascii="Times New Roman" w:hAnsi="Times New Roman" w:cs="Times New Roman"/>
          <w:i/>
          <w:sz w:val="24"/>
          <w:szCs w:val="24"/>
        </w:rPr>
        <w:t xml:space="preserve"> Strategic Narratives, Communication Power and the New World Order. </w:t>
      </w:r>
      <w:r w:rsidRPr="00E325D0">
        <w:rPr>
          <w:rFonts w:ascii="Times New Roman" w:hAnsi="Times New Roman" w:cs="Times New Roman"/>
          <w:sz w:val="24"/>
          <w:szCs w:val="24"/>
        </w:rPr>
        <w:t>New York: Routledge</w:t>
      </w:r>
    </w:p>
    <w:p w14:paraId="137E853D" w14:textId="262472BC" w:rsidR="00625C61" w:rsidRPr="00E325D0" w:rsidRDefault="00625C61" w:rsidP="00625C61">
      <w:pPr>
        <w:spacing w:line="480" w:lineRule="auto"/>
        <w:ind w:left="720" w:hanging="720"/>
        <w:contextualSpacing/>
        <w:rPr>
          <w:rFonts w:ascii="Times New Roman" w:hAnsi="Times New Roman" w:cs="Times New Roman"/>
          <w:sz w:val="24"/>
          <w:szCs w:val="24"/>
        </w:rPr>
      </w:pPr>
      <w:r w:rsidRPr="00E325D0">
        <w:rPr>
          <w:rFonts w:ascii="Times New Roman" w:hAnsi="Times New Roman" w:cs="Times New Roman"/>
          <w:sz w:val="24"/>
          <w:szCs w:val="24"/>
        </w:rPr>
        <w:t>Roselle, L,</w:t>
      </w:r>
      <w:r w:rsidR="00696F2D">
        <w:rPr>
          <w:rFonts w:ascii="Times New Roman" w:hAnsi="Times New Roman" w:cs="Times New Roman"/>
          <w:sz w:val="24"/>
          <w:szCs w:val="24"/>
        </w:rPr>
        <w:t xml:space="preserve"> </w:t>
      </w:r>
      <w:r w:rsidRPr="00E325D0">
        <w:rPr>
          <w:rFonts w:ascii="Times New Roman" w:hAnsi="Times New Roman" w:cs="Times New Roman"/>
          <w:sz w:val="24"/>
          <w:szCs w:val="24"/>
        </w:rPr>
        <w:t xml:space="preserve">A. Miskimmon and B. O'Loughlin (2014) Strategic narrative: A new means to understand soft power, Media, </w:t>
      </w:r>
      <w:r w:rsidRPr="008116EE">
        <w:rPr>
          <w:rFonts w:ascii="Times New Roman" w:hAnsi="Times New Roman" w:cs="Times New Roman"/>
          <w:i/>
          <w:sz w:val="24"/>
          <w:szCs w:val="24"/>
        </w:rPr>
        <w:t>War &amp; Conflict</w:t>
      </w:r>
      <w:r w:rsidR="008116EE">
        <w:rPr>
          <w:rFonts w:ascii="Times New Roman" w:hAnsi="Times New Roman" w:cs="Times New Roman"/>
          <w:sz w:val="24"/>
          <w:szCs w:val="24"/>
        </w:rPr>
        <w:t xml:space="preserve"> 7(</w:t>
      </w:r>
      <w:r w:rsidRPr="00E325D0">
        <w:rPr>
          <w:rFonts w:ascii="Times New Roman" w:hAnsi="Times New Roman" w:cs="Times New Roman"/>
          <w:sz w:val="24"/>
          <w:szCs w:val="24"/>
        </w:rPr>
        <w:t>1</w:t>
      </w:r>
      <w:r w:rsidR="008116EE">
        <w:rPr>
          <w:rFonts w:ascii="Times New Roman" w:hAnsi="Times New Roman" w:cs="Times New Roman"/>
          <w:sz w:val="24"/>
          <w:szCs w:val="24"/>
        </w:rPr>
        <w:t>):</w:t>
      </w:r>
      <w:r w:rsidRPr="00E325D0">
        <w:rPr>
          <w:rFonts w:ascii="Times New Roman" w:hAnsi="Times New Roman" w:cs="Times New Roman"/>
          <w:sz w:val="24"/>
          <w:szCs w:val="24"/>
        </w:rPr>
        <w:t xml:space="preserve"> 70-84.</w:t>
      </w:r>
    </w:p>
    <w:p w14:paraId="77CA379E" w14:textId="7AECCAD8" w:rsidR="00625C61" w:rsidRPr="00E325D0" w:rsidRDefault="00625C61" w:rsidP="00625C61">
      <w:pPr>
        <w:spacing w:line="480" w:lineRule="auto"/>
        <w:ind w:left="720" w:hanging="720"/>
        <w:contextualSpacing/>
        <w:rPr>
          <w:rFonts w:ascii="Times New Roman" w:hAnsi="Times New Roman" w:cs="Times New Roman"/>
          <w:sz w:val="24"/>
          <w:szCs w:val="24"/>
        </w:rPr>
      </w:pPr>
      <w:r w:rsidRPr="00E325D0">
        <w:rPr>
          <w:rFonts w:ascii="Times New Roman" w:hAnsi="Times New Roman" w:cs="Times New Roman"/>
          <w:sz w:val="24"/>
          <w:szCs w:val="24"/>
        </w:rPr>
        <w:t>Slaughter, A-M. (2011) Preface, in Porter, W. and Mykleby, M. (eds) A National Strategic Narrative. Washington, DC: Woodrow Wilson International Centre for Scholars, pp. 2-4. http://www.wilsoncenter.org/sites/default/files/A%20National%20Strategic%20Narrative.pdf Accessed November 30,2014.</w:t>
      </w:r>
    </w:p>
    <w:p w14:paraId="23C4AD06" w14:textId="663EAAFD" w:rsidR="00625C61" w:rsidRPr="00E325D0" w:rsidRDefault="00D950A6" w:rsidP="00625C61">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lastRenderedPageBreak/>
        <w:t>Thelwall, M., Buckley, K., and</w:t>
      </w:r>
      <w:r w:rsidR="008116EE">
        <w:rPr>
          <w:rFonts w:ascii="Times New Roman" w:hAnsi="Times New Roman" w:cs="Times New Roman"/>
          <w:sz w:val="24"/>
          <w:szCs w:val="24"/>
        </w:rPr>
        <w:t xml:space="preserve"> Paltoglou, G. (2011) </w:t>
      </w:r>
      <w:r w:rsidR="00625C61" w:rsidRPr="00E325D0">
        <w:rPr>
          <w:rFonts w:ascii="Times New Roman" w:hAnsi="Times New Roman" w:cs="Times New Roman"/>
          <w:sz w:val="24"/>
          <w:szCs w:val="24"/>
        </w:rPr>
        <w:t xml:space="preserve">Sentiment in Twitter Events. </w:t>
      </w:r>
      <w:r w:rsidR="00625C61" w:rsidRPr="008116EE">
        <w:rPr>
          <w:rFonts w:ascii="Times New Roman" w:hAnsi="Times New Roman" w:cs="Times New Roman"/>
          <w:i/>
          <w:sz w:val="24"/>
          <w:szCs w:val="24"/>
        </w:rPr>
        <w:t>Journal of the American Society</w:t>
      </w:r>
      <w:r w:rsidR="008116EE" w:rsidRPr="008116EE">
        <w:rPr>
          <w:rFonts w:ascii="Times New Roman" w:hAnsi="Times New Roman" w:cs="Times New Roman"/>
          <w:i/>
          <w:sz w:val="24"/>
          <w:szCs w:val="24"/>
        </w:rPr>
        <w:t xml:space="preserve"> for Information Science</w:t>
      </w:r>
      <w:r w:rsidR="008116EE">
        <w:rPr>
          <w:rFonts w:ascii="Times New Roman" w:hAnsi="Times New Roman" w:cs="Times New Roman"/>
          <w:sz w:val="24"/>
          <w:szCs w:val="24"/>
        </w:rPr>
        <w:t xml:space="preserve"> 62(2):</w:t>
      </w:r>
      <w:r w:rsidR="00625C61" w:rsidRPr="00E325D0">
        <w:rPr>
          <w:rFonts w:ascii="Times New Roman" w:hAnsi="Times New Roman" w:cs="Times New Roman"/>
          <w:sz w:val="24"/>
          <w:szCs w:val="24"/>
        </w:rPr>
        <w:t xml:space="preserve"> 406–418</w:t>
      </w:r>
      <w:r w:rsidR="008116EE">
        <w:rPr>
          <w:rFonts w:ascii="Times New Roman" w:hAnsi="Times New Roman" w:cs="Times New Roman"/>
          <w:sz w:val="24"/>
          <w:szCs w:val="24"/>
        </w:rPr>
        <w:t>.</w:t>
      </w:r>
    </w:p>
    <w:p w14:paraId="4B2E8623" w14:textId="1D1698CB" w:rsidR="00625C61" w:rsidRPr="00E325D0" w:rsidRDefault="00625C61" w:rsidP="00625C61">
      <w:pPr>
        <w:spacing w:line="480" w:lineRule="auto"/>
        <w:ind w:left="720" w:hanging="720"/>
        <w:contextualSpacing/>
        <w:rPr>
          <w:rFonts w:ascii="Times New Roman" w:hAnsi="Times New Roman" w:cs="Times New Roman"/>
          <w:sz w:val="24"/>
          <w:szCs w:val="24"/>
        </w:rPr>
      </w:pPr>
      <w:r w:rsidRPr="00E325D0">
        <w:rPr>
          <w:rFonts w:ascii="Times New Roman" w:hAnsi="Times New Roman" w:cs="Times New Roman"/>
          <w:sz w:val="24"/>
          <w:szCs w:val="24"/>
        </w:rPr>
        <w:t>Traynor, I. (2014) 30,000 lobbyists and counting: is Brussels under corporate sway?, The Guardian, http://www.theguardian.com/world/2014/may/08/lobbyists-european-parliament-brussels-corporate, Accessed 30 November 2014.</w:t>
      </w:r>
    </w:p>
    <w:p w14:paraId="52DCC714" w14:textId="76B5F6F3" w:rsidR="00625C61" w:rsidRDefault="008116EE" w:rsidP="00625C61">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Van Noije, L. (2010)</w:t>
      </w:r>
      <w:r w:rsidR="00625C61" w:rsidRPr="00E325D0">
        <w:rPr>
          <w:rFonts w:ascii="Times New Roman" w:hAnsi="Times New Roman" w:cs="Times New Roman"/>
          <w:sz w:val="24"/>
          <w:szCs w:val="24"/>
        </w:rPr>
        <w:t xml:space="preserve"> The European paradox: A communication deficit as long as European integration steals the headlines. </w:t>
      </w:r>
      <w:r w:rsidR="00625C61" w:rsidRPr="008116EE">
        <w:rPr>
          <w:rFonts w:ascii="Times New Roman" w:hAnsi="Times New Roman" w:cs="Times New Roman"/>
          <w:i/>
          <w:sz w:val="24"/>
          <w:szCs w:val="24"/>
        </w:rPr>
        <w:t>European Journal of Communication</w:t>
      </w:r>
      <w:r>
        <w:rPr>
          <w:rFonts w:ascii="Times New Roman" w:hAnsi="Times New Roman" w:cs="Times New Roman"/>
          <w:sz w:val="24"/>
          <w:szCs w:val="24"/>
        </w:rPr>
        <w:t xml:space="preserve"> 25(</w:t>
      </w:r>
      <w:r w:rsidR="00625C61" w:rsidRPr="00E325D0">
        <w:rPr>
          <w:rFonts w:ascii="Times New Roman" w:hAnsi="Times New Roman" w:cs="Times New Roman"/>
          <w:sz w:val="24"/>
          <w:szCs w:val="24"/>
        </w:rPr>
        <w:t>3</w:t>
      </w:r>
      <w:r>
        <w:rPr>
          <w:rFonts w:ascii="Times New Roman" w:hAnsi="Times New Roman" w:cs="Times New Roman"/>
          <w:sz w:val="24"/>
          <w:szCs w:val="24"/>
        </w:rPr>
        <w:t>):</w:t>
      </w:r>
      <w:r w:rsidR="00625C61" w:rsidRPr="00E325D0">
        <w:rPr>
          <w:rFonts w:ascii="Times New Roman" w:hAnsi="Times New Roman" w:cs="Times New Roman"/>
          <w:sz w:val="24"/>
          <w:szCs w:val="24"/>
        </w:rPr>
        <w:t xml:space="preserve"> 259–272. </w:t>
      </w:r>
    </w:p>
    <w:p w14:paraId="0807AFD7" w14:textId="162D83BE" w:rsidR="0091457D" w:rsidRDefault="0091457D" w:rsidP="00625C61">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Verdun, A. (2013)</w:t>
      </w:r>
      <w:r w:rsidR="00C31924">
        <w:rPr>
          <w:rFonts w:ascii="Times New Roman" w:hAnsi="Times New Roman" w:cs="Times New Roman"/>
          <w:sz w:val="24"/>
          <w:szCs w:val="24"/>
        </w:rPr>
        <w:t xml:space="preserve"> </w:t>
      </w:r>
      <w:r w:rsidR="00C31924" w:rsidRPr="00C31924">
        <w:rPr>
          <w:rFonts w:ascii="Times New Roman" w:hAnsi="Times New Roman" w:cs="Times New Roman"/>
          <w:sz w:val="24"/>
          <w:szCs w:val="24"/>
        </w:rPr>
        <w:t xml:space="preserve">‘Small States and the Global Economic Crisis: An Assessment’ </w:t>
      </w:r>
      <w:r w:rsidR="00C31924" w:rsidRPr="00AC33C8">
        <w:rPr>
          <w:rFonts w:ascii="Times New Roman" w:hAnsi="Times New Roman" w:cs="Times New Roman"/>
          <w:i/>
          <w:sz w:val="24"/>
          <w:szCs w:val="24"/>
        </w:rPr>
        <w:t>European Political Science</w:t>
      </w:r>
      <w:r w:rsidR="00C31924">
        <w:rPr>
          <w:rFonts w:ascii="Times New Roman" w:hAnsi="Times New Roman" w:cs="Times New Roman"/>
          <w:sz w:val="24"/>
          <w:szCs w:val="24"/>
        </w:rPr>
        <w:t>, 12 (1), pp. 276–293.</w:t>
      </w:r>
    </w:p>
    <w:p w14:paraId="176FA854" w14:textId="60A3592C" w:rsidR="0091457D" w:rsidRPr="00E325D0" w:rsidRDefault="0091457D" w:rsidP="00625C61">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Verdun, A. and T. Christiansen (</w:t>
      </w:r>
      <w:r w:rsidRPr="0091457D">
        <w:rPr>
          <w:rFonts w:ascii="Times New Roman" w:hAnsi="Times New Roman" w:cs="Times New Roman"/>
          <w:sz w:val="24"/>
          <w:szCs w:val="24"/>
        </w:rPr>
        <w:t>2000</w:t>
      </w:r>
      <w:r>
        <w:rPr>
          <w:rFonts w:ascii="Times New Roman" w:hAnsi="Times New Roman" w:cs="Times New Roman"/>
          <w:sz w:val="24"/>
          <w:szCs w:val="24"/>
        </w:rPr>
        <w:t xml:space="preserve">) </w:t>
      </w:r>
      <w:r w:rsidRPr="0091457D">
        <w:rPr>
          <w:rFonts w:ascii="Times New Roman" w:hAnsi="Times New Roman" w:cs="Times New Roman"/>
          <w:sz w:val="24"/>
          <w:szCs w:val="24"/>
        </w:rPr>
        <w:t xml:space="preserve">‘Policy-making, Institution-building and European Monetary Union: Dilemmas of Legitimacy’ </w:t>
      </w:r>
      <w:r>
        <w:rPr>
          <w:rFonts w:ascii="Times New Roman" w:hAnsi="Times New Roman" w:cs="Times New Roman"/>
          <w:sz w:val="24"/>
          <w:szCs w:val="24"/>
        </w:rPr>
        <w:t>in C.</w:t>
      </w:r>
      <w:r w:rsidRPr="0091457D">
        <w:rPr>
          <w:rFonts w:ascii="Times New Roman" w:hAnsi="Times New Roman" w:cs="Times New Roman"/>
          <w:sz w:val="24"/>
          <w:szCs w:val="24"/>
        </w:rPr>
        <w:t xml:space="preserve"> Crouch (ed.), </w:t>
      </w:r>
      <w:r w:rsidRPr="00AC33C8">
        <w:rPr>
          <w:rFonts w:ascii="Times New Roman" w:hAnsi="Times New Roman" w:cs="Times New Roman"/>
          <w:i/>
          <w:sz w:val="24"/>
          <w:szCs w:val="24"/>
        </w:rPr>
        <w:t>After the Euro: Shaping Institutions for Governance in the Wake of European Monetary Union</w:t>
      </w:r>
      <w:r w:rsidRPr="0091457D">
        <w:rPr>
          <w:rFonts w:ascii="Times New Roman" w:hAnsi="Times New Roman" w:cs="Times New Roman"/>
          <w:sz w:val="24"/>
          <w:szCs w:val="24"/>
        </w:rPr>
        <w:t>, Oxford: Oxford University Press, pp. 162-78.</w:t>
      </w:r>
    </w:p>
    <w:p w14:paraId="7ACE2659" w14:textId="67BDE341" w:rsidR="00625C61" w:rsidRPr="00E325D0" w:rsidRDefault="00D950A6" w:rsidP="00625C61">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Vergeer, M., Hermans, L., and</w:t>
      </w:r>
      <w:r w:rsidR="008116EE">
        <w:rPr>
          <w:rFonts w:ascii="Times New Roman" w:hAnsi="Times New Roman" w:cs="Times New Roman"/>
          <w:sz w:val="24"/>
          <w:szCs w:val="24"/>
        </w:rPr>
        <w:t xml:space="preserve"> Sams, S., (2010)</w:t>
      </w:r>
      <w:r w:rsidR="00625C61" w:rsidRPr="00E325D0">
        <w:rPr>
          <w:rFonts w:ascii="Times New Roman" w:hAnsi="Times New Roman" w:cs="Times New Roman"/>
          <w:sz w:val="24"/>
          <w:szCs w:val="24"/>
        </w:rPr>
        <w:t xml:space="preserve"> The Voter Is Only A Tweet Away Micro Blogging During The 2009 European Parliament Election Campaign In The Netherlands, </w:t>
      </w:r>
      <w:r w:rsidR="00625C61" w:rsidRPr="008116EE">
        <w:rPr>
          <w:rFonts w:ascii="Times New Roman" w:hAnsi="Times New Roman" w:cs="Times New Roman"/>
          <w:i/>
          <w:sz w:val="24"/>
          <w:szCs w:val="24"/>
        </w:rPr>
        <w:t>3rd Annual Political Networks Conference</w:t>
      </w:r>
      <w:r w:rsidR="00625C61" w:rsidRPr="00E325D0">
        <w:rPr>
          <w:rFonts w:ascii="Times New Roman" w:hAnsi="Times New Roman" w:cs="Times New Roman"/>
          <w:sz w:val="24"/>
          <w:szCs w:val="24"/>
        </w:rPr>
        <w:t>, Duke University</w:t>
      </w:r>
      <w:r w:rsidR="00625C61">
        <w:rPr>
          <w:rFonts w:ascii="Times New Roman" w:hAnsi="Times New Roman" w:cs="Times New Roman"/>
          <w:sz w:val="24"/>
          <w:szCs w:val="24"/>
        </w:rPr>
        <w:t>.</w:t>
      </w:r>
    </w:p>
    <w:p w14:paraId="51A22D9A" w14:textId="16B2D4C1" w:rsidR="00625C61" w:rsidRPr="00E325D0" w:rsidRDefault="008116EE" w:rsidP="00625C61">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Vis, F. (2013)</w:t>
      </w:r>
      <w:r w:rsidR="00625C61" w:rsidRPr="00E325D0">
        <w:rPr>
          <w:rFonts w:ascii="Times New Roman" w:hAnsi="Times New Roman" w:cs="Times New Roman"/>
          <w:sz w:val="24"/>
          <w:szCs w:val="24"/>
        </w:rPr>
        <w:t xml:space="preserve"> Twitter As a Reporting Tool for Breaking News. </w:t>
      </w:r>
      <w:r w:rsidR="00625C61" w:rsidRPr="008116EE">
        <w:rPr>
          <w:rFonts w:ascii="Times New Roman" w:hAnsi="Times New Roman" w:cs="Times New Roman"/>
          <w:i/>
          <w:sz w:val="24"/>
          <w:szCs w:val="24"/>
        </w:rPr>
        <w:t>Digital Journalism</w:t>
      </w:r>
      <w:r>
        <w:rPr>
          <w:rFonts w:ascii="Times New Roman" w:hAnsi="Times New Roman" w:cs="Times New Roman"/>
          <w:sz w:val="24"/>
          <w:szCs w:val="24"/>
        </w:rPr>
        <w:t xml:space="preserve"> 1(</w:t>
      </w:r>
      <w:r w:rsidR="00625C61" w:rsidRPr="00E325D0">
        <w:rPr>
          <w:rFonts w:ascii="Times New Roman" w:hAnsi="Times New Roman" w:cs="Times New Roman"/>
          <w:sz w:val="24"/>
          <w:szCs w:val="24"/>
        </w:rPr>
        <w:t>1</w:t>
      </w:r>
      <w:r>
        <w:rPr>
          <w:rFonts w:ascii="Times New Roman" w:hAnsi="Times New Roman" w:cs="Times New Roman"/>
          <w:sz w:val="24"/>
          <w:szCs w:val="24"/>
        </w:rPr>
        <w:t>):</w:t>
      </w:r>
      <w:r w:rsidR="00625C61" w:rsidRPr="00E325D0">
        <w:rPr>
          <w:rFonts w:ascii="Times New Roman" w:hAnsi="Times New Roman" w:cs="Times New Roman"/>
          <w:sz w:val="24"/>
          <w:szCs w:val="24"/>
        </w:rPr>
        <w:t xml:space="preserve"> 27–47. </w:t>
      </w:r>
    </w:p>
    <w:p w14:paraId="4ABF525F" w14:textId="09529102" w:rsidR="00A3066C" w:rsidRPr="00E325D0" w:rsidRDefault="00A3066C" w:rsidP="00E325D0">
      <w:pPr>
        <w:spacing w:line="480" w:lineRule="auto"/>
        <w:contextualSpacing/>
        <w:rPr>
          <w:rFonts w:ascii="Times New Roman" w:hAnsi="Times New Roman" w:cs="Times New Roman"/>
          <w:sz w:val="24"/>
          <w:szCs w:val="24"/>
        </w:rPr>
      </w:pPr>
    </w:p>
    <w:p w14:paraId="35B12163" w14:textId="20D3F5CA" w:rsidR="005F0AA1" w:rsidRPr="00E325D0" w:rsidRDefault="005F0AA1" w:rsidP="00E325D0">
      <w:pPr>
        <w:spacing w:line="480" w:lineRule="auto"/>
        <w:contextualSpacing/>
        <w:textAlignment w:val="baseline"/>
        <w:rPr>
          <w:rFonts w:ascii="Times New Roman" w:hAnsi="Times New Roman" w:cs="Times New Roman"/>
          <w:sz w:val="24"/>
          <w:szCs w:val="24"/>
        </w:rPr>
      </w:pPr>
    </w:p>
    <w:sectPr w:rsidR="005F0AA1" w:rsidRPr="00E325D0" w:rsidSect="00771B29">
      <w:footerReference w:type="even" r:id="rId18"/>
      <w:footerReference w:type="default" r:id="rId19"/>
      <w:pgSz w:w="11906" w:h="16838"/>
      <w:pgMar w:top="1417" w:right="1417" w:bottom="1134"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0A3860" w15:done="0"/>
  <w15:commentEx w15:paraId="6EC51CC6" w15:done="0"/>
  <w15:commentEx w15:paraId="5B269D5D" w15:done="0"/>
  <w15:commentEx w15:paraId="440D4FE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4349FF" w14:textId="77777777" w:rsidR="00C942EE" w:rsidRDefault="00C942EE" w:rsidP="002753EF">
      <w:r>
        <w:separator/>
      </w:r>
    </w:p>
  </w:endnote>
  <w:endnote w:type="continuationSeparator" w:id="0">
    <w:p w14:paraId="4E2FC1B7" w14:textId="77777777" w:rsidR="00C942EE" w:rsidRDefault="00C942EE" w:rsidP="002753EF">
      <w:r>
        <w:continuationSeparator/>
      </w:r>
    </w:p>
  </w:endnote>
  <w:endnote w:id="1">
    <w:p w14:paraId="7CDAC12F" w14:textId="192F8AB9" w:rsidR="00C31924" w:rsidRPr="008116EE" w:rsidRDefault="00C31924" w:rsidP="008116EE">
      <w:pPr>
        <w:pStyle w:val="EndnoteText"/>
        <w:spacing w:line="480" w:lineRule="auto"/>
        <w:contextualSpacing/>
        <w:jc w:val="both"/>
        <w:rPr>
          <w:rFonts w:ascii="Times New Roman" w:hAnsi="Times New Roman" w:cs="Times New Roman"/>
          <w:sz w:val="20"/>
          <w:szCs w:val="20"/>
        </w:rPr>
      </w:pPr>
      <w:r w:rsidRPr="008116EE">
        <w:rPr>
          <w:rStyle w:val="EndnoteReference"/>
          <w:rFonts w:ascii="Times New Roman" w:hAnsi="Times New Roman" w:cs="Times New Roman"/>
          <w:sz w:val="20"/>
          <w:szCs w:val="20"/>
        </w:rPr>
        <w:endnoteRef/>
      </w:r>
      <w:r w:rsidRPr="008116EE">
        <w:rPr>
          <w:rFonts w:ascii="Times New Roman" w:hAnsi="Times New Roman" w:cs="Times New Roman"/>
          <w:sz w:val="20"/>
          <w:szCs w:val="20"/>
        </w:rPr>
        <w:t xml:space="preserve"> Tweets were gathered using software developed and operated by Professor Mike Thelwall of the Cybermetrics Group at Wolverhampton University, to whom this project is indebted. Details of the Cybermetrics Group can be found at: </w:t>
      </w:r>
      <w:hyperlink r:id="rId1" w:history="1">
        <w:r w:rsidRPr="008116EE">
          <w:rPr>
            <w:rStyle w:val="Hyperlink"/>
            <w:rFonts w:ascii="Times New Roman" w:hAnsi="Times New Roman" w:cs="Times New Roman"/>
            <w:sz w:val="20"/>
            <w:szCs w:val="20"/>
          </w:rPr>
          <w:t>http://cybermetrics.wlv.ac.uk/index.html</w:t>
        </w:r>
      </w:hyperlink>
      <w:r w:rsidRPr="008116EE">
        <w:rPr>
          <w:rFonts w:ascii="Times New Roman" w:hAnsi="Times New Roman" w:cs="Times New Roman"/>
          <w:sz w:val="20"/>
          <w:szCs w:val="20"/>
        </w:rPr>
        <w:t>. The project conformed with the University of Leicester Ethics Committee Regulations on data pro</w:t>
      </w:r>
      <w:r w:rsidR="001A4E63">
        <w:rPr>
          <w:rFonts w:ascii="Times New Roman" w:hAnsi="Times New Roman" w:cs="Times New Roman"/>
          <w:sz w:val="20"/>
          <w:szCs w:val="20"/>
        </w:rPr>
        <w:t>t</w:t>
      </w:r>
      <w:r w:rsidRPr="008116EE">
        <w:rPr>
          <w:rFonts w:ascii="Times New Roman" w:hAnsi="Times New Roman" w:cs="Times New Roman"/>
          <w:sz w:val="20"/>
          <w:szCs w:val="20"/>
        </w:rPr>
        <w:t xml:space="preserve">ection and privacy, and received approval before data gathering was undertaken. The project leaders also wish to express their sincere thanks to the three Twitter coders: Jasmin Lenz, Simon Lindmayer and Dorethea Stampfer, </w:t>
      </w:r>
      <w:r w:rsidR="001A4E63" w:rsidRPr="001A4E63">
        <w:rPr>
          <w:rFonts w:ascii="Times New Roman" w:hAnsi="Times New Roman" w:cs="Times New Roman"/>
          <w:sz w:val="20"/>
          <w:szCs w:val="20"/>
        </w:rPr>
        <w:t>Technischen Universität Darmstadt</w:t>
      </w:r>
      <w:r w:rsidRPr="008116EE">
        <w:rPr>
          <w:rFonts w:ascii="Times New Roman" w:hAnsi="Times New Roman" w:cs="Times New Roman"/>
          <w:sz w:val="20"/>
          <w:szCs w:val="20"/>
        </w:rPr>
        <w:t xml:space="preserve"> post-graduate students. </w:t>
      </w:r>
    </w:p>
  </w:endnote>
  <w:endnote w:id="2">
    <w:p w14:paraId="6F323430" w14:textId="09A203C0" w:rsidR="00C31924" w:rsidRPr="008116EE" w:rsidRDefault="00C31924" w:rsidP="008116EE">
      <w:pPr>
        <w:pStyle w:val="EndnoteText"/>
        <w:spacing w:line="480" w:lineRule="auto"/>
        <w:contextualSpacing/>
        <w:rPr>
          <w:rFonts w:ascii="Times New Roman" w:hAnsi="Times New Roman" w:cs="Times New Roman"/>
          <w:sz w:val="20"/>
          <w:szCs w:val="20"/>
        </w:rPr>
      </w:pPr>
      <w:r w:rsidRPr="008116EE">
        <w:rPr>
          <w:rStyle w:val="EndnoteReference"/>
          <w:rFonts w:ascii="Times New Roman" w:hAnsi="Times New Roman" w:cs="Times New Roman"/>
          <w:sz w:val="20"/>
          <w:szCs w:val="20"/>
        </w:rPr>
        <w:endnoteRef/>
      </w:r>
      <w:r w:rsidRPr="008116EE">
        <w:rPr>
          <w:rFonts w:ascii="Times New Roman" w:hAnsi="Times New Roman" w:cs="Times New Roman"/>
          <w:sz w:val="20"/>
          <w:szCs w:val="20"/>
        </w:rPr>
        <w:t xml:space="preserve"> e.g. NGOs refers to WWF and two other country-specific NGOs; BRICS refers to several mentions of Russia, a couple of South Africa and a handful of China. India and Brazil were not visible; EU MS actors could mean the whole MS, in which case Germany was most visible, or representatives of those MS, like the city council of Barcelona</w:t>
      </w:r>
      <w:r>
        <w:rPr>
          <w:rFonts w:ascii="Times New Roman" w:hAnsi="Times New Roman" w:cs="Times New Roman"/>
          <w:sz w:val="20"/>
          <w:szCs w:val="20"/>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MinionPro-Regular">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DDEE8" w14:textId="77777777" w:rsidR="00C31924" w:rsidRDefault="00C31924" w:rsidP="00C319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F0287B" w14:textId="77777777" w:rsidR="00C31924" w:rsidRDefault="00C31924" w:rsidP="00AC33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EE4E3" w14:textId="77777777" w:rsidR="00C31924" w:rsidRDefault="00C31924" w:rsidP="00C319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D1D3A">
      <w:rPr>
        <w:rStyle w:val="PageNumber"/>
        <w:noProof/>
      </w:rPr>
      <w:t>1</w:t>
    </w:r>
    <w:r>
      <w:rPr>
        <w:rStyle w:val="PageNumber"/>
      </w:rPr>
      <w:fldChar w:fldCharType="end"/>
    </w:r>
  </w:p>
  <w:p w14:paraId="4AA99F3E" w14:textId="77777777" w:rsidR="00C31924" w:rsidRDefault="00C31924" w:rsidP="00AC33C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68007A" w14:textId="77777777" w:rsidR="00C942EE" w:rsidRDefault="00C942EE" w:rsidP="002753EF">
      <w:r>
        <w:separator/>
      </w:r>
    </w:p>
  </w:footnote>
  <w:footnote w:type="continuationSeparator" w:id="0">
    <w:p w14:paraId="7F8054C2" w14:textId="77777777" w:rsidR="00C942EE" w:rsidRDefault="00C942EE" w:rsidP="002753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801A4"/>
    <w:multiLevelType w:val="multilevel"/>
    <w:tmpl w:val="44447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660562"/>
    <w:multiLevelType w:val="hybridMultilevel"/>
    <w:tmpl w:val="6994EB68"/>
    <w:lvl w:ilvl="0" w:tplc="9D485A9C">
      <w:start w:val="1"/>
      <w:numFmt w:val="bullet"/>
      <w:lvlText w:val="•"/>
      <w:lvlJc w:val="left"/>
      <w:pPr>
        <w:tabs>
          <w:tab w:val="num" w:pos="720"/>
        </w:tabs>
        <w:ind w:left="720" w:hanging="360"/>
      </w:pPr>
      <w:rPr>
        <w:rFonts w:ascii="Arial" w:hAnsi="Arial" w:cs="Arial" w:hint="default"/>
      </w:rPr>
    </w:lvl>
    <w:lvl w:ilvl="1" w:tplc="7B5289E8" w:tentative="1">
      <w:start w:val="1"/>
      <w:numFmt w:val="bullet"/>
      <w:lvlText w:val="•"/>
      <w:lvlJc w:val="left"/>
      <w:pPr>
        <w:tabs>
          <w:tab w:val="num" w:pos="1440"/>
        </w:tabs>
        <w:ind w:left="1440" w:hanging="360"/>
      </w:pPr>
      <w:rPr>
        <w:rFonts w:ascii="Arial" w:hAnsi="Arial" w:cs="Arial" w:hint="default"/>
      </w:rPr>
    </w:lvl>
    <w:lvl w:ilvl="2" w:tplc="3282FC20">
      <w:start w:val="1"/>
      <w:numFmt w:val="bullet"/>
      <w:lvlText w:val="•"/>
      <w:lvlJc w:val="left"/>
      <w:pPr>
        <w:tabs>
          <w:tab w:val="num" w:pos="2160"/>
        </w:tabs>
        <w:ind w:left="2160" w:hanging="360"/>
      </w:pPr>
      <w:rPr>
        <w:rFonts w:ascii="Arial" w:hAnsi="Arial" w:cs="Arial" w:hint="default"/>
      </w:rPr>
    </w:lvl>
    <w:lvl w:ilvl="3" w:tplc="FF7E208A" w:tentative="1">
      <w:start w:val="1"/>
      <w:numFmt w:val="bullet"/>
      <w:lvlText w:val="•"/>
      <w:lvlJc w:val="left"/>
      <w:pPr>
        <w:tabs>
          <w:tab w:val="num" w:pos="2880"/>
        </w:tabs>
        <w:ind w:left="2880" w:hanging="360"/>
      </w:pPr>
      <w:rPr>
        <w:rFonts w:ascii="Arial" w:hAnsi="Arial" w:cs="Arial" w:hint="default"/>
      </w:rPr>
    </w:lvl>
    <w:lvl w:ilvl="4" w:tplc="D188D102" w:tentative="1">
      <w:start w:val="1"/>
      <w:numFmt w:val="bullet"/>
      <w:lvlText w:val="•"/>
      <w:lvlJc w:val="left"/>
      <w:pPr>
        <w:tabs>
          <w:tab w:val="num" w:pos="3600"/>
        </w:tabs>
        <w:ind w:left="3600" w:hanging="360"/>
      </w:pPr>
      <w:rPr>
        <w:rFonts w:ascii="Arial" w:hAnsi="Arial" w:cs="Arial" w:hint="default"/>
      </w:rPr>
    </w:lvl>
    <w:lvl w:ilvl="5" w:tplc="B46E4F7A" w:tentative="1">
      <w:start w:val="1"/>
      <w:numFmt w:val="bullet"/>
      <w:lvlText w:val="•"/>
      <w:lvlJc w:val="left"/>
      <w:pPr>
        <w:tabs>
          <w:tab w:val="num" w:pos="4320"/>
        </w:tabs>
        <w:ind w:left="4320" w:hanging="360"/>
      </w:pPr>
      <w:rPr>
        <w:rFonts w:ascii="Arial" w:hAnsi="Arial" w:cs="Arial" w:hint="default"/>
      </w:rPr>
    </w:lvl>
    <w:lvl w:ilvl="6" w:tplc="864C8066" w:tentative="1">
      <w:start w:val="1"/>
      <w:numFmt w:val="bullet"/>
      <w:lvlText w:val="•"/>
      <w:lvlJc w:val="left"/>
      <w:pPr>
        <w:tabs>
          <w:tab w:val="num" w:pos="5040"/>
        </w:tabs>
        <w:ind w:left="5040" w:hanging="360"/>
      </w:pPr>
      <w:rPr>
        <w:rFonts w:ascii="Arial" w:hAnsi="Arial" w:cs="Arial" w:hint="default"/>
      </w:rPr>
    </w:lvl>
    <w:lvl w:ilvl="7" w:tplc="2F10EF34" w:tentative="1">
      <w:start w:val="1"/>
      <w:numFmt w:val="bullet"/>
      <w:lvlText w:val="•"/>
      <w:lvlJc w:val="left"/>
      <w:pPr>
        <w:tabs>
          <w:tab w:val="num" w:pos="5760"/>
        </w:tabs>
        <w:ind w:left="5760" w:hanging="360"/>
      </w:pPr>
      <w:rPr>
        <w:rFonts w:ascii="Arial" w:hAnsi="Arial" w:cs="Arial" w:hint="default"/>
      </w:rPr>
    </w:lvl>
    <w:lvl w:ilvl="8" w:tplc="4FC22108" w:tentative="1">
      <w:start w:val="1"/>
      <w:numFmt w:val="bullet"/>
      <w:lvlText w:val="•"/>
      <w:lvlJc w:val="left"/>
      <w:pPr>
        <w:tabs>
          <w:tab w:val="num" w:pos="6480"/>
        </w:tabs>
        <w:ind w:left="6480" w:hanging="360"/>
      </w:pPr>
      <w:rPr>
        <w:rFonts w:ascii="Arial" w:hAnsi="Arial" w:cs="Arial" w:hint="default"/>
      </w:rPr>
    </w:lvl>
  </w:abstractNum>
  <w:abstractNum w:abstractNumId="2">
    <w:nsid w:val="64A44514"/>
    <w:multiLevelType w:val="hybridMultilevel"/>
    <w:tmpl w:val="11984E5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
    <w:nsid w:val="672E1988"/>
    <w:multiLevelType w:val="hybridMultilevel"/>
    <w:tmpl w:val="61101248"/>
    <w:lvl w:ilvl="0" w:tplc="D93C7A40">
      <w:start w:val="1"/>
      <w:numFmt w:val="bullet"/>
      <w:lvlText w:val="•"/>
      <w:lvlJc w:val="left"/>
      <w:pPr>
        <w:tabs>
          <w:tab w:val="num" w:pos="720"/>
        </w:tabs>
        <w:ind w:left="720" w:hanging="360"/>
      </w:pPr>
      <w:rPr>
        <w:rFonts w:ascii="Arial" w:hAnsi="Arial" w:hint="default"/>
      </w:rPr>
    </w:lvl>
    <w:lvl w:ilvl="1" w:tplc="5710983A" w:tentative="1">
      <w:start w:val="1"/>
      <w:numFmt w:val="bullet"/>
      <w:lvlText w:val="•"/>
      <w:lvlJc w:val="left"/>
      <w:pPr>
        <w:tabs>
          <w:tab w:val="num" w:pos="1440"/>
        </w:tabs>
        <w:ind w:left="1440" w:hanging="360"/>
      </w:pPr>
      <w:rPr>
        <w:rFonts w:ascii="Arial" w:hAnsi="Arial" w:hint="default"/>
      </w:rPr>
    </w:lvl>
    <w:lvl w:ilvl="2" w:tplc="60762682" w:tentative="1">
      <w:start w:val="1"/>
      <w:numFmt w:val="bullet"/>
      <w:lvlText w:val="•"/>
      <w:lvlJc w:val="left"/>
      <w:pPr>
        <w:tabs>
          <w:tab w:val="num" w:pos="2160"/>
        </w:tabs>
        <w:ind w:left="2160" w:hanging="360"/>
      </w:pPr>
      <w:rPr>
        <w:rFonts w:ascii="Arial" w:hAnsi="Arial" w:hint="default"/>
      </w:rPr>
    </w:lvl>
    <w:lvl w:ilvl="3" w:tplc="A7A8836E" w:tentative="1">
      <w:start w:val="1"/>
      <w:numFmt w:val="bullet"/>
      <w:lvlText w:val="•"/>
      <w:lvlJc w:val="left"/>
      <w:pPr>
        <w:tabs>
          <w:tab w:val="num" w:pos="2880"/>
        </w:tabs>
        <w:ind w:left="2880" w:hanging="360"/>
      </w:pPr>
      <w:rPr>
        <w:rFonts w:ascii="Arial" w:hAnsi="Arial" w:hint="default"/>
      </w:rPr>
    </w:lvl>
    <w:lvl w:ilvl="4" w:tplc="B36A5946" w:tentative="1">
      <w:start w:val="1"/>
      <w:numFmt w:val="bullet"/>
      <w:lvlText w:val="•"/>
      <w:lvlJc w:val="left"/>
      <w:pPr>
        <w:tabs>
          <w:tab w:val="num" w:pos="3600"/>
        </w:tabs>
        <w:ind w:left="3600" w:hanging="360"/>
      </w:pPr>
      <w:rPr>
        <w:rFonts w:ascii="Arial" w:hAnsi="Arial" w:hint="default"/>
      </w:rPr>
    </w:lvl>
    <w:lvl w:ilvl="5" w:tplc="5C42AEF6" w:tentative="1">
      <w:start w:val="1"/>
      <w:numFmt w:val="bullet"/>
      <w:lvlText w:val="•"/>
      <w:lvlJc w:val="left"/>
      <w:pPr>
        <w:tabs>
          <w:tab w:val="num" w:pos="4320"/>
        </w:tabs>
        <w:ind w:left="4320" w:hanging="360"/>
      </w:pPr>
      <w:rPr>
        <w:rFonts w:ascii="Arial" w:hAnsi="Arial" w:hint="default"/>
      </w:rPr>
    </w:lvl>
    <w:lvl w:ilvl="6" w:tplc="7F44F4C0" w:tentative="1">
      <w:start w:val="1"/>
      <w:numFmt w:val="bullet"/>
      <w:lvlText w:val="•"/>
      <w:lvlJc w:val="left"/>
      <w:pPr>
        <w:tabs>
          <w:tab w:val="num" w:pos="5040"/>
        </w:tabs>
        <w:ind w:left="5040" w:hanging="360"/>
      </w:pPr>
      <w:rPr>
        <w:rFonts w:ascii="Arial" w:hAnsi="Arial" w:hint="default"/>
      </w:rPr>
    </w:lvl>
    <w:lvl w:ilvl="7" w:tplc="00004388" w:tentative="1">
      <w:start w:val="1"/>
      <w:numFmt w:val="bullet"/>
      <w:lvlText w:val="•"/>
      <w:lvlJc w:val="left"/>
      <w:pPr>
        <w:tabs>
          <w:tab w:val="num" w:pos="5760"/>
        </w:tabs>
        <w:ind w:left="5760" w:hanging="360"/>
      </w:pPr>
      <w:rPr>
        <w:rFonts w:ascii="Arial" w:hAnsi="Arial" w:hint="default"/>
      </w:rPr>
    </w:lvl>
    <w:lvl w:ilvl="8" w:tplc="13D89196" w:tentative="1">
      <w:start w:val="1"/>
      <w:numFmt w:val="bullet"/>
      <w:lvlText w:val="•"/>
      <w:lvlJc w:val="left"/>
      <w:pPr>
        <w:tabs>
          <w:tab w:val="num" w:pos="6480"/>
        </w:tabs>
        <w:ind w:left="6480" w:hanging="360"/>
      </w:pPr>
      <w:rPr>
        <w:rFonts w:ascii="Arial" w:hAnsi="Arial" w:hint="default"/>
      </w:rPr>
    </w:lvl>
  </w:abstractNum>
  <w:abstractNum w:abstractNumId="4">
    <w:nsid w:val="6F3E7BC3"/>
    <w:multiLevelType w:val="hybridMultilevel"/>
    <w:tmpl w:val="93CEDF92"/>
    <w:lvl w:ilvl="0" w:tplc="67140152">
      <w:start w:val="1"/>
      <w:numFmt w:val="bullet"/>
      <w:lvlText w:val="•"/>
      <w:lvlJc w:val="left"/>
      <w:pPr>
        <w:tabs>
          <w:tab w:val="num" w:pos="720"/>
        </w:tabs>
        <w:ind w:left="720" w:hanging="360"/>
      </w:pPr>
      <w:rPr>
        <w:rFonts w:ascii="Arial" w:hAnsi="Arial" w:cs="Arial" w:hint="default"/>
      </w:rPr>
    </w:lvl>
    <w:lvl w:ilvl="1" w:tplc="FFC86958" w:tentative="1">
      <w:start w:val="1"/>
      <w:numFmt w:val="bullet"/>
      <w:lvlText w:val="•"/>
      <w:lvlJc w:val="left"/>
      <w:pPr>
        <w:tabs>
          <w:tab w:val="num" w:pos="1440"/>
        </w:tabs>
        <w:ind w:left="1440" w:hanging="360"/>
      </w:pPr>
      <w:rPr>
        <w:rFonts w:ascii="Arial" w:hAnsi="Arial" w:cs="Arial" w:hint="default"/>
      </w:rPr>
    </w:lvl>
    <w:lvl w:ilvl="2" w:tplc="ED78BA76" w:tentative="1">
      <w:start w:val="1"/>
      <w:numFmt w:val="bullet"/>
      <w:lvlText w:val="•"/>
      <w:lvlJc w:val="left"/>
      <w:pPr>
        <w:tabs>
          <w:tab w:val="num" w:pos="2160"/>
        </w:tabs>
        <w:ind w:left="2160" w:hanging="360"/>
      </w:pPr>
      <w:rPr>
        <w:rFonts w:ascii="Arial" w:hAnsi="Arial" w:cs="Arial" w:hint="default"/>
      </w:rPr>
    </w:lvl>
    <w:lvl w:ilvl="3" w:tplc="D21286FC" w:tentative="1">
      <w:start w:val="1"/>
      <w:numFmt w:val="bullet"/>
      <w:lvlText w:val="•"/>
      <w:lvlJc w:val="left"/>
      <w:pPr>
        <w:tabs>
          <w:tab w:val="num" w:pos="2880"/>
        </w:tabs>
        <w:ind w:left="2880" w:hanging="360"/>
      </w:pPr>
      <w:rPr>
        <w:rFonts w:ascii="Arial" w:hAnsi="Arial" w:cs="Arial" w:hint="default"/>
      </w:rPr>
    </w:lvl>
    <w:lvl w:ilvl="4" w:tplc="D84A1566" w:tentative="1">
      <w:start w:val="1"/>
      <w:numFmt w:val="bullet"/>
      <w:lvlText w:val="•"/>
      <w:lvlJc w:val="left"/>
      <w:pPr>
        <w:tabs>
          <w:tab w:val="num" w:pos="3600"/>
        </w:tabs>
        <w:ind w:left="3600" w:hanging="360"/>
      </w:pPr>
      <w:rPr>
        <w:rFonts w:ascii="Arial" w:hAnsi="Arial" w:cs="Arial" w:hint="default"/>
      </w:rPr>
    </w:lvl>
    <w:lvl w:ilvl="5" w:tplc="33E07E60" w:tentative="1">
      <w:start w:val="1"/>
      <w:numFmt w:val="bullet"/>
      <w:lvlText w:val="•"/>
      <w:lvlJc w:val="left"/>
      <w:pPr>
        <w:tabs>
          <w:tab w:val="num" w:pos="4320"/>
        </w:tabs>
        <w:ind w:left="4320" w:hanging="360"/>
      </w:pPr>
      <w:rPr>
        <w:rFonts w:ascii="Arial" w:hAnsi="Arial" w:cs="Arial" w:hint="default"/>
      </w:rPr>
    </w:lvl>
    <w:lvl w:ilvl="6" w:tplc="C8502B06" w:tentative="1">
      <w:start w:val="1"/>
      <w:numFmt w:val="bullet"/>
      <w:lvlText w:val="•"/>
      <w:lvlJc w:val="left"/>
      <w:pPr>
        <w:tabs>
          <w:tab w:val="num" w:pos="5040"/>
        </w:tabs>
        <w:ind w:left="5040" w:hanging="360"/>
      </w:pPr>
      <w:rPr>
        <w:rFonts w:ascii="Arial" w:hAnsi="Arial" w:cs="Arial" w:hint="default"/>
      </w:rPr>
    </w:lvl>
    <w:lvl w:ilvl="7" w:tplc="CC4407A6" w:tentative="1">
      <w:start w:val="1"/>
      <w:numFmt w:val="bullet"/>
      <w:lvlText w:val="•"/>
      <w:lvlJc w:val="left"/>
      <w:pPr>
        <w:tabs>
          <w:tab w:val="num" w:pos="5760"/>
        </w:tabs>
        <w:ind w:left="5760" w:hanging="360"/>
      </w:pPr>
      <w:rPr>
        <w:rFonts w:ascii="Arial" w:hAnsi="Arial" w:cs="Arial" w:hint="default"/>
      </w:rPr>
    </w:lvl>
    <w:lvl w:ilvl="8" w:tplc="A60EEE6A" w:tentative="1">
      <w:start w:val="1"/>
      <w:numFmt w:val="bullet"/>
      <w:lvlText w:val="•"/>
      <w:lvlJc w:val="left"/>
      <w:pPr>
        <w:tabs>
          <w:tab w:val="num" w:pos="6480"/>
        </w:tabs>
        <w:ind w:left="6480" w:hanging="360"/>
      </w:pPr>
      <w:rPr>
        <w:rFonts w:ascii="Arial" w:hAnsi="Arial" w:cs="Arial" w:hint="default"/>
      </w:rPr>
    </w:lvl>
  </w:abstractNum>
  <w:num w:numId="1">
    <w:abstractNumId w:val="1"/>
  </w:num>
  <w:num w:numId="2">
    <w:abstractNumId w:val="2"/>
  </w:num>
  <w:num w:numId="3">
    <w:abstractNumId w:val="4"/>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ch45">
    <w15:presenceInfo w15:providerId="None" w15:userId="nch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trackRevisions/>
  <w:defaultTabStop w:val="720"/>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8E2"/>
    <w:rsid w:val="0000019E"/>
    <w:rsid w:val="00002CC3"/>
    <w:rsid w:val="00010F35"/>
    <w:rsid w:val="00016DF2"/>
    <w:rsid w:val="00017FB6"/>
    <w:rsid w:val="00023DE5"/>
    <w:rsid w:val="00054979"/>
    <w:rsid w:val="00061D50"/>
    <w:rsid w:val="000649E7"/>
    <w:rsid w:val="0006761C"/>
    <w:rsid w:val="00076383"/>
    <w:rsid w:val="00083E36"/>
    <w:rsid w:val="000876F6"/>
    <w:rsid w:val="00091A13"/>
    <w:rsid w:val="00091C4A"/>
    <w:rsid w:val="00092C97"/>
    <w:rsid w:val="000943CE"/>
    <w:rsid w:val="000A1A78"/>
    <w:rsid w:val="000A292E"/>
    <w:rsid w:val="000A4747"/>
    <w:rsid w:val="000A52AA"/>
    <w:rsid w:val="000B13BD"/>
    <w:rsid w:val="000B2E5A"/>
    <w:rsid w:val="000C197D"/>
    <w:rsid w:val="000C512D"/>
    <w:rsid w:val="000C52B8"/>
    <w:rsid w:val="000D2B84"/>
    <w:rsid w:val="000D3B80"/>
    <w:rsid w:val="000F1F0B"/>
    <w:rsid w:val="0010252B"/>
    <w:rsid w:val="001163F8"/>
    <w:rsid w:val="00117091"/>
    <w:rsid w:val="001237C8"/>
    <w:rsid w:val="0012711D"/>
    <w:rsid w:val="00133B30"/>
    <w:rsid w:val="00133D11"/>
    <w:rsid w:val="00146EE5"/>
    <w:rsid w:val="001477F6"/>
    <w:rsid w:val="001547D3"/>
    <w:rsid w:val="001569F1"/>
    <w:rsid w:val="00160A99"/>
    <w:rsid w:val="00170391"/>
    <w:rsid w:val="00170C94"/>
    <w:rsid w:val="001760AB"/>
    <w:rsid w:val="00182A90"/>
    <w:rsid w:val="00190030"/>
    <w:rsid w:val="001A4D3D"/>
    <w:rsid w:val="001A4E63"/>
    <w:rsid w:val="001A5F71"/>
    <w:rsid w:val="001A645E"/>
    <w:rsid w:val="001B1214"/>
    <w:rsid w:val="001B43FC"/>
    <w:rsid w:val="001C37D4"/>
    <w:rsid w:val="001E4AEB"/>
    <w:rsid w:val="001E7C10"/>
    <w:rsid w:val="001F6380"/>
    <w:rsid w:val="00206989"/>
    <w:rsid w:val="00211969"/>
    <w:rsid w:val="002161B7"/>
    <w:rsid w:val="002270BF"/>
    <w:rsid w:val="002306C7"/>
    <w:rsid w:val="00236D0D"/>
    <w:rsid w:val="002406C9"/>
    <w:rsid w:val="00242048"/>
    <w:rsid w:val="00242788"/>
    <w:rsid w:val="00247904"/>
    <w:rsid w:val="00252499"/>
    <w:rsid w:val="0025430C"/>
    <w:rsid w:val="002544C0"/>
    <w:rsid w:val="00261EE4"/>
    <w:rsid w:val="002753EF"/>
    <w:rsid w:val="00284AF2"/>
    <w:rsid w:val="00290E09"/>
    <w:rsid w:val="002A09B4"/>
    <w:rsid w:val="002B3A93"/>
    <w:rsid w:val="002B4B77"/>
    <w:rsid w:val="002B6753"/>
    <w:rsid w:val="002B79E8"/>
    <w:rsid w:val="002C1E2F"/>
    <w:rsid w:val="002C3CE4"/>
    <w:rsid w:val="002C7D29"/>
    <w:rsid w:val="002E0210"/>
    <w:rsid w:val="002E7CC4"/>
    <w:rsid w:val="002F092D"/>
    <w:rsid w:val="002F139C"/>
    <w:rsid w:val="002F2521"/>
    <w:rsid w:val="003048B5"/>
    <w:rsid w:val="00305868"/>
    <w:rsid w:val="00306AC2"/>
    <w:rsid w:val="00314840"/>
    <w:rsid w:val="00317AA4"/>
    <w:rsid w:val="00323C50"/>
    <w:rsid w:val="00323F67"/>
    <w:rsid w:val="00326BD1"/>
    <w:rsid w:val="00330BCD"/>
    <w:rsid w:val="00342C7E"/>
    <w:rsid w:val="003450F6"/>
    <w:rsid w:val="00345DF6"/>
    <w:rsid w:val="00354201"/>
    <w:rsid w:val="00354CAC"/>
    <w:rsid w:val="00371DC5"/>
    <w:rsid w:val="00373696"/>
    <w:rsid w:val="003802A6"/>
    <w:rsid w:val="00381005"/>
    <w:rsid w:val="00393119"/>
    <w:rsid w:val="003932EB"/>
    <w:rsid w:val="003937CB"/>
    <w:rsid w:val="003A757E"/>
    <w:rsid w:val="003C670A"/>
    <w:rsid w:val="003D0D93"/>
    <w:rsid w:val="003D5C80"/>
    <w:rsid w:val="003F1DCA"/>
    <w:rsid w:val="003F4A7B"/>
    <w:rsid w:val="004001A4"/>
    <w:rsid w:val="004036EC"/>
    <w:rsid w:val="00405341"/>
    <w:rsid w:val="00406827"/>
    <w:rsid w:val="004129D3"/>
    <w:rsid w:val="004265B0"/>
    <w:rsid w:val="004345F9"/>
    <w:rsid w:val="00452776"/>
    <w:rsid w:val="00452A9B"/>
    <w:rsid w:val="00461BB4"/>
    <w:rsid w:val="004638DB"/>
    <w:rsid w:val="00473B0F"/>
    <w:rsid w:val="00473BF2"/>
    <w:rsid w:val="00474D9C"/>
    <w:rsid w:val="00476AAF"/>
    <w:rsid w:val="00480597"/>
    <w:rsid w:val="00482691"/>
    <w:rsid w:val="004868B4"/>
    <w:rsid w:val="004935EC"/>
    <w:rsid w:val="004A1221"/>
    <w:rsid w:val="004A5B96"/>
    <w:rsid w:val="004B0DE5"/>
    <w:rsid w:val="004B126A"/>
    <w:rsid w:val="004B5497"/>
    <w:rsid w:val="004C3D8F"/>
    <w:rsid w:val="004C55A0"/>
    <w:rsid w:val="004C58EC"/>
    <w:rsid w:val="004D454E"/>
    <w:rsid w:val="004D7FDE"/>
    <w:rsid w:val="004E0661"/>
    <w:rsid w:val="004F10D7"/>
    <w:rsid w:val="0050683F"/>
    <w:rsid w:val="00511B15"/>
    <w:rsid w:val="0052062F"/>
    <w:rsid w:val="00521E41"/>
    <w:rsid w:val="0052262C"/>
    <w:rsid w:val="0052529E"/>
    <w:rsid w:val="00533837"/>
    <w:rsid w:val="00535603"/>
    <w:rsid w:val="005359B8"/>
    <w:rsid w:val="005413D9"/>
    <w:rsid w:val="0054330A"/>
    <w:rsid w:val="00545EB0"/>
    <w:rsid w:val="005504FB"/>
    <w:rsid w:val="005702DC"/>
    <w:rsid w:val="00573969"/>
    <w:rsid w:val="00575293"/>
    <w:rsid w:val="00575556"/>
    <w:rsid w:val="00586203"/>
    <w:rsid w:val="005A0850"/>
    <w:rsid w:val="005A6300"/>
    <w:rsid w:val="005B0BEA"/>
    <w:rsid w:val="005B2DEC"/>
    <w:rsid w:val="005B4E9A"/>
    <w:rsid w:val="005B7BF5"/>
    <w:rsid w:val="005C09CF"/>
    <w:rsid w:val="005C36AE"/>
    <w:rsid w:val="005C4F74"/>
    <w:rsid w:val="005C521D"/>
    <w:rsid w:val="005C6D9E"/>
    <w:rsid w:val="005D62CE"/>
    <w:rsid w:val="005E4A82"/>
    <w:rsid w:val="005E4F9C"/>
    <w:rsid w:val="005F0AA1"/>
    <w:rsid w:val="005F1D12"/>
    <w:rsid w:val="005F653A"/>
    <w:rsid w:val="00601B60"/>
    <w:rsid w:val="006022D8"/>
    <w:rsid w:val="006223F0"/>
    <w:rsid w:val="00625C61"/>
    <w:rsid w:val="00626CDE"/>
    <w:rsid w:val="006312AA"/>
    <w:rsid w:val="00640616"/>
    <w:rsid w:val="00640A12"/>
    <w:rsid w:val="00641A84"/>
    <w:rsid w:val="00653292"/>
    <w:rsid w:val="00655C05"/>
    <w:rsid w:val="00660A69"/>
    <w:rsid w:val="00663F57"/>
    <w:rsid w:val="00665609"/>
    <w:rsid w:val="00667193"/>
    <w:rsid w:val="00667208"/>
    <w:rsid w:val="00670C8A"/>
    <w:rsid w:val="00672A6B"/>
    <w:rsid w:val="00681741"/>
    <w:rsid w:val="006849D5"/>
    <w:rsid w:val="00696F2D"/>
    <w:rsid w:val="006A042B"/>
    <w:rsid w:val="006A1BA9"/>
    <w:rsid w:val="006A537E"/>
    <w:rsid w:val="006B6FCD"/>
    <w:rsid w:val="006C5F4B"/>
    <w:rsid w:val="006D5688"/>
    <w:rsid w:val="006D67BF"/>
    <w:rsid w:val="006D721D"/>
    <w:rsid w:val="006E0FBF"/>
    <w:rsid w:val="006E3985"/>
    <w:rsid w:val="006F5312"/>
    <w:rsid w:val="006F5E1B"/>
    <w:rsid w:val="00701AC7"/>
    <w:rsid w:val="00702F94"/>
    <w:rsid w:val="0070610E"/>
    <w:rsid w:val="007061BB"/>
    <w:rsid w:val="00723BCC"/>
    <w:rsid w:val="00726420"/>
    <w:rsid w:val="00741419"/>
    <w:rsid w:val="00742228"/>
    <w:rsid w:val="007447F3"/>
    <w:rsid w:val="00751A48"/>
    <w:rsid w:val="0075411B"/>
    <w:rsid w:val="007546C5"/>
    <w:rsid w:val="00761EBC"/>
    <w:rsid w:val="00762819"/>
    <w:rsid w:val="00771B29"/>
    <w:rsid w:val="00781ABF"/>
    <w:rsid w:val="00786C4E"/>
    <w:rsid w:val="0078758D"/>
    <w:rsid w:val="007901E0"/>
    <w:rsid w:val="00794FB5"/>
    <w:rsid w:val="007A17AD"/>
    <w:rsid w:val="007A3733"/>
    <w:rsid w:val="007B3630"/>
    <w:rsid w:val="007D1D3A"/>
    <w:rsid w:val="007D4A94"/>
    <w:rsid w:val="007D68E7"/>
    <w:rsid w:val="007D6ECC"/>
    <w:rsid w:val="007E1A5E"/>
    <w:rsid w:val="007E2020"/>
    <w:rsid w:val="007E216F"/>
    <w:rsid w:val="007E2559"/>
    <w:rsid w:val="007E61F9"/>
    <w:rsid w:val="007F12D6"/>
    <w:rsid w:val="0080174B"/>
    <w:rsid w:val="00802435"/>
    <w:rsid w:val="008108E2"/>
    <w:rsid w:val="008116EE"/>
    <w:rsid w:val="00813A47"/>
    <w:rsid w:val="008377ED"/>
    <w:rsid w:val="0084164D"/>
    <w:rsid w:val="00841F89"/>
    <w:rsid w:val="0085409D"/>
    <w:rsid w:val="00854B3E"/>
    <w:rsid w:val="008554D8"/>
    <w:rsid w:val="0085775A"/>
    <w:rsid w:val="00857B3B"/>
    <w:rsid w:val="00865F67"/>
    <w:rsid w:val="00870C2E"/>
    <w:rsid w:val="008923BA"/>
    <w:rsid w:val="008A1999"/>
    <w:rsid w:val="008A1AC3"/>
    <w:rsid w:val="008A23FF"/>
    <w:rsid w:val="008A24E0"/>
    <w:rsid w:val="008A37D7"/>
    <w:rsid w:val="008B1DAB"/>
    <w:rsid w:val="008B448E"/>
    <w:rsid w:val="008B4E9C"/>
    <w:rsid w:val="008B6C0F"/>
    <w:rsid w:val="008C0C76"/>
    <w:rsid w:val="008C483E"/>
    <w:rsid w:val="008C68C9"/>
    <w:rsid w:val="008D5384"/>
    <w:rsid w:val="008E62AD"/>
    <w:rsid w:val="00902DDB"/>
    <w:rsid w:val="00911EC6"/>
    <w:rsid w:val="0091457D"/>
    <w:rsid w:val="00915538"/>
    <w:rsid w:val="00924C73"/>
    <w:rsid w:val="009300AF"/>
    <w:rsid w:val="00930314"/>
    <w:rsid w:val="009334DB"/>
    <w:rsid w:val="00935098"/>
    <w:rsid w:val="009357C1"/>
    <w:rsid w:val="00943970"/>
    <w:rsid w:val="0095603D"/>
    <w:rsid w:val="00966691"/>
    <w:rsid w:val="00966A65"/>
    <w:rsid w:val="0098084B"/>
    <w:rsid w:val="0099437E"/>
    <w:rsid w:val="009A34E6"/>
    <w:rsid w:val="009A6BA1"/>
    <w:rsid w:val="009B04F5"/>
    <w:rsid w:val="009B6D34"/>
    <w:rsid w:val="009C3B67"/>
    <w:rsid w:val="009D0A25"/>
    <w:rsid w:val="009D0D64"/>
    <w:rsid w:val="009D2C08"/>
    <w:rsid w:val="009D3029"/>
    <w:rsid w:val="009E19F9"/>
    <w:rsid w:val="009F0B66"/>
    <w:rsid w:val="009F4D7B"/>
    <w:rsid w:val="009F680C"/>
    <w:rsid w:val="00A01820"/>
    <w:rsid w:val="00A169E2"/>
    <w:rsid w:val="00A20F99"/>
    <w:rsid w:val="00A26E3A"/>
    <w:rsid w:val="00A3066C"/>
    <w:rsid w:val="00A32449"/>
    <w:rsid w:val="00A4009A"/>
    <w:rsid w:val="00A424F4"/>
    <w:rsid w:val="00A5487E"/>
    <w:rsid w:val="00A54CAB"/>
    <w:rsid w:val="00A70C24"/>
    <w:rsid w:val="00A7607A"/>
    <w:rsid w:val="00A84327"/>
    <w:rsid w:val="00A90639"/>
    <w:rsid w:val="00AA0181"/>
    <w:rsid w:val="00AA3CD0"/>
    <w:rsid w:val="00AA4EEC"/>
    <w:rsid w:val="00AA718E"/>
    <w:rsid w:val="00AC2573"/>
    <w:rsid w:val="00AC33C8"/>
    <w:rsid w:val="00AD5E9F"/>
    <w:rsid w:val="00AD7415"/>
    <w:rsid w:val="00AE6A25"/>
    <w:rsid w:val="00AE6DBF"/>
    <w:rsid w:val="00B155C6"/>
    <w:rsid w:val="00B20357"/>
    <w:rsid w:val="00B21BA4"/>
    <w:rsid w:val="00B2290C"/>
    <w:rsid w:val="00B2411C"/>
    <w:rsid w:val="00B26CD7"/>
    <w:rsid w:val="00B355DC"/>
    <w:rsid w:val="00B416F6"/>
    <w:rsid w:val="00B565A9"/>
    <w:rsid w:val="00B75683"/>
    <w:rsid w:val="00B773BB"/>
    <w:rsid w:val="00B817BC"/>
    <w:rsid w:val="00B90272"/>
    <w:rsid w:val="00B92AC3"/>
    <w:rsid w:val="00B957BC"/>
    <w:rsid w:val="00B95C63"/>
    <w:rsid w:val="00BA49B0"/>
    <w:rsid w:val="00BB319B"/>
    <w:rsid w:val="00BC091B"/>
    <w:rsid w:val="00BC3BA7"/>
    <w:rsid w:val="00BC6E7F"/>
    <w:rsid w:val="00BD1C43"/>
    <w:rsid w:val="00BE2383"/>
    <w:rsid w:val="00BE5118"/>
    <w:rsid w:val="00BF3E5C"/>
    <w:rsid w:val="00BF63C2"/>
    <w:rsid w:val="00C01315"/>
    <w:rsid w:val="00C058EA"/>
    <w:rsid w:val="00C05900"/>
    <w:rsid w:val="00C073A4"/>
    <w:rsid w:val="00C07858"/>
    <w:rsid w:val="00C1417C"/>
    <w:rsid w:val="00C20595"/>
    <w:rsid w:val="00C2101E"/>
    <w:rsid w:val="00C24652"/>
    <w:rsid w:val="00C31869"/>
    <w:rsid w:val="00C31924"/>
    <w:rsid w:val="00C37E85"/>
    <w:rsid w:val="00C413F1"/>
    <w:rsid w:val="00C46587"/>
    <w:rsid w:val="00C50564"/>
    <w:rsid w:val="00C508F6"/>
    <w:rsid w:val="00C745D4"/>
    <w:rsid w:val="00C854E4"/>
    <w:rsid w:val="00C87BC1"/>
    <w:rsid w:val="00C92225"/>
    <w:rsid w:val="00C932F5"/>
    <w:rsid w:val="00C942EE"/>
    <w:rsid w:val="00C94F1D"/>
    <w:rsid w:val="00CA5669"/>
    <w:rsid w:val="00CB0EA6"/>
    <w:rsid w:val="00CB2100"/>
    <w:rsid w:val="00CB5841"/>
    <w:rsid w:val="00CC11C7"/>
    <w:rsid w:val="00CC4036"/>
    <w:rsid w:val="00CC6A51"/>
    <w:rsid w:val="00CC7B48"/>
    <w:rsid w:val="00CD0F07"/>
    <w:rsid w:val="00CD114A"/>
    <w:rsid w:val="00CF25ED"/>
    <w:rsid w:val="00CF40BB"/>
    <w:rsid w:val="00CF5871"/>
    <w:rsid w:val="00D003BE"/>
    <w:rsid w:val="00D03A1E"/>
    <w:rsid w:val="00D07892"/>
    <w:rsid w:val="00D104BF"/>
    <w:rsid w:val="00D16A23"/>
    <w:rsid w:val="00D218FE"/>
    <w:rsid w:val="00D30B40"/>
    <w:rsid w:val="00D356C8"/>
    <w:rsid w:val="00D41DA9"/>
    <w:rsid w:val="00D42A29"/>
    <w:rsid w:val="00D453E5"/>
    <w:rsid w:val="00D55499"/>
    <w:rsid w:val="00D567AC"/>
    <w:rsid w:val="00D85683"/>
    <w:rsid w:val="00D92E99"/>
    <w:rsid w:val="00D93F74"/>
    <w:rsid w:val="00D940E5"/>
    <w:rsid w:val="00D944A2"/>
    <w:rsid w:val="00D950A6"/>
    <w:rsid w:val="00D9690A"/>
    <w:rsid w:val="00DA2D5A"/>
    <w:rsid w:val="00DA6901"/>
    <w:rsid w:val="00DC3613"/>
    <w:rsid w:val="00DD02C6"/>
    <w:rsid w:val="00DD0A44"/>
    <w:rsid w:val="00DD41D3"/>
    <w:rsid w:val="00E01334"/>
    <w:rsid w:val="00E133AB"/>
    <w:rsid w:val="00E13BD1"/>
    <w:rsid w:val="00E144BB"/>
    <w:rsid w:val="00E1789D"/>
    <w:rsid w:val="00E325D0"/>
    <w:rsid w:val="00E338AE"/>
    <w:rsid w:val="00E54709"/>
    <w:rsid w:val="00E579F0"/>
    <w:rsid w:val="00E71B34"/>
    <w:rsid w:val="00E7565A"/>
    <w:rsid w:val="00E82444"/>
    <w:rsid w:val="00E96254"/>
    <w:rsid w:val="00EA2C8C"/>
    <w:rsid w:val="00EA312F"/>
    <w:rsid w:val="00EA3CBB"/>
    <w:rsid w:val="00EA7EDE"/>
    <w:rsid w:val="00EB1737"/>
    <w:rsid w:val="00EB5BD7"/>
    <w:rsid w:val="00EC1B6A"/>
    <w:rsid w:val="00ED2572"/>
    <w:rsid w:val="00ED3FD9"/>
    <w:rsid w:val="00ED747A"/>
    <w:rsid w:val="00EE14FB"/>
    <w:rsid w:val="00EE1933"/>
    <w:rsid w:val="00EE21A6"/>
    <w:rsid w:val="00EE5F97"/>
    <w:rsid w:val="00EF0807"/>
    <w:rsid w:val="00EF255F"/>
    <w:rsid w:val="00F05ED1"/>
    <w:rsid w:val="00F259EA"/>
    <w:rsid w:val="00F26194"/>
    <w:rsid w:val="00F305D5"/>
    <w:rsid w:val="00F347A6"/>
    <w:rsid w:val="00F34D19"/>
    <w:rsid w:val="00F35B82"/>
    <w:rsid w:val="00F45968"/>
    <w:rsid w:val="00F47BD6"/>
    <w:rsid w:val="00F528E4"/>
    <w:rsid w:val="00F66549"/>
    <w:rsid w:val="00F704B2"/>
    <w:rsid w:val="00F7556F"/>
    <w:rsid w:val="00F820B2"/>
    <w:rsid w:val="00F87CB6"/>
    <w:rsid w:val="00FA030A"/>
    <w:rsid w:val="00FA3116"/>
    <w:rsid w:val="00FA3E15"/>
    <w:rsid w:val="00FA4BE9"/>
    <w:rsid w:val="00FB124A"/>
    <w:rsid w:val="00FB4F1E"/>
    <w:rsid w:val="00FB4FEB"/>
    <w:rsid w:val="00FB5AFD"/>
    <w:rsid w:val="00FB5F3A"/>
    <w:rsid w:val="00FC39F2"/>
    <w:rsid w:val="00FC44AB"/>
    <w:rsid w:val="00FC70F2"/>
    <w:rsid w:val="00FE2F14"/>
    <w:rsid w:val="00FE46F3"/>
    <w:rsid w:val="00FF4BE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1A0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ook Antiqua" w:eastAsia="Calibri" w:hAnsi="Book Antiqua"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caption" w:uiPriority="35" w:qFormat="1"/>
    <w:lsdException w:name="footnote reference" w:unhideWhenUsed="0"/>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970"/>
    <w:rPr>
      <w:rFonts w:cs="Book Antiqua"/>
      <w:lang w:val="en-GB" w:eastAsia="en-US"/>
    </w:rPr>
  </w:style>
  <w:style w:type="paragraph" w:styleId="Heading1">
    <w:name w:val="heading 1"/>
    <w:basedOn w:val="Normal"/>
    <w:next w:val="Normal"/>
    <w:link w:val="Heading1Char"/>
    <w:uiPriority w:val="9"/>
    <w:qFormat/>
    <w:rsid w:val="008554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54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F05ED1"/>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Footnote Text Char2 Char1 Char1 Char,Footnote Text Char1 Char Char1 Char1 Char,Footnote Text Char3 Char Char Char Char Char,Footnote Text Char1 Char1,footnumber tex"/>
    <w:basedOn w:val="Normal"/>
    <w:link w:val="FootnoteTextChar"/>
    <w:uiPriority w:val="99"/>
    <w:semiHidden/>
    <w:rsid w:val="001547D3"/>
    <w:rPr>
      <w:rFonts w:eastAsia="Batang"/>
      <w:sz w:val="18"/>
      <w:szCs w:val="18"/>
      <w:lang w:val="de-DE" w:eastAsia="zh-CN"/>
    </w:rPr>
  </w:style>
  <w:style w:type="character" w:customStyle="1" w:styleId="FootnoteTextChar">
    <w:name w:val="Footnote Text Char"/>
    <w:aliases w:val="Footnote Text Char2 Char,Footnote Text Char Char Char,Footnote Text Char1 Char Char Char,Footnote Text Char2 Char1 Char1 Char Char,Footnote Text Char1 Char Char1 Char1 Char Char,Footnote Text Char3 Char Char Char Char Char Char"/>
    <w:basedOn w:val="DefaultParagraphFont"/>
    <w:link w:val="FootnoteText"/>
    <w:uiPriority w:val="99"/>
    <w:semiHidden/>
    <w:rsid w:val="001547D3"/>
    <w:rPr>
      <w:rFonts w:eastAsia="Batang"/>
      <w:sz w:val="23"/>
      <w:szCs w:val="23"/>
      <w:lang w:eastAsia="zh-CN"/>
    </w:rPr>
  </w:style>
  <w:style w:type="character" w:styleId="Hyperlink">
    <w:name w:val="Hyperlink"/>
    <w:basedOn w:val="DefaultParagraphFont"/>
    <w:uiPriority w:val="99"/>
    <w:rsid w:val="00F45968"/>
    <w:rPr>
      <w:color w:val="0000FF"/>
      <w:u w:val="single"/>
    </w:rPr>
  </w:style>
  <w:style w:type="character" w:customStyle="1" w:styleId="apple-converted-space">
    <w:name w:val="apple-converted-space"/>
    <w:basedOn w:val="DefaultParagraphFont"/>
    <w:rsid w:val="00160A99"/>
  </w:style>
  <w:style w:type="character" w:styleId="FootnoteReference">
    <w:name w:val="footnote reference"/>
    <w:basedOn w:val="DefaultParagraphFont"/>
    <w:uiPriority w:val="99"/>
    <w:semiHidden/>
    <w:rsid w:val="002753EF"/>
    <w:rPr>
      <w:vertAlign w:val="superscript"/>
    </w:rPr>
  </w:style>
  <w:style w:type="paragraph" w:styleId="NormalWeb">
    <w:name w:val="Normal (Web)"/>
    <w:basedOn w:val="Normal"/>
    <w:uiPriority w:val="99"/>
    <w:rsid w:val="002753EF"/>
    <w:pPr>
      <w:spacing w:before="100" w:beforeAutospacing="1" w:after="100" w:afterAutospacing="1"/>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rsid w:val="00EA7EDE"/>
    <w:rPr>
      <w:rFonts w:ascii="Tahoma" w:hAnsi="Tahoma" w:cs="Tahoma"/>
      <w:sz w:val="16"/>
      <w:szCs w:val="16"/>
    </w:rPr>
  </w:style>
  <w:style w:type="character" w:customStyle="1" w:styleId="BalloonTextChar">
    <w:name w:val="Balloon Text Char"/>
    <w:basedOn w:val="DefaultParagraphFont"/>
    <w:link w:val="BalloonText"/>
    <w:uiPriority w:val="99"/>
    <w:semiHidden/>
    <w:rsid w:val="00EA7EDE"/>
    <w:rPr>
      <w:rFonts w:ascii="Tahoma" w:hAnsi="Tahoma" w:cs="Tahoma"/>
      <w:sz w:val="16"/>
      <w:szCs w:val="16"/>
    </w:rPr>
  </w:style>
  <w:style w:type="character" w:styleId="CommentReference">
    <w:name w:val="annotation reference"/>
    <w:basedOn w:val="DefaultParagraphFont"/>
    <w:uiPriority w:val="99"/>
    <w:semiHidden/>
    <w:rsid w:val="00D944A2"/>
    <w:rPr>
      <w:sz w:val="16"/>
      <w:szCs w:val="16"/>
    </w:rPr>
  </w:style>
  <w:style w:type="paragraph" w:styleId="CommentText">
    <w:name w:val="annotation text"/>
    <w:basedOn w:val="Normal"/>
    <w:link w:val="CommentTextChar"/>
    <w:uiPriority w:val="99"/>
    <w:semiHidden/>
    <w:rsid w:val="00D944A2"/>
    <w:rPr>
      <w:sz w:val="20"/>
      <w:szCs w:val="20"/>
    </w:rPr>
  </w:style>
  <w:style w:type="character" w:customStyle="1" w:styleId="CommentTextChar">
    <w:name w:val="Comment Text Char"/>
    <w:basedOn w:val="DefaultParagraphFont"/>
    <w:link w:val="CommentText"/>
    <w:uiPriority w:val="99"/>
    <w:rsid w:val="00D944A2"/>
    <w:rPr>
      <w:sz w:val="20"/>
      <w:szCs w:val="20"/>
    </w:rPr>
  </w:style>
  <w:style w:type="paragraph" w:styleId="CommentSubject">
    <w:name w:val="annotation subject"/>
    <w:basedOn w:val="CommentText"/>
    <w:next w:val="CommentText"/>
    <w:link w:val="CommentSubjectChar"/>
    <w:uiPriority w:val="99"/>
    <w:semiHidden/>
    <w:rsid w:val="00D944A2"/>
    <w:rPr>
      <w:b/>
      <w:bCs/>
    </w:rPr>
  </w:style>
  <w:style w:type="character" w:customStyle="1" w:styleId="CommentSubjectChar">
    <w:name w:val="Comment Subject Char"/>
    <w:basedOn w:val="CommentTextChar"/>
    <w:link w:val="CommentSubject"/>
    <w:uiPriority w:val="99"/>
    <w:semiHidden/>
    <w:rsid w:val="00D944A2"/>
    <w:rPr>
      <w:b/>
      <w:bCs/>
      <w:sz w:val="20"/>
      <w:szCs w:val="20"/>
    </w:rPr>
  </w:style>
  <w:style w:type="character" w:styleId="Emphasis">
    <w:name w:val="Emphasis"/>
    <w:basedOn w:val="DefaultParagraphFont"/>
    <w:uiPriority w:val="20"/>
    <w:qFormat/>
    <w:rsid w:val="00D944A2"/>
    <w:rPr>
      <w:i/>
      <w:iCs/>
    </w:rPr>
  </w:style>
  <w:style w:type="paragraph" w:styleId="ListParagraph">
    <w:name w:val="List Paragraph"/>
    <w:basedOn w:val="Normal"/>
    <w:uiPriority w:val="34"/>
    <w:qFormat/>
    <w:rsid w:val="003F1DCA"/>
    <w:pPr>
      <w:ind w:left="720"/>
      <w:contextualSpacing/>
    </w:pPr>
    <w:rPr>
      <w:rFonts w:ascii="Cambria" w:hAnsi="Cambria" w:cs="Cambria"/>
    </w:rPr>
  </w:style>
  <w:style w:type="paragraph" w:styleId="Revision">
    <w:name w:val="Revision"/>
    <w:hidden/>
    <w:uiPriority w:val="99"/>
    <w:semiHidden/>
    <w:rsid w:val="00D003BE"/>
    <w:rPr>
      <w:rFonts w:cs="Book Antiqua"/>
      <w:lang w:val="en-GB" w:eastAsia="en-US"/>
    </w:rPr>
  </w:style>
  <w:style w:type="character" w:styleId="Strong">
    <w:name w:val="Strong"/>
    <w:basedOn w:val="DefaultParagraphFont"/>
    <w:uiPriority w:val="99"/>
    <w:qFormat/>
    <w:rsid w:val="002F2521"/>
    <w:rPr>
      <w:b/>
      <w:bCs/>
    </w:rPr>
  </w:style>
  <w:style w:type="table" w:styleId="TableGrid">
    <w:name w:val="Table Grid"/>
    <w:basedOn w:val="TableNormal"/>
    <w:uiPriority w:val="99"/>
    <w:rsid w:val="00B92AC3"/>
    <w:rPr>
      <w:rFonts w:cs="Book Antiqu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F05ED1"/>
    <w:rPr>
      <w:rFonts w:ascii="Times New Roman" w:eastAsia="Times New Roman" w:hAnsi="Times New Roman"/>
      <w:b/>
      <w:bCs/>
      <w:sz w:val="27"/>
      <w:szCs w:val="27"/>
      <w:lang w:val="en-GB" w:eastAsia="en-GB"/>
    </w:rPr>
  </w:style>
  <w:style w:type="character" w:customStyle="1" w:styleId="Heading1Char">
    <w:name w:val="Heading 1 Char"/>
    <w:basedOn w:val="DefaultParagraphFont"/>
    <w:link w:val="Heading1"/>
    <w:uiPriority w:val="9"/>
    <w:rsid w:val="008554D8"/>
    <w:rPr>
      <w:rFonts w:asciiTheme="majorHAnsi" w:eastAsiaTheme="majorEastAsia" w:hAnsiTheme="majorHAnsi" w:cstheme="majorBidi"/>
      <w:b/>
      <w:bCs/>
      <w:color w:val="365F91" w:themeColor="accent1" w:themeShade="BF"/>
      <w:sz w:val="28"/>
      <w:szCs w:val="28"/>
      <w:lang w:val="en-GB" w:eastAsia="en-US"/>
    </w:rPr>
  </w:style>
  <w:style w:type="character" w:customStyle="1" w:styleId="Heading2Char">
    <w:name w:val="Heading 2 Char"/>
    <w:basedOn w:val="DefaultParagraphFont"/>
    <w:link w:val="Heading2"/>
    <w:uiPriority w:val="9"/>
    <w:rsid w:val="008554D8"/>
    <w:rPr>
      <w:rFonts w:asciiTheme="majorHAnsi" w:eastAsiaTheme="majorEastAsia" w:hAnsiTheme="majorHAnsi" w:cstheme="majorBidi"/>
      <w:b/>
      <w:bCs/>
      <w:color w:val="4F81BD" w:themeColor="accent1"/>
      <w:sz w:val="26"/>
      <w:szCs w:val="26"/>
      <w:lang w:val="en-GB" w:eastAsia="en-US"/>
    </w:rPr>
  </w:style>
  <w:style w:type="character" w:customStyle="1" w:styleId="sti-comment-count">
    <w:name w:val="sti-comment-count"/>
    <w:basedOn w:val="DefaultParagraphFont"/>
    <w:rsid w:val="008554D8"/>
  </w:style>
  <w:style w:type="character" w:customStyle="1" w:styleId="intro">
    <w:name w:val="intro"/>
    <w:basedOn w:val="DefaultParagraphFont"/>
    <w:rsid w:val="008554D8"/>
  </w:style>
  <w:style w:type="character" w:customStyle="1" w:styleId="c-name">
    <w:name w:val="c-name"/>
    <w:basedOn w:val="DefaultParagraphFont"/>
    <w:rsid w:val="008554D8"/>
  </w:style>
  <w:style w:type="character" w:styleId="FollowedHyperlink">
    <w:name w:val="FollowedHyperlink"/>
    <w:basedOn w:val="DefaultParagraphFont"/>
    <w:uiPriority w:val="99"/>
    <w:semiHidden/>
    <w:unhideWhenUsed/>
    <w:rsid w:val="001B43FC"/>
    <w:rPr>
      <w:color w:val="800080" w:themeColor="followedHyperlink"/>
      <w:u w:val="single"/>
    </w:rPr>
  </w:style>
  <w:style w:type="paragraph" w:styleId="EndnoteText">
    <w:name w:val="endnote text"/>
    <w:basedOn w:val="Normal"/>
    <w:link w:val="EndnoteTextChar"/>
    <w:uiPriority w:val="99"/>
    <w:semiHidden/>
    <w:unhideWhenUsed/>
    <w:rsid w:val="00B20357"/>
    <w:rPr>
      <w:sz w:val="24"/>
      <w:szCs w:val="24"/>
    </w:rPr>
  </w:style>
  <w:style w:type="character" w:customStyle="1" w:styleId="EndnoteTextChar">
    <w:name w:val="Endnote Text Char"/>
    <w:basedOn w:val="DefaultParagraphFont"/>
    <w:link w:val="EndnoteText"/>
    <w:uiPriority w:val="99"/>
    <w:semiHidden/>
    <w:rsid w:val="00B20357"/>
    <w:rPr>
      <w:rFonts w:cs="Book Antiqua"/>
      <w:sz w:val="24"/>
      <w:szCs w:val="24"/>
      <w:lang w:val="en-GB" w:eastAsia="en-US"/>
    </w:rPr>
  </w:style>
  <w:style w:type="character" w:styleId="EndnoteReference">
    <w:name w:val="endnote reference"/>
    <w:basedOn w:val="DefaultParagraphFont"/>
    <w:uiPriority w:val="99"/>
    <w:semiHidden/>
    <w:unhideWhenUsed/>
    <w:rsid w:val="00B20357"/>
    <w:rPr>
      <w:vertAlign w:val="superscript"/>
    </w:rPr>
  </w:style>
  <w:style w:type="paragraph" w:styleId="Footer">
    <w:name w:val="footer"/>
    <w:basedOn w:val="Normal"/>
    <w:link w:val="FooterChar"/>
    <w:uiPriority w:val="99"/>
    <w:unhideWhenUsed/>
    <w:rsid w:val="00C31924"/>
    <w:pPr>
      <w:tabs>
        <w:tab w:val="center" w:pos="4320"/>
        <w:tab w:val="right" w:pos="8640"/>
      </w:tabs>
    </w:pPr>
  </w:style>
  <w:style w:type="character" w:customStyle="1" w:styleId="FooterChar">
    <w:name w:val="Footer Char"/>
    <w:basedOn w:val="DefaultParagraphFont"/>
    <w:link w:val="Footer"/>
    <w:uiPriority w:val="99"/>
    <w:rsid w:val="00C31924"/>
    <w:rPr>
      <w:rFonts w:cs="Book Antiqua"/>
      <w:lang w:val="en-GB" w:eastAsia="en-US"/>
    </w:rPr>
  </w:style>
  <w:style w:type="character" w:styleId="PageNumber">
    <w:name w:val="page number"/>
    <w:basedOn w:val="DefaultParagraphFont"/>
    <w:uiPriority w:val="99"/>
    <w:semiHidden/>
    <w:unhideWhenUsed/>
    <w:rsid w:val="00C319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ook Antiqua" w:eastAsia="Calibri" w:hAnsi="Book Antiqua"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caption" w:uiPriority="35" w:qFormat="1"/>
    <w:lsdException w:name="footnote reference" w:unhideWhenUsed="0"/>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970"/>
    <w:rPr>
      <w:rFonts w:cs="Book Antiqua"/>
      <w:lang w:val="en-GB" w:eastAsia="en-US"/>
    </w:rPr>
  </w:style>
  <w:style w:type="paragraph" w:styleId="Heading1">
    <w:name w:val="heading 1"/>
    <w:basedOn w:val="Normal"/>
    <w:next w:val="Normal"/>
    <w:link w:val="Heading1Char"/>
    <w:uiPriority w:val="9"/>
    <w:qFormat/>
    <w:rsid w:val="008554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54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F05ED1"/>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Footnote Text Char2 Char1 Char1 Char,Footnote Text Char1 Char Char1 Char1 Char,Footnote Text Char3 Char Char Char Char Char,Footnote Text Char1 Char1,footnumber tex"/>
    <w:basedOn w:val="Normal"/>
    <w:link w:val="FootnoteTextChar"/>
    <w:uiPriority w:val="99"/>
    <w:semiHidden/>
    <w:rsid w:val="001547D3"/>
    <w:rPr>
      <w:rFonts w:eastAsia="Batang"/>
      <w:sz w:val="18"/>
      <w:szCs w:val="18"/>
      <w:lang w:val="de-DE" w:eastAsia="zh-CN"/>
    </w:rPr>
  </w:style>
  <w:style w:type="character" w:customStyle="1" w:styleId="FootnoteTextChar">
    <w:name w:val="Footnote Text Char"/>
    <w:aliases w:val="Footnote Text Char2 Char,Footnote Text Char Char Char,Footnote Text Char1 Char Char Char,Footnote Text Char2 Char1 Char1 Char Char,Footnote Text Char1 Char Char1 Char1 Char Char,Footnote Text Char3 Char Char Char Char Char Char"/>
    <w:basedOn w:val="DefaultParagraphFont"/>
    <w:link w:val="FootnoteText"/>
    <w:uiPriority w:val="99"/>
    <w:semiHidden/>
    <w:rsid w:val="001547D3"/>
    <w:rPr>
      <w:rFonts w:eastAsia="Batang"/>
      <w:sz w:val="23"/>
      <w:szCs w:val="23"/>
      <w:lang w:eastAsia="zh-CN"/>
    </w:rPr>
  </w:style>
  <w:style w:type="character" w:styleId="Hyperlink">
    <w:name w:val="Hyperlink"/>
    <w:basedOn w:val="DefaultParagraphFont"/>
    <w:uiPriority w:val="99"/>
    <w:rsid w:val="00F45968"/>
    <w:rPr>
      <w:color w:val="0000FF"/>
      <w:u w:val="single"/>
    </w:rPr>
  </w:style>
  <w:style w:type="character" w:customStyle="1" w:styleId="apple-converted-space">
    <w:name w:val="apple-converted-space"/>
    <w:basedOn w:val="DefaultParagraphFont"/>
    <w:rsid w:val="00160A99"/>
  </w:style>
  <w:style w:type="character" w:styleId="FootnoteReference">
    <w:name w:val="footnote reference"/>
    <w:basedOn w:val="DefaultParagraphFont"/>
    <w:uiPriority w:val="99"/>
    <w:semiHidden/>
    <w:rsid w:val="002753EF"/>
    <w:rPr>
      <w:vertAlign w:val="superscript"/>
    </w:rPr>
  </w:style>
  <w:style w:type="paragraph" w:styleId="NormalWeb">
    <w:name w:val="Normal (Web)"/>
    <w:basedOn w:val="Normal"/>
    <w:uiPriority w:val="99"/>
    <w:rsid w:val="002753EF"/>
    <w:pPr>
      <w:spacing w:before="100" w:beforeAutospacing="1" w:after="100" w:afterAutospacing="1"/>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rsid w:val="00EA7EDE"/>
    <w:rPr>
      <w:rFonts w:ascii="Tahoma" w:hAnsi="Tahoma" w:cs="Tahoma"/>
      <w:sz w:val="16"/>
      <w:szCs w:val="16"/>
    </w:rPr>
  </w:style>
  <w:style w:type="character" w:customStyle="1" w:styleId="BalloonTextChar">
    <w:name w:val="Balloon Text Char"/>
    <w:basedOn w:val="DefaultParagraphFont"/>
    <w:link w:val="BalloonText"/>
    <w:uiPriority w:val="99"/>
    <w:semiHidden/>
    <w:rsid w:val="00EA7EDE"/>
    <w:rPr>
      <w:rFonts w:ascii="Tahoma" w:hAnsi="Tahoma" w:cs="Tahoma"/>
      <w:sz w:val="16"/>
      <w:szCs w:val="16"/>
    </w:rPr>
  </w:style>
  <w:style w:type="character" w:styleId="CommentReference">
    <w:name w:val="annotation reference"/>
    <w:basedOn w:val="DefaultParagraphFont"/>
    <w:uiPriority w:val="99"/>
    <w:semiHidden/>
    <w:rsid w:val="00D944A2"/>
    <w:rPr>
      <w:sz w:val="16"/>
      <w:szCs w:val="16"/>
    </w:rPr>
  </w:style>
  <w:style w:type="paragraph" w:styleId="CommentText">
    <w:name w:val="annotation text"/>
    <w:basedOn w:val="Normal"/>
    <w:link w:val="CommentTextChar"/>
    <w:uiPriority w:val="99"/>
    <w:semiHidden/>
    <w:rsid w:val="00D944A2"/>
    <w:rPr>
      <w:sz w:val="20"/>
      <w:szCs w:val="20"/>
    </w:rPr>
  </w:style>
  <w:style w:type="character" w:customStyle="1" w:styleId="CommentTextChar">
    <w:name w:val="Comment Text Char"/>
    <w:basedOn w:val="DefaultParagraphFont"/>
    <w:link w:val="CommentText"/>
    <w:uiPriority w:val="99"/>
    <w:rsid w:val="00D944A2"/>
    <w:rPr>
      <w:sz w:val="20"/>
      <w:szCs w:val="20"/>
    </w:rPr>
  </w:style>
  <w:style w:type="paragraph" w:styleId="CommentSubject">
    <w:name w:val="annotation subject"/>
    <w:basedOn w:val="CommentText"/>
    <w:next w:val="CommentText"/>
    <w:link w:val="CommentSubjectChar"/>
    <w:uiPriority w:val="99"/>
    <w:semiHidden/>
    <w:rsid w:val="00D944A2"/>
    <w:rPr>
      <w:b/>
      <w:bCs/>
    </w:rPr>
  </w:style>
  <w:style w:type="character" w:customStyle="1" w:styleId="CommentSubjectChar">
    <w:name w:val="Comment Subject Char"/>
    <w:basedOn w:val="CommentTextChar"/>
    <w:link w:val="CommentSubject"/>
    <w:uiPriority w:val="99"/>
    <w:semiHidden/>
    <w:rsid w:val="00D944A2"/>
    <w:rPr>
      <w:b/>
      <w:bCs/>
      <w:sz w:val="20"/>
      <w:szCs w:val="20"/>
    </w:rPr>
  </w:style>
  <w:style w:type="character" w:styleId="Emphasis">
    <w:name w:val="Emphasis"/>
    <w:basedOn w:val="DefaultParagraphFont"/>
    <w:uiPriority w:val="20"/>
    <w:qFormat/>
    <w:rsid w:val="00D944A2"/>
    <w:rPr>
      <w:i/>
      <w:iCs/>
    </w:rPr>
  </w:style>
  <w:style w:type="paragraph" w:styleId="ListParagraph">
    <w:name w:val="List Paragraph"/>
    <w:basedOn w:val="Normal"/>
    <w:uiPriority w:val="34"/>
    <w:qFormat/>
    <w:rsid w:val="003F1DCA"/>
    <w:pPr>
      <w:ind w:left="720"/>
      <w:contextualSpacing/>
    </w:pPr>
    <w:rPr>
      <w:rFonts w:ascii="Cambria" w:hAnsi="Cambria" w:cs="Cambria"/>
    </w:rPr>
  </w:style>
  <w:style w:type="paragraph" w:styleId="Revision">
    <w:name w:val="Revision"/>
    <w:hidden/>
    <w:uiPriority w:val="99"/>
    <w:semiHidden/>
    <w:rsid w:val="00D003BE"/>
    <w:rPr>
      <w:rFonts w:cs="Book Antiqua"/>
      <w:lang w:val="en-GB" w:eastAsia="en-US"/>
    </w:rPr>
  </w:style>
  <w:style w:type="character" w:styleId="Strong">
    <w:name w:val="Strong"/>
    <w:basedOn w:val="DefaultParagraphFont"/>
    <w:uiPriority w:val="99"/>
    <w:qFormat/>
    <w:rsid w:val="002F2521"/>
    <w:rPr>
      <w:b/>
      <w:bCs/>
    </w:rPr>
  </w:style>
  <w:style w:type="table" w:styleId="TableGrid">
    <w:name w:val="Table Grid"/>
    <w:basedOn w:val="TableNormal"/>
    <w:uiPriority w:val="99"/>
    <w:rsid w:val="00B92AC3"/>
    <w:rPr>
      <w:rFonts w:cs="Book Antiqu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F05ED1"/>
    <w:rPr>
      <w:rFonts w:ascii="Times New Roman" w:eastAsia="Times New Roman" w:hAnsi="Times New Roman"/>
      <w:b/>
      <w:bCs/>
      <w:sz w:val="27"/>
      <w:szCs w:val="27"/>
      <w:lang w:val="en-GB" w:eastAsia="en-GB"/>
    </w:rPr>
  </w:style>
  <w:style w:type="character" w:customStyle="1" w:styleId="Heading1Char">
    <w:name w:val="Heading 1 Char"/>
    <w:basedOn w:val="DefaultParagraphFont"/>
    <w:link w:val="Heading1"/>
    <w:uiPriority w:val="9"/>
    <w:rsid w:val="008554D8"/>
    <w:rPr>
      <w:rFonts w:asciiTheme="majorHAnsi" w:eastAsiaTheme="majorEastAsia" w:hAnsiTheme="majorHAnsi" w:cstheme="majorBidi"/>
      <w:b/>
      <w:bCs/>
      <w:color w:val="365F91" w:themeColor="accent1" w:themeShade="BF"/>
      <w:sz w:val="28"/>
      <w:szCs w:val="28"/>
      <w:lang w:val="en-GB" w:eastAsia="en-US"/>
    </w:rPr>
  </w:style>
  <w:style w:type="character" w:customStyle="1" w:styleId="Heading2Char">
    <w:name w:val="Heading 2 Char"/>
    <w:basedOn w:val="DefaultParagraphFont"/>
    <w:link w:val="Heading2"/>
    <w:uiPriority w:val="9"/>
    <w:rsid w:val="008554D8"/>
    <w:rPr>
      <w:rFonts w:asciiTheme="majorHAnsi" w:eastAsiaTheme="majorEastAsia" w:hAnsiTheme="majorHAnsi" w:cstheme="majorBidi"/>
      <w:b/>
      <w:bCs/>
      <w:color w:val="4F81BD" w:themeColor="accent1"/>
      <w:sz w:val="26"/>
      <w:szCs w:val="26"/>
      <w:lang w:val="en-GB" w:eastAsia="en-US"/>
    </w:rPr>
  </w:style>
  <w:style w:type="character" w:customStyle="1" w:styleId="sti-comment-count">
    <w:name w:val="sti-comment-count"/>
    <w:basedOn w:val="DefaultParagraphFont"/>
    <w:rsid w:val="008554D8"/>
  </w:style>
  <w:style w:type="character" w:customStyle="1" w:styleId="intro">
    <w:name w:val="intro"/>
    <w:basedOn w:val="DefaultParagraphFont"/>
    <w:rsid w:val="008554D8"/>
  </w:style>
  <w:style w:type="character" w:customStyle="1" w:styleId="c-name">
    <w:name w:val="c-name"/>
    <w:basedOn w:val="DefaultParagraphFont"/>
    <w:rsid w:val="008554D8"/>
  </w:style>
  <w:style w:type="character" w:styleId="FollowedHyperlink">
    <w:name w:val="FollowedHyperlink"/>
    <w:basedOn w:val="DefaultParagraphFont"/>
    <w:uiPriority w:val="99"/>
    <w:semiHidden/>
    <w:unhideWhenUsed/>
    <w:rsid w:val="001B43FC"/>
    <w:rPr>
      <w:color w:val="800080" w:themeColor="followedHyperlink"/>
      <w:u w:val="single"/>
    </w:rPr>
  </w:style>
  <w:style w:type="paragraph" w:styleId="EndnoteText">
    <w:name w:val="endnote text"/>
    <w:basedOn w:val="Normal"/>
    <w:link w:val="EndnoteTextChar"/>
    <w:uiPriority w:val="99"/>
    <w:semiHidden/>
    <w:unhideWhenUsed/>
    <w:rsid w:val="00B20357"/>
    <w:rPr>
      <w:sz w:val="24"/>
      <w:szCs w:val="24"/>
    </w:rPr>
  </w:style>
  <w:style w:type="character" w:customStyle="1" w:styleId="EndnoteTextChar">
    <w:name w:val="Endnote Text Char"/>
    <w:basedOn w:val="DefaultParagraphFont"/>
    <w:link w:val="EndnoteText"/>
    <w:uiPriority w:val="99"/>
    <w:semiHidden/>
    <w:rsid w:val="00B20357"/>
    <w:rPr>
      <w:rFonts w:cs="Book Antiqua"/>
      <w:sz w:val="24"/>
      <w:szCs w:val="24"/>
      <w:lang w:val="en-GB" w:eastAsia="en-US"/>
    </w:rPr>
  </w:style>
  <w:style w:type="character" w:styleId="EndnoteReference">
    <w:name w:val="endnote reference"/>
    <w:basedOn w:val="DefaultParagraphFont"/>
    <w:uiPriority w:val="99"/>
    <w:semiHidden/>
    <w:unhideWhenUsed/>
    <w:rsid w:val="00B20357"/>
    <w:rPr>
      <w:vertAlign w:val="superscript"/>
    </w:rPr>
  </w:style>
  <w:style w:type="paragraph" w:styleId="Footer">
    <w:name w:val="footer"/>
    <w:basedOn w:val="Normal"/>
    <w:link w:val="FooterChar"/>
    <w:uiPriority w:val="99"/>
    <w:unhideWhenUsed/>
    <w:rsid w:val="00C31924"/>
    <w:pPr>
      <w:tabs>
        <w:tab w:val="center" w:pos="4320"/>
        <w:tab w:val="right" w:pos="8640"/>
      </w:tabs>
    </w:pPr>
  </w:style>
  <w:style w:type="character" w:customStyle="1" w:styleId="FooterChar">
    <w:name w:val="Footer Char"/>
    <w:basedOn w:val="DefaultParagraphFont"/>
    <w:link w:val="Footer"/>
    <w:uiPriority w:val="99"/>
    <w:rsid w:val="00C31924"/>
    <w:rPr>
      <w:rFonts w:cs="Book Antiqua"/>
      <w:lang w:val="en-GB" w:eastAsia="en-US"/>
    </w:rPr>
  </w:style>
  <w:style w:type="character" w:styleId="PageNumber">
    <w:name w:val="page number"/>
    <w:basedOn w:val="DefaultParagraphFont"/>
    <w:uiPriority w:val="99"/>
    <w:semiHidden/>
    <w:unhideWhenUsed/>
    <w:rsid w:val="00C31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32481">
      <w:bodyDiv w:val="1"/>
      <w:marLeft w:val="0"/>
      <w:marRight w:val="0"/>
      <w:marTop w:val="0"/>
      <w:marBottom w:val="0"/>
      <w:divBdr>
        <w:top w:val="none" w:sz="0" w:space="0" w:color="auto"/>
        <w:left w:val="none" w:sz="0" w:space="0" w:color="auto"/>
        <w:bottom w:val="none" w:sz="0" w:space="0" w:color="auto"/>
        <w:right w:val="none" w:sz="0" w:space="0" w:color="auto"/>
      </w:divBdr>
    </w:div>
    <w:div w:id="297346691">
      <w:bodyDiv w:val="1"/>
      <w:marLeft w:val="0"/>
      <w:marRight w:val="0"/>
      <w:marTop w:val="0"/>
      <w:marBottom w:val="0"/>
      <w:divBdr>
        <w:top w:val="none" w:sz="0" w:space="0" w:color="auto"/>
        <w:left w:val="none" w:sz="0" w:space="0" w:color="auto"/>
        <w:bottom w:val="none" w:sz="0" w:space="0" w:color="auto"/>
        <w:right w:val="none" w:sz="0" w:space="0" w:color="auto"/>
      </w:divBdr>
    </w:div>
    <w:div w:id="308755137">
      <w:bodyDiv w:val="1"/>
      <w:marLeft w:val="0"/>
      <w:marRight w:val="0"/>
      <w:marTop w:val="0"/>
      <w:marBottom w:val="0"/>
      <w:divBdr>
        <w:top w:val="none" w:sz="0" w:space="0" w:color="auto"/>
        <w:left w:val="none" w:sz="0" w:space="0" w:color="auto"/>
        <w:bottom w:val="none" w:sz="0" w:space="0" w:color="auto"/>
        <w:right w:val="none" w:sz="0" w:space="0" w:color="auto"/>
      </w:divBdr>
    </w:div>
    <w:div w:id="775905349">
      <w:bodyDiv w:val="1"/>
      <w:marLeft w:val="0"/>
      <w:marRight w:val="0"/>
      <w:marTop w:val="0"/>
      <w:marBottom w:val="0"/>
      <w:divBdr>
        <w:top w:val="none" w:sz="0" w:space="0" w:color="auto"/>
        <w:left w:val="none" w:sz="0" w:space="0" w:color="auto"/>
        <w:bottom w:val="none" w:sz="0" w:space="0" w:color="auto"/>
        <w:right w:val="none" w:sz="0" w:space="0" w:color="auto"/>
      </w:divBdr>
    </w:div>
    <w:div w:id="1045452329">
      <w:bodyDiv w:val="1"/>
      <w:marLeft w:val="0"/>
      <w:marRight w:val="0"/>
      <w:marTop w:val="0"/>
      <w:marBottom w:val="0"/>
      <w:divBdr>
        <w:top w:val="none" w:sz="0" w:space="0" w:color="auto"/>
        <w:left w:val="none" w:sz="0" w:space="0" w:color="auto"/>
        <w:bottom w:val="none" w:sz="0" w:space="0" w:color="auto"/>
        <w:right w:val="none" w:sz="0" w:space="0" w:color="auto"/>
      </w:divBdr>
    </w:div>
    <w:div w:id="1047291434">
      <w:bodyDiv w:val="1"/>
      <w:marLeft w:val="0"/>
      <w:marRight w:val="0"/>
      <w:marTop w:val="0"/>
      <w:marBottom w:val="0"/>
      <w:divBdr>
        <w:top w:val="none" w:sz="0" w:space="0" w:color="auto"/>
        <w:left w:val="none" w:sz="0" w:space="0" w:color="auto"/>
        <w:bottom w:val="none" w:sz="0" w:space="0" w:color="auto"/>
        <w:right w:val="none" w:sz="0" w:space="0" w:color="auto"/>
      </w:divBdr>
      <w:divsChild>
        <w:div w:id="494299463">
          <w:marLeft w:val="0"/>
          <w:marRight w:val="0"/>
          <w:marTop w:val="0"/>
          <w:marBottom w:val="0"/>
          <w:divBdr>
            <w:top w:val="none" w:sz="0" w:space="0" w:color="auto"/>
            <w:left w:val="none" w:sz="0" w:space="0" w:color="auto"/>
            <w:bottom w:val="none" w:sz="0" w:space="0" w:color="auto"/>
            <w:right w:val="none" w:sz="0" w:space="0" w:color="auto"/>
          </w:divBdr>
          <w:divsChild>
            <w:div w:id="739137453">
              <w:marLeft w:val="0"/>
              <w:marRight w:val="0"/>
              <w:marTop w:val="0"/>
              <w:marBottom w:val="0"/>
              <w:divBdr>
                <w:top w:val="none" w:sz="0" w:space="0" w:color="auto"/>
                <w:left w:val="none" w:sz="0" w:space="0" w:color="auto"/>
                <w:bottom w:val="none" w:sz="0" w:space="0" w:color="auto"/>
                <w:right w:val="none" w:sz="0" w:space="0" w:color="auto"/>
              </w:divBdr>
            </w:div>
          </w:divsChild>
        </w:div>
        <w:div w:id="1566143871">
          <w:marLeft w:val="0"/>
          <w:marRight w:val="0"/>
          <w:marTop w:val="0"/>
          <w:marBottom w:val="0"/>
          <w:divBdr>
            <w:top w:val="none" w:sz="0" w:space="0" w:color="auto"/>
            <w:left w:val="none" w:sz="0" w:space="0" w:color="auto"/>
            <w:bottom w:val="none" w:sz="0" w:space="0" w:color="auto"/>
            <w:right w:val="none" w:sz="0" w:space="0" w:color="auto"/>
          </w:divBdr>
          <w:divsChild>
            <w:div w:id="1179538375">
              <w:marLeft w:val="0"/>
              <w:marRight w:val="0"/>
              <w:marTop w:val="0"/>
              <w:marBottom w:val="0"/>
              <w:divBdr>
                <w:top w:val="none" w:sz="0" w:space="0" w:color="auto"/>
                <w:left w:val="none" w:sz="0" w:space="0" w:color="auto"/>
                <w:bottom w:val="none" w:sz="0" w:space="0" w:color="auto"/>
                <w:right w:val="none" w:sz="0" w:space="0" w:color="auto"/>
              </w:divBdr>
              <w:divsChild>
                <w:div w:id="469325345">
                  <w:marLeft w:val="0"/>
                  <w:marRight w:val="0"/>
                  <w:marTop w:val="0"/>
                  <w:marBottom w:val="120"/>
                  <w:divBdr>
                    <w:top w:val="single" w:sz="6" w:space="0" w:color="E6E6E6"/>
                    <w:left w:val="none" w:sz="0" w:space="0" w:color="auto"/>
                    <w:bottom w:val="single" w:sz="6" w:space="0" w:color="E6E6E6"/>
                    <w:right w:val="none" w:sz="0" w:space="0" w:color="auto"/>
                  </w:divBdr>
                  <w:divsChild>
                    <w:div w:id="986785426">
                      <w:marLeft w:val="0"/>
                      <w:marRight w:val="0"/>
                      <w:marTop w:val="0"/>
                      <w:marBottom w:val="0"/>
                      <w:divBdr>
                        <w:top w:val="none" w:sz="0" w:space="0" w:color="auto"/>
                        <w:left w:val="dotted" w:sz="6" w:space="6" w:color="E6E6E6"/>
                        <w:bottom w:val="none" w:sz="0" w:space="4" w:color="auto"/>
                        <w:right w:val="none" w:sz="0" w:space="6" w:color="auto"/>
                      </w:divBdr>
                    </w:div>
                    <w:div w:id="57562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756824">
              <w:marLeft w:val="0"/>
              <w:marRight w:val="0"/>
              <w:marTop w:val="0"/>
              <w:marBottom w:val="0"/>
              <w:divBdr>
                <w:top w:val="none" w:sz="0" w:space="0" w:color="auto"/>
                <w:left w:val="none" w:sz="0" w:space="0" w:color="auto"/>
                <w:bottom w:val="none" w:sz="0" w:space="0" w:color="auto"/>
                <w:right w:val="none" w:sz="0" w:space="0" w:color="auto"/>
              </w:divBdr>
              <w:divsChild>
                <w:div w:id="303849911">
                  <w:marLeft w:val="0"/>
                  <w:marRight w:val="0"/>
                  <w:marTop w:val="0"/>
                  <w:marBottom w:val="0"/>
                  <w:divBdr>
                    <w:top w:val="none" w:sz="0" w:space="0" w:color="auto"/>
                    <w:left w:val="none" w:sz="0" w:space="0" w:color="auto"/>
                    <w:bottom w:val="none" w:sz="0" w:space="0" w:color="auto"/>
                    <w:right w:val="none" w:sz="0" w:space="0" w:color="auto"/>
                  </w:divBdr>
                  <w:divsChild>
                    <w:div w:id="23312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424704">
              <w:marLeft w:val="0"/>
              <w:marRight w:val="0"/>
              <w:marTop w:val="0"/>
              <w:marBottom w:val="0"/>
              <w:divBdr>
                <w:top w:val="none" w:sz="0" w:space="0" w:color="auto"/>
                <w:left w:val="none" w:sz="0" w:space="0" w:color="auto"/>
                <w:bottom w:val="none" w:sz="0" w:space="0" w:color="auto"/>
                <w:right w:val="none" w:sz="0" w:space="0" w:color="auto"/>
              </w:divBdr>
              <w:divsChild>
                <w:div w:id="152046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327509">
      <w:bodyDiv w:val="1"/>
      <w:marLeft w:val="0"/>
      <w:marRight w:val="0"/>
      <w:marTop w:val="0"/>
      <w:marBottom w:val="0"/>
      <w:divBdr>
        <w:top w:val="none" w:sz="0" w:space="0" w:color="auto"/>
        <w:left w:val="none" w:sz="0" w:space="0" w:color="auto"/>
        <w:bottom w:val="none" w:sz="0" w:space="0" w:color="auto"/>
        <w:right w:val="none" w:sz="0" w:space="0" w:color="auto"/>
      </w:divBdr>
      <w:divsChild>
        <w:div w:id="1612475598">
          <w:marLeft w:val="547"/>
          <w:marRight w:val="0"/>
          <w:marTop w:val="120"/>
          <w:marBottom w:val="0"/>
          <w:divBdr>
            <w:top w:val="none" w:sz="0" w:space="0" w:color="auto"/>
            <w:left w:val="none" w:sz="0" w:space="0" w:color="auto"/>
            <w:bottom w:val="none" w:sz="0" w:space="0" w:color="auto"/>
            <w:right w:val="none" w:sz="0" w:space="0" w:color="auto"/>
          </w:divBdr>
        </w:div>
      </w:divsChild>
    </w:div>
    <w:div w:id="1144078315">
      <w:bodyDiv w:val="1"/>
      <w:marLeft w:val="0"/>
      <w:marRight w:val="0"/>
      <w:marTop w:val="0"/>
      <w:marBottom w:val="0"/>
      <w:divBdr>
        <w:top w:val="none" w:sz="0" w:space="0" w:color="auto"/>
        <w:left w:val="none" w:sz="0" w:space="0" w:color="auto"/>
        <w:bottom w:val="none" w:sz="0" w:space="0" w:color="auto"/>
        <w:right w:val="none" w:sz="0" w:space="0" w:color="auto"/>
      </w:divBdr>
    </w:div>
    <w:div w:id="1592009025">
      <w:marLeft w:val="0"/>
      <w:marRight w:val="0"/>
      <w:marTop w:val="0"/>
      <w:marBottom w:val="0"/>
      <w:divBdr>
        <w:top w:val="none" w:sz="0" w:space="0" w:color="auto"/>
        <w:left w:val="none" w:sz="0" w:space="0" w:color="auto"/>
        <w:bottom w:val="none" w:sz="0" w:space="0" w:color="auto"/>
        <w:right w:val="none" w:sz="0" w:space="0" w:color="auto"/>
      </w:divBdr>
      <w:divsChild>
        <w:div w:id="1592009033">
          <w:marLeft w:val="547"/>
          <w:marRight w:val="0"/>
          <w:marTop w:val="154"/>
          <w:marBottom w:val="0"/>
          <w:divBdr>
            <w:top w:val="none" w:sz="0" w:space="0" w:color="auto"/>
            <w:left w:val="none" w:sz="0" w:space="0" w:color="auto"/>
            <w:bottom w:val="none" w:sz="0" w:space="0" w:color="auto"/>
            <w:right w:val="none" w:sz="0" w:space="0" w:color="auto"/>
          </w:divBdr>
        </w:div>
      </w:divsChild>
    </w:div>
    <w:div w:id="1592009032">
      <w:marLeft w:val="0"/>
      <w:marRight w:val="0"/>
      <w:marTop w:val="0"/>
      <w:marBottom w:val="0"/>
      <w:divBdr>
        <w:top w:val="none" w:sz="0" w:space="0" w:color="auto"/>
        <w:left w:val="none" w:sz="0" w:space="0" w:color="auto"/>
        <w:bottom w:val="none" w:sz="0" w:space="0" w:color="auto"/>
        <w:right w:val="none" w:sz="0" w:space="0" w:color="auto"/>
      </w:divBdr>
    </w:div>
    <w:div w:id="1592009035">
      <w:marLeft w:val="0"/>
      <w:marRight w:val="0"/>
      <w:marTop w:val="0"/>
      <w:marBottom w:val="0"/>
      <w:divBdr>
        <w:top w:val="none" w:sz="0" w:space="0" w:color="auto"/>
        <w:left w:val="none" w:sz="0" w:space="0" w:color="auto"/>
        <w:bottom w:val="none" w:sz="0" w:space="0" w:color="auto"/>
        <w:right w:val="none" w:sz="0" w:space="0" w:color="auto"/>
      </w:divBdr>
    </w:div>
    <w:div w:id="1592009036">
      <w:marLeft w:val="0"/>
      <w:marRight w:val="0"/>
      <w:marTop w:val="0"/>
      <w:marBottom w:val="0"/>
      <w:divBdr>
        <w:top w:val="none" w:sz="0" w:space="0" w:color="auto"/>
        <w:left w:val="none" w:sz="0" w:space="0" w:color="auto"/>
        <w:bottom w:val="none" w:sz="0" w:space="0" w:color="auto"/>
        <w:right w:val="none" w:sz="0" w:space="0" w:color="auto"/>
      </w:divBdr>
      <w:divsChild>
        <w:div w:id="1592009023">
          <w:marLeft w:val="1800"/>
          <w:marRight w:val="0"/>
          <w:marTop w:val="77"/>
          <w:marBottom w:val="0"/>
          <w:divBdr>
            <w:top w:val="none" w:sz="0" w:space="0" w:color="auto"/>
            <w:left w:val="none" w:sz="0" w:space="0" w:color="auto"/>
            <w:bottom w:val="none" w:sz="0" w:space="0" w:color="auto"/>
            <w:right w:val="none" w:sz="0" w:space="0" w:color="auto"/>
          </w:divBdr>
        </w:div>
        <w:div w:id="1592009024">
          <w:marLeft w:val="1800"/>
          <w:marRight w:val="0"/>
          <w:marTop w:val="77"/>
          <w:marBottom w:val="0"/>
          <w:divBdr>
            <w:top w:val="none" w:sz="0" w:space="0" w:color="auto"/>
            <w:left w:val="none" w:sz="0" w:space="0" w:color="auto"/>
            <w:bottom w:val="none" w:sz="0" w:space="0" w:color="auto"/>
            <w:right w:val="none" w:sz="0" w:space="0" w:color="auto"/>
          </w:divBdr>
        </w:div>
        <w:div w:id="1592009026">
          <w:marLeft w:val="1800"/>
          <w:marRight w:val="0"/>
          <w:marTop w:val="77"/>
          <w:marBottom w:val="0"/>
          <w:divBdr>
            <w:top w:val="none" w:sz="0" w:space="0" w:color="auto"/>
            <w:left w:val="none" w:sz="0" w:space="0" w:color="auto"/>
            <w:bottom w:val="none" w:sz="0" w:space="0" w:color="auto"/>
            <w:right w:val="none" w:sz="0" w:space="0" w:color="auto"/>
          </w:divBdr>
        </w:div>
        <w:div w:id="1592009027">
          <w:marLeft w:val="1800"/>
          <w:marRight w:val="0"/>
          <w:marTop w:val="77"/>
          <w:marBottom w:val="0"/>
          <w:divBdr>
            <w:top w:val="none" w:sz="0" w:space="0" w:color="auto"/>
            <w:left w:val="none" w:sz="0" w:space="0" w:color="auto"/>
            <w:bottom w:val="none" w:sz="0" w:space="0" w:color="auto"/>
            <w:right w:val="none" w:sz="0" w:space="0" w:color="auto"/>
          </w:divBdr>
        </w:div>
        <w:div w:id="1592009028">
          <w:marLeft w:val="1800"/>
          <w:marRight w:val="0"/>
          <w:marTop w:val="77"/>
          <w:marBottom w:val="0"/>
          <w:divBdr>
            <w:top w:val="none" w:sz="0" w:space="0" w:color="auto"/>
            <w:left w:val="none" w:sz="0" w:space="0" w:color="auto"/>
            <w:bottom w:val="none" w:sz="0" w:space="0" w:color="auto"/>
            <w:right w:val="none" w:sz="0" w:space="0" w:color="auto"/>
          </w:divBdr>
        </w:div>
        <w:div w:id="1592009029">
          <w:marLeft w:val="1800"/>
          <w:marRight w:val="0"/>
          <w:marTop w:val="77"/>
          <w:marBottom w:val="0"/>
          <w:divBdr>
            <w:top w:val="none" w:sz="0" w:space="0" w:color="auto"/>
            <w:left w:val="none" w:sz="0" w:space="0" w:color="auto"/>
            <w:bottom w:val="none" w:sz="0" w:space="0" w:color="auto"/>
            <w:right w:val="none" w:sz="0" w:space="0" w:color="auto"/>
          </w:divBdr>
        </w:div>
        <w:div w:id="1592009030">
          <w:marLeft w:val="1800"/>
          <w:marRight w:val="0"/>
          <w:marTop w:val="77"/>
          <w:marBottom w:val="0"/>
          <w:divBdr>
            <w:top w:val="none" w:sz="0" w:space="0" w:color="auto"/>
            <w:left w:val="none" w:sz="0" w:space="0" w:color="auto"/>
            <w:bottom w:val="none" w:sz="0" w:space="0" w:color="auto"/>
            <w:right w:val="none" w:sz="0" w:space="0" w:color="auto"/>
          </w:divBdr>
        </w:div>
        <w:div w:id="1592009031">
          <w:marLeft w:val="1800"/>
          <w:marRight w:val="0"/>
          <w:marTop w:val="77"/>
          <w:marBottom w:val="0"/>
          <w:divBdr>
            <w:top w:val="none" w:sz="0" w:space="0" w:color="auto"/>
            <w:left w:val="none" w:sz="0" w:space="0" w:color="auto"/>
            <w:bottom w:val="none" w:sz="0" w:space="0" w:color="auto"/>
            <w:right w:val="none" w:sz="0" w:space="0" w:color="auto"/>
          </w:divBdr>
        </w:div>
        <w:div w:id="1592009034">
          <w:marLeft w:val="1800"/>
          <w:marRight w:val="0"/>
          <w:marTop w:val="77"/>
          <w:marBottom w:val="0"/>
          <w:divBdr>
            <w:top w:val="none" w:sz="0" w:space="0" w:color="auto"/>
            <w:left w:val="none" w:sz="0" w:space="0" w:color="auto"/>
            <w:bottom w:val="none" w:sz="0" w:space="0" w:color="auto"/>
            <w:right w:val="none" w:sz="0" w:space="0" w:color="auto"/>
          </w:divBdr>
        </w:div>
      </w:divsChild>
    </w:div>
    <w:div w:id="1797260890">
      <w:bodyDiv w:val="1"/>
      <w:marLeft w:val="0"/>
      <w:marRight w:val="0"/>
      <w:marTop w:val="0"/>
      <w:marBottom w:val="0"/>
      <w:divBdr>
        <w:top w:val="none" w:sz="0" w:space="0" w:color="auto"/>
        <w:left w:val="none" w:sz="0" w:space="0" w:color="auto"/>
        <w:bottom w:val="none" w:sz="0" w:space="0" w:color="auto"/>
        <w:right w:val="none" w:sz="0" w:space="0" w:color="auto"/>
      </w:divBdr>
    </w:div>
    <w:div w:id="184905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hyperlink" Target="http://www.eusew.eu/" TargetMode="Externa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23" Type="http://schemas.microsoft.com/office/2011/relationships/people" Target="people.xml"/><Relationship Id="rId10" Type="http://schemas.openxmlformats.org/officeDocument/2006/relationships/chart" Target="charts/chart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europa.eu/rapid/press-release_MEMO-13-596_en.htm" TargetMode="External"/><Relationship Id="rId14" Type="http://schemas.openxmlformats.org/officeDocument/2006/relationships/chart" Target="charts/chart5.xml"/><Relationship Id="rId22" Type="http://schemas.microsoft.com/office/2011/relationships/commentsExtended" Target="commentsExtended.xml"/></Relationships>
</file>

<file path=word/_rels/endnotes.xml.rels><?xml version="1.0" encoding="UTF-8" standalone="yes"?>
<Relationships xmlns="http://schemas.openxmlformats.org/package/2006/relationships"><Relationship Id="rId1" Type="http://schemas.openxmlformats.org/officeDocument/2006/relationships/hyperlink" Target="http://cybermetrics.wlv.ac.uk/index.html"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Andrew\Desktop\JM-%20BRICS%20project\Special%20Issue\Twitter%20Paper\Analysis_data_graphsetc.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ndrew\Desktop\JM-%20BRICS%20project\Special%20Issue\Twitter%20Paper\Analysis_data_graphsetc.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ndrew\Desktop\JM-%20BRICS%20project\Special%20Issue\Twitter%20Paper\Analysis_data_graphsetc.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Andrew\Desktop\JM-%20BRICS%20project\Special%20Issue\Twitter%20Paper\Analysis_data_graphsetc.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Andrew\Desktop\JM-%20BRICS%20project\Special%20Issue\Twitter%20Paper\Analysis_data_graphsetc.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Andrew\Desktop\JM-%20BRICS%20project\Special%20Issue\Twitter%20Paper\Analysis_data_graphsetc.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Andrew\Desktop\JM-%20BRICS%20project\Special%20Issue\Twitter%20Paper\Analysis_data_graphsetc.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bar"/>
        <c:grouping val="clustered"/>
        <c:varyColors val="0"/>
        <c:ser>
          <c:idx val="0"/>
          <c:order val="0"/>
          <c:invertIfNegative val="0"/>
          <c:dPt>
            <c:idx val="3"/>
            <c:invertIfNegative val="0"/>
            <c:bubble3D val="0"/>
          </c:dPt>
          <c:dPt>
            <c:idx val="4"/>
            <c:invertIfNegative val="0"/>
            <c:bubble3D val="0"/>
          </c:dPt>
          <c:dPt>
            <c:idx val="5"/>
            <c:invertIfNegative val="0"/>
            <c:bubble3D val="0"/>
          </c:dPt>
          <c:dPt>
            <c:idx val="6"/>
            <c:invertIfNegative val="0"/>
            <c:bubble3D val="0"/>
          </c:dPt>
          <c:dPt>
            <c:idx val="7"/>
            <c:invertIfNegative val="0"/>
            <c:bubble3D val="0"/>
          </c:dPt>
          <c:dPt>
            <c:idx val="8"/>
            <c:invertIfNegative val="0"/>
            <c:bubble3D val="0"/>
          </c:dPt>
          <c:dPt>
            <c:idx val="9"/>
            <c:invertIfNegative val="0"/>
            <c:bubble3D val="0"/>
          </c:dPt>
          <c:dPt>
            <c:idx val="10"/>
            <c:invertIfNegative val="0"/>
            <c:bubble3D val="0"/>
          </c:dPt>
          <c:dPt>
            <c:idx val="11"/>
            <c:invertIfNegative val="0"/>
            <c:bubble3D val="0"/>
          </c:dPt>
          <c:dPt>
            <c:idx val="12"/>
            <c:invertIfNegative val="0"/>
            <c:bubble3D val="0"/>
          </c:dPt>
          <c:dPt>
            <c:idx val="13"/>
            <c:invertIfNegative val="0"/>
            <c:bubble3D val="0"/>
          </c:dPt>
          <c:cat>
            <c:multiLvlStrRef>
              <c:f>Authors!$B$5:$C$18</c:f>
              <c:multiLvlStrCache>
                <c:ptCount val="14"/>
                <c:lvl>
                  <c:pt idx="0">
                    <c:v>EU Energy Official</c:v>
                  </c:pt>
                  <c:pt idx="1">
                    <c:v>EU Institution</c:v>
                  </c:pt>
                  <c:pt idx="2">
                    <c:v>EU Official</c:v>
                  </c:pt>
                  <c:pt idx="3">
                    <c:v>International Organisation</c:v>
                  </c:pt>
                  <c:pt idx="4">
                    <c:v>Government Official (non-EU)</c:v>
                  </c:pt>
                  <c:pt idx="5">
                    <c:v>Non-EU Energy official</c:v>
                  </c:pt>
                  <c:pt idx="6">
                    <c:v>Lobby/Consultancy/Think Tank</c:v>
                  </c:pt>
                  <c:pt idx="7">
                    <c:v>Business</c:v>
                  </c:pt>
                  <c:pt idx="8">
                    <c:v>Ordinary citizen</c:v>
                  </c:pt>
                  <c:pt idx="9">
                    <c:v>Student</c:v>
                  </c:pt>
                  <c:pt idx="10">
                    <c:v>Civil Society</c:v>
                  </c:pt>
                  <c:pt idx="11">
                    <c:v>Media</c:v>
                  </c:pt>
                  <c:pt idx="12">
                    <c:v>Bot</c:v>
                  </c:pt>
                  <c:pt idx="13">
                    <c:v>N/A</c:v>
                  </c:pt>
                </c:lvl>
                <c:lvl>
                  <c:pt idx="0">
                    <c:v>EU</c:v>
                  </c:pt>
                  <c:pt idx="3">
                    <c:v>Government (Other)</c:v>
                  </c:pt>
                  <c:pt idx="5">
                    <c:v>Interest Groups</c:v>
                  </c:pt>
                  <c:pt idx="8">
                    <c:v>Public Sphere</c:v>
                  </c:pt>
                  <c:pt idx="12">
                    <c:v>Other</c:v>
                  </c:pt>
                </c:lvl>
              </c:multiLvlStrCache>
            </c:multiLvlStrRef>
          </c:cat>
          <c:val>
            <c:numRef>
              <c:f>Authors!$D$5:$D$18</c:f>
              <c:numCache>
                <c:formatCode>General</c:formatCode>
                <c:ptCount val="14"/>
                <c:pt idx="0">
                  <c:v>103</c:v>
                </c:pt>
                <c:pt idx="1">
                  <c:v>48</c:v>
                </c:pt>
                <c:pt idx="2">
                  <c:v>39</c:v>
                </c:pt>
                <c:pt idx="3">
                  <c:v>18</c:v>
                </c:pt>
                <c:pt idx="4">
                  <c:v>91</c:v>
                </c:pt>
                <c:pt idx="5">
                  <c:v>19</c:v>
                </c:pt>
                <c:pt idx="6">
                  <c:v>513</c:v>
                </c:pt>
                <c:pt idx="7">
                  <c:v>101</c:v>
                </c:pt>
                <c:pt idx="8">
                  <c:v>218</c:v>
                </c:pt>
                <c:pt idx="9">
                  <c:v>54</c:v>
                </c:pt>
                <c:pt idx="10">
                  <c:v>35</c:v>
                </c:pt>
                <c:pt idx="11">
                  <c:v>49</c:v>
                </c:pt>
                <c:pt idx="12">
                  <c:v>3</c:v>
                </c:pt>
                <c:pt idx="13">
                  <c:v>327</c:v>
                </c:pt>
              </c:numCache>
            </c:numRef>
          </c:val>
        </c:ser>
        <c:dLbls>
          <c:showLegendKey val="0"/>
          <c:showVal val="0"/>
          <c:showCatName val="0"/>
          <c:showSerName val="0"/>
          <c:showPercent val="0"/>
          <c:showBubbleSize val="0"/>
        </c:dLbls>
        <c:gapWidth val="150"/>
        <c:axId val="69935104"/>
        <c:axId val="69936640"/>
      </c:barChart>
      <c:catAx>
        <c:axId val="69935104"/>
        <c:scaling>
          <c:orientation val="minMax"/>
        </c:scaling>
        <c:delete val="0"/>
        <c:axPos val="l"/>
        <c:numFmt formatCode="General" sourceLinked="0"/>
        <c:majorTickMark val="out"/>
        <c:minorTickMark val="none"/>
        <c:tickLblPos val="nextTo"/>
        <c:crossAx val="69936640"/>
        <c:crosses val="autoZero"/>
        <c:auto val="1"/>
        <c:lblAlgn val="ctr"/>
        <c:lblOffset val="100"/>
        <c:noMultiLvlLbl val="0"/>
      </c:catAx>
      <c:valAx>
        <c:axId val="69936640"/>
        <c:scaling>
          <c:orientation val="minMax"/>
        </c:scaling>
        <c:delete val="0"/>
        <c:axPos val="b"/>
        <c:majorGridlines/>
        <c:title>
          <c:tx>
            <c:rich>
              <a:bodyPr/>
              <a:lstStyle/>
              <a:p>
                <a:pPr>
                  <a:defRPr/>
                </a:pPr>
                <a:r>
                  <a:rPr lang="en-GB"/>
                  <a:t>No. of Tweets</a:t>
                </a:r>
              </a:p>
            </c:rich>
          </c:tx>
          <c:overlay val="0"/>
        </c:title>
        <c:numFmt formatCode="General" sourceLinked="1"/>
        <c:majorTickMark val="out"/>
        <c:minorTickMark val="none"/>
        <c:tickLblPos val="nextTo"/>
        <c:crossAx val="6993510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Dimensions!$A$8:$A$12</c:f>
              <c:strCache>
                <c:ptCount val="5"/>
                <c:pt idx="0">
                  <c:v>Economic</c:v>
                </c:pt>
                <c:pt idx="1">
                  <c:v>Political</c:v>
                </c:pt>
                <c:pt idx="2">
                  <c:v>Social</c:v>
                </c:pt>
                <c:pt idx="3">
                  <c:v>Environmental</c:v>
                </c:pt>
                <c:pt idx="4">
                  <c:v>Climate Change</c:v>
                </c:pt>
              </c:strCache>
            </c:strRef>
          </c:cat>
          <c:val>
            <c:numRef>
              <c:f>Dimensions!$B$8:$B$12</c:f>
              <c:numCache>
                <c:formatCode>General</c:formatCode>
                <c:ptCount val="5"/>
                <c:pt idx="0">
                  <c:v>296</c:v>
                </c:pt>
                <c:pt idx="1">
                  <c:v>278</c:v>
                </c:pt>
                <c:pt idx="2">
                  <c:v>122</c:v>
                </c:pt>
                <c:pt idx="3">
                  <c:v>52</c:v>
                </c:pt>
                <c:pt idx="4">
                  <c:v>52</c:v>
                </c:pt>
              </c:numCache>
            </c:numRef>
          </c:val>
        </c:ser>
        <c:dLbls>
          <c:showLegendKey val="0"/>
          <c:showVal val="1"/>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bar"/>
        <c:grouping val="clustered"/>
        <c:varyColors val="0"/>
        <c:ser>
          <c:idx val="0"/>
          <c:order val="0"/>
          <c:tx>
            <c:strRef>
              <c:f>Actors!$B$1</c:f>
              <c:strCache>
                <c:ptCount val="1"/>
                <c:pt idx="0">
                  <c:v>No. of Mentions </c:v>
                </c:pt>
              </c:strCache>
            </c:strRef>
          </c:tx>
          <c:invertIfNegative val="0"/>
          <c:cat>
            <c:strRef>
              <c:f>Actors!$A$2:$A$14</c:f>
              <c:strCache>
                <c:ptCount val="13"/>
                <c:pt idx="0">
                  <c:v>NGO</c:v>
                </c:pt>
                <c:pt idx="1">
                  <c:v>International Organisations</c:v>
                </c:pt>
                <c:pt idx="2">
                  <c:v>USA</c:v>
                </c:pt>
                <c:pt idx="3">
                  <c:v>Arnold Schwarzenegger</c:v>
                </c:pt>
                <c:pt idx="4">
                  <c:v>BRICS</c:v>
                </c:pt>
                <c:pt idx="5">
                  <c:v>President Obama</c:v>
                </c:pt>
                <c:pt idx="6">
                  <c:v>Commissioner Hedegaard</c:v>
                </c:pt>
                <c:pt idx="7">
                  <c:v>Regional/Sub-MS level actors</c:v>
                </c:pt>
                <c:pt idx="8">
                  <c:v>EU Institutions</c:v>
                </c:pt>
                <c:pt idx="9">
                  <c:v>EU MS</c:v>
                </c:pt>
                <c:pt idx="10">
                  <c:v>Commissioner Oettinger</c:v>
                </c:pt>
                <c:pt idx="11">
                  <c:v>European Commission</c:v>
                </c:pt>
                <c:pt idx="12">
                  <c:v>EU</c:v>
                </c:pt>
              </c:strCache>
            </c:strRef>
          </c:cat>
          <c:val>
            <c:numRef>
              <c:f>Actors!$B$2:$B$14</c:f>
              <c:numCache>
                <c:formatCode>General</c:formatCode>
                <c:ptCount val="13"/>
                <c:pt idx="0">
                  <c:v>5</c:v>
                </c:pt>
                <c:pt idx="1">
                  <c:v>9</c:v>
                </c:pt>
                <c:pt idx="2">
                  <c:v>10</c:v>
                </c:pt>
                <c:pt idx="3">
                  <c:v>11</c:v>
                </c:pt>
                <c:pt idx="4">
                  <c:v>17</c:v>
                </c:pt>
                <c:pt idx="5">
                  <c:v>21</c:v>
                </c:pt>
                <c:pt idx="6">
                  <c:v>24</c:v>
                </c:pt>
                <c:pt idx="7">
                  <c:v>24</c:v>
                </c:pt>
                <c:pt idx="8">
                  <c:v>31</c:v>
                </c:pt>
                <c:pt idx="9">
                  <c:v>42</c:v>
                </c:pt>
                <c:pt idx="10">
                  <c:v>62</c:v>
                </c:pt>
                <c:pt idx="11">
                  <c:v>83</c:v>
                </c:pt>
                <c:pt idx="12">
                  <c:v>156</c:v>
                </c:pt>
              </c:numCache>
            </c:numRef>
          </c:val>
        </c:ser>
        <c:dLbls>
          <c:showLegendKey val="0"/>
          <c:showVal val="0"/>
          <c:showCatName val="0"/>
          <c:showSerName val="0"/>
          <c:showPercent val="0"/>
          <c:showBubbleSize val="0"/>
        </c:dLbls>
        <c:gapWidth val="150"/>
        <c:axId val="70020096"/>
        <c:axId val="70054656"/>
      </c:barChart>
      <c:catAx>
        <c:axId val="70020096"/>
        <c:scaling>
          <c:orientation val="minMax"/>
        </c:scaling>
        <c:delete val="0"/>
        <c:axPos val="l"/>
        <c:numFmt formatCode="General" sourceLinked="0"/>
        <c:majorTickMark val="out"/>
        <c:minorTickMark val="none"/>
        <c:tickLblPos val="nextTo"/>
        <c:crossAx val="70054656"/>
        <c:crosses val="autoZero"/>
        <c:auto val="1"/>
        <c:lblAlgn val="ctr"/>
        <c:lblOffset val="100"/>
        <c:noMultiLvlLbl val="0"/>
      </c:catAx>
      <c:valAx>
        <c:axId val="70054656"/>
        <c:scaling>
          <c:orientation val="minMax"/>
          <c:max val="160"/>
        </c:scaling>
        <c:delete val="0"/>
        <c:axPos val="b"/>
        <c:majorGridlines/>
        <c:title>
          <c:tx>
            <c:rich>
              <a:bodyPr/>
              <a:lstStyle/>
              <a:p>
                <a:pPr>
                  <a:defRPr/>
                </a:pPr>
                <a:r>
                  <a:rPr lang="en-GB"/>
                  <a:t>No. of Mentions</a:t>
                </a:r>
              </a:p>
            </c:rich>
          </c:tx>
          <c:overlay val="0"/>
        </c:title>
        <c:numFmt formatCode="General" sourceLinked="1"/>
        <c:majorTickMark val="out"/>
        <c:minorTickMark val="none"/>
        <c:tickLblPos val="nextTo"/>
        <c:crossAx val="70020096"/>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view3D>
      <c:rotX val="30"/>
      <c:rotY val="50"/>
      <c:rAngAx val="0"/>
      <c:perspective val="30"/>
    </c:view3D>
    <c:floor>
      <c:thickness val="0"/>
    </c:floor>
    <c:sideWall>
      <c:thickness val="0"/>
    </c:sideWall>
    <c:backWall>
      <c:thickness val="0"/>
    </c:backWall>
    <c:plotArea>
      <c:layout/>
      <c:pie3D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Dimensions!$A$2:$A$4</c:f>
              <c:strCache>
                <c:ptCount val="3"/>
                <c:pt idx="0">
                  <c:v>Competitiveness</c:v>
                </c:pt>
                <c:pt idx="1">
                  <c:v>Security of Supply</c:v>
                </c:pt>
                <c:pt idx="2">
                  <c:v>Sustainability</c:v>
                </c:pt>
              </c:strCache>
            </c:strRef>
          </c:cat>
          <c:val>
            <c:numRef>
              <c:f>Dimensions!$B$2:$B$4</c:f>
              <c:numCache>
                <c:formatCode>General</c:formatCode>
                <c:ptCount val="3"/>
                <c:pt idx="0">
                  <c:v>60</c:v>
                </c:pt>
                <c:pt idx="1">
                  <c:v>51</c:v>
                </c:pt>
                <c:pt idx="2">
                  <c:v>1507</c:v>
                </c:pt>
              </c:numCache>
            </c:numRef>
          </c:val>
        </c:ser>
        <c:dLbls>
          <c:showLegendKey val="0"/>
          <c:showVal val="1"/>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invertIfNegative val="0"/>
          <c:dLbls>
            <c:dLbl>
              <c:idx val="7"/>
              <c:layout>
                <c:manualLayout>
                  <c:x val="0"/>
                  <c:y val="3.7748499259374802E-3"/>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'Energy Issues'!$D$2:$D$9</c:f>
              <c:strCache>
                <c:ptCount val="8"/>
                <c:pt idx="0">
                  <c:v>EUSEW Event</c:v>
                </c:pt>
                <c:pt idx="1">
                  <c:v>Sustainable Development</c:v>
                </c:pt>
                <c:pt idx="2">
                  <c:v>Energy Efficiency</c:v>
                </c:pt>
                <c:pt idx="3">
                  <c:v>Energy Policies/Governance</c:v>
                </c:pt>
                <c:pt idx="4">
                  <c:v>Energy Investment</c:v>
                </c:pt>
                <c:pt idx="5">
                  <c:v>Energy Infrastructure</c:v>
                </c:pt>
                <c:pt idx="6">
                  <c:v>Urbanization</c:v>
                </c:pt>
                <c:pt idx="7">
                  <c:v>Emissions</c:v>
                </c:pt>
              </c:strCache>
            </c:strRef>
          </c:cat>
          <c:val>
            <c:numRef>
              <c:f>'Energy Issues'!$E$2:$E$9</c:f>
              <c:numCache>
                <c:formatCode>General</c:formatCode>
                <c:ptCount val="8"/>
                <c:pt idx="0">
                  <c:v>530</c:v>
                </c:pt>
                <c:pt idx="1">
                  <c:v>425</c:v>
                </c:pt>
                <c:pt idx="2">
                  <c:v>217</c:v>
                </c:pt>
                <c:pt idx="3">
                  <c:v>189</c:v>
                </c:pt>
                <c:pt idx="4">
                  <c:v>153</c:v>
                </c:pt>
                <c:pt idx="5">
                  <c:v>80</c:v>
                </c:pt>
                <c:pt idx="6">
                  <c:v>54</c:v>
                </c:pt>
                <c:pt idx="7">
                  <c:v>32</c:v>
                </c:pt>
              </c:numCache>
            </c:numRef>
          </c:val>
        </c:ser>
        <c:dLbls>
          <c:dLblPos val="ctr"/>
          <c:showLegendKey val="0"/>
          <c:showVal val="1"/>
          <c:showCatName val="0"/>
          <c:showSerName val="0"/>
          <c:showPercent val="0"/>
          <c:showBubbleSize val="0"/>
        </c:dLbls>
        <c:gapWidth val="150"/>
        <c:axId val="70997888"/>
        <c:axId val="71025408"/>
      </c:barChart>
      <c:catAx>
        <c:axId val="70997888"/>
        <c:scaling>
          <c:orientation val="minMax"/>
        </c:scaling>
        <c:delete val="0"/>
        <c:axPos val="b"/>
        <c:numFmt formatCode="General" sourceLinked="0"/>
        <c:majorTickMark val="out"/>
        <c:minorTickMark val="none"/>
        <c:tickLblPos val="nextTo"/>
        <c:crossAx val="71025408"/>
        <c:crosses val="autoZero"/>
        <c:auto val="1"/>
        <c:lblAlgn val="ctr"/>
        <c:lblOffset val="100"/>
        <c:noMultiLvlLbl val="0"/>
      </c:catAx>
      <c:valAx>
        <c:axId val="71025408"/>
        <c:scaling>
          <c:orientation val="minMax"/>
        </c:scaling>
        <c:delete val="0"/>
        <c:axPos val="l"/>
        <c:majorGridlines/>
        <c:numFmt formatCode="General" sourceLinked="1"/>
        <c:majorTickMark val="out"/>
        <c:minorTickMark val="none"/>
        <c:tickLblPos val="nextTo"/>
        <c:crossAx val="70997888"/>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view3D>
      <c:rotX val="30"/>
      <c:rotY val="200"/>
      <c:rAngAx val="0"/>
      <c:perspective val="30"/>
    </c:view3D>
    <c:floor>
      <c:thickness val="0"/>
    </c:floor>
    <c:sideWall>
      <c:thickness val="0"/>
    </c:sideWall>
    <c:backWall>
      <c:thickness val="0"/>
    </c:backWall>
    <c:plotArea>
      <c:layout/>
      <c:pie3DChart>
        <c:varyColors val="1"/>
        <c:ser>
          <c:idx val="0"/>
          <c:order val="0"/>
          <c:dPt>
            <c:idx val="0"/>
            <c:bubble3D val="0"/>
          </c:dPt>
          <c:dLbls>
            <c:dLbl>
              <c:idx val="0"/>
              <c:layout>
                <c:manualLayout>
                  <c:x val="3.9527559055118101E-3"/>
                  <c:y val="3.5598206474190701E-2"/>
                </c:manualLayout>
              </c:layout>
              <c:showLegendKey val="0"/>
              <c:showVal val="0"/>
              <c:showCatName val="0"/>
              <c:showSerName val="0"/>
              <c:showPercent val="1"/>
              <c:showBubbleSize val="0"/>
              <c:extLst>
                <c:ext xmlns:c15="http://schemas.microsoft.com/office/drawing/2012/chart" uri="{CE6537A1-D6FC-4f65-9D91-7224C49458BB}"/>
              </c:extLst>
            </c:dLbl>
            <c:dLbl>
              <c:idx val="1"/>
              <c:layout>
                <c:manualLayout>
                  <c:x val="-5.5585958005249299E-2"/>
                  <c:y val="2.78251676873724E-2"/>
                </c:manualLayout>
              </c:layout>
              <c:showLegendKey val="0"/>
              <c:showVal val="0"/>
              <c:showCatName val="0"/>
              <c:showSerName val="0"/>
              <c:showPercent val="1"/>
              <c:showBubbleSize val="0"/>
              <c:extLst>
                <c:ext xmlns:c15="http://schemas.microsoft.com/office/drawing/2012/chart" uri="{CE6537A1-D6FC-4f65-9D91-7224C49458BB}"/>
              </c:extLst>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Sentiment!$A$3:$A$7</c:f>
              <c:strCache>
                <c:ptCount val="5"/>
                <c:pt idx="0">
                  <c:v>Negative</c:v>
                </c:pt>
                <c:pt idx="1">
                  <c:v>Neutral-to-Negative</c:v>
                </c:pt>
                <c:pt idx="2">
                  <c:v>Neutral</c:v>
                </c:pt>
                <c:pt idx="3">
                  <c:v>Neutral-to-Positive</c:v>
                </c:pt>
                <c:pt idx="4">
                  <c:v>Positive</c:v>
                </c:pt>
              </c:strCache>
            </c:strRef>
          </c:cat>
          <c:val>
            <c:numRef>
              <c:f>Sentiment!$B$3:$B$7</c:f>
              <c:numCache>
                <c:formatCode>General</c:formatCode>
                <c:ptCount val="5"/>
                <c:pt idx="0">
                  <c:v>15</c:v>
                </c:pt>
                <c:pt idx="1">
                  <c:v>50</c:v>
                </c:pt>
                <c:pt idx="2">
                  <c:v>932</c:v>
                </c:pt>
                <c:pt idx="3">
                  <c:v>460</c:v>
                </c:pt>
                <c:pt idx="4">
                  <c:v>159</c:v>
                </c:pt>
              </c:numCache>
            </c:numRef>
          </c:val>
        </c:ser>
        <c:dLbls>
          <c:showLegendKey val="0"/>
          <c:showVal val="1"/>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stacked"/>
        <c:varyColors val="0"/>
        <c:ser>
          <c:idx val="0"/>
          <c:order val="0"/>
          <c:tx>
            <c:strRef>
              <c:f>Sentiment!$B$15</c:f>
              <c:strCache>
                <c:ptCount val="1"/>
                <c:pt idx="0">
                  <c:v>CM Yes</c:v>
                </c:pt>
              </c:strCache>
            </c:strRef>
          </c:tx>
          <c:invertIfNegative val="0"/>
          <c:cat>
            <c:strRef>
              <c:f>Sentiment!$A$16:$A$20</c:f>
              <c:strCache>
                <c:ptCount val="5"/>
                <c:pt idx="0">
                  <c:v>Negative</c:v>
                </c:pt>
                <c:pt idx="1">
                  <c:v>Neutral-to-Negative</c:v>
                </c:pt>
                <c:pt idx="2">
                  <c:v>Neutral</c:v>
                </c:pt>
                <c:pt idx="3">
                  <c:v>Neutral-to-Positive</c:v>
                </c:pt>
                <c:pt idx="4">
                  <c:v>Positive</c:v>
                </c:pt>
              </c:strCache>
            </c:strRef>
          </c:cat>
          <c:val>
            <c:numRef>
              <c:f>Sentiment!$B$16:$B$20</c:f>
              <c:numCache>
                <c:formatCode>General</c:formatCode>
                <c:ptCount val="5"/>
                <c:pt idx="0">
                  <c:v>5</c:v>
                </c:pt>
                <c:pt idx="1">
                  <c:v>19</c:v>
                </c:pt>
                <c:pt idx="2">
                  <c:v>56</c:v>
                </c:pt>
                <c:pt idx="3">
                  <c:v>82</c:v>
                </c:pt>
                <c:pt idx="4">
                  <c:v>44</c:v>
                </c:pt>
              </c:numCache>
            </c:numRef>
          </c:val>
        </c:ser>
        <c:ser>
          <c:idx val="1"/>
          <c:order val="1"/>
          <c:tx>
            <c:strRef>
              <c:f>Sentiment!$C$15</c:f>
              <c:strCache>
                <c:ptCount val="1"/>
                <c:pt idx="0">
                  <c:v>CM No</c:v>
                </c:pt>
              </c:strCache>
            </c:strRef>
          </c:tx>
          <c:invertIfNegative val="0"/>
          <c:cat>
            <c:strRef>
              <c:f>Sentiment!$A$16:$A$20</c:f>
              <c:strCache>
                <c:ptCount val="5"/>
                <c:pt idx="0">
                  <c:v>Negative</c:v>
                </c:pt>
                <c:pt idx="1">
                  <c:v>Neutral-to-Negative</c:v>
                </c:pt>
                <c:pt idx="2">
                  <c:v>Neutral</c:v>
                </c:pt>
                <c:pt idx="3">
                  <c:v>Neutral-to-Positive</c:v>
                </c:pt>
                <c:pt idx="4">
                  <c:v>Positive</c:v>
                </c:pt>
              </c:strCache>
            </c:strRef>
          </c:cat>
          <c:val>
            <c:numRef>
              <c:f>Sentiment!$C$16:$C$20</c:f>
              <c:numCache>
                <c:formatCode>General</c:formatCode>
                <c:ptCount val="5"/>
                <c:pt idx="0">
                  <c:v>10</c:v>
                </c:pt>
                <c:pt idx="1">
                  <c:v>31</c:v>
                </c:pt>
                <c:pt idx="2">
                  <c:v>876</c:v>
                </c:pt>
                <c:pt idx="3">
                  <c:v>378</c:v>
                </c:pt>
                <c:pt idx="4">
                  <c:v>115</c:v>
                </c:pt>
              </c:numCache>
            </c:numRef>
          </c:val>
        </c:ser>
        <c:dLbls>
          <c:showLegendKey val="0"/>
          <c:showVal val="0"/>
          <c:showCatName val="0"/>
          <c:showSerName val="0"/>
          <c:showPercent val="0"/>
          <c:showBubbleSize val="0"/>
        </c:dLbls>
        <c:gapWidth val="150"/>
        <c:overlap val="100"/>
        <c:axId val="71519232"/>
        <c:axId val="71553792"/>
      </c:barChart>
      <c:catAx>
        <c:axId val="71519232"/>
        <c:scaling>
          <c:orientation val="minMax"/>
        </c:scaling>
        <c:delete val="0"/>
        <c:axPos val="b"/>
        <c:numFmt formatCode="General" sourceLinked="0"/>
        <c:majorTickMark val="out"/>
        <c:minorTickMark val="none"/>
        <c:tickLblPos val="nextTo"/>
        <c:crossAx val="71553792"/>
        <c:crosses val="autoZero"/>
        <c:auto val="1"/>
        <c:lblAlgn val="ctr"/>
        <c:lblOffset val="100"/>
        <c:noMultiLvlLbl val="0"/>
      </c:catAx>
      <c:valAx>
        <c:axId val="71553792"/>
        <c:scaling>
          <c:orientation val="minMax"/>
        </c:scaling>
        <c:delete val="0"/>
        <c:axPos val="l"/>
        <c:majorGridlines/>
        <c:numFmt formatCode="General" sourceLinked="1"/>
        <c:majorTickMark val="out"/>
        <c:minorTickMark val="none"/>
        <c:tickLblPos val="nextTo"/>
        <c:crossAx val="71519232"/>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9EB9D-51ED-4B42-B9F1-5564947D7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7323</Words>
  <Characters>41747</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An Emerging EU Strategic Narrative</vt:lpstr>
    </vt:vector>
  </TitlesOfParts>
  <Company>University of Leicester</Company>
  <LinksUpToDate>false</LinksUpToDate>
  <CharactersWithSpaces>48973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Emerging EU Strategic Narrative</dc:title>
  <dc:creator>Jessica Bain</dc:creator>
  <cp:lastModifiedBy>Jessica Bain</cp:lastModifiedBy>
  <cp:revision>2</cp:revision>
  <dcterms:created xsi:type="dcterms:W3CDTF">2016-01-25T09:31:00Z</dcterms:created>
  <dcterms:modified xsi:type="dcterms:W3CDTF">2016-01-25T09:31:00Z</dcterms:modified>
</cp:coreProperties>
</file>