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6C5554" w14:textId="77777777" w:rsidR="005B7A80" w:rsidRPr="00371AD3" w:rsidRDefault="005B7A80" w:rsidP="005B7A80">
      <w:pPr>
        <w:spacing w:line="480" w:lineRule="auto"/>
        <w:jc w:val="both"/>
        <w:rPr>
          <w:rFonts w:cs="Calibri"/>
          <w:sz w:val="24"/>
          <w:szCs w:val="24"/>
        </w:rPr>
      </w:pPr>
      <w:r w:rsidRPr="00371AD3">
        <w:rPr>
          <w:rFonts w:cs="Calibri"/>
          <w:b/>
          <w:sz w:val="24"/>
          <w:szCs w:val="24"/>
        </w:rPr>
        <w:t>Screening for depression in older people on acute medical wards: the validity of the Edinburgh Depression Scale</w:t>
      </w:r>
    </w:p>
    <w:p w14:paraId="3C12510E" w14:textId="77777777" w:rsidR="005B7A80" w:rsidRPr="00371AD3" w:rsidRDefault="005B7A80" w:rsidP="005B7A80">
      <w:pPr>
        <w:spacing w:line="480" w:lineRule="auto"/>
        <w:jc w:val="both"/>
        <w:rPr>
          <w:rFonts w:cs="Calibri"/>
          <w:sz w:val="24"/>
          <w:szCs w:val="24"/>
        </w:rPr>
      </w:pPr>
    </w:p>
    <w:p w14:paraId="25BC6240" w14:textId="77777777" w:rsidR="005B7A80" w:rsidRPr="00371AD3" w:rsidRDefault="005B7A80" w:rsidP="005B7A80">
      <w:pPr>
        <w:spacing w:line="480" w:lineRule="auto"/>
        <w:jc w:val="both"/>
        <w:rPr>
          <w:rFonts w:cs="Calibri"/>
          <w:sz w:val="24"/>
          <w:szCs w:val="24"/>
        </w:rPr>
      </w:pPr>
    </w:p>
    <w:p w14:paraId="4711F4C3" w14:textId="77777777" w:rsidR="005B7A80" w:rsidRDefault="005B7A80" w:rsidP="005B7A80">
      <w:pPr>
        <w:spacing w:line="480" w:lineRule="auto"/>
        <w:jc w:val="both"/>
        <w:rPr>
          <w:sz w:val="24"/>
          <w:szCs w:val="24"/>
        </w:rPr>
      </w:pPr>
      <w:r w:rsidRPr="00641328">
        <w:rPr>
          <w:sz w:val="24"/>
          <w:szCs w:val="24"/>
        </w:rPr>
        <w:t>Collins Esiwe</w:t>
      </w:r>
      <w:r w:rsidRPr="00641328">
        <w:rPr>
          <w:sz w:val="24"/>
          <w:szCs w:val="24"/>
          <w:vertAlign w:val="superscript"/>
        </w:rPr>
        <w:t>1</w:t>
      </w:r>
      <w:r w:rsidRPr="00641328">
        <w:rPr>
          <w:sz w:val="24"/>
          <w:szCs w:val="24"/>
        </w:rPr>
        <w:t>, Sarah Baillon</w:t>
      </w:r>
      <w:r w:rsidRPr="00641328">
        <w:rPr>
          <w:sz w:val="24"/>
          <w:szCs w:val="24"/>
          <w:vertAlign w:val="superscript"/>
        </w:rPr>
        <w:t>2*</w:t>
      </w:r>
      <w:r w:rsidRPr="00641328">
        <w:rPr>
          <w:sz w:val="24"/>
          <w:szCs w:val="24"/>
        </w:rPr>
        <w:t>, Aniruddha Rajkonwar</w:t>
      </w:r>
      <w:r w:rsidRPr="00641328">
        <w:rPr>
          <w:sz w:val="24"/>
          <w:szCs w:val="24"/>
          <w:vertAlign w:val="superscript"/>
        </w:rPr>
        <w:t>3</w:t>
      </w:r>
      <w:r w:rsidRPr="00641328">
        <w:rPr>
          <w:sz w:val="24"/>
          <w:szCs w:val="24"/>
        </w:rPr>
        <w:t>, James Lindesay</w:t>
      </w:r>
      <w:r w:rsidRPr="00641328">
        <w:rPr>
          <w:sz w:val="24"/>
          <w:szCs w:val="24"/>
          <w:vertAlign w:val="superscript"/>
        </w:rPr>
        <w:t>2</w:t>
      </w:r>
      <w:r w:rsidRPr="00641328">
        <w:rPr>
          <w:sz w:val="24"/>
          <w:szCs w:val="24"/>
        </w:rPr>
        <w:t>, Nelson Lo</w:t>
      </w:r>
      <w:r w:rsidRPr="00641328">
        <w:rPr>
          <w:sz w:val="24"/>
          <w:szCs w:val="24"/>
          <w:vertAlign w:val="superscript"/>
        </w:rPr>
        <w:t>4</w:t>
      </w:r>
      <w:r w:rsidRPr="00641328">
        <w:rPr>
          <w:sz w:val="24"/>
          <w:szCs w:val="24"/>
        </w:rPr>
        <w:t xml:space="preserve">, </w:t>
      </w:r>
    </w:p>
    <w:p w14:paraId="16E7A992" w14:textId="77777777" w:rsidR="005B7A80" w:rsidRPr="00641328" w:rsidRDefault="005B7A80" w:rsidP="005B7A80">
      <w:pPr>
        <w:spacing w:line="480" w:lineRule="auto"/>
        <w:jc w:val="both"/>
        <w:rPr>
          <w:sz w:val="24"/>
          <w:szCs w:val="24"/>
        </w:rPr>
      </w:pPr>
      <w:r w:rsidRPr="00641328">
        <w:rPr>
          <w:sz w:val="24"/>
          <w:szCs w:val="24"/>
        </w:rPr>
        <w:t>Michael Dennis</w:t>
      </w:r>
      <w:r w:rsidRPr="00641328">
        <w:rPr>
          <w:sz w:val="24"/>
          <w:szCs w:val="24"/>
          <w:vertAlign w:val="superscript"/>
        </w:rPr>
        <w:t>5</w:t>
      </w:r>
    </w:p>
    <w:p w14:paraId="5060F984" w14:textId="77777777" w:rsidR="005B7A80" w:rsidRPr="00641328" w:rsidRDefault="005B7A80" w:rsidP="005B7A80">
      <w:pPr>
        <w:spacing w:line="480" w:lineRule="auto"/>
        <w:jc w:val="both"/>
        <w:rPr>
          <w:sz w:val="24"/>
          <w:szCs w:val="24"/>
        </w:rPr>
      </w:pPr>
    </w:p>
    <w:p w14:paraId="33510EA0" w14:textId="77777777" w:rsidR="005B7A80" w:rsidRPr="00641328" w:rsidRDefault="005B7A80" w:rsidP="005B7A80">
      <w:pPr>
        <w:spacing w:line="480" w:lineRule="auto"/>
        <w:jc w:val="both"/>
        <w:rPr>
          <w:sz w:val="24"/>
          <w:szCs w:val="24"/>
        </w:rPr>
      </w:pPr>
      <w:r w:rsidRPr="00641328">
        <w:rPr>
          <w:sz w:val="24"/>
          <w:szCs w:val="24"/>
          <w:vertAlign w:val="superscript"/>
        </w:rPr>
        <w:t>1</w:t>
      </w:r>
      <w:r w:rsidRPr="00641328">
        <w:rPr>
          <w:sz w:val="24"/>
          <w:szCs w:val="24"/>
        </w:rPr>
        <w:t xml:space="preserve"> </w:t>
      </w:r>
      <w:r w:rsidRPr="00371AD3">
        <w:rPr>
          <w:sz w:val="24"/>
          <w:szCs w:val="24"/>
        </w:rPr>
        <w:t>Lincolnshire Partnership NHS Foundation Trust, Sleaford, Lincolnshire, UK</w:t>
      </w:r>
    </w:p>
    <w:p w14:paraId="47AAE984" w14:textId="77777777" w:rsidR="005B7A80" w:rsidRPr="00371AD3" w:rsidRDefault="005B7A80" w:rsidP="005B7A80">
      <w:pPr>
        <w:spacing w:line="480" w:lineRule="auto"/>
        <w:jc w:val="both"/>
        <w:rPr>
          <w:sz w:val="24"/>
          <w:szCs w:val="24"/>
        </w:rPr>
      </w:pPr>
      <w:r w:rsidRPr="00371AD3">
        <w:rPr>
          <w:sz w:val="24"/>
          <w:szCs w:val="24"/>
          <w:vertAlign w:val="superscript"/>
        </w:rPr>
        <w:t>2</w:t>
      </w:r>
      <w:r w:rsidRPr="00371AD3">
        <w:rPr>
          <w:sz w:val="24"/>
          <w:szCs w:val="24"/>
        </w:rPr>
        <w:t xml:space="preserve"> Department of Health Sciences, University of Leicester, Leicester, UK</w:t>
      </w:r>
    </w:p>
    <w:p w14:paraId="02CD3B2F" w14:textId="77777777" w:rsidR="005B7A80" w:rsidRPr="00371AD3" w:rsidRDefault="005B7A80" w:rsidP="005B7A80">
      <w:pPr>
        <w:spacing w:line="480" w:lineRule="auto"/>
        <w:jc w:val="both"/>
        <w:rPr>
          <w:sz w:val="24"/>
          <w:szCs w:val="24"/>
        </w:rPr>
      </w:pPr>
      <w:r w:rsidRPr="00371AD3">
        <w:rPr>
          <w:sz w:val="24"/>
          <w:szCs w:val="24"/>
          <w:vertAlign w:val="superscript"/>
        </w:rPr>
        <w:t>3</w:t>
      </w:r>
      <w:r w:rsidRPr="00371AD3">
        <w:rPr>
          <w:sz w:val="24"/>
          <w:szCs w:val="24"/>
        </w:rPr>
        <w:t xml:space="preserve"> Tees, Esk and Wear Valley NHS Trust, County Durham, UK</w:t>
      </w:r>
    </w:p>
    <w:p w14:paraId="16641F77" w14:textId="77777777" w:rsidR="005B7A80" w:rsidRPr="00371AD3" w:rsidRDefault="005B7A80" w:rsidP="005B7A80">
      <w:pPr>
        <w:spacing w:line="480" w:lineRule="auto"/>
        <w:jc w:val="both"/>
        <w:rPr>
          <w:sz w:val="24"/>
          <w:szCs w:val="24"/>
        </w:rPr>
      </w:pPr>
      <w:r w:rsidRPr="00371AD3">
        <w:rPr>
          <w:sz w:val="24"/>
          <w:szCs w:val="24"/>
          <w:vertAlign w:val="superscript"/>
        </w:rPr>
        <w:t>4</w:t>
      </w:r>
      <w:r w:rsidRPr="00371AD3">
        <w:rPr>
          <w:sz w:val="24"/>
          <w:szCs w:val="24"/>
        </w:rPr>
        <w:t xml:space="preserve"> Department of Geriatric Medicine, University Hospitals of Leicester NHS Trust, Leicester, UK</w:t>
      </w:r>
    </w:p>
    <w:p w14:paraId="1A17E436" w14:textId="77777777" w:rsidR="005B7A80" w:rsidRPr="00371AD3" w:rsidRDefault="005B7A80" w:rsidP="005B7A80">
      <w:pPr>
        <w:spacing w:line="480" w:lineRule="auto"/>
        <w:jc w:val="both"/>
        <w:rPr>
          <w:sz w:val="24"/>
          <w:szCs w:val="24"/>
        </w:rPr>
      </w:pPr>
      <w:r w:rsidRPr="00371AD3">
        <w:rPr>
          <w:sz w:val="24"/>
          <w:szCs w:val="24"/>
          <w:vertAlign w:val="superscript"/>
        </w:rPr>
        <w:t xml:space="preserve">5 </w:t>
      </w:r>
      <w:r w:rsidRPr="00371AD3">
        <w:rPr>
          <w:sz w:val="24"/>
          <w:szCs w:val="24"/>
        </w:rPr>
        <w:t>College of Medicine, Swansea University, Wales, UK</w:t>
      </w:r>
    </w:p>
    <w:p w14:paraId="219ABD24" w14:textId="77777777" w:rsidR="005B7A80" w:rsidRPr="00371AD3" w:rsidRDefault="005B7A80" w:rsidP="005B7A80">
      <w:pPr>
        <w:spacing w:line="480" w:lineRule="auto"/>
        <w:jc w:val="both"/>
        <w:rPr>
          <w:sz w:val="24"/>
          <w:szCs w:val="24"/>
        </w:rPr>
      </w:pPr>
    </w:p>
    <w:p w14:paraId="4856D988" w14:textId="77777777" w:rsidR="005B7A80" w:rsidRPr="00371AD3" w:rsidRDefault="005B7A80" w:rsidP="005B7A80">
      <w:pPr>
        <w:spacing w:line="480" w:lineRule="auto"/>
        <w:jc w:val="both"/>
        <w:rPr>
          <w:sz w:val="24"/>
          <w:szCs w:val="24"/>
        </w:rPr>
      </w:pPr>
      <w:r w:rsidRPr="00371AD3">
        <w:rPr>
          <w:sz w:val="24"/>
          <w:szCs w:val="24"/>
        </w:rPr>
        <w:t>*Corresponding Author:</w:t>
      </w:r>
    </w:p>
    <w:p w14:paraId="46E40CE0" w14:textId="21514636" w:rsidR="005B7A80" w:rsidRPr="00371AD3" w:rsidRDefault="005B7A80" w:rsidP="005B7A80">
      <w:pPr>
        <w:spacing w:line="480" w:lineRule="auto"/>
        <w:jc w:val="both"/>
        <w:rPr>
          <w:sz w:val="24"/>
          <w:szCs w:val="24"/>
        </w:rPr>
      </w:pPr>
      <w:r w:rsidRPr="00371AD3">
        <w:rPr>
          <w:sz w:val="24"/>
          <w:szCs w:val="24"/>
        </w:rPr>
        <w:t>Sarah Baillon, Research Fellow, Department of Health Scienc</w:t>
      </w:r>
      <w:r>
        <w:rPr>
          <w:sz w:val="24"/>
          <w:szCs w:val="24"/>
        </w:rPr>
        <w:t>es, University of Leicester, Centre for Medicine</w:t>
      </w:r>
      <w:r w:rsidRPr="00371AD3">
        <w:rPr>
          <w:sz w:val="24"/>
          <w:szCs w:val="24"/>
        </w:rPr>
        <w:t xml:space="preserve">, </w:t>
      </w:r>
      <w:r>
        <w:rPr>
          <w:sz w:val="24"/>
          <w:szCs w:val="24"/>
        </w:rPr>
        <w:t>University Road, Leicester, LE1 7RH</w:t>
      </w:r>
      <w:bookmarkStart w:id="0" w:name="_GoBack"/>
      <w:bookmarkEnd w:id="0"/>
    </w:p>
    <w:p w14:paraId="35CEB861" w14:textId="77777777" w:rsidR="005B7A80" w:rsidRPr="00641328" w:rsidRDefault="005B7A80" w:rsidP="005B7A80">
      <w:pPr>
        <w:spacing w:line="480" w:lineRule="auto"/>
        <w:jc w:val="both"/>
        <w:rPr>
          <w:sz w:val="24"/>
          <w:szCs w:val="24"/>
          <w:lang w:val="fr-FR"/>
        </w:rPr>
      </w:pPr>
      <w:r w:rsidRPr="00641328">
        <w:rPr>
          <w:sz w:val="24"/>
          <w:szCs w:val="24"/>
          <w:lang w:val="fr-FR"/>
        </w:rPr>
        <w:t xml:space="preserve">Email: </w:t>
      </w:r>
      <w:hyperlink r:id="rId9" w:history="1">
        <w:r w:rsidRPr="00641328">
          <w:rPr>
            <w:rStyle w:val="Hyperlink"/>
            <w:sz w:val="24"/>
            <w:szCs w:val="24"/>
            <w:lang w:val="fr-FR"/>
          </w:rPr>
          <w:t>sfb5@leicester.ac.uk</w:t>
        </w:r>
      </w:hyperlink>
    </w:p>
    <w:p w14:paraId="56843442" w14:textId="77777777" w:rsidR="005B7A80" w:rsidRPr="00641328" w:rsidRDefault="005B7A80" w:rsidP="005B7A80">
      <w:pPr>
        <w:spacing w:line="480" w:lineRule="auto"/>
        <w:jc w:val="both"/>
        <w:rPr>
          <w:sz w:val="24"/>
          <w:szCs w:val="24"/>
          <w:lang w:val="fr-FR"/>
        </w:rPr>
      </w:pPr>
      <w:r w:rsidRPr="00641328">
        <w:rPr>
          <w:sz w:val="24"/>
          <w:szCs w:val="24"/>
          <w:lang w:val="fr-FR"/>
        </w:rPr>
        <w:t>Tel. 0116 2588161, Fax. 0116 2584078</w:t>
      </w:r>
    </w:p>
    <w:p w14:paraId="2B0CE9A6" w14:textId="77777777" w:rsidR="005B7A80" w:rsidRDefault="005B7A80">
      <w:pPr>
        <w:rPr>
          <w:rFonts w:cs="Calibri"/>
          <w:b/>
          <w:sz w:val="24"/>
          <w:szCs w:val="24"/>
        </w:rPr>
      </w:pPr>
      <w:r>
        <w:rPr>
          <w:rFonts w:cs="Calibri"/>
          <w:b/>
          <w:sz w:val="24"/>
          <w:szCs w:val="24"/>
        </w:rPr>
        <w:br w:type="page"/>
      </w:r>
    </w:p>
    <w:p w14:paraId="50C5F59E" w14:textId="5A091F91" w:rsidR="00B67A96" w:rsidRPr="00371AD3" w:rsidRDefault="007953D8" w:rsidP="00B67A96">
      <w:pPr>
        <w:spacing w:line="480" w:lineRule="auto"/>
        <w:jc w:val="both"/>
        <w:rPr>
          <w:rFonts w:cs="Calibri"/>
          <w:sz w:val="24"/>
          <w:szCs w:val="24"/>
        </w:rPr>
      </w:pPr>
      <w:r>
        <w:rPr>
          <w:rFonts w:cs="Calibri"/>
          <w:b/>
          <w:sz w:val="24"/>
          <w:szCs w:val="24"/>
        </w:rPr>
        <w:lastRenderedPageBreak/>
        <w:t>S</w:t>
      </w:r>
      <w:r w:rsidR="00B67A96" w:rsidRPr="00371AD3">
        <w:rPr>
          <w:rFonts w:cs="Calibri"/>
          <w:b/>
          <w:sz w:val="24"/>
          <w:szCs w:val="24"/>
        </w:rPr>
        <w:t>creening for depression in older people on acute medical wards: the validity of the Edinburgh Depression Scale</w:t>
      </w:r>
    </w:p>
    <w:p w14:paraId="556C90C7" w14:textId="77777777" w:rsidR="00B67A96" w:rsidRDefault="00B67A96" w:rsidP="00FE065E">
      <w:pPr>
        <w:spacing w:line="480" w:lineRule="auto"/>
        <w:jc w:val="both"/>
        <w:rPr>
          <w:rFonts w:cs="Calibri"/>
          <w:b/>
          <w:sz w:val="24"/>
          <w:szCs w:val="24"/>
        </w:rPr>
      </w:pPr>
    </w:p>
    <w:p w14:paraId="40FB0F17" w14:textId="77777777" w:rsidR="00C64B6F" w:rsidRDefault="00C64B6F" w:rsidP="00FE065E">
      <w:pPr>
        <w:spacing w:line="480" w:lineRule="auto"/>
        <w:jc w:val="both"/>
        <w:rPr>
          <w:rFonts w:cs="Calibri"/>
          <w:b/>
          <w:sz w:val="24"/>
          <w:szCs w:val="24"/>
        </w:rPr>
      </w:pPr>
      <w:r w:rsidRPr="00E46997">
        <w:rPr>
          <w:rFonts w:cs="Calibri"/>
          <w:b/>
          <w:sz w:val="24"/>
          <w:szCs w:val="24"/>
        </w:rPr>
        <w:t>ABSTRACT</w:t>
      </w:r>
    </w:p>
    <w:p w14:paraId="7A7EB54D" w14:textId="77777777" w:rsidR="00745776" w:rsidRDefault="00745776" w:rsidP="00FE065E">
      <w:pPr>
        <w:spacing w:line="480" w:lineRule="auto"/>
        <w:jc w:val="both"/>
        <w:rPr>
          <w:rFonts w:cs="Calibri"/>
          <w:b/>
          <w:sz w:val="24"/>
          <w:szCs w:val="24"/>
        </w:rPr>
      </w:pPr>
      <w:r>
        <w:rPr>
          <w:rFonts w:cs="Calibri"/>
          <w:b/>
          <w:sz w:val="24"/>
          <w:szCs w:val="24"/>
        </w:rPr>
        <w:t>Background</w:t>
      </w:r>
    </w:p>
    <w:p w14:paraId="69FE43E8" w14:textId="77777777" w:rsidR="00952BA7" w:rsidRPr="00952BA7" w:rsidRDefault="005B23E4" w:rsidP="00FE065E">
      <w:pPr>
        <w:spacing w:line="480" w:lineRule="auto"/>
        <w:jc w:val="both"/>
        <w:rPr>
          <w:rFonts w:cs="Calibri"/>
          <w:sz w:val="24"/>
          <w:szCs w:val="24"/>
        </w:rPr>
      </w:pPr>
      <w:r>
        <w:rPr>
          <w:rFonts w:cs="Calibri"/>
          <w:sz w:val="24"/>
          <w:szCs w:val="24"/>
        </w:rPr>
        <w:t xml:space="preserve">Depression is common in people with poor physical health, </w:t>
      </w:r>
      <w:r w:rsidR="00BC690D">
        <w:rPr>
          <w:rFonts w:cs="Calibri"/>
          <w:sz w:val="24"/>
          <w:szCs w:val="24"/>
        </w:rPr>
        <w:t>particularly within the acute medical</w:t>
      </w:r>
      <w:r>
        <w:rPr>
          <w:rFonts w:cs="Calibri"/>
          <w:sz w:val="24"/>
          <w:szCs w:val="24"/>
        </w:rPr>
        <w:t xml:space="preserve"> in-patient setting. </w:t>
      </w:r>
      <w:r w:rsidR="00BC690D">
        <w:rPr>
          <w:rFonts w:cs="Calibri"/>
          <w:sz w:val="24"/>
          <w:szCs w:val="24"/>
        </w:rPr>
        <w:t>Co-morbid depression contributes to poor outcomes, and s</w:t>
      </w:r>
      <w:r>
        <w:rPr>
          <w:rFonts w:cs="Calibri"/>
          <w:sz w:val="24"/>
          <w:szCs w:val="24"/>
        </w:rPr>
        <w:t>creening for depression in acute medical</w:t>
      </w:r>
      <w:r w:rsidR="00BC690D">
        <w:rPr>
          <w:rFonts w:cs="Calibri"/>
          <w:sz w:val="24"/>
          <w:szCs w:val="24"/>
        </w:rPr>
        <w:t xml:space="preserve"> in-patients has been advocated. T</w:t>
      </w:r>
      <w:r>
        <w:rPr>
          <w:rFonts w:cs="Calibri"/>
          <w:sz w:val="24"/>
          <w:szCs w:val="24"/>
        </w:rPr>
        <w:t xml:space="preserve">he Edinburgh Depression Scale (EDS) has been validated in a variety of general hospital </w:t>
      </w:r>
      <w:r w:rsidR="00371AD3">
        <w:rPr>
          <w:rFonts w:cs="Calibri"/>
          <w:sz w:val="24"/>
          <w:szCs w:val="24"/>
        </w:rPr>
        <w:t xml:space="preserve">patient </w:t>
      </w:r>
      <w:r>
        <w:rPr>
          <w:rFonts w:cs="Calibri"/>
          <w:sz w:val="24"/>
          <w:szCs w:val="24"/>
        </w:rPr>
        <w:t xml:space="preserve">groups, but not previously in older acute medical in-patients. </w:t>
      </w:r>
    </w:p>
    <w:p w14:paraId="5A7FFBB6" w14:textId="77777777" w:rsidR="00745776" w:rsidRDefault="00745776" w:rsidP="00FE065E">
      <w:pPr>
        <w:spacing w:line="480" w:lineRule="auto"/>
        <w:jc w:val="both"/>
        <w:rPr>
          <w:rFonts w:cs="Calibri"/>
          <w:b/>
          <w:sz w:val="24"/>
          <w:szCs w:val="24"/>
        </w:rPr>
      </w:pPr>
      <w:r>
        <w:rPr>
          <w:rFonts w:cs="Calibri"/>
          <w:b/>
          <w:sz w:val="24"/>
          <w:szCs w:val="24"/>
        </w:rPr>
        <w:t>Methods</w:t>
      </w:r>
    </w:p>
    <w:p w14:paraId="7AE86C8D" w14:textId="77777777" w:rsidR="00BC690D" w:rsidRDefault="00BC690D" w:rsidP="00FE065E">
      <w:pPr>
        <w:spacing w:line="480" w:lineRule="auto"/>
        <w:jc w:val="both"/>
        <w:rPr>
          <w:rFonts w:cs="Calibri"/>
          <w:sz w:val="24"/>
          <w:szCs w:val="24"/>
        </w:rPr>
      </w:pPr>
      <w:r>
        <w:rPr>
          <w:rFonts w:cs="Calibri"/>
          <w:sz w:val="24"/>
          <w:szCs w:val="24"/>
        </w:rPr>
        <w:t>One hundred and eighteen patients aged 65 years and older on acute medical wards were assessed using a standardised diagnostic interview (Present State Examination – Schedules for Clinical Assessment in Neuropsychiatry) to identify depression according to ICD-10 criteria. They subsequently completed the EDS.</w:t>
      </w:r>
      <w:r w:rsidR="007915B7">
        <w:rPr>
          <w:rFonts w:cs="Calibri"/>
          <w:sz w:val="24"/>
          <w:szCs w:val="24"/>
        </w:rPr>
        <w:t xml:space="preserve"> The performance characteristics at a range of thresholds were compared, and receiver operating characteristic curve analysis performed.</w:t>
      </w:r>
    </w:p>
    <w:p w14:paraId="41994B98" w14:textId="77777777" w:rsidR="00745776" w:rsidRDefault="00745776" w:rsidP="00FE065E">
      <w:pPr>
        <w:spacing w:line="480" w:lineRule="auto"/>
        <w:jc w:val="both"/>
        <w:rPr>
          <w:rFonts w:cs="Calibri"/>
          <w:b/>
          <w:sz w:val="24"/>
          <w:szCs w:val="24"/>
        </w:rPr>
      </w:pPr>
      <w:r>
        <w:rPr>
          <w:rFonts w:cs="Calibri"/>
          <w:b/>
          <w:sz w:val="24"/>
          <w:szCs w:val="24"/>
        </w:rPr>
        <w:t>Results</w:t>
      </w:r>
    </w:p>
    <w:p w14:paraId="30F5CF20" w14:textId="7F4D10C1" w:rsidR="00BC690D" w:rsidRPr="00BC690D" w:rsidRDefault="00BC690D" w:rsidP="00FE065E">
      <w:pPr>
        <w:spacing w:line="480" w:lineRule="auto"/>
        <w:jc w:val="both"/>
        <w:rPr>
          <w:rFonts w:cs="Calibri"/>
          <w:sz w:val="24"/>
          <w:szCs w:val="24"/>
        </w:rPr>
      </w:pPr>
      <w:r>
        <w:rPr>
          <w:rFonts w:cs="Calibri"/>
          <w:sz w:val="24"/>
          <w:szCs w:val="24"/>
        </w:rPr>
        <w:t>The optimal EDS cut-off for identifying ICD-10 depressive episode was</w:t>
      </w:r>
      <w:r w:rsidR="004D00B9">
        <w:rPr>
          <w:rFonts w:cs="Calibri"/>
          <w:sz w:val="24"/>
          <w:szCs w:val="24"/>
        </w:rPr>
        <w:t xml:space="preserve"> 7/8</w:t>
      </w:r>
      <w:r>
        <w:rPr>
          <w:rFonts w:cs="Calibri"/>
          <w:sz w:val="24"/>
          <w:szCs w:val="24"/>
        </w:rPr>
        <w:t xml:space="preserve">, with a sensitivity of </w:t>
      </w:r>
      <w:r w:rsidR="004D00B9">
        <w:rPr>
          <w:rFonts w:cs="Calibri"/>
          <w:sz w:val="24"/>
          <w:szCs w:val="24"/>
        </w:rPr>
        <w:t>88</w:t>
      </w:r>
      <w:r w:rsidR="00EB62BD">
        <w:rPr>
          <w:rFonts w:cs="Calibri"/>
          <w:sz w:val="24"/>
          <w:szCs w:val="24"/>
        </w:rPr>
        <w:t xml:space="preserve">%, specificity of </w:t>
      </w:r>
      <w:r w:rsidR="004D00B9">
        <w:rPr>
          <w:rFonts w:cs="Calibri"/>
          <w:sz w:val="24"/>
          <w:szCs w:val="24"/>
        </w:rPr>
        <w:t>77</w:t>
      </w:r>
      <w:r w:rsidR="00EB62BD">
        <w:rPr>
          <w:rFonts w:cs="Calibri"/>
          <w:sz w:val="24"/>
          <w:szCs w:val="24"/>
        </w:rPr>
        <w:t>%, positive predictive value of 5</w:t>
      </w:r>
      <w:r w:rsidR="004D00B9">
        <w:rPr>
          <w:rFonts w:cs="Calibri"/>
          <w:sz w:val="24"/>
          <w:szCs w:val="24"/>
        </w:rPr>
        <w:t>2</w:t>
      </w:r>
      <w:r w:rsidR="00EB62BD">
        <w:rPr>
          <w:rFonts w:cs="Calibri"/>
          <w:sz w:val="24"/>
          <w:szCs w:val="24"/>
        </w:rPr>
        <w:t>%</w:t>
      </w:r>
      <w:r w:rsidR="00371AD3">
        <w:rPr>
          <w:rFonts w:cs="Calibri"/>
          <w:sz w:val="24"/>
          <w:szCs w:val="24"/>
        </w:rPr>
        <w:t>,</w:t>
      </w:r>
      <w:r w:rsidR="00EB62BD">
        <w:rPr>
          <w:rFonts w:cs="Calibri"/>
          <w:sz w:val="24"/>
          <w:szCs w:val="24"/>
        </w:rPr>
        <w:t xml:space="preserve"> and negative predictive value of 9</w:t>
      </w:r>
      <w:r w:rsidR="004D00B9">
        <w:rPr>
          <w:rFonts w:cs="Calibri"/>
          <w:sz w:val="24"/>
          <w:szCs w:val="24"/>
        </w:rPr>
        <w:t>6</w:t>
      </w:r>
      <w:r w:rsidR="00EB62BD">
        <w:rPr>
          <w:rFonts w:cs="Calibri"/>
          <w:sz w:val="24"/>
          <w:szCs w:val="24"/>
        </w:rPr>
        <w:t>%. The area under the receiver operating characteristic curve was 0.91.</w:t>
      </w:r>
    </w:p>
    <w:p w14:paraId="6117CE59" w14:textId="77777777" w:rsidR="00745776" w:rsidRDefault="00745776" w:rsidP="00FE065E">
      <w:pPr>
        <w:spacing w:line="480" w:lineRule="auto"/>
        <w:jc w:val="both"/>
        <w:rPr>
          <w:rFonts w:cs="Calibri"/>
          <w:b/>
          <w:sz w:val="24"/>
          <w:szCs w:val="24"/>
        </w:rPr>
      </w:pPr>
      <w:r>
        <w:rPr>
          <w:rFonts w:cs="Calibri"/>
          <w:b/>
          <w:sz w:val="24"/>
          <w:szCs w:val="24"/>
        </w:rPr>
        <w:t>Conclusions</w:t>
      </w:r>
    </w:p>
    <w:p w14:paraId="6954105C" w14:textId="77777777" w:rsidR="007915B7" w:rsidRPr="006C58B9" w:rsidRDefault="006C58B9" w:rsidP="00FE065E">
      <w:pPr>
        <w:spacing w:line="480" w:lineRule="auto"/>
        <w:jc w:val="both"/>
        <w:rPr>
          <w:rFonts w:cs="Calibri"/>
          <w:sz w:val="24"/>
          <w:szCs w:val="24"/>
        </w:rPr>
      </w:pPr>
      <w:r w:rsidRPr="006C58B9">
        <w:rPr>
          <w:rFonts w:cs="Calibri"/>
          <w:sz w:val="24"/>
          <w:szCs w:val="24"/>
        </w:rPr>
        <w:t xml:space="preserve">The EDS </w:t>
      </w:r>
      <w:r>
        <w:rPr>
          <w:rFonts w:cs="Calibri"/>
          <w:sz w:val="24"/>
          <w:szCs w:val="24"/>
        </w:rPr>
        <w:t>was shown to be a useful instrument for detecting clinical de</w:t>
      </w:r>
      <w:r w:rsidR="008D473D">
        <w:rPr>
          <w:rFonts w:cs="Calibri"/>
          <w:sz w:val="24"/>
          <w:szCs w:val="24"/>
        </w:rPr>
        <w:t xml:space="preserve">pression in older people </w:t>
      </w:r>
      <w:r w:rsidR="00193787">
        <w:rPr>
          <w:rFonts w:cs="Calibri"/>
          <w:sz w:val="24"/>
          <w:szCs w:val="24"/>
        </w:rPr>
        <w:t xml:space="preserve">on </w:t>
      </w:r>
      <w:r>
        <w:rPr>
          <w:rFonts w:cs="Calibri"/>
          <w:sz w:val="24"/>
          <w:szCs w:val="24"/>
        </w:rPr>
        <w:t>acute me</w:t>
      </w:r>
      <w:r w:rsidR="008D473D">
        <w:rPr>
          <w:rFonts w:cs="Calibri"/>
          <w:sz w:val="24"/>
          <w:szCs w:val="24"/>
        </w:rPr>
        <w:t xml:space="preserve">dical </w:t>
      </w:r>
      <w:r w:rsidR="00193787">
        <w:rPr>
          <w:rFonts w:cs="Calibri"/>
          <w:sz w:val="24"/>
          <w:szCs w:val="24"/>
        </w:rPr>
        <w:t xml:space="preserve">wards </w:t>
      </w:r>
      <w:r w:rsidR="008D473D">
        <w:rPr>
          <w:rFonts w:cs="Calibri"/>
          <w:sz w:val="24"/>
          <w:szCs w:val="24"/>
        </w:rPr>
        <w:t>in this study. It</w:t>
      </w:r>
      <w:r>
        <w:rPr>
          <w:rFonts w:cs="Calibri"/>
          <w:sz w:val="24"/>
          <w:szCs w:val="24"/>
        </w:rPr>
        <w:t xml:space="preserve">s performance was equivalent to other </w:t>
      </w:r>
      <w:r>
        <w:rPr>
          <w:rFonts w:cs="Calibri"/>
          <w:sz w:val="24"/>
          <w:szCs w:val="24"/>
        </w:rPr>
        <w:lastRenderedPageBreak/>
        <w:t>validated screening instruments</w:t>
      </w:r>
      <w:r w:rsidR="008D473D">
        <w:rPr>
          <w:rFonts w:cs="Calibri"/>
          <w:sz w:val="24"/>
          <w:szCs w:val="24"/>
        </w:rPr>
        <w:t xml:space="preserve"> in this population. </w:t>
      </w:r>
      <w:r w:rsidR="00193787">
        <w:rPr>
          <w:rFonts w:cs="Calibri"/>
          <w:sz w:val="24"/>
          <w:szCs w:val="24"/>
        </w:rPr>
        <w:t>O</w:t>
      </w:r>
      <w:r w:rsidR="008D473D">
        <w:rPr>
          <w:rFonts w:cs="Calibri"/>
          <w:sz w:val="24"/>
          <w:szCs w:val="24"/>
        </w:rPr>
        <w:t xml:space="preserve">ur findings add further weight to using the EDS as a screening instrument for depression in </w:t>
      </w:r>
      <w:r w:rsidR="00193787">
        <w:rPr>
          <w:rFonts w:cs="Calibri"/>
          <w:sz w:val="24"/>
          <w:szCs w:val="24"/>
        </w:rPr>
        <w:t>multiple general hospital settings.</w:t>
      </w:r>
      <w:r w:rsidR="008D473D">
        <w:rPr>
          <w:rFonts w:cs="Calibri"/>
          <w:sz w:val="24"/>
          <w:szCs w:val="24"/>
        </w:rPr>
        <w:t xml:space="preserve"> </w:t>
      </w:r>
    </w:p>
    <w:p w14:paraId="59048611" w14:textId="77777777" w:rsidR="00B67A96" w:rsidRDefault="00B67A96" w:rsidP="00FE065E">
      <w:pPr>
        <w:spacing w:line="480" w:lineRule="auto"/>
        <w:jc w:val="both"/>
        <w:rPr>
          <w:rFonts w:cs="Calibri"/>
          <w:sz w:val="24"/>
          <w:szCs w:val="24"/>
        </w:rPr>
      </w:pPr>
    </w:p>
    <w:p w14:paraId="1D98228E" w14:textId="77777777" w:rsidR="00347593" w:rsidRPr="00347593" w:rsidRDefault="00347593" w:rsidP="00B67A96">
      <w:pPr>
        <w:spacing w:line="480" w:lineRule="auto"/>
        <w:jc w:val="both"/>
        <w:rPr>
          <w:sz w:val="24"/>
          <w:szCs w:val="24"/>
        </w:rPr>
      </w:pPr>
      <w:r>
        <w:rPr>
          <w:b/>
          <w:sz w:val="24"/>
          <w:szCs w:val="24"/>
        </w:rPr>
        <w:t xml:space="preserve">Running title: </w:t>
      </w:r>
      <w:r>
        <w:rPr>
          <w:sz w:val="24"/>
          <w:szCs w:val="24"/>
        </w:rPr>
        <w:t>The Edinburgh Depression Scale in older people on acute medical wards</w:t>
      </w:r>
    </w:p>
    <w:p w14:paraId="70725608" w14:textId="77777777" w:rsidR="00B67A96" w:rsidRDefault="00B67A96" w:rsidP="00B67A96">
      <w:pPr>
        <w:spacing w:line="480" w:lineRule="auto"/>
        <w:jc w:val="both"/>
        <w:rPr>
          <w:sz w:val="24"/>
          <w:szCs w:val="24"/>
        </w:rPr>
      </w:pPr>
      <w:r w:rsidRPr="00371AD3">
        <w:rPr>
          <w:b/>
          <w:sz w:val="24"/>
          <w:szCs w:val="24"/>
        </w:rPr>
        <w:t>Keywords</w:t>
      </w:r>
      <w:r w:rsidRPr="00371AD3">
        <w:rPr>
          <w:sz w:val="24"/>
          <w:szCs w:val="24"/>
        </w:rPr>
        <w:t>: Depression, screening, older people, acute medical wards</w:t>
      </w:r>
    </w:p>
    <w:p w14:paraId="6D5B76CD" w14:textId="77777777" w:rsidR="00347593" w:rsidRPr="00371AD3" w:rsidRDefault="00347593" w:rsidP="00B67A96">
      <w:pPr>
        <w:spacing w:line="480" w:lineRule="auto"/>
        <w:jc w:val="both"/>
        <w:rPr>
          <w:i/>
          <w:sz w:val="24"/>
          <w:szCs w:val="24"/>
        </w:rPr>
      </w:pPr>
    </w:p>
    <w:p w14:paraId="68E98716" w14:textId="77777777" w:rsidR="00B67A96" w:rsidRPr="00745776" w:rsidRDefault="00B67A96" w:rsidP="00FE065E">
      <w:pPr>
        <w:spacing w:line="480" w:lineRule="auto"/>
        <w:jc w:val="both"/>
        <w:rPr>
          <w:rFonts w:cs="Calibri"/>
          <w:sz w:val="24"/>
          <w:szCs w:val="24"/>
        </w:rPr>
      </w:pPr>
    </w:p>
    <w:p w14:paraId="61F0577E" w14:textId="77777777" w:rsidR="00DA393B" w:rsidRDefault="00DA393B" w:rsidP="00FE065E">
      <w:pPr>
        <w:spacing w:line="480" w:lineRule="auto"/>
        <w:jc w:val="both"/>
        <w:rPr>
          <w:rFonts w:cs="Calibri"/>
          <w:b/>
          <w:sz w:val="24"/>
          <w:szCs w:val="24"/>
        </w:rPr>
      </w:pPr>
    </w:p>
    <w:p w14:paraId="5C596A51" w14:textId="77777777" w:rsidR="000A336A" w:rsidRDefault="00DA393B" w:rsidP="00FE065E">
      <w:pPr>
        <w:spacing w:line="480" w:lineRule="auto"/>
        <w:jc w:val="both"/>
        <w:rPr>
          <w:rFonts w:cs="Calibri"/>
          <w:b/>
          <w:sz w:val="24"/>
          <w:szCs w:val="24"/>
        </w:rPr>
      </w:pPr>
      <w:r>
        <w:rPr>
          <w:rFonts w:cs="Calibri"/>
          <w:b/>
          <w:sz w:val="24"/>
          <w:szCs w:val="24"/>
        </w:rPr>
        <w:br w:type="page"/>
      </w:r>
    </w:p>
    <w:p w14:paraId="6D5094B1" w14:textId="77777777" w:rsidR="00664F09" w:rsidRDefault="00664F09" w:rsidP="00FE065E">
      <w:pPr>
        <w:spacing w:line="480" w:lineRule="auto"/>
        <w:jc w:val="both"/>
        <w:rPr>
          <w:rFonts w:cs="Calibri"/>
          <w:b/>
          <w:sz w:val="24"/>
          <w:szCs w:val="24"/>
        </w:rPr>
      </w:pPr>
    </w:p>
    <w:p w14:paraId="47654063" w14:textId="77777777" w:rsidR="009A36A8" w:rsidRDefault="009A36A8" w:rsidP="00FE065E">
      <w:pPr>
        <w:spacing w:line="480" w:lineRule="auto"/>
        <w:jc w:val="both"/>
        <w:rPr>
          <w:rFonts w:cs="Calibri"/>
          <w:b/>
          <w:sz w:val="24"/>
          <w:szCs w:val="24"/>
        </w:rPr>
      </w:pPr>
      <w:r w:rsidRPr="00E46997">
        <w:rPr>
          <w:rFonts w:cs="Calibri"/>
          <w:b/>
          <w:sz w:val="24"/>
          <w:szCs w:val="24"/>
        </w:rPr>
        <w:t>INTRODUCTION</w:t>
      </w:r>
    </w:p>
    <w:p w14:paraId="1263F9FF" w14:textId="48AD39F3" w:rsidR="00B67C47" w:rsidRDefault="00B67C47" w:rsidP="00FE065E">
      <w:pPr>
        <w:spacing w:line="480" w:lineRule="auto"/>
        <w:jc w:val="both"/>
        <w:rPr>
          <w:rFonts w:cs="Calibri"/>
          <w:sz w:val="24"/>
          <w:szCs w:val="24"/>
        </w:rPr>
      </w:pPr>
      <w:r>
        <w:rPr>
          <w:rFonts w:cs="Calibri"/>
          <w:sz w:val="24"/>
          <w:szCs w:val="24"/>
        </w:rPr>
        <w:t xml:space="preserve">Depression in older people is common in the acute medical </w:t>
      </w:r>
      <w:r w:rsidR="00371AD3">
        <w:rPr>
          <w:rFonts w:cs="Calibri"/>
          <w:sz w:val="24"/>
          <w:szCs w:val="24"/>
        </w:rPr>
        <w:t xml:space="preserve">in-patient </w:t>
      </w:r>
      <w:r>
        <w:rPr>
          <w:rFonts w:cs="Calibri"/>
          <w:sz w:val="24"/>
          <w:szCs w:val="24"/>
        </w:rPr>
        <w:t>setting,</w:t>
      </w:r>
      <w:r w:rsidR="008F2F39">
        <w:rPr>
          <w:rFonts w:cs="Calibri"/>
          <w:sz w:val="24"/>
          <w:szCs w:val="24"/>
        </w:rPr>
        <w:t xml:space="preserve"> with a mean prevalence of 29% [1]</w:t>
      </w:r>
      <w:r>
        <w:rPr>
          <w:rFonts w:cs="Calibri"/>
          <w:sz w:val="24"/>
          <w:szCs w:val="24"/>
        </w:rPr>
        <w:t xml:space="preserve">. </w:t>
      </w:r>
      <w:r w:rsidR="002D3D1C">
        <w:rPr>
          <w:rFonts w:cs="Calibri"/>
          <w:sz w:val="24"/>
          <w:szCs w:val="24"/>
        </w:rPr>
        <w:t>Recognising depression is an important first step in improving depression management, and screening high</w:t>
      </w:r>
      <w:r w:rsidR="009D4E89">
        <w:rPr>
          <w:rFonts w:cs="Calibri"/>
          <w:sz w:val="24"/>
          <w:szCs w:val="24"/>
        </w:rPr>
        <w:t>-</w:t>
      </w:r>
      <w:r w:rsidR="002D3D1C">
        <w:rPr>
          <w:rFonts w:cs="Calibri"/>
          <w:sz w:val="24"/>
          <w:szCs w:val="24"/>
        </w:rPr>
        <w:t xml:space="preserve">risk patient groups </w:t>
      </w:r>
      <w:r w:rsidR="009D4E89">
        <w:rPr>
          <w:rFonts w:cs="Calibri"/>
          <w:sz w:val="24"/>
          <w:szCs w:val="24"/>
        </w:rPr>
        <w:t xml:space="preserve">has been advocated </w:t>
      </w:r>
      <w:r w:rsidR="002D3D1C">
        <w:rPr>
          <w:rFonts w:cs="Calibri"/>
          <w:sz w:val="24"/>
          <w:szCs w:val="24"/>
        </w:rPr>
        <w:t xml:space="preserve">in those with physical health problems </w:t>
      </w:r>
      <w:r w:rsidR="008F2F39">
        <w:rPr>
          <w:rFonts w:cs="Calibri"/>
          <w:sz w:val="24"/>
          <w:szCs w:val="24"/>
        </w:rPr>
        <w:t>[2-4]</w:t>
      </w:r>
      <w:r w:rsidR="002D3D1C">
        <w:rPr>
          <w:rFonts w:cs="Calibri"/>
          <w:sz w:val="24"/>
          <w:szCs w:val="24"/>
        </w:rPr>
        <w:t>.</w:t>
      </w:r>
      <w:r>
        <w:rPr>
          <w:rFonts w:cs="Calibri"/>
          <w:sz w:val="24"/>
          <w:szCs w:val="24"/>
        </w:rPr>
        <w:t xml:space="preserve"> </w:t>
      </w:r>
      <w:r w:rsidR="00A05439">
        <w:rPr>
          <w:rFonts w:cs="Calibri"/>
          <w:sz w:val="24"/>
          <w:szCs w:val="24"/>
        </w:rPr>
        <w:t xml:space="preserve"> There is little research examining screening instruments to identify depression in older people in the acute medical setting: only the Geriatric Depression Scale (GDS) has been explored in detail</w:t>
      </w:r>
      <w:r w:rsidR="008F2F39">
        <w:rPr>
          <w:rFonts w:cs="Calibri"/>
          <w:sz w:val="24"/>
          <w:szCs w:val="24"/>
        </w:rPr>
        <w:t xml:space="preserve"> [5,</w:t>
      </w:r>
      <w:r w:rsidR="006074B9">
        <w:rPr>
          <w:rFonts w:cs="Calibri"/>
          <w:sz w:val="24"/>
          <w:szCs w:val="24"/>
        </w:rPr>
        <w:t xml:space="preserve"> </w:t>
      </w:r>
      <w:r w:rsidR="008F2F39">
        <w:rPr>
          <w:rFonts w:cs="Calibri"/>
          <w:sz w:val="24"/>
          <w:szCs w:val="24"/>
        </w:rPr>
        <w:t>6]</w:t>
      </w:r>
      <w:r w:rsidR="00A05439">
        <w:rPr>
          <w:rFonts w:cs="Calibri"/>
          <w:sz w:val="24"/>
          <w:szCs w:val="24"/>
        </w:rPr>
        <w:t>.</w:t>
      </w:r>
    </w:p>
    <w:p w14:paraId="207A71EC" w14:textId="77777777" w:rsidR="00A05439" w:rsidRDefault="00A05439" w:rsidP="00FE065E">
      <w:pPr>
        <w:spacing w:line="480" w:lineRule="auto"/>
        <w:jc w:val="both"/>
        <w:rPr>
          <w:rFonts w:cs="Calibri"/>
          <w:sz w:val="24"/>
          <w:szCs w:val="24"/>
        </w:rPr>
      </w:pPr>
    </w:p>
    <w:p w14:paraId="14712CC0" w14:textId="0FA043A1" w:rsidR="00C12471" w:rsidRDefault="00013B55" w:rsidP="00FE065E">
      <w:pPr>
        <w:spacing w:line="480" w:lineRule="auto"/>
        <w:jc w:val="both"/>
        <w:rPr>
          <w:rFonts w:cs="Calibri"/>
          <w:sz w:val="24"/>
          <w:szCs w:val="24"/>
        </w:rPr>
      </w:pPr>
      <w:r>
        <w:rPr>
          <w:rFonts w:cs="Calibri"/>
          <w:sz w:val="24"/>
          <w:szCs w:val="24"/>
        </w:rPr>
        <w:t>The Edinburgh Depression Scale (EDS) was originally devised and validated for use in</w:t>
      </w:r>
      <w:r w:rsidR="00371AD3">
        <w:rPr>
          <w:rFonts w:cs="Calibri"/>
          <w:sz w:val="24"/>
          <w:szCs w:val="24"/>
        </w:rPr>
        <w:t xml:space="preserve"> women in the post-natal period. The EDS comprises</w:t>
      </w:r>
      <w:r>
        <w:rPr>
          <w:rFonts w:cs="Calibri"/>
          <w:sz w:val="24"/>
          <w:szCs w:val="24"/>
        </w:rPr>
        <w:t xml:space="preserve"> of ten items relating to cognitive-affective rather than somatic symptoms </w:t>
      </w:r>
      <w:r w:rsidR="001706A9">
        <w:rPr>
          <w:rFonts w:cs="Calibri"/>
          <w:sz w:val="24"/>
          <w:szCs w:val="24"/>
        </w:rPr>
        <w:t xml:space="preserve">of depression </w:t>
      </w:r>
      <w:r>
        <w:rPr>
          <w:rFonts w:cs="Calibri"/>
          <w:sz w:val="24"/>
          <w:szCs w:val="24"/>
        </w:rPr>
        <w:t xml:space="preserve">that </w:t>
      </w:r>
      <w:r w:rsidR="00B10B51">
        <w:rPr>
          <w:rFonts w:cs="Calibri"/>
          <w:sz w:val="24"/>
          <w:szCs w:val="24"/>
        </w:rPr>
        <w:t>c</w:t>
      </w:r>
      <w:r>
        <w:rPr>
          <w:rFonts w:cs="Calibri"/>
          <w:sz w:val="24"/>
          <w:szCs w:val="24"/>
        </w:rPr>
        <w:t>ould be unreliable in</w:t>
      </w:r>
      <w:r w:rsidR="00B4771F">
        <w:rPr>
          <w:rFonts w:cs="Calibri"/>
          <w:sz w:val="24"/>
          <w:szCs w:val="24"/>
        </w:rPr>
        <w:t xml:space="preserve"> this setting [7]</w:t>
      </w:r>
      <w:r>
        <w:rPr>
          <w:rFonts w:cs="Calibri"/>
          <w:sz w:val="24"/>
          <w:szCs w:val="24"/>
        </w:rPr>
        <w:t xml:space="preserve">. </w:t>
      </w:r>
      <w:r w:rsidR="002F6595">
        <w:rPr>
          <w:rFonts w:cs="Calibri"/>
          <w:sz w:val="24"/>
          <w:szCs w:val="24"/>
        </w:rPr>
        <w:t xml:space="preserve"> Each item is scored on a four-point scale</w:t>
      </w:r>
      <w:r w:rsidR="00AB0EE7">
        <w:rPr>
          <w:rFonts w:cs="Calibri"/>
          <w:sz w:val="24"/>
          <w:szCs w:val="24"/>
        </w:rPr>
        <w:t xml:space="preserve"> (0-3), with a total score range from 0-30,</w:t>
      </w:r>
      <w:r w:rsidR="002F6595">
        <w:rPr>
          <w:rFonts w:cs="Calibri"/>
          <w:sz w:val="24"/>
          <w:szCs w:val="24"/>
        </w:rPr>
        <w:t xml:space="preserve"> and takes less than five minutes to complete.</w:t>
      </w:r>
      <w:r>
        <w:rPr>
          <w:rFonts w:cs="Calibri"/>
          <w:sz w:val="24"/>
          <w:szCs w:val="24"/>
        </w:rPr>
        <w:t xml:space="preserve"> In recent years the EDS has been validated in other clinical populations, particularly in people with </w:t>
      </w:r>
      <w:r w:rsidR="001706A9">
        <w:rPr>
          <w:rFonts w:cs="Calibri"/>
          <w:sz w:val="24"/>
          <w:szCs w:val="24"/>
        </w:rPr>
        <w:t xml:space="preserve">poor </w:t>
      </w:r>
      <w:r>
        <w:rPr>
          <w:rFonts w:cs="Calibri"/>
          <w:sz w:val="24"/>
          <w:szCs w:val="24"/>
        </w:rPr>
        <w:t>physical health</w:t>
      </w:r>
      <w:r w:rsidR="001706A9">
        <w:rPr>
          <w:rFonts w:cs="Calibri"/>
          <w:sz w:val="24"/>
          <w:szCs w:val="24"/>
        </w:rPr>
        <w:t>; it</w:t>
      </w:r>
      <w:r>
        <w:rPr>
          <w:rFonts w:cs="Calibri"/>
          <w:sz w:val="24"/>
          <w:szCs w:val="24"/>
        </w:rPr>
        <w:t xml:space="preserve"> has been shown to be useful i</w:t>
      </w:r>
      <w:r w:rsidR="00B4771F">
        <w:rPr>
          <w:rFonts w:cs="Calibri"/>
          <w:sz w:val="24"/>
          <w:szCs w:val="24"/>
        </w:rPr>
        <w:t>n palliative care [8, 9]</w:t>
      </w:r>
      <w:r>
        <w:rPr>
          <w:rFonts w:cs="Calibri"/>
          <w:sz w:val="24"/>
          <w:szCs w:val="24"/>
        </w:rPr>
        <w:t xml:space="preserve"> and Parkinson’</w:t>
      </w:r>
      <w:r w:rsidR="00B4771F">
        <w:rPr>
          <w:rFonts w:cs="Calibri"/>
          <w:sz w:val="24"/>
          <w:szCs w:val="24"/>
        </w:rPr>
        <w:t>s Disease [10]</w:t>
      </w:r>
      <w:r>
        <w:rPr>
          <w:rFonts w:cs="Calibri"/>
          <w:sz w:val="24"/>
          <w:szCs w:val="24"/>
        </w:rPr>
        <w:t>.</w:t>
      </w:r>
    </w:p>
    <w:p w14:paraId="54CE7633" w14:textId="77777777" w:rsidR="006074B9" w:rsidRDefault="006074B9" w:rsidP="00FE065E">
      <w:pPr>
        <w:spacing w:line="480" w:lineRule="auto"/>
        <w:jc w:val="both"/>
        <w:rPr>
          <w:rFonts w:cs="Calibri"/>
          <w:sz w:val="24"/>
          <w:szCs w:val="24"/>
        </w:rPr>
      </w:pPr>
    </w:p>
    <w:p w14:paraId="0F996210" w14:textId="18022632" w:rsidR="00C12471" w:rsidRPr="00B67C47" w:rsidRDefault="00C12471" w:rsidP="00FE065E">
      <w:pPr>
        <w:spacing w:line="480" w:lineRule="auto"/>
        <w:jc w:val="both"/>
        <w:rPr>
          <w:rFonts w:cs="Calibri"/>
          <w:sz w:val="24"/>
          <w:szCs w:val="24"/>
        </w:rPr>
      </w:pPr>
      <w:r>
        <w:rPr>
          <w:rFonts w:cs="Calibri"/>
          <w:sz w:val="24"/>
          <w:szCs w:val="24"/>
        </w:rPr>
        <w:t>This study examines</w:t>
      </w:r>
      <w:r w:rsidR="00013B55">
        <w:rPr>
          <w:rFonts w:cs="Calibri"/>
          <w:sz w:val="24"/>
          <w:szCs w:val="24"/>
        </w:rPr>
        <w:t xml:space="preserve"> the utility of the EDS as a screening instrument for clinical depression in older people within acute medical wards</w:t>
      </w:r>
      <w:r w:rsidR="001706A9">
        <w:rPr>
          <w:rFonts w:cs="Calibri"/>
          <w:sz w:val="24"/>
          <w:szCs w:val="24"/>
        </w:rPr>
        <w:t xml:space="preserve">; if one instrument </w:t>
      </w:r>
      <w:r w:rsidR="00A86996">
        <w:rPr>
          <w:rFonts w:cs="Calibri"/>
          <w:sz w:val="24"/>
          <w:szCs w:val="24"/>
        </w:rPr>
        <w:t xml:space="preserve">is </w:t>
      </w:r>
      <w:r w:rsidR="001706A9">
        <w:rPr>
          <w:rFonts w:cs="Calibri"/>
          <w:sz w:val="24"/>
          <w:szCs w:val="24"/>
        </w:rPr>
        <w:t>valid in multiple settings within the general hospital this would be particularly advantageous for clinicians.</w:t>
      </w:r>
      <w:r w:rsidR="00013B55">
        <w:rPr>
          <w:rFonts w:cs="Calibri"/>
          <w:sz w:val="24"/>
          <w:szCs w:val="24"/>
        </w:rPr>
        <w:t xml:space="preserve"> </w:t>
      </w:r>
    </w:p>
    <w:p w14:paraId="0A53C9FF" w14:textId="77777777" w:rsidR="00FC3C9A" w:rsidRPr="00E46997" w:rsidRDefault="00FC3C9A" w:rsidP="00FE065E">
      <w:pPr>
        <w:spacing w:line="480" w:lineRule="auto"/>
        <w:jc w:val="both"/>
        <w:rPr>
          <w:rFonts w:cs="Calibri"/>
          <w:b/>
          <w:sz w:val="24"/>
          <w:szCs w:val="24"/>
        </w:rPr>
      </w:pPr>
    </w:p>
    <w:p w14:paraId="4B78E85E" w14:textId="77777777" w:rsidR="006074B9" w:rsidRDefault="006074B9" w:rsidP="00FE065E">
      <w:pPr>
        <w:spacing w:line="480" w:lineRule="auto"/>
        <w:jc w:val="both"/>
        <w:rPr>
          <w:rFonts w:cs="Calibri"/>
          <w:b/>
          <w:sz w:val="24"/>
          <w:szCs w:val="24"/>
        </w:rPr>
      </w:pPr>
    </w:p>
    <w:p w14:paraId="787748D8" w14:textId="77777777" w:rsidR="006074B9" w:rsidRDefault="006074B9" w:rsidP="00FE065E">
      <w:pPr>
        <w:spacing w:line="480" w:lineRule="auto"/>
        <w:jc w:val="both"/>
        <w:rPr>
          <w:rFonts w:cs="Calibri"/>
          <w:b/>
          <w:sz w:val="24"/>
          <w:szCs w:val="24"/>
        </w:rPr>
      </w:pPr>
    </w:p>
    <w:p w14:paraId="06E95BB6" w14:textId="77777777" w:rsidR="007953D8" w:rsidRDefault="007953D8">
      <w:pPr>
        <w:rPr>
          <w:rFonts w:cs="Calibri"/>
          <w:b/>
          <w:sz w:val="24"/>
          <w:szCs w:val="24"/>
        </w:rPr>
      </w:pPr>
      <w:r>
        <w:rPr>
          <w:rFonts w:cs="Calibri"/>
          <w:b/>
          <w:sz w:val="24"/>
          <w:szCs w:val="24"/>
        </w:rPr>
        <w:br w:type="page"/>
      </w:r>
    </w:p>
    <w:p w14:paraId="1332797D" w14:textId="683CFE01" w:rsidR="009A36A8" w:rsidRPr="00E46997" w:rsidRDefault="009A36A8" w:rsidP="00FE065E">
      <w:pPr>
        <w:spacing w:line="480" w:lineRule="auto"/>
        <w:jc w:val="both"/>
        <w:rPr>
          <w:rFonts w:cs="Calibri"/>
          <w:b/>
          <w:sz w:val="24"/>
          <w:szCs w:val="24"/>
        </w:rPr>
      </w:pPr>
      <w:r w:rsidRPr="00E46997">
        <w:rPr>
          <w:rFonts w:cs="Calibri"/>
          <w:b/>
          <w:sz w:val="24"/>
          <w:szCs w:val="24"/>
        </w:rPr>
        <w:lastRenderedPageBreak/>
        <w:t>METHODS</w:t>
      </w:r>
    </w:p>
    <w:p w14:paraId="126B5CFF" w14:textId="77777777" w:rsidR="000704DC" w:rsidRPr="000704DC" w:rsidRDefault="000704DC" w:rsidP="00FE065E">
      <w:pPr>
        <w:spacing w:line="480" w:lineRule="auto"/>
        <w:jc w:val="both"/>
        <w:rPr>
          <w:rFonts w:cs="Calibri"/>
          <w:i/>
          <w:sz w:val="24"/>
          <w:szCs w:val="24"/>
        </w:rPr>
      </w:pPr>
      <w:r w:rsidRPr="000704DC">
        <w:rPr>
          <w:rFonts w:cs="Calibri"/>
          <w:i/>
          <w:sz w:val="24"/>
          <w:szCs w:val="24"/>
        </w:rPr>
        <w:t>Study participants</w:t>
      </w:r>
    </w:p>
    <w:p w14:paraId="3BDB5909" w14:textId="7E67CA07" w:rsidR="00E116C2" w:rsidRDefault="009A36A8" w:rsidP="00FE065E">
      <w:pPr>
        <w:spacing w:line="480" w:lineRule="auto"/>
        <w:jc w:val="both"/>
        <w:rPr>
          <w:rFonts w:cs="Calibri"/>
          <w:sz w:val="24"/>
          <w:szCs w:val="24"/>
        </w:rPr>
      </w:pPr>
      <w:r w:rsidRPr="00E46997">
        <w:rPr>
          <w:rFonts w:cs="Calibri"/>
          <w:sz w:val="24"/>
          <w:szCs w:val="24"/>
        </w:rPr>
        <w:t xml:space="preserve">This study was </w:t>
      </w:r>
      <w:r w:rsidR="008D473D">
        <w:rPr>
          <w:rFonts w:cs="Calibri"/>
          <w:sz w:val="24"/>
          <w:szCs w:val="24"/>
        </w:rPr>
        <w:t xml:space="preserve">one component </w:t>
      </w:r>
      <w:r w:rsidRPr="00E46997">
        <w:rPr>
          <w:rFonts w:cs="Calibri"/>
          <w:sz w:val="24"/>
          <w:szCs w:val="24"/>
        </w:rPr>
        <w:t xml:space="preserve">of a project </w:t>
      </w:r>
      <w:r w:rsidR="008D473D">
        <w:rPr>
          <w:rFonts w:cs="Calibri"/>
          <w:sz w:val="24"/>
          <w:szCs w:val="24"/>
        </w:rPr>
        <w:t xml:space="preserve">previously </w:t>
      </w:r>
      <w:r w:rsidRPr="00E46997">
        <w:rPr>
          <w:rFonts w:cs="Calibri"/>
          <w:sz w:val="24"/>
          <w:szCs w:val="24"/>
        </w:rPr>
        <w:t>described</w:t>
      </w:r>
      <w:r w:rsidR="008D473D">
        <w:rPr>
          <w:rFonts w:cs="Calibri"/>
          <w:sz w:val="24"/>
          <w:szCs w:val="24"/>
        </w:rPr>
        <w:t xml:space="preserve"> in detail</w:t>
      </w:r>
      <w:r w:rsidR="00B4771F">
        <w:rPr>
          <w:rFonts w:cs="Calibri"/>
          <w:sz w:val="24"/>
          <w:szCs w:val="24"/>
        </w:rPr>
        <w:t xml:space="preserve"> [6]</w:t>
      </w:r>
      <w:r w:rsidR="008D473D">
        <w:rPr>
          <w:rFonts w:cs="Calibri"/>
          <w:sz w:val="24"/>
          <w:szCs w:val="24"/>
        </w:rPr>
        <w:t>,</w:t>
      </w:r>
      <w:r w:rsidR="00DA393B">
        <w:rPr>
          <w:rFonts w:cs="Calibri"/>
          <w:sz w:val="24"/>
          <w:szCs w:val="24"/>
        </w:rPr>
        <w:t xml:space="preserve"> </w:t>
      </w:r>
      <w:r w:rsidRPr="00E46997">
        <w:rPr>
          <w:rFonts w:cs="Calibri"/>
          <w:sz w:val="24"/>
          <w:szCs w:val="24"/>
        </w:rPr>
        <w:t>and was approved by the local Research Ethics Committee</w:t>
      </w:r>
      <w:r w:rsidR="008D473D">
        <w:rPr>
          <w:rFonts w:cs="Calibri"/>
          <w:sz w:val="24"/>
          <w:szCs w:val="24"/>
        </w:rPr>
        <w:t xml:space="preserve"> (Leicestershire, Northamptonshire and Rutland, Ref 06/Q2501/39)</w:t>
      </w:r>
      <w:r w:rsidRPr="00E46997">
        <w:rPr>
          <w:rFonts w:cs="Calibri"/>
          <w:sz w:val="24"/>
          <w:szCs w:val="24"/>
        </w:rPr>
        <w:t xml:space="preserve">.  </w:t>
      </w:r>
      <w:r w:rsidR="008D473D">
        <w:rPr>
          <w:rFonts w:cs="Calibri"/>
          <w:sz w:val="24"/>
          <w:szCs w:val="24"/>
        </w:rPr>
        <w:t xml:space="preserve">To summarise, </w:t>
      </w:r>
      <w:r w:rsidR="002F67E2">
        <w:rPr>
          <w:rFonts w:cs="Calibri"/>
          <w:sz w:val="24"/>
          <w:szCs w:val="24"/>
        </w:rPr>
        <w:t>p</w:t>
      </w:r>
      <w:r w:rsidRPr="00E46997">
        <w:rPr>
          <w:rFonts w:cs="Calibri"/>
          <w:sz w:val="24"/>
          <w:szCs w:val="24"/>
        </w:rPr>
        <w:t xml:space="preserve">articipants were </w:t>
      </w:r>
      <w:r w:rsidR="00DA393B">
        <w:rPr>
          <w:rFonts w:cs="Calibri"/>
          <w:sz w:val="24"/>
          <w:szCs w:val="24"/>
        </w:rPr>
        <w:t>in</w:t>
      </w:r>
      <w:r w:rsidR="00371AD3">
        <w:rPr>
          <w:rFonts w:cs="Calibri"/>
          <w:sz w:val="24"/>
          <w:szCs w:val="24"/>
        </w:rPr>
        <w:t>-</w:t>
      </w:r>
      <w:r w:rsidR="00DA393B">
        <w:rPr>
          <w:rFonts w:cs="Calibri"/>
          <w:sz w:val="24"/>
          <w:szCs w:val="24"/>
        </w:rPr>
        <w:t xml:space="preserve">patients on acute medical wards at </w:t>
      </w:r>
      <w:r w:rsidR="00371AD3">
        <w:rPr>
          <w:rFonts w:cs="Calibri"/>
          <w:sz w:val="24"/>
          <w:szCs w:val="24"/>
        </w:rPr>
        <w:t xml:space="preserve">the </w:t>
      </w:r>
      <w:r w:rsidRPr="00E46997">
        <w:rPr>
          <w:rFonts w:cs="Calibri"/>
          <w:sz w:val="24"/>
          <w:szCs w:val="24"/>
        </w:rPr>
        <w:t xml:space="preserve">Leicester General Hospital, UK. </w:t>
      </w:r>
      <w:r w:rsidR="0048384A">
        <w:rPr>
          <w:rFonts w:cs="Calibri"/>
          <w:sz w:val="24"/>
          <w:szCs w:val="24"/>
        </w:rPr>
        <w:t>Most admissions to these wards were older people with unscheduled care.</w:t>
      </w:r>
      <w:r w:rsidRPr="00E46997">
        <w:rPr>
          <w:rFonts w:cs="Calibri"/>
          <w:sz w:val="24"/>
          <w:szCs w:val="24"/>
        </w:rPr>
        <w:t xml:space="preserve"> </w:t>
      </w:r>
      <w:r w:rsidR="00DA393B">
        <w:rPr>
          <w:rFonts w:cs="Calibri"/>
          <w:sz w:val="24"/>
          <w:szCs w:val="24"/>
        </w:rPr>
        <w:t>P</w:t>
      </w:r>
      <w:r w:rsidR="008D473D">
        <w:rPr>
          <w:rFonts w:cs="Calibri"/>
          <w:sz w:val="24"/>
          <w:szCs w:val="24"/>
        </w:rPr>
        <w:t>atients</w:t>
      </w:r>
      <w:r w:rsidRPr="00E46997">
        <w:rPr>
          <w:rFonts w:cs="Calibri"/>
          <w:sz w:val="24"/>
          <w:szCs w:val="24"/>
        </w:rPr>
        <w:t xml:space="preserve"> </w:t>
      </w:r>
      <w:r w:rsidR="00DA393B">
        <w:rPr>
          <w:rFonts w:cs="Calibri"/>
          <w:sz w:val="24"/>
          <w:szCs w:val="24"/>
        </w:rPr>
        <w:t>were eligible to participate if the</w:t>
      </w:r>
      <w:r w:rsidR="00C23D93">
        <w:rPr>
          <w:rFonts w:cs="Calibri"/>
          <w:sz w:val="24"/>
          <w:szCs w:val="24"/>
        </w:rPr>
        <w:t>y</w:t>
      </w:r>
      <w:r w:rsidR="00DA393B">
        <w:rPr>
          <w:rFonts w:cs="Calibri"/>
          <w:sz w:val="24"/>
          <w:szCs w:val="24"/>
        </w:rPr>
        <w:t xml:space="preserve"> were aged 65 years</w:t>
      </w:r>
      <w:r w:rsidR="00371AD3">
        <w:rPr>
          <w:rFonts w:cs="Calibri"/>
          <w:sz w:val="24"/>
          <w:szCs w:val="24"/>
        </w:rPr>
        <w:t xml:space="preserve"> or over</w:t>
      </w:r>
      <w:r w:rsidRPr="00E46997">
        <w:rPr>
          <w:rFonts w:cs="Calibri"/>
          <w:sz w:val="24"/>
          <w:szCs w:val="24"/>
        </w:rPr>
        <w:t>, English-speaking</w:t>
      </w:r>
      <w:r w:rsidR="00C23D93">
        <w:rPr>
          <w:rFonts w:cs="Calibri"/>
          <w:sz w:val="24"/>
          <w:szCs w:val="24"/>
        </w:rPr>
        <w:t>, medically fit to be interviewed</w:t>
      </w:r>
      <w:r w:rsidR="00371AD3">
        <w:rPr>
          <w:rFonts w:cs="Calibri"/>
          <w:sz w:val="24"/>
          <w:szCs w:val="24"/>
        </w:rPr>
        <w:t>,</w:t>
      </w:r>
      <w:r w:rsidRPr="00E46997">
        <w:rPr>
          <w:rFonts w:cs="Calibri"/>
          <w:sz w:val="24"/>
          <w:szCs w:val="24"/>
        </w:rPr>
        <w:t xml:space="preserve"> and able to give informed consent.  </w:t>
      </w:r>
      <w:r w:rsidR="002F67E2">
        <w:rPr>
          <w:rFonts w:cs="Calibri"/>
          <w:sz w:val="24"/>
          <w:szCs w:val="24"/>
        </w:rPr>
        <w:t xml:space="preserve">All patients </w:t>
      </w:r>
      <w:r w:rsidR="008D473D">
        <w:rPr>
          <w:rFonts w:cs="Calibri"/>
          <w:sz w:val="24"/>
          <w:szCs w:val="24"/>
        </w:rPr>
        <w:t xml:space="preserve">who were potentially eligible </w:t>
      </w:r>
      <w:r w:rsidR="00E116C2">
        <w:rPr>
          <w:rFonts w:cs="Calibri"/>
          <w:sz w:val="24"/>
          <w:szCs w:val="24"/>
        </w:rPr>
        <w:t xml:space="preserve">were approached their medical care team and asked if they were willing to participate.  Those who were interested </w:t>
      </w:r>
      <w:r w:rsidR="008D473D">
        <w:rPr>
          <w:rFonts w:cs="Calibri"/>
          <w:sz w:val="24"/>
          <w:szCs w:val="24"/>
        </w:rPr>
        <w:t>were given an Information Sheet</w:t>
      </w:r>
      <w:r w:rsidR="002F6595">
        <w:rPr>
          <w:rFonts w:cs="Calibri"/>
          <w:sz w:val="24"/>
          <w:szCs w:val="24"/>
        </w:rPr>
        <w:t>;</w:t>
      </w:r>
      <w:r w:rsidR="008D473D">
        <w:rPr>
          <w:rFonts w:cs="Calibri"/>
          <w:sz w:val="24"/>
          <w:szCs w:val="24"/>
        </w:rPr>
        <w:t xml:space="preserve"> </w:t>
      </w:r>
      <w:r w:rsidR="002F6595">
        <w:rPr>
          <w:rFonts w:cs="Calibri"/>
          <w:sz w:val="24"/>
          <w:szCs w:val="24"/>
        </w:rPr>
        <w:t>i</w:t>
      </w:r>
      <w:r w:rsidR="008D473D">
        <w:rPr>
          <w:rFonts w:cs="Calibri"/>
          <w:sz w:val="24"/>
          <w:szCs w:val="24"/>
        </w:rPr>
        <w:t>f they subsequently</w:t>
      </w:r>
      <w:r w:rsidR="00E116C2">
        <w:rPr>
          <w:rFonts w:cs="Calibri"/>
          <w:sz w:val="24"/>
          <w:szCs w:val="24"/>
        </w:rPr>
        <w:t xml:space="preserve"> indicated </w:t>
      </w:r>
      <w:r w:rsidR="008D473D">
        <w:rPr>
          <w:rFonts w:cs="Calibri"/>
          <w:sz w:val="24"/>
          <w:szCs w:val="24"/>
        </w:rPr>
        <w:t xml:space="preserve">that </w:t>
      </w:r>
      <w:r w:rsidR="00E116C2">
        <w:rPr>
          <w:rFonts w:cs="Calibri"/>
          <w:sz w:val="24"/>
          <w:szCs w:val="24"/>
        </w:rPr>
        <w:t xml:space="preserve">they were willing to participate they were visited </w:t>
      </w:r>
      <w:r w:rsidR="008D473D">
        <w:rPr>
          <w:rFonts w:cs="Calibri"/>
          <w:sz w:val="24"/>
          <w:szCs w:val="24"/>
        </w:rPr>
        <w:t>on the ward by a research psychiatrist</w:t>
      </w:r>
      <w:r w:rsidR="00E116C2">
        <w:rPr>
          <w:rFonts w:cs="Calibri"/>
          <w:sz w:val="24"/>
          <w:szCs w:val="24"/>
        </w:rPr>
        <w:t xml:space="preserve"> (CE or AR) who </w:t>
      </w:r>
      <w:r w:rsidR="008D473D">
        <w:rPr>
          <w:rFonts w:cs="Calibri"/>
          <w:sz w:val="24"/>
          <w:szCs w:val="24"/>
        </w:rPr>
        <w:t xml:space="preserve">then </w:t>
      </w:r>
      <w:r w:rsidR="00E116C2">
        <w:rPr>
          <w:rFonts w:cs="Calibri"/>
          <w:sz w:val="24"/>
          <w:szCs w:val="24"/>
        </w:rPr>
        <w:t>obtained written informed consent.</w:t>
      </w:r>
    </w:p>
    <w:p w14:paraId="68F38329" w14:textId="77777777" w:rsidR="00E116C2" w:rsidRDefault="00E116C2" w:rsidP="00FE065E">
      <w:pPr>
        <w:spacing w:line="480" w:lineRule="auto"/>
        <w:jc w:val="both"/>
        <w:rPr>
          <w:rFonts w:cs="Calibri"/>
          <w:sz w:val="24"/>
          <w:szCs w:val="24"/>
        </w:rPr>
      </w:pPr>
    </w:p>
    <w:p w14:paraId="60FBB461" w14:textId="77777777" w:rsidR="00B67C47" w:rsidRPr="00B67C47" w:rsidRDefault="00B67C47" w:rsidP="00FE065E">
      <w:pPr>
        <w:spacing w:line="480" w:lineRule="auto"/>
        <w:jc w:val="both"/>
        <w:rPr>
          <w:rFonts w:cs="Calibri"/>
          <w:i/>
          <w:sz w:val="24"/>
          <w:szCs w:val="24"/>
        </w:rPr>
      </w:pPr>
      <w:r w:rsidRPr="00B67C47">
        <w:rPr>
          <w:rFonts w:cs="Calibri"/>
          <w:i/>
          <w:sz w:val="24"/>
          <w:szCs w:val="24"/>
        </w:rPr>
        <w:t>Procedure</w:t>
      </w:r>
    </w:p>
    <w:p w14:paraId="3343CA13" w14:textId="42C3EC19" w:rsidR="009A36A8" w:rsidRDefault="009A36A8" w:rsidP="00FE065E">
      <w:pPr>
        <w:spacing w:line="480" w:lineRule="auto"/>
        <w:jc w:val="both"/>
        <w:rPr>
          <w:rFonts w:cs="Calibri"/>
          <w:sz w:val="24"/>
          <w:szCs w:val="24"/>
        </w:rPr>
      </w:pPr>
      <w:r w:rsidRPr="00E46997">
        <w:rPr>
          <w:rFonts w:cs="Calibri"/>
          <w:sz w:val="24"/>
          <w:szCs w:val="24"/>
        </w:rPr>
        <w:t xml:space="preserve">Participants </w:t>
      </w:r>
      <w:r w:rsidR="00C23D93">
        <w:rPr>
          <w:rFonts w:cs="Calibri"/>
          <w:sz w:val="24"/>
          <w:szCs w:val="24"/>
        </w:rPr>
        <w:t>were assessed on two occasions</w:t>
      </w:r>
      <w:r w:rsidRPr="00E46997">
        <w:rPr>
          <w:rFonts w:cs="Calibri"/>
          <w:sz w:val="24"/>
          <w:szCs w:val="24"/>
        </w:rPr>
        <w:t xml:space="preserve">.  At the first </w:t>
      </w:r>
      <w:r w:rsidR="00C23D93">
        <w:rPr>
          <w:rFonts w:cs="Calibri"/>
          <w:sz w:val="24"/>
          <w:szCs w:val="24"/>
        </w:rPr>
        <w:t xml:space="preserve">assessment </w:t>
      </w:r>
      <w:r w:rsidRPr="00E46997">
        <w:rPr>
          <w:rFonts w:cs="Calibri"/>
          <w:sz w:val="24"/>
          <w:szCs w:val="24"/>
        </w:rPr>
        <w:t>they completed section 21 of the Present State Examination - Schedules for Clinical Asses</w:t>
      </w:r>
      <w:r w:rsidR="00735CA5">
        <w:rPr>
          <w:rFonts w:cs="Calibri"/>
          <w:sz w:val="24"/>
          <w:szCs w:val="24"/>
        </w:rPr>
        <w:t>sment in Neuropsychiatry (SCAN) [11]</w:t>
      </w:r>
      <w:r w:rsidR="002F6595">
        <w:rPr>
          <w:rFonts w:cs="Calibri"/>
          <w:sz w:val="24"/>
          <w:szCs w:val="24"/>
        </w:rPr>
        <w:t>; this</w:t>
      </w:r>
      <w:r w:rsidRPr="00E46997">
        <w:rPr>
          <w:rFonts w:cs="Calibri"/>
          <w:sz w:val="24"/>
          <w:szCs w:val="24"/>
        </w:rPr>
        <w:t xml:space="preserve"> incorporates the Mini-Mental State Examination</w:t>
      </w:r>
      <w:r w:rsidR="00735CA5">
        <w:rPr>
          <w:rFonts w:cs="Calibri"/>
          <w:sz w:val="24"/>
          <w:szCs w:val="24"/>
        </w:rPr>
        <w:t xml:space="preserve"> [12]</w:t>
      </w:r>
      <w:r w:rsidRPr="00E46997">
        <w:rPr>
          <w:rFonts w:cs="Calibri"/>
          <w:sz w:val="24"/>
          <w:szCs w:val="24"/>
        </w:rPr>
        <w:t xml:space="preserve">.  Those who scored less than 24 on the MMSE were excluded; this cut-off was chosen as </w:t>
      </w:r>
      <w:r w:rsidRPr="00E46997">
        <w:rPr>
          <w:sz w:val="24"/>
          <w:szCs w:val="24"/>
        </w:rPr>
        <w:t>this is the most widely used in research to</w:t>
      </w:r>
      <w:r w:rsidR="00735CA5">
        <w:rPr>
          <w:sz w:val="24"/>
          <w:szCs w:val="24"/>
        </w:rPr>
        <w:t xml:space="preserve"> exclude patients with dementia [13, 14, 15]</w:t>
      </w:r>
      <w:r w:rsidRPr="00E46997">
        <w:rPr>
          <w:sz w:val="24"/>
          <w:szCs w:val="24"/>
        </w:rPr>
        <w:t>.</w:t>
      </w:r>
      <w:r w:rsidRPr="00E46997">
        <w:rPr>
          <w:rFonts w:cs="Calibri"/>
          <w:sz w:val="24"/>
          <w:szCs w:val="24"/>
        </w:rPr>
        <w:t xml:space="preserve">  Next, the sections of the SCAN interview pertaining to depression (sections 6, 7 and 8) were completed</w:t>
      </w:r>
      <w:r w:rsidR="00C23D93">
        <w:rPr>
          <w:rFonts w:cs="Calibri"/>
          <w:sz w:val="24"/>
          <w:szCs w:val="24"/>
        </w:rPr>
        <w:t xml:space="preserve">.  An ICD-10 </w:t>
      </w:r>
      <w:r w:rsidR="00735CA5">
        <w:rPr>
          <w:rFonts w:cs="Calibri"/>
          <w:sz w:val="24"/>
          <w:szCs w:val="24"/>
        </w:rPr>
        <w:t>diagnosis [16]</w:t>
      </w:r>
      <w:r w:rsidR="008B05C8">
        <w:rPr>
          <w:rFonts w:cs="Calibri"/>
          <w:sz w:val="24"/>
          <w:szCs w:val="24"/>
        </w:rPr>
        <w:t xml:space="preserve"> </w:t>
      </w:r>
      <w:r w:rsidRPr="00E46997">
        <w:rPr>
          <w:rFonts w:cs="Calibri"/>
          <w:sz w:val="24"/>
          <w:szCs w:val="24"/>
        </w:rPr>
        <w:t xml:space="preserve">of </w:t>
      </w:r>
      <w:r w:rsidR="00C23D93">
        <w:rPr>
          <w:rFonts w:cs="Calibri"/>
          <w:sz w:val="24"/>
          <w:szCs w:val="24"/>
        </w:rPr>
        <w:t>mild, moderate or severe depressive episode</w:t>
      </w:r>
      <w:r w:rsidRPr="00E46997">
        <w:rPr>
          <w:rFonts w:cs="Calibri"/>
          <w:sz w:val="24"/>
          <w:szCs w:val="24"/>
        </w:rPr>
        <w:t xml:space="preserve"> was derived </w:t>
      </w:r>
      <w:r w:rsidR="002F6595">
        <w:rPr>
          <w:rFonts w:cs="Calibri"/>
          <w:sz w:val="24"/>
          <w:szCs w:val="24"/>
        </w:rPr>
        <w:t xml:space="preserve">as </w:t>
      </w:r>
      <w:r w:rsidRPr="00E46997">
        <w:rPr>
          <w:rFonts w:cs="Calibri"/>
          <w:sz w:val="24"/>
          <w:szCs w:val="24"/>
        </w:rPr>
        <w:t xml:space="preserve">the gold standard in this study.  </w:t>
      </w:r>
    </w:p>
    <w:p w14:paraId="4AAC16C4" w14:textId="77777777" w:rsidR="00C23D93" w:rsidRPr="00E46997" w:rsidRDefault="00C23D93" w:rsidP="00FE065E">
      <w:pPr>
        <w:spacing w:line="480" w:lineRule="auto"/>
        <w:jc w:val="both"/>
        <w:rPr>
          <w:rFonts w:cs="Calibri"/>
          <w:sz w:val="24"/>
          <w:szCs w:val="24"/>
        </w:rPr>
      </w:pPr>
    </w:p>
    <w:p w14:paraId="46F22B34" w14:textId="77777777" w:rsidR="009A36A8" w:rsidRDefault="00C23D93" w:rsidP="00FE065E">
      <w:pPr>
        <w:spacing w:line="480" w:lineRule="auto"/>
        <w:jc w:val="both"/>
        <w:rPr>
          <w:rFonts w:cs="Calibri"/>
          <w:sz w:val="24"/>
          <w:szCs w:val="24"/>
        </w:rPr>
      </w:pPr>
      <w:r>
        <w:rPr>
          <w:rFonts w:cs="Calibri"/>
          <w:sz w:val="24"/>
          <w:szCs w:val="24"/>
        </w:rPr>
        <w:lastRenderedPageBreak/>
        <w:t>W</w:t>
      </w:r>
      <w:r w:rsidR="009A36A8" w:rsidRPr="00E46997">
        <w:rPr>
          <w:rFonts w:cs="Calibri"/>
          <w:sz w:val="24"/>
          <w:szCs w:val="24"/>
        </w:rPr>
        <w:t xml:space="preserve">ithin five days of the initial SCAN assessment </w:t>
      </w:r>
      <w:r>
        <w:rPr>
          <w:rFonts w:cs="Calibri"/>
          <w:sz w:val="24"/>
          <w:szCs w:val="24"/>
        </w:rPr>
        <w:t>the participant was visited by another research</w:t>
      </w:r>
      <w:r w:rsidR="00371AD3">
        <w:rPr>
          <w:rFonts w:cs="Calibri"/>
          <w:sz w:val="24"/>
          <w:szCs w:val="24"/>
        </w:rPr>
        <w:t>er</w:t>
      </w:r>
      <w:r>
        <w:rPr>
          <w:rFonts w:cs="Calibri"/>
          <w:sz w:val="24"/>
          <w:szCs w:val="24"/>
        </w:rPr>
        <w:t xml:space="preserve"> on the ward and </w:t>
      </w:r>
      <w:r w:rsidR="009A36A8" w:rsidRPr="00E46997">
        <w:rPr>
          <w:rFonts w:cs="Calibri"/>
          <w:sz w:val="24"/>
          <w:szCs w:val="24"/>
        </w:rPr>
        <w:t xml:space="preserve">completed the EDS.  This second researcher was blind to the outcome of the SCAN interview.   Participants were given the choice of completing the questionnaire themselves, reading the items and indicating their response verbally or having the items and responses read to them verbatim.  </w:t>
      </w:r>
    </w:p>
    <w:p w14:paraId="5370471A" w14:textId="77777777" w:rsidR="006B4E87" w:rsidRPr="00E46997" w:rsidRDefault="006B4E87" w:rsidP="00FE065E">
      <w:pPr>
        <w:spacing w:line="480" w:lineRule="auto"/>
        <w:jc w:val="both"/>
        <w:rPr>
          <w:rFonts w:cs="Calibri"/>
          <w:sz w:val="24"/>
          <w:szCs w:val="24"/>
        </w:rPr>
      </w:pPr>
    </w:p>
    <w:p w14:paraId="156488CA" w14:textId="77777777" w:rsidR="00B67C47" w:rsidRPr="00B67C47" w:rsidRDefault="00B67C47" w:rsidP="00FE065E">
      <w:pPr>
        <w:spacing w:line="480" w:lineRule="auto"/>
        <w:jc w:val="both"/>
        <w:rPr>
          <w:rFonts w:cs="Calibri"/>
          <w:i/>
          <w:sz w:val="24"/>
          <w:szCs w:val="24"/>
        </w:rPr>
      </w:pPr>
      <w:r w:rsidRPr="00B67C47">
        <w:rPr>
          <w:rFonts w:cs="Calibri"/>
          <w:i/>
          <w:sz w:val="24"/>
          <w:szCs w:val="24"/>
        </w:rPr>
        <w:t>Statistical analysis</w:t>
      </w:r>
    </w:p>
    <w:p w14:paraId="4CE066C7" w14:textId="77777777" w:rsidR="009A36A8" w:rsidRPr="00E46997" w:rsidRDefault="009A36A8" w:rsidP="00FE065E">
      <w:pPr>
        <w:spacing w:line="480" w:lineRule="auto"/>
        <w:jc w:val="both"/>
        <w:rPr>
          <w:rFonts w:cs="Calibri"/>
          <w:sz w:val="24"/>
          <w:szCs w:val="24"/>
        </w:rPr>
      </w:pPr>
      <w:r w:rsidRPr="00E46997">
        <w:rPr>
          <w:rFonts w:cs="Calibri"/>
          <w:sz w:val="24"/>
          <w:szCs w:val="24"/>
        </w:rPr>
        <w:t>The sensitivity (Se), specificity (Sp), positive and negative predictive values (PPV and NPV) were calculated at various different cut-off points for the EDS</w:t>
      </w:r>
      <w:r w:rsidR="0057393D">
        <w:rPr>
          <w:rFonts w:cs="Calibri"/>
          <w:sz w:val="24"/>
          <w:szCs w:val="24"/>
        </w:rPr>
        <w:t xml:space="preserve"> as well as </w:t>
      </w:r>
      <w:r w:rsidR="0057393D" w:rsidRPr="00E46997">
        <w:rPr>
          <w:rFonts w:cs="Calibri"/>
          <w:sz w:val="24"/>
          <w:szCs w:val="24"/>
        </w:rPr>
        <w:t xml:space="preserve">the positive and negative likelihood ratios (PLR and NLR) and diagnostic </w:t>
      </w:r>
      <w:r w:rsidR="0057393D">
        <w:rPr>
          <w:rFonts w:cs="Calibri"/>
          <w:sz w:val="24"/>
          <w:szCs w:val="24"/>
        </w:rPr>
        <w:t>odds ratio (DOR).</w:t>
      </w:r>
      <w:r w:rsidRPr="00E46997">
        <w:rPr>
          <w:rFonts w:cs="Calibri"/>
          <w:sz w:val="24"/>
          <w:szCs w:val="24"/>
        </w:rPr>
        <w:t xml:space="preserve"> A receiver operating characteristic (ROC) curve was generated in order to calculate the area under the curve (AUC)</w:t>
      </w:r>
      <w:r w:rsidR="0057393D">
        <w:rPr>
          <w:rFonts w:cs="Calibri"/>
          <w:sz w:val="24"/>
          <w:szCs w:val="24"/>
        </w:rPr>
        <w:t xml:space="preserve">. </w:t>
      </w:r>
      <w:r w:rsidRPr="00E46997">
        <w:rPr>
          <w:rFonts w:cs="Calibri"/>
          <w:sz w:val="24"/>
          <w:szCs w:val="24"/>
        </w:rPr>
        <w:t xml:space="preserve">Data were analysed using the Statistical Package for the Social Sciences version 18.0. </w:t>
      </w:r>
    </w:p>
    <w:p w14:paraId="57D3BF60" w14:textId="77777777" w:rsidR="009A36A8" w:rsidRDefault="009A36A8" w:rsidP="00FE065E">
      <w:pPr>
        <w:spacing w:line="480" w:lineRule="auto"/>
        <w:jc w:val="both"/>
        <w:rPr>
          <w:rFonts w:cs="Calibri"/>
          <w:sz w:val="24"/>
          <w:szCs w:val="24"/>
        </w:rPr>
      </w:pPr>
    </w:p>
    <w:p w14:paraId="7161B2F8" w14:textId="77777777" w:rsidR="009A36A8" w:rsidRPr="00E46997" w:rsidRDefault="009A36A8" w:rsidP="00FE065E">
      <w:pPr>
        <w:spacing w:line="480" w:lineRule="auto"/>
        <w:jc w:val="both"/>
        <w:rPr>
          <w:rFonts w:cs="Calibri"/>
          <w:b/>
          <w:sz w:val="24"/>
          <w:szCs w:val="24"/>
        </w:rPr>
      </w:pPr>
      <w:r w:rsidRPr="00E46997">
        <w:rPr>
          <w:rFonts w:cs="Calibri"/>
          <w:b/>
          <w:sz w:val="24"/>
          <w:szCs w:val="24"/>
        </w:rPr>
        <w:t>RESULTS</w:t>
      </w:r>
    </w:p>
    <w:p w14:paraId="0868F3D4" w14:textId="166FAB21" w:rsidR="009A36A8" w:rsidRDefault="00AB0EE7" w:rsidP="00FE065E">
      <w:pPr>
        <w:spacing w:line="480" w:lineRule="auto"/>
        <w:jc w:val="both"/>
        <w:rPr>
          <w:rFonts w:cs="Calibri"/>
          <w:sz w:val="24"/>
          <w:szCs w:val="24"/>
        </w:rPr>
      </w:pPr>
      <w:r>
        <w:rPr>
          <w:rFonts w:cs="Calibri"/>
          <w:sz w:val="24"/>
          <w:szCs w:val="24"/>
        </w:rPr>
        <w:t xml:space="preserve">A total of 139 participants consented to take part, 8 did not meet eligibility criteria, and 13 did not complete all the assessments [6]. </w:t>
      </w:r>
      <w:r w:rsidR="004338A5">
        <w:rPr>
          <w:rFonts w:cs="Calibri"/>
          <w:sz w:val="24"/>
          <w:szCs w:val="24"/>
        </w:rPr>
        <w:t>O</w:t>
      </w:r>
      <w:r w:rsidR="009A36A8" w:rsidRPr="00E46997">
        <w:rPr>
          <w:rFonts w:cs="Calibri"/>
          <w:sz w:val="24"/>
          <w:szCs w:val="24"/>
        </w:rPr>
        <w:t>f the remaining 1</w:t>
      </w:r>
      <w:r w:rsidR="006B4E87">
        <w:rPr>
          <w:rFonts w:cs="Calibri"/>
          <w:sz w:val="24"/>
          <w:szCs w:val="24"/>
        </w:rPr>
        <w:t>18</w:t>
      </w:r>
      <w:r w:rsidR="004338A5">
        <w:rPr>
          <w:rFonts w:cs="Calibri"/>
          <w:sz w:val="24"/>
          <w:szCs w:val="24"/>
        </w:rPr>
        <w:t>, 41 (35%) were male and 77 (65%) female</w:t>
      </w:r>
      <w:r w:rsidR="009A36A8" w:rsidRPr="00E46997">
        <w:rPr>
          <w:rFonts w:cs="Calibri"/>
          <w:sz w:val="24"/>
          <w:szCs w:val="24"/>
        </w:rPr>
        <w:t xml:space="preserve">.  </w:t>
      </w:r>
      <w:r w:rsidR="004338A5">
        <w:rPr>
          <w:rFonts w:cs="Calibri"/>
          <w:sz w:val="24"/>
          <w:szCs w:val="24"/>
        </w:rPr>
        <w:t xml:space="preserve">The median age was 82 years (IQR 76.8-86.0), </w:t>
      </w:r>
      <w:r w:rsidR="00D562F0">
        <w:rPr>
          <w:rFonts w:cs="Calibri"/>
          <w:sz w:val="24"/>
          <w:szCs w:val="24"/>
        </w:rPr>
        <w:t xml:space="preserve">and </w:t>
      </w:r>
      <w:r w:rsidR="004338A5">
        <w:rPr>
          <w:rFonts w:cs="Calibri"/>
          <w:sz w:val="24"/>
          <w:szCs w:val="24"/>
        </w:rPr>
        <w:t>m</w:t>
      </w:r>
      <w:r w:rsidR="0002073A">
        <w:rPr>
          <w:rFonts w:cs="Calibri"/>
          <w:sz w:val="24"/>
          <w:szCs w:val="24"/>
        </w:rPr>
        <w:t>edian MMSE 27 (IQR 26</w:t>
      </w:r>
      <w:r w:rsidR="004338A5">
        <w:rPr>
          <w:rFonts w:cs="Calibri"/>
          <w:sz w:val="24"/>
          <w:szCs w:val="24"/>
        </w:rPr>
        <w:t>-28).</w:t>
      </w:r>
      <w:r>
        <w:rPr>
          <w:rFonts w:cs="Calibri"/>
          <w:sz w:val="24"/>
          <w:szCs w:val="24"/>
        </w:rPr>
        <w:t xml:space="preserve">  </w:t>
      </w:r>
      <w:r w:rsidR="00480229">
        <w:rPr>
          <w:rFonts w:cs="Calibri"/>
          <w:sz w:val="24"/>
          <w:szCs w:val="24"/>
        </w:rPr>
        <w:t>Twenty</w:t>
      </w:r>
      <w:r>
        <w:rPr>
          <w:rFonts w:cs="Calibri"/>
          <w:sz w:val="24"/>
          <w:szCs w:val="24"/>
        </w:rPr>
        <w:t>-</w:t>
      </w:r>
      <w:r w:rsidR="003D6DF2">
        <w:rPr>
          <w:rFonts w:cs="Calibri"/>
          <w:sz w:val="24"/>
          <w:szCs w:val="24"/>
        </w:rPr>
        <w:t>six</w:t>
      </w:r>
      <w:r w:rsidR="00480229">
        <w:rPr>
          <w:rFonts w:cs="Calibri"/>
          <w:sz w:val="24"/>
          <w:szCs w:val="24"/>
        </w:rPr>
        <w:t xml:space="preserve"> </w:t>
      </w:r>
      <w:r w:rsidR="009A36A8" w:rsidRPr="00E46997">
        <w:rPr>
          <w:rFonts w:cs="Calibri"/>
          <w:sz w:val="24"/>
          <w:szCs w:val="24"/>
        </w:rPr>
        <w:t>(</w:t>
      </w:r>
      <w:r w:rsidR="003D6DF2">
        <w:rPr>
          <w:rFonts w:cs="Calibri"/>
          <w:sz w:val="24"/>
          <w:szCs w:val="24"/>
        </w:rPr>
        <w:t>22</w:t>
      </w:r>
      <w:r w:rsidR="009A36A8" w:rsidRPr="00E46997">
        <w:rPr>
          <w:rFonts w:cs="Calibri"/>
          <w:sz w:val="24"/>
          <w:szCs w:val="24"/>
        </w:rPr>
        <w:t xml:space="preserve">%) participants met </w:t>
      </w:r>
      <w:r w:rsidR="003D6DF2">
        <w:rPr>
          <w:rFonts w:cs="Calibri"/>
          <w:sz w:val="24"/>
          <w:szCs w:val="24"/>
        </w:rPr>
        <w:t>ICD-10</w:t>
      </w:r>
      <w:r w:rsidR="009A36A8" w:rsidRPr="00E46997">
        <w:rPr>
          <w:rFonts w:cs="Calibri"/>
          <w:sz w:val="24"/>
          <w:szCs w:val="24"/>
        </w:rPr>
        <w:t xml:space="preserve"> criteria for a depressive </w:t>
      </w:r>
      <w:r w:rsidR="003D6DF2">
        <w:rPr>
          <w:rFonts w:cs="Calibri"/>
          <w:sz w:val="24"/>
          <w:szCs w:val="24"/>
        </w:rPr>
        <w:t>episode</w:t>
      </w:r>
      <w:r w:rsidR="009A36A8" w:rsidRPr="00E46997">
        <w:rPr>
          <w:rFonts w:cs="Calibri"/>
          <w:sz w:val="24"/>
          <w:szCs w:val="24"/>
        </w:rPr>
        <w:t xml:space="preserve"> – </w:t>
      </w:r>
      <w:r w:rsidR="003D6DF2">
        <w:rPr>
          <w:rFonts w:cs="Calibri"/>
          <w:sz w:val="24"/>
          <w:szCs w:val="24"/>
        </w:rPr>
        <w:t>16</w:t>
      </w:r>
      <w:r w:rsidR="009A36A8" w:rsidRPr="00E46997">
        <w:rPr>
          <w:rFonts w:cs="Calibri"/>
          <w:sz w:val="24"/>
          <w:szCs w:val="24"/>
        </w:rPr>
        <w:t xml:space="preserve"> (</w:t>
      </w:r>
      <w:r w:rsidR="003D6DF2">
        <w:rPr>
          <w:rFonts w:cs="Calibri"/>
          <w:sz w:val="24"/>
          <w:szCs w:val="24"/>
        </w:rPr>
        <w:t>13.5</w:t>
      </w:r>
      <w:r w:rsidR="009A36A8" w:rsidRPr="00E46997">
        <w:rPr>
          <w:rFonts w:cs="Calibri"/>
          <w:sz w:val="24"/>
          <w:szCs w:val="24"/>
        </w:rPr>
        <w:t xml:space="preserve">%) had a diagnosis of </w:t>
      </w:r>
      <w:r w:rsidR="003D6DF2">
        <w:rPr>
          <w:rFonts w:cs="Calibri"/>
          <w:sz w:val="24"/>
          <w:szCs w:val="24"/>
        </w:rPr>
        <w:t>mild depressive episode</w:t>
      </w:r>
      <w:r w:rsidR="009A36A8" w:rsidRPr="00E46997">
        <w:rPr>
          <w:rFonts w:cs="Calibri"/>
          <w:sz w:val="24"/>
          <w:szCs w:val="24"/>
        </w:rPr>
        <w:t xml:space="preserve">, </w:t>
      </w:r>
      <w:r w:rsidR="003D6DF2">
        <w:rPr>
          <w:rFonts w:cs="Calibri"/>
          <w:sz w:val="24"/>
          <w:szCs w:val="24"/>
        </w:rPr>
        <w:t>10</w:t>
      </w:r>
      <w:r w:rsidR="009A36A8" w:rsidRPr="00E46997">
        <w:rPr>
          <w:rFonts w:cs="Calibri"/>
          <w:sz w:val="24"/>
          <w:szCs w:val="24"/>
        </w:rPr>
        <w:t xml:space="preserve"> (</w:t>
      </w:r>
      <w:r w:rsidR="003D6DF2">
        <w:rPr>
          <w:rFonts w:cs="Calibri"/>
          <w:sz w:val="24"/>
          <w:szCs w:val="24"/>
        </w:rPr>
        <w:t>8.5</w:t>
      </w:r>
      <w:r w:rsidR="009A36A8" w:rsidRPr="00E46997">
        <w:rPr>
          <w:rFonts w:cs="Calibri"/>
          <w:sz w:val="24"/>
          <w:szCs w:val="24"/>
        </w:rPr>
        <w:t xml:space="preserve">%) of </w:t>
      </w:r>
      <w:r w:rsidR="003D6DF2">
        <w:rPr>
          <w:rFonts w:cs="Calibri"/>
          <w:sz w:val="24"/>
          <w:szCs w:val="24"/>
        </w:rPr>
        <w:t>moderate</w:t>
      </w:r>
      <w:r w:rsidR="009A36A8" w:rsidRPr="00E46997">
        <w:rPr>
          <w:rFonts w:cs="Calibri"/>
          <w:sz w:val="24"/>
          <w:szCs w:val="24"/>
        </w:rPr>
        <w:t xml:space="preserve"> depress</w:t>
      </w:r>
      <w:r w:rsidR="003D6DF2">
        <w:rPr>
          <w:rFonts w:cs="Calibri"/>
          <w:sz w:val="24"/>
          <w:szCs w:val="24"/>
        </w:rPr>
        <w:t>ive episode</w:t>
      </w:r>
      <w:r w:rsidR="009A36A8" w:rsidRPr="00E46997">
        <w:rPr>
          <w:rFonts w:cs="Calibri"/>
          <w:sz w:val="24"/>
          <w:szCs w:val="24"/>
        </w:rPr>
        <w:t xml:space="preserve"> and none received a diagnosis of </w:t>
      </w:r>
      <w:r w:rsidR="003D6DF2">
        <w:rPr>
          <w:rFonts w:cs="Calibri"/>
          <w:sz w:val="24"/>
          <w:szCs w:val="24"/>
        </w:rPr>
        <w:t>severe depressive episode</w:t>
      </w:r>
      <w:r w:rsidR="009A36A8" w:rsidRPr="00E46997">
        <w:rPr>
          <w:rFonts w:cs="Calibri"/>
          <w:sz w:val="24"/>
          <w:szCs w:val="24"/>
        </w:rPr>
        <w:t xml:space="preserve">.  </w:t>
      </w:r>
      <w:r w:rsidR="009A36A8" w:rsidRPr="00276D25">
        <w:rPr>
          <w:rFonts w:cs="Calibri"/>
          <w:sz w:val="24"/>
          <w:szCs w:val="24"/>
        </w:rPr>
        <w:t xml:space="preserve">Participants who were depressed were </w:t>
      </w:r>
      <w:r w:rsidR="004338A5">
        <w:rPr>
          <w:rFonts w:cs="Calibri"/>
          <w:sz w:val="24"/>
          <w:szCs w:val="24"/>
        </w:rPr>
        <w:t xml:space="preserve">similar </w:t>
      </w:r>
      <w:r w:rsidR="009A36A8" w:rsidRPr="00276D25">
        <w:rPr>
          <w:rFonts w:cs="Calibri"/>
          <w:sz w:val="24"/>
          <w:szCs w:val="24"/>
        </w:rPr>
        <w:t>in terms of gender (</w:t>
      </w:r>
      <w:r w:rsidR="009A36A8" w:rsidRPr="0006757C">
        <w:rPr>
          <w:rFonts w:cs="Calibri"/>
          <w:sz w:val="24"/>
          <w:szCs w:val="24"/>
        </w:rPr>
        <w:t>Pearson χ</w:t>
      </w:r>
      <w:r w:rsidR="009A36A8" w:rsidRPr="0006757C">
        <w:rPr>
          <w:rFonts w:cs="Calibri"/>
          <w:sz w:val="24"/>
          <w:szCs w:val="24"/>
          <w:vertAlign w:val="superscript"/>
        </w:rPr>
        <w:t>2</w:t>
      </w:r>
      <w:r w:rsidR="009A36A8" w:rsidRPr="0006757C">
        <w:rPr>
          <w:rFonts w:cs="Calibri"/>
          <w:sz w:val="24"/>
          <w:szCs w:val="24"/>
        </w:rPr>
        <w:t xml:space="preserve"> (two-tailed)</w:t>
      </w:r>
      <w:r w:rsidR="0006757C">
        <w:rPr>
          <w:rFonts w:cs="Calibri"/>
          <w:sz w:val="24"/>
          <w:szCs w:val="24"/>
        </w:rPr>
        <w:t xml:space="preserve"> </w:t>
      </w:r>
      <w:r w:rsidR="009A36A8" w:rsidRPr="0006757C">
        <w:rPr>
          <w:rFonts w:cs="Calibri"/>
          <w:sz w:val="24"/>
          <w:szCs w:val="24"/>
        </w:rPr>
        <w:t>=</w:t>
      </w:r>
      <w:r w:rsidR="00743D16" w:rsidRPr="0006757C">
        <w:rPr>
          <w:rFonts w:cs="Calibri"/>
          <w:sz w:val="24"/>
          <w:szCs w:val="24"/>
        </w:rPr>
        <w:t>0.23</w:t>
      </w:r>
      <w:r w:rsidR="009A36A8" w:rsidRPr="00276D25">
        <w:rPr>
          <w:rFonts w:cs="Calibri"/>
          <w:sz w:val="24"/>
          <w:szCs w:val="24"/>
        </w:rPr>
        <w:t>, d</w:t>
      </w:r>
      <w:r w:rsidR="004338A5">
        <w:rPr>
          <w:rFonts w:cs="Calibri"/>
          <w:sz w:val="24"/>
          <w:szCs w:val="24"/>
        </w:rPr>
        <w:t xml:space="preserve">f </w:t>
      </w:r>
      <w:r w:rsidR="009A36A8" w:rsidRPr="00276D25">
        <w:rPr>
          <w:rFonts w:cs="Calibri"/>
          <w:sz w:val="24"/>
          <w:szCs w:val="24"/>
        </w:rPr>
        <w:t>=1, P=0.</w:t>
      </w:r>
      <w:r w:rsidR="00743D16">
        <w:rPr>
          <w:rFonts w:cs="Calibri"/>
          <w:sz w:val="24"/>
          <w:szCs w:val="24"/>
        </w:rPr>
        <w:t>63</w:t>
      </w:r>
      <w:r w:rsidR="009A36A8" w:rsidRPr="00276D25">
        <w:rPr>
          <w:rFonts w:cs="Calibri"/>
          <w:sz w:val="24"/>
          <w:szCs w:val="24"/>
        </w:rPr>
        <w:t>), ag</w:t>
      </w:r>
      <w:r w:rsidR="004338A5">
        <w:rPr>
          <w:rFonts w:cs="Calibri"/>
          <w:sz w:val="24"/>
          <w:szCs w:val="24"/>
        </w:rPr>
        <w:t>e (Mann-Whitney U test, NS), and</w:t>
      </w:r>
      <w:r w:rsidR="009A36A8" w:rsidRPr="00276D25">
        <w:rPr>
          <w:rFonts w:cs="Calibri"/>
          <w:sz w:val="24"/>
          <w:szCs w:val="24"/>
        </w:rPr>
        <w:t xml:space="preserve"> MMSE score (Mann-Whitney U test, NS)</w:t>
      </w:r>
      <w:r w:rsidR="004338A5">
        <w:rPr>
          <w:rFonts w:cs="Calibri"/>
          <w:sz w:val="24"/>
          <w:szCs w:val="24"/>
        </w:rPr>
        <w:t xml:space="preserve">. </w:t>
      </w:r>
    </w:p>
    <w:p w14:paraId="3D5EB095" w14:textId="77777777" w:rsidR="00FE3AC7" w:rsidRPr="00E46997" w:rsidRDefault="00FE3AC7" w:rsidP="00FE065E">
      <w:pPr>
        <w:spacing w:line="480" w:lineRule="auto"/>
        <w:jc w:val="both"/>
        <w:rPr>
          <w:rFonts w:cs="Calibri"/>
          <w:sz w:val="24"/>
          <w:szCs w:val="24"/>
        </w:rPr>
      </w:pPr>
    </w:p>
    <w:p w14:paraId="4BDDB79A" w14:textId="257FF7B3" w:rsidR="004F6FE3" w:rsidRDefault="004338A5" w:rsidP="00FE065E">
      <w:pPr>
        <w:spacing w:line="480" w:lineRule="auto"/>
        <w:jc w:val="both"/>
        <w:rPr>
          <w:rFonts w:cs="Calibri"/>
          <w:sz w:val="24"/>
          <w:szCs w:val="24"/>
        </w:rPr>
      </w:pPr>
      <w:r>
        <w:rPr>
          <w:rFonts w:cs="Calibri"/>
          <w:sz w:val="24"/>
          <w:szCs w:val="24"/>
        </w:rPr>
        <w:lastRenderedPageBreak/>
        <w:t>Table 1</w:t>
      </w:r>
      <w:r w:rsidR="009A36A8" w:rsidRPr="00E46997">
        <w:rPr>
          <w:rFonts w:cs="Calibri"/>
          <w:sz w:val="24"/>
          <w:szCs w:val="24"/>
        </w:rPr>
        <w:t xml:space="preserve"> summarises the performance characteristics of the EDS when different threshold scores are used to identify cases with depression according to </w:t>
      </w:r>
      <w:r w:rsidR="003D6DF2" w:rsidRPr="003D6DF2">
        <w:rPr>
          <w:rFonts w:cs="Calibri"/>
          <w:sz w:val="24"/>
          <w:szCs w:val="24"/>
        </w:rPr>
        <w:t>ICD-10</w:t>
      </w:r>
      <w:r w:rsidR="009A36A8" w:rsidRPr="003D6DF2">
        <w:rPr>
          <w:rFonts w:cs="Calibri"/>
          <w:sz w:val="24"/>
          <w:szCs w:val="24"/>
        </w:rPr>
        <w:t xml:space="preserve"> criteria</w:t>
      </w:r>
      <w:r w:rsidR="009A36A8" w:rsidRPr="00E46997">
        <w:rPr>
          <w:rFonts w:cs="Calibri"/>
          <w:sz w:val="24"/>
          <w:szCs w:val="24"/>
        </w:rPr>
        <w:t xml:space="preserve">.  The optimal cut-off for the scale </w:t>
      </w:r>
      <w:r w:rsidR="00AB0EE7">
        <w:rPr>
          <w:rFonts w:cs="Calibri"/>
          <w:sz w:val="24"/>
          <w:szCs w:val="24"/>
        </w:rPr>
        <w:t>was 7/8 (Youden’s index 0.66)</w:t>
      </w:r>
      <w:r w:rsidR="00EB373E">
        <w:rPr>
          <w:rFonts w:cs="Calibri"/>
          <w:sz w:val="24"/>
          <w:szCs w:val="24"/>
        </w:rPr>
        <w:t xml:space="preserve">; this identified 23/26 (88%) depressed participants but incorrectly identified 21/92 non-depressed. </w:t>
      </w:r>
      <w:r w:rsidR="006437F8">
        <w:rPr>
          <w:rFonts w:cs="Calibri"/>
          <w:sz w:val="24"/>
          <w:szCs w:val="24"/>
        </w:rPr>
        <w:t xml:space="preserve">A </w:t>
      </w:r>
      <w:r w:rsidR="009A36A8" w:rsidRPr="00745ED9">
        <w:rPr>
          <w:rFonts w:cs="Calibri"/>
          <w:sz w:val="24"/>
          <w:szCs w:val="24"/>
        </w:rPr>
        <w:t xml:space="preserve">cut-off </w:t>
      </w:r>
      <w:r w:rsidR="00EB373E">
        <w:rPr>
          <w:rFonts w:cs="Calibri"/>
          <w:sz w:val="24"/>
          <w:szCs w:val="24"/>
        </w:rPr>
        <w:t xml:space="preserve">of </w:t>
      </w:r>
      <w:r w:rsidR="008B4C00">
        <w:rPr>
          <w:rFonts w:cs="Calibri"/>
          <w:sz w:val="24"/>
          <w:szCs w:val="24"/>
        </w:rPr>
        <w:t>8/9</w:t>
      </w:r>
      <w:r w:rsidR="00EB373E">
        <w:rPr>
          <w:rFonts w:cs="Calibri"/>
          <w:sz w:val="24"/>
          <w:szCs w:val="24"/>
        </w:rPr>
        <w:t xml:space="preserve"> </w:t>
      </w:r>
      <w:r w:rsidR="00884F41">
        <w:rPr>
          <w:rFonts w:cs="Calibri"/>
          <w:sz w:val="24"/>
          <w:szCs w:val="24"/>
        </w:rPr>
        <w:t xml:space="preserve">(Youden’s index 0.62) </w:t>
      </w:r>
      <w:r w:rsidR="00EB373E">
        <w:rPr>
          <w:rFonts w:cs="Calibri"/>
          <w:sz w:val="24"/>
          <w:szCs w:val="24"/>
        </w:rPr>
        <w:t>had both good sensitivity and specificity (above</w:t>
      </w:r>
      <w:r w:rsidR="00F3137C">
        <w:rPr>
          <w:rFonts w:cs="Calibri"/>
          <w:sz w:val="24"/>
          <w:szCs w:val="24"/>
        </w:rPr>
        <w:t xml:space="preserve"> 0.8)</w:t>
      </w:r>
      <w:r>
        <w:rPr>
          <w:rFonts w:cs="Calibri"/>
          <w:sz w:val="24"/>
          <w:szCs w:val="24"/>
        </w:rPr>
        <w:t xml:space="preserve">: this </w:t>
      </w:r>
      <w:r w:rsidR="009A36A8" w:rsidRPr="00745ED9">
        <w:rPr>
          <w:rFonts w:cs="Calibri"/>
          <w:sz w:val="24"/>
          <w:szCs w:val="24"/>
        </w:rPr>
        <w:t xml:space="preserve">correctly identified </w:t>
      </w:r>
      <w:r w:rsidR="008B4C00">
        <w:rPr>
          <w:rFonts w:cs="Calibri"/>
          <w:sz w:val="24"/>
          <w:szCs w:val="24"/>
        </w:rPr>
        <w:t>21</w:t>
      </w:r>
      <w:r w:rsidR="003D6DF2" w:rsidRPr="00745ED9">
        <w:rPr>
          <w:rFonts w:cs="Calibri"/>
          <w:sz w:val="24"/>
          <w:szCs w:val="24"/>
        </w:rPr>
        <w:t>/26</w:t>
      </w:r>
      <w:r w:rsidR="009A36A8" w:rsidRPr="00745ED9">
        <w:rPr>
          <w:rFonts w:cs="Calibri"/>
          <w:sz w:val="24"/>
          <w:szCs w:val="24"/>
        </w:rPr>
        <w:t xml:space="preserve"> (</w:t>
      </w:r>
      <w:r w:rsidR="003D6DF2" w:rsidRPr="00745ED9">
        <w:rPr>
          <w:rFonts w:cs="Calibri"/>
          <w:sz w:val="24"/>
          <w:szCs w:val="24"/>
        </w:rPr>
        <w:t>8</w:t>
      </w:r>
      <w:r w:rsidR="008B4C00">
        <w:rPr>
          <w:rFonts w:cs="Calibri"/>
          <w:sz w:val="24"/>
          <w:szCs w:val="24"/>
        </w:rPr>
        <w:t>1</w:t>
      </w:r>
      <w:r w:rsidR="009A36A8" w:rsidRPr="00745ED9">
        <w:rPr>
          <w:rFonts w:cs="Calibri"/>
          <w:sz w:val="24"/>
          <w:szCs w:val="24"/>
        </w:rPr>
        <w:t xml:space="preserve">%) participants who were diagnosed with depression, and incorrectly identified </w:t>
      </w:r>
      <w:r w:rsidR="008B4C00">
        <w:rPr>
          <w:rFonts w:cs="Calibri"/>
          <w:sz w:val="24"/>
          <w:szCs w:val="24"/>
        </w:rPr>
        <w:t>17</w:t>
      </w:r>
      <w:r w:rsidR="003D6DF2" w:rsidRPr="00745ED9">
        <w:rPr>
          <w:rFonts w:cs="Calibri"/>
          <w:sz w:val="24"/>
          <w:szCs w:val="24"/>
        </w:rPr>
        <w:t>/92 (</w:t>
      </w:r>
      <w:r w:rsidR="008B4C00">
        <w:rPr>
          <w:rFonts w:cs="Calibri"/>
          <w:sz w:val="24"/>
          <w:szCs w:val="24"/>
        </w:rPr>
        <w:t>18</w:t>
      </w:r>
      <w:r w:rsidR="009A36A8" w:rsidRPr="00745ED9">
        <w:rPr>
          <w:rFonts w:cs="Calibri"/>
          <w:sz w:val="24"/>
          <w:szCs w:val="24"/>
        </w:rPr>
        <w:t xml:space="preserve">%) non-depressed participants. </w:t>
      </w:r>
      <w:r w:rsidR="00884F41">
        <w:rPr>
          <w:rFonts w:cs="Calibri"/>
          <w:sz w:val="24"/>
          <w:szCs w:val="24"/>
        </w:rPr>
        <w:t xml:space="preserve"> When considering mild depression alone (n=16) a 7/8 cut-off achieved a sensitivity of 0.81, specificity of 0.77, PPV of 0.38 and NPV of 0.96. As expected the performance for moderate depression </w:t>
      </w:r>
      <w:r w:rsidR="006437F8">
        <w:rPr>
          <w:rFonts w:cs="Calibri"/>
          <w:sz w:val="24"/>
          <w:szCs w:val="24"/>
        </w:rPr>
        <w:t>(n=10) is better,</w:t>
      </w:r>
      <w:r w:rsidR="00884F41">
        <w:rPr>
          <w:rFonts w:cs="Calibri"/>
          <w:sz w:val="24"/>
          <w:szCs w:val="24"/>
        </w:rPr>
        <w:t xml:space="preserve"> with </w:t>
      </w:r>
      <w:r w:rsidR="00AB106D">
        <w:rPr>
          <w:rFonts w:cs="Calibri"/>
          <w:sz w:val="24"/>
          <w:szCs w:val="24"/>
        </w:rPr>
        <w:t xml:space="preserve">the </w:t>
      </w:r>
      <w:r w:rsidR="00884F41">
        <w:rPr>
          <w:rFonts w:cs="Calibri"/>
          <w:sz w:val="24"/>
          <w:szCs w:val="24"/>
        </w:rPr>
        <w:t>7/8 cut-off sensitivity</w:t>
      </w:r>
      <w:r w:rsidR="00A86996">
        <w:rPr>
          <w:rFonts w:cs="Calibri"/>
          <w:sz w:val="24"/>
          <w:szCs w:val="24"/>
        </w:rPr>
        <w:t xml:space="preserve"> is</w:t>
      </w:r>
      <w:r w:rsidR="00884F41">
        <w:rPr>
          <w:rFonts w:cs="Calibri"/>
          <w:sz w:val="24"/>
          <w:szCs w:val="24"/>
        </w:rPr>
        <w:t xml:space="preserve"> 1.0, specificity 0.77, PPV 0.32, and NPV 1.0.</w:t>
      </w:r>
    </w:p>
    <w:p w14:paraId="1380BC5D" w14:textId="77777777" w:rsidR="00884F41" w:rsidRDefault="00884F41" w:rsidP="00FE065E">
      <w:pPr>
        <w:spacing w:line="480" w:lineRule="auto"/>
        <w:jc w:val="both"/>
        <w:rPr>
          <w:rFonts w:cs="Calibri"/>
          <w:sz w:val="24"/>
          <w:szCs w:val="24"/>
        </w:rPr>
      </w:pPr>
    </w:p>
    <w:p w14:paraId="14DE9C91" w14:textId="2EE437D5" w:rsidR="009A36A8" w:rsidRDefault="009A36A8" w:rsidP="00FE065E">
      <w:pPr>
        <w:spacing w:line="480" w:lineRule="auto"/>
        <w:jc w:val="both"/>
        <w:rPr>
          <w:rFonts w:cs="Calibri"/>
          <w:sz w:val="24"/>
          <w:szCs w:val="24"/>
        </w:rPr>
      </w:pPr>
      <w:r w:rsidRPr="00E46997">
        <w:rPr>
          <w:rFonts w:cs="Calibri"/>
          <w:sz w:val="24"/>
          <w:szCs w:val="24"/>
        </w:rPr>
        <w:t xml:space="preserve">Figure 1 shows the ROC curve for the EDS identification of </w:t>
      </w:r>
      <w:r w:rsidR="003D6DF2">
        <w:rPr>
          <w:rFonts w:cs="Calibri"/>
          <w:sz w:val="24"/>
          <w:szCs w:val="24"/>
        </w:rPr>
        <w:t>ICD-10 depressio</w:t>
      </w:r>
      <w:r w:rsidRPr="00E46997">
        <w:rPr>
          <w:rFonts w:cs="Calibri"/>
          <w:sz w:val="24"/>
          <w:szCs w:val="24"/>
        </w:rPr>
        <w:t>n.  The area under the cu</w:t>
      </w:r>
      <w:r w:rsidR="00604B86">
        <w:rPr>
          <w:rFonts w:cs="Calibri"/>
          <w:sz w:val="24"/>
          <w:szCs w:val="24"/>
        </w:rPr>
        <w:t>rve was 0.912</w:t>
      </w:r>
      <w:r w:rsidRPr="00E46997">
        <w:rPr>
          <w:rFonts w:cs="Calibri"/>
          <w:sz w:val="24"/>
          <w:szCs w:val="24"/>
        </w:rPr>
        <w:t xml:space="preserve"> (p&lt;0.001, 95% confidence interval 0.8</w:t>
      </w:r>
      <w:r w:rsidR="003D6DF2">
        <w:rPr>
          <w:rFonts w:cs="Calibri"/>
          <w:sz w:val="24"/>
          <w:szCs w:val="24"/>
        </w:rPr>
        <w:t>5</w:t>
      </w:r>
      <w:r w:rsidR="00604B86">
        <w:rPr>
          <w:rFonts w:cs="Calibri"/>
          <w:sz w:val="24"/>
          <w:szCs w:val="24"/>
        </w:rPr>
        <w:t>7</w:t>
      </w:r>
      <w:r w:rsidRPr="00E46997">
        <w:rPr>
          <w:rFonts w:cs="Calibri"/>
          <w:sz w:val="24"/>
          <w:szCs w:val="24"/>
        </w:rPr>
        <w:t xml:space="preserve"> - 0.9</w:t>
      </w:r>
      <w:r w:rsidR="003D6DF2">
        <w:rPr>
          <w:rFonts w:cs="Calibri"/>
          <w:sz w:val="24"/>
          <w:szCs w:val="24"/>
        </w:rPr>
        <w:t>6</w:t>
      </w:r>
      <w:r w:rsidR="00604B86">
        <w:rPr>
          <w:rFonts w:cs="Calibri"/>
          <w:sz w:val="24"/>
          <w:szCs w:val="24"/>
        </w:rPr>
        <w:t>7</w:t>
      </w:r>
      <w:r w:rsidRPr="00E46997">
        <w:rPr>
          <w:rFonts w:cs="Calibri"/>
          <w:sz w:val="24"/>
          <w:szCs w:val="24"/>
        </w:rPr>
        <w:t xml:space="preserve">). </w:t>
      </w:r>
      <w:r w:rsidR="00F3137C">
        <w:rPr>
          <w:rFonts w:cs="Calibri"/>
          <w:sz w:val="24"/>
          <w:szCs w:val="24"/>
        </w:rPr>
        <w:t xml:space="preserve"> The </w:t>
      </w:r>
      <w:r w:rsidR="004F6FE3">
        <w:rPr>
          <w:rFonts w:cs="Calibri"/>
          <w:sz w:val="24"/>
          <w:szCs w:val="24"/>
        </w:rPr>
        <w:t>EDS and 15-item Geriatric Depression Scale (GDS-15) were significantly correlated in this sample (</w:t>
      </w:r>
      <w:r w:rsidR="00884F41">
        <w:rPr>
          <w:rFonts w:cs="Calibri"/>
          <w:sz w:val="24"/>
          <w:szCs w:val="24"/>
        </w:rPr>
        <w:t>2-tailed Spearman correlation coefficient -0.63, P&lt;0.001).</w:t>
      </w:r>
      <w:r w:rsidR="004F6FE3">
        <w:rPr>
          <w:rFonts w:cs="Calibri"/>
          <w:sz w:val="24"/>
          <w:szCs w:val="24"/>
        </w:rPr>
        <w:t xml:space="preserve"> </w:t>
      </w:r>
    </w:p>
    <w:p w14:paraId="0C579C8D" w14:textId="77777777" w:rsidR="00F3137C" w:rsidRDefault="00F3137C" w:rsidP="00FE065E">
      <w:pPr>
        <w:spacing w:line="480" w:lineRule="auto"/>
        <w:jc w:val="both"/>
        <w:rPr>
          <w:rFonts w:cs="Calibri"/>
          <w:sz w:val="24"/>
          <w:szCs w:val="24"/>
        </w:rPr>
      </w:pPr>
    </w:p>
    <w:p w14:paraId="3178ABE1" w14:textId="77777777" w:rsidR="009A36A8" w:rsidRDefault="009A36A8" w:rsidP="00FE065E">
      <w:pPr>
        <w:spacing w:line="480" w:lineRule="auto"/>
        <w:jc w:val="both"/>
        <w:rPr>
          <w:rFonts w:cs="Calibri"/>
          <w:b/>
          <w:sz w:val="24"/>
          <w:szCs w:val="24"/>
        </w:rPr>
      </w:pPr>
      <w:r w:rsidRPr="00E46997">
        <w:rPr>
          <w:rFonts w:cs="Calibri"/>
          <w:b/>
          <w:sz w:val="24"/>
          <w:szCs w:val="24"/>
        </w:rPr>
        <w:t>DISCUSSION</w:t>
      </w:r>
    </w:p>
    <w:p w14:paraId="7D66960D" w14:textId="77777777" w:rsidR="00676685" w:rsidRDefault="00676685" w:rsidP="00FE065E">
      <w:pPr>
        <w:spacing w:line="480" w:lineRule="auto"/>
        <w:jc w:val="both"/>
        <w:rPr>
          <w:rFonts w:cs="Calibri"/>
          <w:i/>
          <w:sz w:val="24"/>
          <w:szCs w:val="24"/>
        </w:rPr>
      </w:pPr>
      <w:r>
        <w:rPr>
          <w:rFonts w:cs="Calibri"/>
          <w:i/>
          <w:sz w:val="24"/>
          <w:szCs w:val="24"/>
        </w:rPr>
        <w:t>Main Findings</w:t>
      </w:r>
    </w:p>
    <w:p w14:paraId="63975D38" w14:textId="394E55F6" w:rsidR="006512D1" w:rsidRDefault="00E609BA" w:rsidP="00FE065E">
      <w:pPr>
        <w:spacing w:line="480" w:lineRule="auto"/>
        <w:jc w:val="both"/>
        <w:rPr>
          <w:rFonts w:cs="Calibri"/>
          <w:sz w:val="24"/>
          <w:szCs w:val="24"/>
        </w:rPr>
      </w:pPr>
      <w:r>
        <w:rPr>
          <w:rFonts w:cs="Calibri"/>
          <w:sz w:val="24"/>
          <w:szCs w:val="24"/>
        </w:rPr>
        <w:t xml:space="preserve">In this study examining the validity </w:t>
      </w:r>
      <w:r w:rsidR="00F530FD">
        <w:rPr>
          <w:rFonts w:cs="Calibri"/>
          <w:sz w:val="24"/>
          <w:szCs w:val="24"/>
        </w:rPr>
        <w:t xml:space="preserve">of </w:t>
      </w:r>
      <w:r>
        <w:rPr>
          <w:rFonts w:cs="Calibri"/>
          <w:sz w:val="24"/>
          <w:szCs w:val="24"/>
        </w:rPr>
        <w:t xml:space="preserve">the EDS for identifying depression in older people admitted to acute medical wards we found an optimum cut-off of </w:t>
      </w:r>
      <w:r w:rsidR="00DA04C0">
        <w:rPr>
          <w:rFonts w:cs="Calibri"/>
          <w:sz w:val="24"/>
          <w:szCs w:val="24"/>
        </w:rPr>
        <w:t xml:space="preserve">7/8 </w:t>
      </w:r>
      <w:r>
        <w:rPr>
          <w:rFonts w:cs="Calibri"/>
          <w:sz w:val="24"/>
          <w:szCs w:val="24"/>
        </w:rPr>
        <w:t>correspond</w:t>
      </w:r>
      <w:r w:rsidR="00F530FD">
        <w:rPr>
          <w:rFonts w:cs="Calibri"/>
          <w:sz w:val="24"/>
          <w:szCs w:val="24"/>
        </w:rPr>
        <w:t>ing</w:t>
      </w:r>
      <w:r>
        <w:rPr>
          <w:rFonts w:cs="Calibri"/>
          <w:sz w:val="24"/>
          <w:szCs w:val="24"/>
        </w:rPr>
        <w:t xml:space="preserve"> to a</w:t>
      </w:r>
      <w:r w:rsidR="006512D1">
        <w:rPr>
          <w:rFonts w:cs="Calibri"/>
          <w:sz w:val="24"/>
          <w:szCs w:val="24"/>
        </w:rPr>
        <w:t>n acceptable</w:t>
      </w:r>
      <w:r>
        <w:rPr>
          <w:rFonts w:cs="Calibri"/>
          <w:sz w:val="24"/>
          <w:szCs w:val="24"/>
        </w:rPr>
        <w:t xml:space="preserve"> </w:t>
      </w:r>
      <w:r w:rsidR="00DA04C0">
        <w:rPr>
          <w:rFonts w:cs="Calibri"/>
          <w:sz w:val="24"/>
          <w:szCs w:val="24"/>
        </w:rPr>
        <w:t xml:space="preserve">sensitivity </w:t>
      </w:r>
      <w:r w:rsidR="009707BF">
        <w:rPr>
          <w:rFonts w:cs="Calibri"/>
          <w:sz w:val="24"/>
          <w:szCs w:val="24"/>
        </w:rPr>
        <w:t>of 0.8</w:t>
      </w:r>
      <w:r w:rsidR="00DA04C0">
        <w:rPr>
          <w:rFonts w:cs="Calibri"/>
          <w:sz w:val="24"/>
          <w:szCs w:val="24"/>
        </w:rPr>
        <w:t>8</w:t>
      </w:r>
      <w:r w:rsidR="009707BF">
        <w:rPr>
          <w:rFonts w:cs="Calibri"/>
          <w:sz w:val="24"/>
          <w:szCs w:val="24"/>
        </w:rPr>
        <w:t xml:space="preserve"> and </w:t>
      </w:r>
      <w:r w:rsidR="00DA04C0">
        <w:rPr>
          <w:rFonts w:cs="Calibri"/>
          <w:sz w:val="24"/>
          <w:szCs w:val="24"/>
        </w:rPr>
        <w:t>s</w:t>
      </w:r>
      <w:r w:rsidR="009707BF">
        <w:rPr>
          <w:rFonts w:cs="Calibri"/>
          <w:sz w:val="24"/>
          <w:szCs w:val="24"/>
        </w:rPr>
        <w:t>p</w:t>
      </w:r>
      <w:r w:rsidR="00DA04C0">
        <w:rPr>
          <w:rFonts w:cs="Calibri"/>
          <w:sz w:val="24"/>
          <w:szCs w:val="24"/>
        </w:rPr>
        <w:t xml:space="preserve">ecificity </w:t>
      </w:r>
      <w:r w:rsidR="009707BF">
        <w:rPr>
          <w:rFonts w:cs="Calibri"/>
          <w:sz w:val="24"/>
          <w:szCs w:val="24"/>
        </w:rPr>
        <w:t>of 0.</w:t>
      </w:r>
      <w:r w:rsidR="00DA04C0">
        <w:rPr>
          <w:rFonts w:cs="Calibri"/>
          <w:sz w:val="24"/>
          <w:szCs w:val="24"/>
        </w:rPr>
        <w:t>77</w:t>
      </w:r>
      <w:r w:rsidR="009707BF">
        <w:rPr>
          <w:rFonts w:cs="Calibri"/>
          <w:sz w:val="24"/>
          <w:szCs w:val="24"/>
        </w:rPr>
        <w:t xml:space="preserve">. </w:t>
      </w:r>
      <w:r w:rsidR="006512D1">
        <w:rPr>
          <w:rFonts w:cs="Calibri"/>
          <w:sz w:val="24"/>
          <w:szCs w:val="24"/>
        </w:rPr>
        <w:t xml:space="preserve">If the EDS </w:t>
      </w:r>
      <w:r w:rsidR="00371AD3">
        <w:rPr>
          <w:rFonts w:cs="Calibri"/>
          <w:sz w:val="24"/>
          <w:szCs w:val="24"/>
        </w:rPr>
        <w:t xml:space="preserve">were to be used </w:t>
      </w:r>
      <w:r w:rsidR="006512D1">
        <w:rPr>
          <w:rFonts w:cs="Calibri"/>
          <w:sz w:val="24"/>
          <w:szCs w:val="24"/>
        </w:rPr>
        <w:t xml:space="preserve">as an initial screening process to alert the clinician </w:t>
      </w:r>
      <w:r w:rsidR="00371AD3">
        <w:rPr>
          <w:rFonts w:cs="Calibri"/>
          <w:sz w:val="24"/>
          <w:szCs w:val="24"/>
        </w:rPr>
        <w:t xml:space="preserve">to </w:t>
      </w:r>
      <w:r w:rsidR="006512D1">
        <w:rPr>
          <w:rFonts w:cs="Calibri"/>
          <w:sz w:val="24"/>
          <w:szCs w:val="24"/>
        </w:rPr>
        <w:t xml:space="preserve">a patient </w:t>
      </w:r>
      <w:r w:rsidR="004E7B28">
        <w:rPr>
          <w:rFonts w:cs="Calibri"/>
          <w:sz w:val="24"/>
          <w:szCs w:val="24"/>
        </w:rPr>
        <w:t xml:space="preserve">who </w:t>
      </w:r>
      <w:r w:rsidR="00371AD3">
        <w:rPr>
          <w:rFonts w:cs="Calibri"/>
          <w:sz w:val="24"/>
          <w:szCs w:val="24"/>
        </w:rPr>
        <w:t xml:space="preserve">would benefit from a </w:t>
      </w:r>
      <w:r w:rsidR="006512D1">
        <w:rPr>
          <w:rFonts w:cs="Calibri"/>
          <w:sz w:val="24"/>
          <w:szCs w:val="24"/>
        </w:rPr>
        <w:t xml:space="preserve">further detailed assessment then a lower threshold maximising </w:t>
      </w:r>
      <w:r w:rsidR="008339FC">
        <w:rPr>
          <w:rFonts w:cs="Calibri"/>
          <w:sz w:val="24"/>
          <w:szCs w:val="24"/>
        </w:rPr>
        <w:t xml:space="preserve">sensitivity </w:t>
      </w:r>
      <w:r w:rsidR="006512D1">
        <w:rPr>
          <w:rFonts w:cs="Calibri"/>
          <w:sz w:val="24"/>
          <w:szCs w:val="24"/>
        </w:rPr>
        <w:t>may be more appropriate such as 6/7</w:t>
      </w:r>
      <w:r w:rsidR="00DA04C0">
        <w:rPr>
          <w:rFonts w:cs="Calibri"/>
          <w:sz w:val="24"/>
          <w:szCs w:val="24"/>
        </w:rPr>
        <w:t>.</w:t>
      </w:r>
      <w:r w:rsidR="006512D1">
        <w:rPr>
          <w:rFonts w:cs="Calibri"/>
          <w:sz w:val="24"/>
          <w:szCs w:val="24"/>
        </w:rPr>
        <w:t xml:space="preserve"> </w:t>
      </w:r>
    </w:p>
    <w:p w14:paraId="40E007C8" w14:textId="77777777" w:rsidR="008708DE" w:rsidRDefault="008708DE" w:rsidP="00FE065E">
      <w:pPr>
        <w:spacing w:line="480" w:lineRule="auto"/>
        <w:jc w:val="both"/>
        <w:rPr>
          <w:rFonts w:cs="Calibri"/>
          <w:i/>
          <w:sz w:val="24"/>
          <w:szCs w:val="24"/>
        </w:rPr>
      </w:pPr>
    </w:p>
    <w:p w14:paraId="6D9766B6" w14:textId="77777777" w:rsidR="00676685" w:rsidRDefault="00676685" w:rsidP="00FE065E">
      <w:pPr>
        <w:spacing w:line="480" w:lineRule="auto"/>
        <w:jc w:val="both"/>
        <w:rPr>
          <w:rFonts w:cs="Calibri"/>
          <w:i/>
          <w:sz w:val="24"/>
          <w:szCs w:val="24"/>
        </w:rPr>
      </w:pPr>
      <w:r>
        <w:rPr>
          <w:rFonts w:cs="Calibri"/>
          <w:i/>
          <w:sz w:val="24"/>
          <w:szCs w:val="24"/>
        </w:rPr>
        <w:t>Limitations</w:t>
      </w:r>
    </w:p>
    <w:p w14:paraId="6D35C9C8" w14:textId="77777777" w:rsidR="002429DB" w:rsidRDefault="00471B1A" w:rsidP="00FE065E">
      <w:pPr>
        <w:spacing w:line="480" w:lineRule="auto"/>
        <w:jc w:val="both"/>
        <w:rPr>
          <w:rFonts w:cs="Calibri"/>
          <w:sz w:val="24"/>
          <w:szCs w:val="24"/>
        </w:rPr>
      </w:pPr>
      <w:r>
        <w:rPr>
          <w:rFonts w:cs="Calibri"/>
          <w:sz w:val="24"/>
          <w:szCs w:val="24"/>
        </w:rPr>
        <w:t>The limitations of the methodology have been discussed in detail previously</w:t>
      </w:r>
      <w:r w:rsidR="00735CA5">
        <w:rPr>
          <w:rFonts w:cs="Calibri"/>
          <w:sz w:val="24"/>
          <w:szCs w:val="24"/>
        </w:rPr>
        <w:t xml:space="preserve"> [6]</w:t>
      </w:r>
      <w:r>
        <w:rPr>
          <w:rFonts w:cs="Calibri"/>
          <w:sz w:val="24"/>
          <w:szCs w:val="24"/>
        </w:rPr>
        <w:t>. Key issues include the opportunistic use of ward medical teams to identify potential participants, the exclusion of cognitively impaired patients</w:t>
      </w:r>
      <w:r w:rsidR="00403864">
        <w:rPr>
          <w:rFonts w:cs="Calibri"/>
          <w:sz w:val="24"/>
          <w:szCs w:val="24"/>
        </w:rPr>
        <w:t>, and the absence of any cases of severe depressive episode</w:t>
      </w:r>
      <w:r>
        <w:rPr>
          <w:rFonts w:cs="Calibri"/>
          <w:sz w:val="24"/>
          <w:szCs w:val="24"/>
        </w:rPr>
        <w:t xml:space="preserve">. </w:t>
      </w:r>
      <w:r w:rsidR="008339FC">
        <w:rPr>
          <w:rFonts w:cs="Calibri"/>
          <w:sz w:val="24"/>
          <w:szCs w:val="24"/>
        </w:rPr>
        <w:t xml:space="preserve">Cases of severe depression may have been excluded because of cognitive impairment relating to depression, lack of capacity, or unwillingness to volunteer. </w:t>
      </w:r>
      <w:r>
        <w:rPr>
          <w:rFonts w:cs="Calibri"/>
          <w:sz w:val="24"/>
          <w:szCs w:val="24"/>
        </w:rPr>
        <w:t xml:space="preserve">However, the prevalence of depression </w:t>
      </w:r>
      <w:r w:rsidR="004E7B28">
        <w:rPr>
          <w:rFonts w:cs="Calibri"/>
          <w:sz w:val="24"/>
          <w:szCs w:val="24"/>
        </w:rPr>
        <w:t xml:space="preserve">in this study sample </w:t>
      </w:r>
      <w:r>
        <w:rPr>
          <w:rFonts w:cs="Calibri"/>
          <w:sz w:val="24"/>
          <w:szCs w:val="24"/>
        </w:rPr>
        <w:t>is similar</w:t>
      </w:r>
      <w:r w:rsidR="00F77194">
        <w:rPr>
          <w:rFonts w:cs="Calibri"/>
          <w:sz w:val="24"/>
          <w:szCs w:val="24"/>
        </w:rPr>
        <w:t xml:space="preserve"> or higher than</w:t>
      </w:r>
      <w:r>
        <w:rPr>
          <w:rFonts w:cs="Calibri"/>
          <w:sz w:val="24"/>
          <w:szCs w:val="24"/>
        </w:rPr>
        <w:t xml:space="preserve"> that of other U.K. studies of older medical in-patients </w:t>
      </w:r>
      <w:r w:rsidR="00371AD3">
        <w:rPr>
          <w:rFonts w:cs="Calibri"/>
          <w:sz w:val="24"/>
          <w:szCs w:val="24"/>
        </w:rPr>
        <w:t xml:space="preserve">that used </w:t>
      </w:r>
      <w:r>
        <w:rPr>
          <w:rFonts w:cs="Calibri"/>
          <w:sz w:val="24"/>
          <w:szCs w:val="24"/>
        </w:rPr>
        <w:t>ICD-10 depression criteria</w:t>
      </w:r>
      <w:r w:rsidR="00F77194">
        <w:rPr>
          <w:rFonts w:cs="Calibri"/>
          <w:sz w:val="24"/>
          <w:szCs w:val="24"/>
        </w:rPr>
        <w:t xml:space="preserve"> </w:t>
      </w:r>
      <w:r w:rsidR="00735CA5">
        <w:rPr>
          <w:rFonts w:cs="Calibri"/>
          <w:sz w:val="24"/>
          <w:szCs w:val="24"/>
        </w:rPr>
        <w:t xml:space="preserve">[17, 18], </w:t>
      </w:r>
      <w:r w:rsidR="00A71157">
        <w:rPr>
          <w:rFonts w:cs="Calibri"/>
          <w:sz w:val="24"/>
          <w:szCs w:val="24"/>
        </w:rPr>
        <w:t xml:space="preserve">and </w:t>
      </w:r>
      <w:r w:rsidR="008708DE">
        <w:rPr>
          <w:rFonts w:cs="Calibri"/>
          <w:sz w:val="24"/>
          <w:szCs w:val="24"/>
        </w:rPr>
        <w:t>the age and gender characteristics of the participants are similar to studies of older people with unscheduled care admissions in England</w:t>
      </w:r>
      <w:r w:rsidR="00735CA5">
        <w:rPr>
          <w:rFonts w:cs="Calibri"/>
          <w:sz w:val="24"/>
          <w:szCs w:val="24"/>
        </w:rPr>
        <w:t xml:space="preserve"> [19, 20]</w:t>
      </w:r>
      <w:r w:rsidR="00664F09">
        <w:rPr>
          <w:rFonts w:cs="Calibri"/>
          <w:sz w:val="24"/>
          <w:szCs w:val="24"/>
        </w:rPr>
        <w:t>.</w:t>
      </w:r>
      <w:r w:rsidR="002429DB">
        <w:rPr>
          <w:rFonts w:cs="Calibri"/>
          <w:sz w:val="24"/>
          <w:szCs w:val="24"/>
        </w:rPr>
        <w:t xml:space="preserve">  </w:t>
      </w:r>
    </w:p>
    <w:p w14:paraId="11709CBD" w14:textId="77777777" w:rsidR="00746F78" w:rsidRDefault="00746F78" w:rsidP="00FE065E">
      <w:pPr>
        <w:spacing w:line="480" w:lineRule="auto"/>
        <w:jc w:val="both"/>
        <w:rPr>
          <w:rFonts w:cs="Calibri"/>
          <w:sz w:val="24"/>
          <w:szCs w:val="24"/>
        </w:rPr>
      </w:pPr>
    </w:p>
    <w:p w14:paraId="644C32E6" w14:textId="2BB2C250" w:rsidR="00AE2468" w:rsidRDefault="002429DB" w:rsidP="00FE065E">
      <w:pPr>
        <w:spacing w:line="480" w:lineRule="auto"/>
        <w:jc w:val="both"/>
        <w:rPr>
          <w:rFonts w:cs="Calibri"/>
          <w:sz w:val="24"/>
          <w:szCs w:val="24"/>
        </w:rPr>
      </w:pPr>
      <w:r>
        <w:rPr>
          <w:rFonts w:cs="Calibri"/>
          <w:sz w:val="24"/>
          <w:szCs w:val="24"/>
        </w:rPr>
        <w:t>In view of physical frailty the participants were also given the option to respond to EDS items orally rather than completing the questionnaire; it is possible this may influence results as oral versus written presentation of the GDS has suggested participants report less depressive responses [21].</w:t>
      </w:r>
    </w:p>
    <w:p w14:paraId="5A499937" w14:textId="77777777" w:rsidR="008708DE" w:rsidRDefault="008708DE" w:rsidP="00FE065E">
      <w:pPr>
        <w:spacing w:line="480" w:lineRule="auto"/>
        <w:jc w:val="both"/>
        <w:rPr>
          <w:rFonts w:cs="Calibri"/>
          <w:sz w:val="24"/>
          <w:szCs w:val="24"/>
        </w:rPr>
      </w:pPr>
    </w:p>
    <w:p w14:paraId="5487AFE4" w14:textId="77777777" w:rsidR="00676685" w:rsidRDefault="00676685" w:rsidP="00FE065E">
      <w:pPr>
        <w:spacing w:line="480" w:lineRule="auto"/>
        <w:jc w:val="both"/>
        <w:rPr>
          <w:rFonts w:cs="Calibri"/>
          <w:i/>
          <w:sz w:val="24"/>
          <w:szCs w:val="24"/>
        </w:rPr>
      </w:pPr>
      <w:r>
        <w:rPr>
          <w:rFonts w:cs="Calibri"/>
          <w:i/>
          <w:sz w:val="24"/>
          <w:szCs w:val="24"/>
        </w:rPr>
        <w:t>Implications</w:t>
      </w:r>
    </w:p>
    <w:p w14:paraId="7473A0A8" w14:textId="5EDCA933" w:rsidR="00A71157" w:rsidRDefault="00373713" w:rsidP="00FE065E">
      <w:pPr>
        <w:spacing w:line="480" w:lineRule="auto"/>
        <w:jc w:val="both"/>
        <w:rPr>
          <w:rFonts w:cs="Calibri"/>
          <w:sz w:val="24"/>
          <w:szCs w:val="24"/>
        </w:rPr>
      </w:pPr>
      <w:r>
        <w:rPr>
          <w:rFonts w:cs="Calibri"/>
          <w:sz w:val="24"/>
          <w:szCs w:val="24"/>
        </w:rPr>
        <w:t>When comparing the performance of the EDS</w:t>
      </w:r>
      <w:r w:rsidR="00A71157">
        <w:rPr>
          <w:rFonts w:cs="Calibri"/>
          <w:sz w:val="24"/>
          <w:szCs w:val="24"/>
        </w:rPr>
        <w:t xml:space="preserve"> with other studies using different </w:t>
      </w:r>
      <w:r w:rsidR="00371AD3">
        <w:rPr>
          <w:rFonts w:cs="Calibri"/>
          <w:sz w:val="24"/>
          <w:szCs w:val="24"/>
        </w:rPr>
        <w:t xml:space="preserve">depression screening </w:t>
      </w:r>
      <w:r w:rsidR="00A71157">
        <w:rPr>
          <w:rFonts w:cs="Calibri"/>
          <w:sz w:val="24"/>
          <w:szCs w:val="24"/>
        </w:rPr>
        <w:t xml:space="preserve">instruments in older people in </w:t>
      </w:r>
      <w:r>
        <w:rPr>
          <w:rFonts w:cs="Calibri"/>
          <w:sz w:val="24"/>
          <w:szCs w:val="24"/>
        </w:rPr>
        <w:t xml:space="preserve">a </w:t>
      </w:r>
      <w:r w:rsidR="00AE2468">
        <w:rPr>
          <w:rFonts w:cs="Calibri"/>
          <w:sz w:val="24"/>
          <w:szCs w:val="24"/>
        </w:rPr>
        <w:t xml:space="preserve">similar </w:t>
      </w:r>
      <w:r>
        <w:rPr>
          <w:rFonts w:cs="Calibri"/>
          <w:sz w:val="24"/>
          <w:szCs w:val="24"/>
        </w:rPr>
        <w:t xml:space="preserve">clinical </w:t>
      </w:r>
      <w:r w:rsidR="00A71157">
        <w:rPr>
          <w:rFonts w:cs="Calibri"/>
          <w:sz w:val="24"/>
          <w:szCs w:val="24"/>
        </w:rPr>
        <w:t>setting</w:t>
      </w:r>
      <w:r>
        <w:rPr>
          <w:rFonts w:cs="Calibri"/>
          <w:sz w:val="24"/>
          <w:szCs w:val="24"/>
        </w:rPr>
        <w:t xml:space="preserve">, the EDS in our study performed </w:t>
      </w:r>
      <w:r w:rsidR="00B055FB">
        <w:rPr>
          <w:rFonts w:cs="Calibri"/>
          <w:sz w:val="24"/>
          <w:szCs w:val="24"/>
        </w:rPr>
        <w:t xml:space="preserve">slightly better than the </w:t>
      </w:r>
      <w:r>
        <w:rPr>
          <w:rFonts w:cs="Calibri"/>
          <w:sz w:val="24"/>
          <w:szCs w:val="24"/>
        </w:rPr>
        <w:t>15-item</w:t>
      </w:r>
      <w:r w:rsidR="00B055FB">
        <w:rPr>
          <w:rFonts w:cs="Calibri"/>
          <w:sz w:val="24"/>
          <w:szCs w:val="24"/>
        </w:rPr>
        <w:t xml:space="preserve"> GDS</w:t>
      </w:r>
      <w:r w:rsidR="00AE2468">
        <w:rPr>
          <w:rFonts w:cs="Calibri"/>
          <w:sz w:val="24"/>
          <w:szCs w:val="24"/>
        </w:rPr>
        <w:t xml:space="preserve"> </w:t>
      </w:r>
      <w:r w:rsidR="007812AE">
        <w:rPr>
          <w:rFonts w:cs="Calibri"/>
          <w:sz w:val="24"/>
          <w:szCs w:val="24"/>
        </w:rPr>
        <w:t xml:space="preserve">(cut-off 5/6: Se 0.79, Sp 0.77, AUC 0.84) </w:t>
      </w:r>
      <w:r w:rsidR="00AE2468">
        <w:rPr>
          <w:rFonts w:cs="Calibri"/>
          <w:sz w:val="24"/>
          <w:szCs w:val="24"/>
        </w:rPr>
        <w:t xml:space="preserve">and </w:t>
      </w:r>
      <w:r w:rsidR="00B055FB">
        <w:rPr>
          <w:rFonts w:cs="Calibri"/>
          <w:sz w:val="24"/>
          <w:szCs w:val="24"/>
        </w:rPr>
        <w:t xml:space="preserve">comparable with the </w:t>
      </w:r>
      <w:r w:rsidR="00AE2468">
        <w:rPr>
          <w:rFonts w:cs="Calibri"/>
          <w:sz w:val="24"/>
          <w:szCs w:val="24"/>
        </w:rPr>
        <w:t>full (30 item)</w:t>
      </w:r>
      <w:r>
        <w:rPr>
          <w:rFonts w:cs="Calibri"/>
          <w:sz w:val="24"/>
          <w:szCs w:val="24"/>
        </w:rPr>
        <w:t xml:space="preserve"> </w:t>
      </w:r>
      <w:r w:rsidR="00B055FB">
        <w:rPr>
          <w:rFonts w:cs="Calibri"/>
          <w:sz w:val="24"/>
          <w:szCs w:val="24"/>
        </w:rPr>
        <w:t>GDS</w:t>
      </w:r>
      <w:r w:rsidR="007812AE">
        <w:rPr>
          <w:rFonts w:cs="Calibri"/>
          <w:sz w:val="24"/>
          <w:szCs w:val="24"/>
        </w:rPr>
        <w:t xml:space="preserve"> (cut-off 10/11: Se 0.85, Sp 0.82, AUC 0.9)</w:t>
      </w:r>
      <w:r w:rsidR="00B055FB">
        <w:rPr>
          <w:rFonts w:cs="Calibri"/>
          <w:sz w:val="24"/>
          <w:szCs w:val="24"/>
        </w:rPr>
        <w:t xml:space="preserve"> </w:t>
      </w:r>
      <w:r w:rsidR="00371AD3">
        <w:rPr>
          <w:rFonts w:cs="Calibri"/>
          <w:sz w:val="24"/>
          <w:szCs w:val="24"/>
        </w:rPr>
        <w:t xml:space="preserve">according to </w:t>
      </w:r>
      <w:r w:rsidR="00AE2468">
        <w:rPr>
          <w:rFonts w:cs="Calibri"/>
          <w:sz w:val="24"/>
          <w:szCs w:val="24"/>
        </w:rPr>
        <w:t xml:space="preserve">pooled analyses </w:t>
      </w:r>
      <w:r w:rsidR="00B055FB">
        <w:rPr>
          <w:rFonts w:cs="Calibri"/>
          <w:sz w:val="24"/>
          <w:szCs w:val="24"/>
        </w:rPr>
        <w:t xml:space="preserve">performed for a </w:t>
      </w:r>
      <w:r w:rsidR="00B67693">
        <w:rPr>
          <w:rFonts w:cs="Calibri"/>
          <w:sz w:val="24"/>
          <w:szCs w:val="24"/>
        </w:rPr>
        <w:t>recent systematic review</w:t>
      </w:r>
      <w:r>
        <w:rPr>
          <w:rFonts w:cs="Calibri"/>
          <w:sz w:val="24"/>
          <w:szCs w:val="24"/>
        </w:rPr>
        <w:t xml:space="preserve"> </w:t>
      </w:r>
      <w:r w:rsidR="00635FDD">
        <w:rPr>
          <w:rFonts w:cs="Calibri"/>
          <w:sz w:val="24"/>
          <w:szCs w:val="24"/>
        </w:rPr>
        <w:t xml:space="preserve">[5]. </w:t>
      </w:r>
      <w:r>
        <w:rPr>
          <w:rFonts w:cs="Calibri"/>
          <w:sz w:val="24"/>
          <w:szCs w:val="24"/>
        </w:rPr>
        <w:t xml:space="preserve">However, the GDS performed marginally better </w:t>
      </w:r>
      <w:r w:rsidR="00371AD3">
        <w:rPr>
          <w:rFonts w:cs="Calibri"/>
          <w:sz w:val="24"/>
          <w:szCs w:val="24"/>
        </w:rPr>
        <w:t xml:space="preserve">in the same patient group – this component of our study has </w:t>
      </w:r>
      <w:r w:rsidR="00371AD3">
        <w:rPr>
          <w:rFonts w:cs="Calibri"/>
          <w:sz w:val="24"/>
          <w:szCs w:val="24"/>
        </w:rPr>
        <w:lastRenderedPageBreak/>
        <w:t xml:space="preserve">been previously published </w:t>
      </w:r>
      <w:r w:rsidR="00635FDD">
        <w:rPr>
          <w:rFonts w:cs="Calibri"/>
          <w:sz w:val="24"/>
          <w:szCs w:val="24"/>
        </w:rPr>
        <w:t>[6]</w:t>
      </w:r>
      <w:r w:rsidR="00371AD3">
        <w:rPr>
          <w:rFonts w:cs="Calibri"/>
          <w:sz w:val="24"/>
          <w:szCs w:val="24"/>
        </w:rPr>
        <w:t>; the GDS</w:t>
      </w:r>
      <w:r w:rsidR="00B67693">
        <w:rPr>
          <w:rFonts w:cs="Calibri"/>
          <w:sz w:val="24"/>
          <w:szCs w:val="24"/>
        </w:rPr>
        <w:t xml:space="preserve"> </w:t>
      </w:r>
      <w:r w:rsidR="00371AD3">
        <w:rPr>
          <w:rFonts w:cs="Calibri"/>
          <w:sz w:val="24"/>
          <w:szCs w:val="24"/>
        </w:rPr>
        <w:t xml:space="preserve">had </w:t>
      </w:r>
      <w:r>
        <w:rPr>
          <w:rFonts w:cs="Calibri"/>
          <w:sz w:val="24"/>
          <w:szCs w:val="24"/>
        </w:rPr>
        <w:t xml:space="preserve">an optimum cut-off of 6/7 recording a sensitivity of </w:t>
      </w:r>
      <w:r w:rsidR="00AE2468">
        <w:rPr>
          <w:rFonts w:cs="Calibri"/>
          <w:sz w:val="24"/>
          <w:szCs w:val="24"/>
        </w:rPr>
        <w:t>0.8</w:t>
      </w:r>
      <w:r w:rsidR="007812AE">
        <w:rPr>
          <w:rFonts w:cs="Calibri"/>
          <w:sz w:val="24"/>
          <w:szCs w:val="24"/>
        </w:rPr>
        <w:t xml:space="preserve">, </w:t>
      </w:r>
      <w:r>
        <w:rPr>
          <w:rFonts w:cs="Calibri"/>
          <w:sz w:val="24"/>
          <w:szCs w:val="24"/>
        </w:rPr>
        <w:t>specificity of 0.86</w:t>
      </w:r>
      <w:r w:rsidR="007812AE">
        <w:rPr>
          <w:rFonts w:cs="Calibri"/>
          <w:sz w:val="24"/>
          <w:szCs w:val="24"/>
        </w:rPr>
        <w:t>, PPV of 0.62 and NPV of 0.94 but with a lower AUC of 0.88</w:t>
      </w:r>
      <w:r w:rsidR="00A71157">
        <w:rPr>
          <w:rFonts w:cs="Calibri"/>
          <w:sz w:val="24"/>
          <w:szCs w:val="24"/>
        </w:rPr>
        <w:t>.</w:t>
      </w:r>
    </w:p>
    <w:p w14:paraId="12E73D47" w14:textId="77777777" w:rsidR="00AE2468" w:rsidRDefault="00AE2468" w:rsidP="00FE065E">
      <w:pPr>
        <w:spacing w:line="480" w:lineRule="auto"/>
        <w:jc w:val="both"/>
        <w:rPr>
          <w:rFonts w:cs="Calibri"/>
          <w:sz w:val="24"/>
          <w:szCs w:val="24"/>
        </w:rPr>
      </w:pPr>
    </w:p>
    <w:p w14:paraId="4C26842A" w14:textId="500B8E86" w:rsidR="00074BA0" w:rsidRDefault="00B055FB" w:rsidP="00FE065E">
      <w:pPr>
        <w:spacing w:line="480" w:lineRule="auto"/>
        <w:jc w:val="both"/>
        <w:rPr>
          <w:rFonts w:cs="Calibri"/>
          <w:sz w:val="24"/>
          <w:szCs w:val="24"/>
        </w:rPr>
      </w:pPr>
      <w:r>
        <w:rPr>
          <w:rFonts w:cs="Calibri"/>
          <w:sz w:val="24"/>
          <w:szCs w:val="24"/>
        </w:rPr>
        <w:t>The o</w:t>
      </w:r>
      <w:r w:rsidR="00E155DD">
        <w:rPr>
          <w:rFonts w:cs="Calibri"/>
          <w:sz w:val="24"/>
          <w:szCs w:val="24"/>
        </w:rPr>
        <w:t xml:space="preserve">ptimal cut-off for </w:t>
      </w:r>
      <w:r>
        <w:rPr>
          <w:rFonts w:cs="Calibri"/>
          <w:sz w:val="24"/>
          <w:szCs w:val="24"/>
        </w:rPr>
        <w:t>the EDS in our study was</w:t>
      </w:r>
      <w:r w:rsidR="0001573E">
        <w:rPr>
          <w:rFonts w:cs="Calibri"/>
          <w:sz w:val="24"/>
          <w:szCs w:val="24"/>
        </w:rPr>
        <w:t xml:space="preserve"> </w:t>
      </w:r>
      <w:r w:rsidR="00540E48">
        <w:rPr>
          <w:rFonts w:cs="Calibri"/>
          <w:sz w:val="24"/>
          <w:szCs w:val="24"/>
        </w:rPr>
        <w:t>7/8</w:t>
      </w:r>
      <w:r w:rsidR="00664F09">
        <w:rPr>
          <w:rFonts w:cs="Calibri"/>
          <w:sz w:val="24"/>
          <w:szCs w:val="24"/>
        </w:rPr>
        <w:t>;</w:t>
      </w:r>
      <w:r>
        <w:rPr>
          <w:rFonts w:cs="Calibri"/>
          <w:sz w:val="24"/>
          <w:szCs w:val="24"/>
        </w:rPr>
        <w:t xml:space="preserve"> this is a lower threshold for depression </w:t>
      </w:r>
      <w:r w:rsidR="00E155DD">
        <w:rPr>
          <w:rFonts w:cs="Calibri"/>
          <w:sz w:val="24"/>
          <w:szCs w:val="24"/>
        </w:rPr>
        <w:t>compar</w:t>
      </w:r>
      <w:r>
        <w:rPr>
          <w:rFonts w:cs="Calibri"/>
          <w:sz w:val="24"/>
          <w:szCs w:val="24"/>
        </w:rPr>
        <w:t>ed to other clinical general hospital settings</w:t>
      </w:r>
      <w:r w:rsidR="00E155DD">
        <w:rPr>
          <w:rFonts w:cs="Calibri"/>
          <w:sz w:val="24"/>
          <w:szCs w:val="24"/>
        </w:rPr>
        <w:t>.</w:t>
      </w:r>
      <w:r w:rsidR="00900225">
        <w:rPr>
          <w:rFonts w:cs="Calibri"/>
          <w:sz w:val="24"/>
          <w:szCs w:val="24"/>
        </w:rPr>
        <w:t xml:space="preserve"> </w:t>
      </w:r>
      <w:r>
        <w:rPr>
          <w:rFonts w:cs="Calibri"/>
          <w:sz w:val="24"/>
          <w:szCs w:val="24"/>
        </w:rPr>
        <w:t>In the original validation of the EDS in post</w:t>
      </w:r>
      <w:r w:rsidR="00E626BC">
        <w:rPr>
          <w:rFonts w:cs="Calibri"/>
          <w:sz w:val="24"/>
          <w:szCs w:val="24"/>
        </w:rPr>
        <w:t>-natal women, Cox et al., [7]</w:t>
      </w:r>
      <w:r>
        <w:rPr>
          <w:rFonts w:cs="Calibri"/>
          <w:sz w:val="24"/>
          <w:szCs w:val="24"/>
        </w:rPr>
        <w:t xml:space="preserve"> described a cut-off of 12/13</w:t>
      </w:r>
      <w:r w:rsidR="00CB34A2">
        <w:rPr>
          <w:rFonts w:cs="Calibri"/>
          <w:sz w:val="24"/>
          <w:szCs w:val="24"/>
        </w:rPr>
        <w:t>, in the palliative care setting a similar thr</w:t>
      </w:r>
      <w:r w:rsidR="00E626BC">
        <w:rPr>
          <w:rFonts w:cs="Calibri"/>
          <w:sz w:val="24"/>
          <w:szCs w:val="24"/>
        </w:rPr>
        <w:t>eshold performed best [8, 9]</w:t>
      </w:r>
      <w:r w:rsidR="00CB34A2">
        <w:rPr>
          <w:rFonts w:cs="Calibri"/>
          <w:sz w:val="24"/>
          <w:szCs w:val="24"/>
        </w:rPr>
        <w:t>, though in out-patients with Parkinson’s Disease a cut-off score of 10/11 gave maximal discriminant validity</w:t>
      </w:r>
      <w:r w:rsidR="00E626BC">
        <w:rPr>
          <w:rFonts w:cs="Calibri"/>
          <w:sz w:val="24"/>
          <w:szCs w:val="24"/>
        </w:rPr>
        <w:t xml:space="preserve"> [10]</w:t>
      </w:r>
      <w:r w:rsidR="00CB34A2">
        <w:rPr>
          <w:rFonts w:cs="Calibri"/>
          <w:sz w:val="24"/>
          <w:szCs w:val="24"/>
        </w:rPr>
        <w:t xml:space="preserve">. </w:t>
      </w:r>
      <w:r w:rsidR="00BE6AF4">
        <w:rPr>
          <w:rFonts w:cs="Calibri"/>
          <w:sz w:val="24"/>
          <w:szCs w:val="24"/>
        </w:rPr>
        <w:t>However, lower thresholds have been reported in a large commun</w:t>
      </w:r>
      <w:r w:rsidR="00635FDD">
        <w:rPr>
          <w:rFonts w:cs="Calibri"/>
          <w:sz w:val="24"/>
          <w:szCs w:val="24"/>
        </w:rPr>
        <w:t>ity sample of post-natal women [2</w:t>
      </w:r>
      <w:r w:rsidR="002429DB">
        <w:rPr>
          <w:rFonts w:cs="Calibri"/>
          <w:sz w:val="24"/>
          <w:szCs w:val="24"/>
        </w:rPr>
        <w:t>2</w:t>
      </w:r>
      <w:r w:rsidR="00635FDD">
        <w:rPr>
          <w:rFonts w:cs="Calibri"/>
          <w:sz w:val="24"/>
          <w:szCs w:val="24"/>
        </w:rPr>
        <w:t>]</w:t>
      </w:r>
      <w:r w:rsidR="00BE6AF4">
        <w:rPr>
          <w:rFonts w:cs="Calibri"/>
          <w:sz w:val="24"/>
          <w:szCs w:val="24"/>
        </w:rPr>
        <w:t xml:space="preserve">, </w:t>
      </w:r>
      <w:r w:rsidR="005511EF">
        <w:rPr>
          <w:rFonts w:cs="Calibri"/>
          <w:sz w:val="24"/>
          <w:szCs w:val="24"/>
        </w:rPr>
        <w:t xml:space="preserve">though a </w:t>
      </w:r>
      <w:r w:rsidR="00BE6AF4">
        <w:rPr>
          <w:rFonts w:cs="Calibri"/>
          <w:sz w:val="24"/>
          <w:szCs w:val="24"/>
        </w:rPr>
        <w:t xml:space="preserve">general population </w:t>
      </w:r>
      <w:r w:rsidR="005511EF">
        <w:rPr>
          <w:rFonts w:cs="Calibri"/>
          <w:sz w:val="24"/>
          <w:szCs w:val="24"/>
        </w:rPr>
        <w:t xml:space="preserve">study found </w:t>
      </w:r>
      <w:r w:rsidR="00BE6AF4">
        <w:rPr>
          <w:rFonts w:cs="Calibri"/>
          <w:sz w:val="24"/>
          <w:szCs w:val="24"/>
        </w:rPr>
        <w:t xml:space="preserve">a </w:t>
      </w:r>
      <w:r w:rsidR="005511EF">
        <w:rPr>
          <w:rFonts w:cs="Calibri"/>
          <w:sz w:val="24"/>
          <w:szCs w:val="24"/>
        </w:rPr>
        <w:t xml:space="preserve">similar </w:t>
      </w:r>
      <w:r w:rsidR="00BE6AF4">
        <w:rPr>
          <w:rFonts w:cs="Calibri"/>
          <w:sz w:val="24"/>
          <w:szCs w:val="24"/>
        </w:rPr>
        <w:t>cut-off of 7/8 had the best perform</w:t>
      </w:r>
      <w:r w:rsidR="00635FDD">
        <w:rPr>
          <w:rFonts w:cs="Calibri"/>
          <w:sz w:val="24"/>
          <w:szCs w:val="24"/>
        </w:rPr>
        <w:t>ance [2</w:t>
      </w:r>
      <w:r w:rsidR="002429DB">
        <w:rPr>
          <w:rFonts w:cs="Calibri"/>
          <w:sz w:val="24"/>
          <w:szCs w:val="24"/>
        </w:rPr>
        <w:t>3</w:t>
      </w:r>
      <w:r w:rsidR="00635FDD">
        <w:rPr>
          <w:rFonts w:cs="Calibri"/>
          <w:sz w:val="24"/>
          <w:szCs w:val="24"/>
        </w:rPr>
        <w:t>]</w:t>
      </w:r>
      <w:r w:rsidR="00BE6AF4">
        <w:rPr>
          <w:rFonts w:cs="Calibri"/>
          <w:sz w:val="24"/>
          <w:szCs w:val="24"/>
        </w:rPr>
        <w:t xml:space="preserve">.  Our </w:t>
      </w:r>
      <w:r w:rsidR="00900225">
        <w:rPr>
          <w:rFonts w:cs="Calibri"/>
          <w:sz w:val="24"/>
          <w:szCs w:val="24"/>
        </w:rPr>
        <w:t xml:space="preserve">lower </w:t>
      </w:r>
      <w:r w:rsidR="00BE6AF4">
        <w:rPr>
          <w:rFonts w:cs="Calibri"/>
          <w:sz w:val="24"/>
          <w:szCs w:val="24"/>
        </w:rPr>
        <w:t xml:space="preserve">threshold could be partly explained by differences in </w:t>
      </w:r>
      <w:r w:rsidR="00D12303">
        <w:rPr>
          <w:rFonts w:cs="Calibri"/>
          <w:sz w:val="24"/>
          <w:szCs w:val="24"/>
        </w:rPr>
        <w:t xml:space="preserve">gold standard </w:t>
      </w:r>
      <w:r w:rsidR="00BE6AF4">
        <w:rPr>
          <w:rFonts w:cs="Calibri"/>
          <w:sz w:val="24"/>
          <w:szCs w:val="24"/>
        </w:rPr>
        <w:t>depression criteria</w:t>
      </w:r>
      <w:r w:rsidR="00A42427">
        <w:rPr>
          <w:rFonts w:cs="Calibri"/>
          <w:sz w:val="24"/>
          <w:szCs w:val="24"/>
        </w:rPr>
        <w:t>, and a</w:t>
      </w:r>
      <w:r w:rsidR="00074BA0">
        <w:rPr>
          <w:rFonts w:cs="Calibri"/>
          <w:sz w:val="24"/>
          <w:szCs w:val="24"/>
        </w:rPr>
        <w:t xml:space="preserve"> </w:t>
      </w:r>
      <w:r w:rsidR="00D12303">
        <w:rPr>
          <w:rFonts w:cs="Calibri"/>
          <w:sz w:val="24"/>
          <w:szCs w:val="24"/>
        </w:rPr>
        <w:t xml:space="preserve">much older </w:t>
      </w:r>
      <w:r w:rsidR="00A42427">
        <w:rPr>
          <w:rFonts w:cs="Calibri"/>
          <w:sz w:val="24"/>
          <w:szCs w:val="24"/>
        </w:rPr>
        <w:t xml:space="preserve">population </w:t>
      </w:r>
      <w:r w:rsidR="00D12303">
        <w:rPr>
          <w:rFonts w:cs="Calibri"/>
          <w:sz w:val="24"/>
          <w:szCs w:val="24"/>
        </w:rPr>
        <w:t xml:space="preserve">than other studies </w:t>
      </w:r>
      <w:r w:rsidR="00A42427">
        <w:rPr>
          <w:rFonts w:cs="Calibri"/>
          <w:sz w:val="24"/>
          <w:szCs w:val="24"/>
        </w:rPr>
        <w:t xml:space="preserve">as </w:t>
      </w:r>
      <w:r w:rsidR="00074BA0">
        <w:rPr>
          <w:rFonts w:cs="Calibri"/>
          <w:sz w:val="24"/>
          <w:szCs w:val="24"/>
        </w:rPr>
        <w:t>there are known to be minor differences in symptoms of late-life depression including reduce</w:t>
      </w:r>
      <w:r w:rsidR="00635FDD">
        <w:rPr>
          <w:rFonts w:cs="Calibri"/>
          <w:sz w:val="24"/>
          <w:szCs w:val="24"/>
        </w:rPr>
        <w:t>d sadness [2</w:t>
      </w:r>
      <w:r w:rsidR="002429DB">
        <w:rPr>
          <w:rFonts w:cs="Calibri"/>
          <w:sz w:val="24"/>
          <w:szCs w:val="24"/>
        </w:rPr>
        <w:t>4</w:t>
      </w:r>
      <w:r w:rsidR="00635FDD">
        <w:rPr>
          <w:rFonts w:cs="Calibri"/>
          <w:sz w:val="24"/>
          <w:szCs w:val="24"/>
        </w:rPr>
        <w:t>]</w:t>
      </w:r>
      <w:r w:rsidR="00074BA0">
        <w:rPr>
          <w:rFonts w:cs="Calibri"/>
          <w:sz w:val="24"/>
          <w:szCs w:val="24"/>
        </w:rPr>
        <w:t xml:space="preserve">. </w:t>
      </w:r>
    </w:p>
    <w:p w14:paraId="7CA92203" w14:textId="77777777" w:rsidR="00680BB1" w:rsidRDefault="00680BB1" w:rsidP="00FE065E">
      <w:pPr>
        <w:spacing w:line="480" w:lineRule="auto"/>
        <w:jc w:val="both"/>
        <w:rPr>
          <w:rFonts w:cs="Calibri"/>
          <w:sz w:val="24"/>
          <w:szCs w:val="24"/>
        </w:rPr>
      </w:pPr>
    </w:p>
    <w:p w14:paraId="7F8AB65C" w14:textId="77777777" w:rsidR="000704DC" w:rsidRPr="00D82593" w:rsidRDefault="00D82593" w:rsidP="00FE065E">
      <w:pPr>
        <w:spacing w:line="480" w:lineRule="auto"/>
        <w:jc w:val="both"/>
        <w:rPr>
          <w:rFonts w:cs="Calibri"/>
          <w:i/>
          <w:sz w:val="24"/>
          <w:szCs w:val="24"/>
        </w:rPr>
      </w:pPr>
      <w:r>
        <w:rPr>
          <w:rFonts w:cs="Calibri"/>
          <w:i/>
          <w:sz w:val="24"/>
          <w:szCs w:val="24"/>
        </w:rPr>
        <w:t>Conclusions</w:t>
      </w:r>
    </w:p>
    <w:p w14:paraId="0782EF92" w14:textId="6667857E" w:rsidR="00680BB1" w:rsidRDefault="00D82593" w:rsidP="00680BB1">
      <w:pPr>
        <w:spacing w:line="480" w:lineRule="auto"/>
        <w:jc w:val="both"/>
        <w:rPr>
          <w:rFonts w:cs="Calibri"/>
          <w:sz w:val="24"/>
          <w:szCs w:val="24"/>
        </w:rPr>
      </w:pPr>
      <w:r>
        <w:rPr>
          <w:rFonts w:cs="Calibri"/>
          <w:sz w:val="24"/>
          <w:szCs w:val="24"/>
        </w:rPr>
        <w:t xml:space="preserve">Our study has shown the EDS to have a good performance as an instrument to identify clinically relevant depression in older people in the acute medical setting. This adds further evidence to support the use of the EDS in </w:t>
      </w:r>
      <w:r w:rsidR="00371AD3">
        <w:rPr>
          <w:rFonts w:cs="Calibri"/>
          <w:sz w:val="24"/>
          <w:szCs w:val="24"/>
        </w:rPr>
        <w:t xml:space="preserve">a </w:t>
      </w:r>
      <w:r>
        <w:rPr>
          <w:rFonts w:cs="Calibri"/>
          <w:sz w:val="24"/>
          <w:szCs w:val="24"/>
        </w:rPr>
        <w:t xml:space="preserve">growing number of general hospital patient groups though cut-off thresholds will be specific to the individual setting. An additional advantage of the EDS is the inclusion </w:t>
      </w:r>
      <w:r w:rsidR="00680BB1">
        <w:rPr>
          <w:rFonts w:cs="Calibri"/>
          <w:sz w:val="24"/>
          <w:szCs w:val="24"/>
        </w:rPr>
        <w:t xml:space="preserve">of </w:t>
      </w:r>
      <w:r>
        <w:rPr>
          <w:rFonts w:cs="Calibri"/>
          <w:sz w:val="24"/>
          <w:szCs w:val="24"/>
        </w:rPr>
        <w:t xml:space="preserve">a </w:t>
      </w:r>
      <w:r w:rsidR="00680BB1">
        <w:rPr>
          <w:rFonts w:cs="Calibri"/>
          <w:sz w:val="24"/>
          <w:szCs w:val="24"/>
        </w:rPr>
        <w:t xml:space="preserve">self-harm screening </w:t>
      </w:r>
      <w:r w:rsidR="00471B1A">
        <w:rPr>
          <w:rFonts w:cs="Calibri"/>
          <w:sz w:val="24"/>
          <w:szCs w:val="24"/>
        </w:rPr>
        <w:t>question (as well as pessimism)</w:t>
      </w:r>
      <w:r w:rsidR="00680BB1">
        <w:rPr>
          <w:rFonts w:cs="Calibri"/>
          <w:sz w:val="24"/>
          <w:szCs w:val="24"/>
        </w:rPr>
        <w:t xml:space="preserve"> as </w:t>
      </w:r>
      <w:r w:rsidR="0001288F">
        <w:rPr>
          <w:rFonts w:cs="Calibri"/>
          <w:sz w:val="24"/>
          <w:szCs w:val="24"/>
        </w:rPr>
        <w:t xml:space="preserve">older people with depression and poor physical health are at a </w:t>
      </w:r>
      <w:r w:rsidR="00680BB1">
        <w:rPr>
          <w:rFonts w:cs="Calibri"/>
          <w:sz w:val="24"/>
          <w:szCs w:val="24"/>
        </w:rPr>
        <w:t>high risk of suicide</w:t>
      </w:r>
      <w:r w:rsidR="00635FDD">
        <w:rPr>
          <w:rFonts w:cs="Calibri"/>
          <w:sz w:val="24"/>
          <w:szCs w:val="24"/>
        </w:rPr>
        <w:t xml:space="preserve"> [2</w:t>
      </w:r>
      <w:r w:rsidR="002429DB">
        <w:rPr>
          <w:rFonts w:cs="Calibri"/>
          <w:sz w:val="24"/>
          <w:szCs w:val="24"/>
        </w:rPr>
        <w:t>5</w:t>
      </w:r>
      <w:r w:rsidR="00635FDD">
        <w:rPr>
          <w:rFonts w:cs="Calibri"/>
          <w:sz w:val="24"/>
          <w:szCs w:val="24"/>
        </w:rPr>
        <w:t>]</w:t>
      </w:r>
      <w:r w:rsidR="00680BB1">
        <w:rPr>
          <w:rFonts w:cs="Calibri"/>
          <w:sz w:val="24"/>
          <w:szCs w:val="24"/>
        </w:rPr>
        <w:t>.</w:t>
      </w:r>
      <w:r w:rsidR="00664F09">
        <w:rPr>
          <w:rFonts w:cs="Calibri"/>
          <w:sz w:val="24"/>
          <w:szCs w:val="24"/>
        </w:rPr>
        <w:t xml:space="preserve"> </w:t>
      </w:r>
    </w:p>
    <w:p w14:paraId="452D692A" w14:textId="77777777" w:rsidR="002D7B49" w:rsidRDefault="002D7B49" w:rsidP="00FE065E">
      <w:pPr>
        <w:spacing w:line="480" w:lineRule="auto"/>
        <w:jc w:val="both"/>
        <w:rPr>
          <w:rFonts w:cs="Calibri"/>
          <w:b/>
          <w:sz w:val="24"/>
          <w:szCs w:val="24"/>
        </w:rPr>
      </w:pPr>
    </w:p>
    <w:p w14:paraId="27C1AB10" w14:textId="77777777" w:rsidR="00B00A9C" w:rsidRDefault="00B00A9C" w:rsidP="00FE065E">
      <w:pPr>
        <w:spacing w:line="480" w:lineRule="auto"/>
        <w:jc w:val="both"/>
        <w:rPr>
          <w:rFonts w:cs="Calibri"/>
          <w:b/>
          <w:sz w:val="24"/>
          <w:szCs w:val="24"/>
        </w:rPr>
      </w:pPr>
    </w:p>
    <w:p w14:paraId="7A2841C7" w14:textId="77777777" w:rsidR="00FE3AC7" w:rsidRDefault="00FE3AC7" w:rsidP="00FE065E">
      <w:pPr>
        <w:spacing w:line="480" w:lineRule="auto"/>
        <w:jc w:val="both"/>
        <w:rPr>
          <w:rFonts w:cs="Calibri"/>
          <w:b/>
          <w:sz w:val="24"/>
          <w:szCs w:val="24"/>
        </w:rPr>
      </w:pPr>
      <w:r>
        <w:rPr>
          <w:rFonts w:cs="Calibri"/>
          <w:b/>
          <w:sz w:val="24"/>
          <w:szCs w:val="24"/>
        </w:rPr>
        <w:lastRenderedPageBreak/>
        <w:t>Key Points</w:t>
      </w:r>
    </w:p>
    <w:p w14:paraId="7570611B" w14:textId="2BC2E309" w:rsidR="00C0710E" w:rsidRPr="00786A27" w:rsidRDefault="00C0710E" w:rsidP="00786A27">
      <w:pPr>
        <w:pStyle w:val="ListParagraph"/>
        <w:numPr>
          <w:ilvl w:val="0"/>
          <w:numId w:val="2"/>
        </w:numPr>
        <w:spacing w:line="480" w:lineRule="auto"/>
        <w:jc w:val="both"/>
        <w:rPr>
          <w:rFonts w:cs="Calibri"/>
          <w:sz w:val="24"/>
          <w:szCs w:val="24"/>
        </w:rPr>
      </w:pPr>
      <w:r w:rsidRPr="00786A27">
        <w:rPr>
          <w:rFonts w:cs="Calibri"/>
          <w:sz w:val="24"/>
          <w:szCs w:val="24"/>
        </w:rPr>
        <w:t xml:space="preserve">The </w:t>
      </w:r>
      <w:r w:rsidR="006729D3">
        <w:rPr>
          <w:rFonts w:cs="Calibri"/>
          <w:sz w:val="24"/>
          <w:szCs w:val="24"/>
        </w:rPr>
        <w:t>EDS</w:t>
      </w:r>
      <w:r w:rsidRPr="00786A27">
        <w:rPr>
          <w:rFonts w:cs="Calibri"/>
          <w:sz w:val="24"/>
          <w:szCs w:val="24"/>
        </w:rPr>
        <w:t xml:space="preserve"> has been validated in a variety of hospital settings, but not previously in older acute medical in-patients.</w:t>
      </w:r>
    </w:p>
    <w:p w14:paraId="734A45B6" w14:textId="5639CCD5" w:rsidR="00C0710E" w:rsidRPr="00786A27" w:rsidRDefault="00C0710E" w:rsidP="00786A27">
      <w:pPr>
        <w:pStyle w:val="ListParagraph"/>
        <w:numPr>
          <w:ilvl w:val="0"/>
          <w:numId w:val="2"/>
        </w:numPr>
        <w:spacing w:line="480" w:lineRule="auto"/>
        <w:jc w:val="both"/>
        <w:rPr>
          <w:rFonts w:cs="Calibri"/>
          <w:sz w:val="24"/>
          <w:szCs w:val="24"/>
        </w:rPr>
      </w:pPr>
      <w:r w:rsidRPr="00786A27">
        <w:rPr>
          <w:rFonts w:cs="Calibri"/>
          <w:sz w:val="24"/>
          <w:szCs w:val="24"/>
        </w:rPr>
        <w:t xml:space="preserve">This study shows the EDS </w:t>
      </w:r>
      <w:r w:rsidR="00F530FD">
        <w:rPr>
          <w:rFonts w:cs="Calibri"/>
          <w:sz w:val="24"/>
          <w:szCs w:val="24"/>
        </w:rPr>
        <w:t xml:space="preserve">as </w:t>
      </w:r>
      <w:r w:rsidRPr="00786A27">
        <w:rPr>
          <w:rFonts w:cs="Calibri"/>
          <w:sz w:val="24"/>
          <w:szCs w:val="24"/>
        </w:rPr>
        <w:t>useful for detecting depression in older people on acute medical wards with an optimal cut-off of</w:t>
      </w:r>
      <w:r w:rsidR="00F530FD">
        <w:rPr>
          <w:rFonts w:cs="Calibri"/>
          <w:sz w:val="24"/>
          <w:szCs w:val="24"/>
        </w:rPr>
        <w:t xml:space="preserve"> </w:t>
      </w:r>
      <w:r w:rsidR="00540E48">
        <w:rPr>
          <w:rFonts w:cs="Calibri"/>
          <w:sz w:val="24"/>
          <w:szCs w:val="24"/>
        </w:rPr>
        <w:t>7/8</w:t>
      </w:r>
      <w:r w:rsidR="00786A27">
        <w:rPr>
          <w:rFonts w:cs="Calibri"/>
          <w:sz w:val="24"/>
          <w:szCs w:val="24"/>
        </w:rPr>
        <w:t>.</w:t>
      </w:r>
    </w:p>
    <w:p w14:paraId="03614F88" w14:textId="271D0910" w:rsidR="00C0710E" w:rsidRPr="00786A27" w:rsidRDefault="00C0710E" w:rsidP="00786A27">
      <w:pPr>
        <w:pStyle w:val="ListParagraph"/>
        <w:numPr>
          <w:ilvl w:val="0"/>
          <w:numId w:val="2"/>
        </w:numPr>
        <w:spacing w:line="480" w:lineRule="auto"/>
        <w:jc w:val="both"/>
        <w:rPr>
          <w:rFonts w:cs="Calibri"/>
          <w:sz w:val="24"/>
          <w:szCs w:val="24"/>
        </w:rPr>
      </w:pPr>
      <w:r w:rsidRPr="00786A27">
        <w:rPr>
          <w:rFonts w:cs="Calibri"/>
          <w:sz w:val="24"/>
          <w:szCs w:val="24"/>
        </w:rPr>
        <w:t xml:space="preserve">The EDS </w:t>
      </w:r>
      <w:r w:rsidR="006729D3">
        <w:rPr>
          <w:rFonts w:cs="Calibri"/>
          <w:sz w:val="24"/>
          <w:szCs w:val="24"/>
        </w:rPr>
        <w:t>could</w:t>
      </w:r>
      <w:r w:rsidRPr="00786A27">
        <w:rPr>
          <w:rFonts w:cs="Calibri"/>
          <w:sz w:val="24"/>
          <w:szCs w:val="24"/>
        </w:rPr>
        <w:t xml:space="preserve"> be used </w:t>
      </w:r>
      <w:r w:rsidR="006729D3">
        <w:rPr>
          <w:rFonts w:cs="Calibri"/>
          <w:sz w:val="24"/>
          <w:szCs w:val="24"/>
        </w:rPr>
        <w:t>for</w:t>
      </w:r>
      <w:r w:rsidRPr="00786A27">
        <w:rPr>
          <w:rFonts w:cs="Calibri"/>
          <w:sz w:val="24"/>
          <w:szCs w:val="24"/>
        </w:rPr>
        <w:t xml:space="preserve"> screening for depression in multiple general hospital settings </w:t>
      </w:r>
      <w:r w:rsidR="006729D3">
        <w:rPr>
          <w:rFonts w:cs="Calibri"/>
          <w:sz w:val="24"/>
          <w:szCs w:val="24"/>
        </w:rPr>
        <w:t>with varying</w:t>
      </w:r>
      <w:r w:rsidR="00786A27" w:rsidRPr="00786A27">
        <w:rPr>
          <w:rFonts w:cs="Calibri"/>
          <w:sz w:val="24"/>
          <w:szCs w:val="24"/>
        </w:rPr>
        <w:t xml:space="preserve"> cut-off</w:t>
      </w:r>
      <w:r w:rsidR="006729D3">
        <w:rPr>
          <w:rFonts w:cs="Calibri"/>
          <w:sz w:val="24"/>
          <w:szCs w:val="24"/>
        </w:rPr>
        <w:t>s</w:t>
      </w:r>
      <w:r w:rsidRPr="00786A27">
        <w:rPr>
          <w:rFonts w:cs="Calibri"/>
          <w:sz w:val="24"/>
          <w:szCs w:val="24"/>
        </w:rPr>
        <w:t>.</w:t>
      </w:r>
    </w:p>
    <w:p w14:paraId="1FF183D4" w14:textId="77777777" w:rsidR="006729D3" w:rsidRDefault="006729D3" w:rsidP="00FE065E">
      <w:pPr>
        <w:spacing w:line="480" w:lineRule="auto"/>
        <w:jc w:val="both"/>
        <w:rPr>
          <w:rFonts w:cs="Calibri"/>
          <w:b/>
          <w:sz w:val="24"/>
          <w:szCs w:val="24"/>
        </w:rPr>
      </w:pPr>
    </w:p>
    <w:p w14:paraId="4E4F817F" w14:textId="77777777" w:rsidR="009A36A8" w:rsidRDefault="00AD679A" w:rsidP="00FE065E">
      <w:pPr>
        <w:spacing w:line="480" w:lineRule="auto"/>
        <w:jc w:val="both"/>
        <w:rPr>
          <w:rFonts w:cs="Calibri"/>
          <w:sz w:val="24"/>
          <w:szCs w:val="24"/>
        </w:rPr>
      </w:pPr>
      <w:r>
        <w:rPr>
          <w:rFonts w:cs="Calibri"/>
          <w:b/>
          <w:sz w:val="24"/>
          <w:szCs w:val="24"/>
        </w:rPr>
        <w:t xml:space="preserve">Role of funding source: </w:t>
      </w:r>
      <w:r>
        <w:rPr>
          <w:rFonts w:cs="Calibri"/>
          <w:sz w:val="24"/>
          <w:szCs w:val="24"/>
        </w:rPr>
        <w:t>No external funding was received for this study.</w:t>
      </w:r>
    </w:p>
    <w:p w14:paraId="5B27D501" w14:textId="77777777" w:rsidR="002D7B49" w:rsidRDefault="002D7B49" w:rsidP="00FE065E">
      <w:pPr>
        <w:spacing w:line="480" w:lineRule="auto"/>
        <w:jc w:val="both"/>
        <w:rPr>
          <w:rFonts w:cs="Calibri"/>
          <w:sz w:val="24"/>
          <w:szCs w:val="24"/>
        </w:rPr>
      </w:pPr>
    </w:p>
    <w:p w14:paraId="22236879" w14:textId="77777777" w:rsidR="00B7505D" w:rsidRDefault="00B67A96" w:rsidP="000A4267">
      <w:pPr>
        <w:spacing w:line="480" w:lineRule="auto"/>
        <w:jc w:val="both"/>
        <w:rPr>
          <w:sz w:val="24"/>
          <w:szCs w:val="24"/>
        </w:rPr>
      </w:pPr>
      <w:r w:rsidRPr="00D74AD1">
        <w:rPr>
          <w:b/>
          <w:sz w:val="24"/>
          <w:szCs w:val="24"/>
        </w:rPr>
        <w:t xml:space="preserve">Conflict of interest: </w:t>
      </w:r>
      <w:r w:rsidRPr="00D74AD1">
        <w:rPr>
          <w:sz w:val="24"/>
          <w:szCs w:val="24"/>
        </w:rPr>
        <w:t>None of the authors have any conflict of interest to report.</w:t>
      </w:r>
    </w:p>
    <w:p w14:paraId="41700572" w14:textId="77777777" w:rsidR="007953D8" w:rsidRDefault="007953D8" w:rsidP="000A4267">
      <w:pPr>
        <w:spacing w:line="480" w:lineRule="auto"/>
        <w:jc w:val="both"/>
        <w:rPr>
          <w:b/>
          <w:sz w:val="24"/>
          <w:szCs w:val="24"/>
        </w:rPr>
      </w:pPr>
    </w:p>
    <w:p w14:paraId="436BAD05" w14:textId="77777777" w:rsidR="000A4267" w:rsidRPr="00B7505D" w:rsidRDefault="000A4267" w:rsidP="000A4267">
      <w:pPr>
        <w:spacing w:line="480" w:lineRule="auto"/>
        <w:jc w:val="both"/>
        <w:rPr>
          <w:sz w:val="24"/>
          <w:szCs w:val="24"/>
        </w:rPr>
      </w:pPr>
      <w:r w:rsidRPr="00D74AD1">
        <w:rPr>
          <w:b/>
          <w:sz w:val="24"/>
          <w:szCs w:val="24"/>
        </w:rPr>
        <w:t>ACKNOWLEDGEMENTS</w:t>
      </w:r>
    </w:p>
    <w:p w14:paraId="14D96219" w14:textId="77777777" w:rsidR="000A4267" w:rsidRPr="00D74AD1" w:rsidRDefault="000A4267" w:rsidP="000A4267">
      <w:pPr>
        <w:spacing w:line="480" w:lineRule="auto"/>
        <w:jc w:val="both"/>
        <w:rPr>
          <w:sz w:val="24"/>
          <w:szCs w:val="24"/>
        </w:rPr>
      </w:pPr>
      <w:r w:rsidRPr="00D74AD1">
        <w:rPr>
          <w:sz w:val="24"/>
          <w:szCs w:val="24"/>
        </w:rPr>
        <w:t>We are very grateful to the medical and nursing staff at the acute medical unit, Leicester General Hospital for their overall help and assisting in recruiting patients to the study.</w:t>
      </w:r>
    </w:p>
    <w:p w14:paraId="72952548" w14:textId="77777777" w:rsidR="000A4267" w:rsidRDefault="000A4267" w:rsidP="00B67A96">
      <w:pPr>
        <w:spacing w:line="480" w:lineRule="auto"/>
        <w:jc w:val="both"/>
      </w:pPr>
    </w:p>
    <w:p w14:paraId="5EC430F1" w14:textId="77777777" w:rsidR="00BD580C" w:rsidRPr="009E02C8" w:rsidRDefault="00BD580C" w:rsidP="00B67A96">
      <w:pPr>
        <w:spacing w:line="480" w:lineRule="auto"/>
        <w:jc w:val="both"/>
      </w:pPr>
    </w:p>
    <w:p w14:paraId="27967C12" w14:textId="77777777" w:rsidR="009A36A8" w:rsidRPr="00E46997" w:rsidRDefault="009A36A8" w:rsidP="00FE065E">
      <w:pPr>
        <w:spacing w:line="480" w:lineRule="auto"/>
        <w:jc w:val="both"/>
        <w:rPr>
          <w:rFonts w:cs="Calibri"/>
          <w:sz w:val="24"/>
          <w:szCs w:val="24"/>
        </w:rPr>
      </w:pPr>
    </w:p>
    <w:p w14:paraId="5322954E" w14:textId="77777777" w:rsidR="009A36A8" w:rsidRDefault="00285C49" w:rsidP="00FE065E">
      <w:pPr>
        <w:spacing w:line="480" w:lineRule="auto"/>
        <w:jc w:val="both"/>
        <w:rPr>
          <w:rFonts w:cs="Calibri"/>
          <w:b/>
          <w:sz w:val="24"/>
          <w:szCs w:val="24"/>
        </w:rPr>
      </w:pPr>
      <w:r>
        <w:rPr>
          <w:rFonts w:cs="Calibri"/>
          <w:b/>
          <w:sz w:val="24"/>
          <w:szCs w:val="24"/>
        </w:rPr>
        <w:br w:type="page"/>
      </w:r>
      <w:r w:rsidR="009A36A8" w:rsidRPr="00E46997">
        <w:rPr>
          <w:rFonts w:cs="Calibri"/>
          <w:b/>
          <w:sz w:val="24"/>
          <w:szCs w:val="24"/>
        </w:rPr>
        <w:lastRenderedPageBreak/>
        <w:t>REFERENCES</w:t>
      </w:r>
    </w:p>
    <w:p w14:paraId="70C6B836" w14:textId="77777777" w:rsidR="008F2F39" w:rsidRDefault="00E626BC" w:rsidP="00635FDD">
      <w:pPr>
        <w:pStyle w:val="PlainText"/>
        <w:numPr>
          <w:ilvl w:val="0"/>
          <w:numId w:val="4"/>
        </w:numPr>
        <w:spacing w:line="360" w:lineRule="auto"/>
        <w:rPr>
          <w:rFonts w:ascii="Calibri" w:hAnsi="Calibri"/>
          <w:sz w:val="22"/>
          <w:szCs w:val="22"/>
        </w:rPr>
      </w:pPr>
      <w:r>
        <w:rPr>
          <w:rFonts w:ascii="Calibri" w:hAnsi="Calibri"/>
          <w:sz w:val="22"/>
          <w:szCs w:val="22"/>
        </w:rPr>
        <w:t>Royal College of Psychiatrists</w:t>
      </w:r>
      <w:r w:rsidR="008F2F39">
        <w:rPr>
          <w:rFonts w:ascii="Calibri" w:hAnsi="Calibri"/>
          <w:sz w:val="22"/>
          <w:szCs w:val="22"/>
        </w:rPr>
        <w:t xml:space="preserve">. Who cares wins.  Improving the outcome for older people admitted to the general hospital: Guidelines for the development of Liaison Mental Health  Services for Older People. London. </w:t>
      </w:r>
      <w:hyperlink r:id="rId10" w:history="1">
        <w:r w:rsidR="008F2F39" w:rsidRPr="00EF7C5C">
          <w:rPr>
            <w:rStyle w:val="Hyperlink"/>
            <w:rFonts w:ascii="Calibri" w:hAnsi="Calibri"/>
            <w:sz w:val="22"/>
            <w:szCs w:val="22"/>
          </w:rPr>
          <w:t>http://www.rcpsych.ac.uk/PDF/WhoCaresWins.pdf</w:t>
        </w:r>
      </w:hyperlink>
      <w:r w:rsidR="008F2F39">
        <w:rPr>
          <w:rFonts w:ascii="Calibri" w:hAnsi="Calibri"/>
          <w:sz w:val="22"/>
          <w:szCs w:val="22"/>
        </w:rPr>
        <w:t>.</w:t>
      </w:r>
      <w:r>
        <w:rPr>
          <w:rFonts w:ascii="Calibri" w:hAnsi="Calibri"/>
          <w:sz w:val="22"/>
          <w:szCs w:val="22"/>
        </w:rPr>
        <w:t xml:space="preserve"> 2005</w:t>
      </w:r>
    </w:p>
    <w:p w14:paraId="1295D885" w14:textId="77777777" w:rsidR="008F2F39" w:rsidRDefault="008F2F39" w:rsidP="00635FDD">
      <w:pPr>
        <w:pStyle w:val="ListParagraph"/>
        <w:numPr>
          <w:ilvl w:val="0"/>
          <w:numId w:val="4"/>
        </w:numPr>
        <w:tabs>
          <w:tab w:val="left" w:pos="1440"/>
          <w:tab w:val="left" w:pos="3600"/>
        </w:tabs>
        <w:spacing w:line="360" w:lineRule="auto"/>
        <w:jc w:val="both"/>
      </w:pPr>
      <w:r w:rsidRPr="00635FDD">
        <w:rPr>
          <w:rFonts w:cs="Arial"/>
          <w:snapToGrid w:val="0"/>
        </w:rPr>
        <w:t>National Institute for</w:t>
      </w:r>
      <w:r w:rsidR="00E626BC">
        <w:rPr>
          <w:rFonts w:cs="Arial"/>
          <w:snapToGrid w:val="0"/>
        </w:rPr>
        <w:t xml:space="preserve"> Health and Clinical Excellence</w:t>
      </w:r>
      <w:r w:rsidRPr="00635FDD">
        <w:rPr>
          <w:rFonts w:cs="Arial"/>
          <w:snapToGrid w:val="0"/>
        </w:rPr>
        <w:t>.  Depression in adults with a physical health problem: treatment and management. NICE, London (</w:t>
      </w:r>
      <w:hyperlink r:id="rId11" w:history="1">
        <w:r w:rsidRPr="00635FDD">
          <w:rPr>
            <w:rStyle w:val="Hyperlink"/>
            <w:rFonts w:cs="Arial"/>
            <w:snapToGrid w:val="0"/>
          </w:rPr>
          <w:t>www.nice.org/CG91)</w:t>
        </w:r>
      </w:hyperlink>
      <w:r w:rsidR="00E626BC">
        <w:rPr>
          <w:rStyle w:val="Hyperlink"/>
          <w:rFonts w:cs="Arial"/>
          <w:snapToGrid w:val="0"/>
        </w:rPr>
        <w:t xml:space="preserve"> </w:t>
      </w:r>
      <w:r w:rsidR="00E626BC" w:rsidRPr="00635FDD">
        <w:rPr>
          <w:rFonts w:cs="Arial"/>
          <w:snapToGrid w:val="0"/>
        </w:rPr>
        <w:t>2009a</w:t>
      </w:r>
    </w:p>
    <w:p w14:paraId="19A0252F" w14:textId="77777777" w:rsidR="008F2F39" w:rsidRPr="00635FDD" w:rsidRDefault="008F2F39" w:rsidP="00635FDD">
      <w:pPr>
        <w:pStyle w:val="ListParagraph"/>
        <w:numPr>
          <w:ilvl w:val="0"/>
          <w:numId w:val="4"/>
        </w:numPr>
        <w:spacing w:line="360" w:lineRule="auto"/>
        <w:jc w:val="both"/>
        <w:rPr>
          <w:rFonts w:cs="Arial"/>
          <w:noProof/>
        </w:rPr>
      </w:pPr>
      <w:r w:rsidRPr="00635FDD">
        <w:rPr>
          <w:rFonts w:cs="Arial"/>
          <w:noProof/>
        </w:rPr>
        <w:t>National Institute for</w:t>
      </w:r>
      <w:r w:rsidR="00E626BC">
        <w:rPr>
          <w:rFonts w:cs="Arial"/>
          <w:noProof/>
        </w:rPr>
        <w:t xml:space="preserve"> Health and Clinical Excellence</w:t>
      </w:r>
      <w:r w:rsidRPr="00635FDD">
        <w:rPr>
          <w:rFonts w:cs="Arial"/>
          <w:noProof/>
        </w:rPr>
        <w:t>. Depression in Adults (update). Depression: the treatment and management of depression in adults. National Clinical Practice Guideline 90. NICE, London.</w:t>
      </w:r>
      <w:r w:rsidR="00E626BC">
        <w:rPr>
          <w:rFonts w:cs="Arial"/>
          <w:noProof/>
        </w:rPr>
        <w:t xml:space="preserve"> </w:t>
      </w:r>
      <w:r w:rsidR="00E626BC" w:rsidRPr="00635FDD">
        <w:rPr>
          <w:rFonts w:cs="Arial"/>
          <w:noProof/>
        </w:rPr>
        <w:t>2009b</w:t>
      </w:r>
    </w:p>
    <w:p w14:paraId="2FBF3EC3" w14:textId="77777777" w:rsidR="008F2F39" w:rsidRDefault="008F2F39" w:rsidP="00635FDD">
      <w:pPr>
        <w:pStyle w:val="PlainText"/>
        <w:numPr>
          <w:ilvl w:val="0"/>
          <w:numId w:val="4"/>
        </w:numPr>
        <w:spacing w:line="360" w:lineRule="auto"/>
        <w:rPr>
          <w:rFonts w:asciiTheme="minorHAnsi" w:hAnsiTheme="minorHAnsi"/>
          <w:iCs/>
          <w:sz w:val="22"/>
          <w:szCs w:val="22"/>
        </w:rPr>
      </w:pPr>
      <w:r w:rsidRPr="003E6B0D">
        <w:rPr>
          <w:rFonts w:asciiTheme="minorHAnsi" w:hAnsiTheme="minorHAnsi"/>
          <w:iCs/>
          <w:sz w:val="22"/>
          <w:szCs w:val="22"/>
        </w:rPr>
        <w:t>NHS Wales</w:t>
      </w:r>
      <w:r w:rsidR="00E626BC">
        <w:rPr>
          <w:rFonts w:asciiTheme="minorHAnsi" w:hAnsiTheme="minorHAnsi"/>
          <w:iCs/>
          <w:sz w:val="22"/>
          <w:szCs w:val="22"/>
        </w:rPr>
        <w:t xml:space="preserve">. </w:t>
      </w:r>
      <w:r w:rsidRPr="003E6B0D">
        <w:rPr>
          <w:rFonts w:asciiTheme="minorHAnsi" w:hAnsiTheme="minorHAnsi"/>
          <w:iCs/>
          <w:sz w:val="22"/>
          <w:szCs w:val="22"/>
        </w:rPr>
        <w:t>1000 lives + Mental Health - Identifying Depression in Hospital Settings</w:t>
      </w:r>
      <w:r>
        <w:rPr>
          <w:rFonts w:asciiTheme="minorHAnsi" w:hAnsiTheme="minorHAnsi"/>
          <w:iCs/>
          <w:sz w:val="22"/>
          <w:szCs w:val="22"/>
        </w:rPr>
        <w:t>.</w:t>
      </w:r>
      <w:r w:rsidRPr="003E6B0D">
        <w:rPr>
          <w:rFonts w:asciiTheme="minorHAnsi" w:hAnsiTheme="minorHAnsi"/>
          <w:iCs/>
          <w:sz w:val="22"/>
          <w:szCs w:val="22"/>
        </w:rPr>
        <w:t xml:space="preserve"> </w:t>
      </w:r>
      <w:hyperlink r:id="rId12" w:history="1">
        <w:r w:rsidRPr="00DD40CC">
          <w:rPr>
            <w:rStyle w:val="Hyperlink"/>
            <w:rFonts w:asciiTheme="minorHAnsi" w:hAnsiTheme="minorHAnsi"/>
            <w:iCs/>
            <w:sz w:val="22"/>
            <w:szCs w:val="22"/>
          </w:rPr>
          <w:t>http://www.1000livesplus.wales.nhs.uk/mh-depression</w:t>
        </w:r>
      </w:hyperlink>
      <w:r w:rsidR="00E626BC">
        <w:rPr>
          <w:rFonts w:asciiTheme="minorHAnsi" w:hAnsiTheme="minorHAnsi"/>
          <w:iCs/>
          <w:sz w:val="22"/>
          <w:szCs w:val="22"/>
        </w:rPr>
        <w:t xml:space="preserve"> 2012.</w:t>
      </w:r>
    </w:p>
    <w:p w14:paraId="56D78BA4" w14:textId="77777777" w:rsidR="008F2F39" w:rsidRPr="00635FDD" w:rsidRDefault="008F2F39" w:rsidP="00635FDD">
      <w:pPr>
        <w:pStyle w:val="ListParagraph"/>
        <w:numPr>
          <w:ilvl w:val="0"/>
          <w:numId w:val="4"/>
        </w:numPr>
        <w:spacing w:line="360" w:lineRule="auto"/>
        <w:rPr>
          <w:rFonts w:asciiTheme="minorHAnsi" w:hAnsiTheme="minorHAnsi"/>
          <w:color w:val="000000"/>
          <w:lang w:eastAsia="en-GB"/>
        </w:rPr>
      </w:pPr>
      <w:r w:rsidRPr="00635FDD">
        <w:rPr>
          <w:rFonts w:asciiTheme="minorHAnsi" w:hAnsiTheme="minorHAnsi"/>
          <w:color w:val="000000"/>
          <w:lang w:eastAsia="en-GB"/>
        </w:rPr>
        <w:t>Dennis M,  Coffey J, Kadri A.  Depression in older people in the general hospital: a systematic review of screening instruments.  Age Ageing 2012;</w:t>
      </w:r>
      <w:r w:rsidRPr="00635FDD">
        <w:rPr>
          <w:rFonts w:asciiTheme="minorHAnsi" w:hAnsiTheme="minorHAnsi"/>
          <w:i/>
          <w:color w:val="000000"/>
          <w:lang w:eastAsia="en-GB"/>
        </w:rPr>
        <w:t xml:space="preserve"> </w:t>
      </w:r>
      <w:r w:rsidRPr="00635FDD">
        <w:rPr>
          <w:rFonts w:asciiTheme="minorHAnsi" w:hAnsiTheme="minorHAnsi"/>
          <w:color w:val="000000"/>
          <w:lang w:eastAsia="en-GB"/>
        </w:rPr>
        <w:t>41:148-154</w:t>
      </w:r>
    </w:p>
    <w:p w14:paraId="2614F363" w14:textId="77777777" w:rsidR="008F2F39" w:rsidRDefault="008F2F39" w:rsidP="00635FDD">
      <w:pPr>
        <w:pStyle w:val="PlainText"/>
        <w:numPr>
          <w:ilvl w:val="0"/>
          <w:numId w:val="4"/>
        </w:numPr>
        <w:spacing w:line="360" w:lineRule="auto"/>
        <w:rPr>
          <w:rFonts w:asciiTheme="minorHAnsi" w:hAnsiTheme="minorHAnsi"/>
          <w:sz w:val="22"/>
          <w:szCs w:val="22"/>
        </w:rPr>
      </w:pPr>
      <w:r w:rsidRPr="003E6B0D">
        <w:rPr>
          <w:rFonts w:asciiTheme="minorHAnsi" w:hAnsiTheme="minorHAnsi"/>
          <w:sz w:val="22"/>
          <w:szCs w:val="22"/>
        </w:rPr>
        <w:t>Esiwe C, Baillon S, Lo N, Rajkonwar A, Lindesay J. Dennis M</w:t>
      </w:r>
      <w:r>
        <w:rPr>
          <w:rFonts w:asciiTheme="minorHAnsi" w:hAnsiTheme="minorHAnsi"/>
          <w:sz w:val="22"/>
          <w:szCs w:val="22"/>
        </w:rPr>
        <w:t xml:space="preserve">. </w:t>
      </w:r>
      <w:r w:rsidRPr="003E6B0D">
        <w:rPr>
          <w:rFonts w:asciiTheme="minorHAnsi" w:hAnsiTheme="minorHAnsi"/>
          <w:b/>
          <w:sz w:val="22"/>
          <w:szCs w:val="22"/>
        </w:rPr>
        <w:t xml:space="preserve"> </w:t>
      </w:r>
      <w:r w:rsidRPr="003E6B0D">
        <w:rPr>
          <w:rFonts w:asciiTheme="minorHAnsi" w:hAnsiTheme="minorHAnsi"/>
          <w:sz w:val="22"/>
          <w:szCs w:val="22"/>
        </w:rPr>
        <w:t xml:space="preserve">Screening For Depression In Older Adults On An Acute Medical Ward: The Validity Of NICE Guidance In Using Two Questions. </w:t>
      </w:r>
      <w:r w:rsidRPr="00D92AEF">
        <w:rPr>
          <w:rFonts w:asciiTheme="minorHAnsi" w:hAnsiTheme="minorHAnsi"/>
          <w:sz w:val="22"/>
          <w:szCs w:val="22"/>
        </w:rPr>
        <w:t xml:space="preserve">Age </w:t>
      </w:r>
      <w:r w:rsidRPr="003E6B0D">
        <w:rPr>
          <w:rFonts w:asciiTheme="minorHAnsi" w:hAnsiTheme="minorHAnsi"/>
          <w:i/>
          <w:sz w:val="22"/>
          <w:szCs w:val="22"/>
        </w:rPr>
        <w:t xml:space="preserve"> </w:t>
      </w:r>
      <w:r w:rsidRPr="00D92AEF">
        <w:rPr>
          <w:rFonts w:asciiTheme="minorHAnsi" w:hAnsiTheme="minorHAnsi"/>
          <w:sz w:val="22"/>
          <w:szCs w:val="22"/>
        </w:rPr>
        <w:t>Ageing</w:t>
      </w:r>
      <w:r>
        <w:rPr>
          <w:rFonts w:asciiTheme="minorHAnsi" w:hAnsiTheme="minorHAnsi"/>
          <w:sz w:val="22"/>
          <w:szCs w:val="22"/>
        </w:rPr>
        <w:t xml:space="preserve"> 2015; </w:t>
      </w:r>
      <w:r w:rsidR="00B4771F">
        <w:rPr>
          <w:rFonts w:asciiTheme="minorHAnsi" w:hAnsiTheme="minorHAnsi"/>
          <w:sz w:val="22"/>
          <w:szCs w:val="22"/>
        </w:rPr>
        <w:t>44: 771-775</w:t>
      </w:r>
      <w:r w:rsidRPr="00D92AEF">
        <w:rPr>
          <w:rFonts w:ascii="Times New Roman" w:hAnsi="Times New Roman"/>
          <w:sz w:val="22"/>
          <w:szCs w:val="22"/>
        </w:rPr>
        <w:t xml:space="preserve"> </w:t>
      </w:r>
      <w:r w:rsidRPr="00423322">
        <w:rPr>
          <w:rFonts w:asciiTheme="minorHAnsi" w:hAnsiTheme="minorHAnsi"/>
          <w:sz w:val="22"/>
          <w:szCs w:val="22"/>
        </w:rPr>
        <w:t>doi:10.1093/ageing/afv018</w:t>
      </w:r>
    </w:p>
    <w:p w14:paraId="0CC9EA85" w14:textId="77777777" w:rsidR="00B4771F" w:rsidRDefault="00B4771F" w:rsidP="00635FDD">
      <w:pPr>
        <w:pStyle w:val="ListParagraph"/>
        <w:numPr>
          <w:ilvl w:val="0"/>
          <w:numId w:val="4"/>
        </w:numPr>
        <w:tabs>
          <w:tab w:val="left" w:pos="1440"/>
          <w:tab w:val="left" w:pos="3600"/>
        </w:tabs>
        <w:spacing w:line="360" w:lineRule="auto"/>
        <w:jc w:val="both"/>
      </w:pPr>
      <w:r>
        <w:t>Cox J, Holden J, Sagovsky R. Detection of postnatal depression: Development of the 10-item Edinburgh Postnatal Depression Scale.</w:t>
      </w:r>
      <w:r w:rsidRPr="00635FDD">
        <w:rPr>
          <w:i/>
        </w:rPr>
        <w:t xml:space="preserve"> </w:t>
      </w:r>
      <w:r>
        <w:t>Brit. J. Psychiat. 1987;150: 782-786.</w:t>
      </w:r>
    </w:p>
    <w:p w14:paraId="3936A3B8" w14:textId="77777777" w:rsidR="00B4771F" w:rsidRDefault="00B4771F" w:rsidP="00635FDD">
      <w:pPr>
        <w:pStyle w:val="ListParagraph"/>
        <w:numPr>
          <w:ilvl w:val="0"/>
          <w:numId w:val="4"/>
        </w:numPr>
        <w:tabs>
          <w:tab w:val="left" w:pos="1440"/>
          <w:tab w:val="left" w:pos="3600"/>
        </w:tabs>
        <w:spacing w:line="360" w:lineRule="auto"/>
        <w:jc w:val="both"/>
      </w:pPr>
      <w:r>
        <w:t xml:space="preserve">Lloyd-Williams M, Friedman T, Rudd N.  Criterion validation of the Edinburgh Postnatal Depression Scale as a screening tool for depression in patients with advanced cancer. </w:t>
      </w:r>
      <w:r w:rsidRPr="00FC0EC0">
        <w:t>J</w:t>
      </w:r>
      <w:r>
        <w:t>.</w:t>
      </w:r>
      <w:r w:rsidRPr="00FC0EC0">
        <w:t xml:space="preserve"> Pain Symptom Manag</w:t>
      </w:r>
      <w:r>
        <w:t xml:space="preserve"> 2000; 20: 259-265</w:t>
      </w:r>
    </w:p>
    <w:p w14:paraId="0033948D" w14:textId="77777777" w:rsidR="00B4771F" w:rsidRDefault="00B4771F" w:rsidP="00635FDD">
      <w:pPr>
        <w:pStyle w:val="ListParagraph"/>
        <w:numPr>
          <w:ilvl w:val="0"/>
          <w:numId w:val="4"/>
        </w:numPr>
        <w:tabs>
          <w:tab w:val="left" w:pos="1440"/>
          <w:tab w:val="left" w:pos="3600"/>
        </w:tabs>
        <w:spacing w:line="360" w:lineRule="auto"/>
        <w:jc w:val="both"/>
      </w:pPr>
      <w:r>
        <w:t xml:space="preserve">Lloyd-Williams M, </w:t>
      </w:r>
      <w:r w:rsidRPr="00635FDD">
        <w:rPr>
          <w:bCs/>
        </w:rPr>
        <w:t>Dennis M</w:t>
      </w:r>
      <w:r>
        <w:t>, Taylor F.  A prospective study to compare three depression screening tools in patients who are terminally ill. Gen Hosp Psychiat</w:t>
      </w:r>
      <w:r w:rsidRPr="00635FDD">
        <w:rPr>
          <w:i/>
          <w:iCs/>
        </w:rPr>
        <w:t xml:space="preserve"> </w:t>
      </w:r>
      <w:r w:rsidRPr="00635FDD">
        <w:rPr>
          <w:iCs/>
        </w:rPr>
        <w:t xml:space="preserve">2004; </w:t>
      </w:r>
      <w:r>
        <w:t>26: 384-389.</w:t>
      </w:r>
    </w:p>
    <w:p w14:paraId="55D69C5E" w14:textId="77777777" w:rsidR="00337833" w:rsidRPr="00635FDD" w:rsidRDefault="00337833" w:rsidP="00635FDD">
      <w:pPr>
        <w:pStyle w:val="ListParagraph"/>
        <w:numPr>
          <w:ilvl w:val="0"/>
          <w:numId w:val="4"/>
        </w:numPr>
        <w:spacing w:line="360" w:lineRule="auto"/>
        <w:jc w:val="both"/>
        <w:rPr>
          <w:rFonts w:asciiTheme="minorHAnsi" w:hAnsiTheme="minorHAnsi" w:cs="Calibri"/>
        </w:rPr>
      </w:pPr>
      <w:r w:rsidRPr="00635FDD">
        <w:rPr>
          <w:rFonts w:asciiTheme="minorHAnsi" w:hAnsiTheme="minorHAnsi"/>
        </w:rPr>
        <w:t xml:space="preserve">Baillon S, </w:t>
      </w:r>
      <w:r w:rsidRPr="00635FDD">
        <w:rPr>
          <w:rFonts w:asciiTheme="minorHAnsi" w:hAnsiTheme="minorHAnsi" w:cs="Calibri"/>
        </w:rPr>
        <w:t>Lindesay J, Prabhakaran P, Hands O, Murray J, Stacey S, Gaur S, Rajkonwar A, Padmanabhan J, Shukla D,</w:t>
      </w:r>
      <w:r w:rsidR="00E626BC">
        <w:rPr>
          <w:rFonts w:asciiTheme="minorHAnsi" w:hAnsiTheme="minorHAnsi" w:cs="Calibri"/>
        </w:rPr>
        <w:t xml:space="preserve"> Chakrabarti S, Lo N, Dennis M</w:t>
      </w:r>
      <w:r w:rsidRPr="00635FDD">
        <w:rPr>
          <w:rFonts w:asciiTheme="minorHAnsi" w:hAnsiTheme="minorHAnsi" w:cs="Calibri"/>
        </w:rPr>
        <w:t xml:space="preserve">. </w:t>
      </w:r>
      <w:r w:rsidR="00737ADC" w:rsidRPr="00635FDD">
        <w:rPr>
          <w:rFonts w:asciiTheme="minorHAnsi" w:hAnsiTheme="minorHAnsi" w:cs="Calibri"/>
        </w:rPr>
        <w:t xml:space="preserve"> </w:t>
      </w:r>
      <w:r w:rsidRPr="00635FDD">
        <w:rPr>
          <w:rFonts w:asciiTheme="minorHAnsi" w:hAnsiTheme="minorHAnsi" w:cs="Calibri"/>
        </w:rPr>
        <w:t xml:space="preserve">The utility of the Edinburgh Depression Scale as a screening tool for depression in Parkinson’s disease. </w:t>
      </w:r>
      <w:r w:rsidR="004215FA" w:rsidRPr="00635FDD">
        <w:rPr>
          <w:rFonts w:asciiTheme="minorHAnsi" w:hAnsiTheme="minorHAnsi" w:cs="Calibri"/>
        </w:rPr>
        <w:t>Int.</w:t>
      </w:r>
      <w:r w:rsidRPr="00635FDD">
        <w:rPr>
          <w:rFonts w:asciiTheme="minorHAnsi" w:hAnsiTheme="minorHAnsi" w:cs="Calibri"/>
        </w:rPr>
        <w:t xml:space="preserve"> J</w:t>
      </w:r>
      <w:r w:rsidR="004215FA" w:rsidRPr="00635FDD">
        <w:rPr>
          <w:rFonts w:asciiTheme="minorHAnsi" w:hAnsiTheme="minorHAnsi" w:cs="Calibri"/>
        </w:rPr>
        <w:t>.</w:t>
      </w:r>
      <w:r w:rsidRPr="00635FDD">
        <w:rPr>
          <w:rFonts w:asciiTheme="minorHAnsi" w:hAnsiTheme="minorHAnsi" w:cs="Calibri"/>
        </w:rPr>
        <w:t xml:space="preserve"> Geriatr</w:t>
      </w:r>
      <w:r w:rsidR="004215FA" w:rsidRPr="00635FDD">
        <w:rPr>
          <w:rFonts w:asciiTheme="minorHAnsi" w:hAnsiTheme="minorHAnsi" w:cs="Calibri"/>
        </w:rPr>
        <w:t>.</w:t>
      </w:r>
      <w:r w:rsidRPr="00635FDD">
        <w:rPr>
          <w:rFonts w:asciiTheme="minorHAnsi" w:hAnsiTheme="minorHAnsi" w:cs="Calibri"/>
        </w:rPr>
        <w:t xml:space="preserve"> Psych</w:t>
      </w:r>
      <w:r w:rsidR="004215FA" w:rsidRPr="00635FDD">
        <w:rPr>
          <w:rFonts w:asciiTheme="minorHAnsi" w:hAnsiTheme="minorHAnsi" w:cs="Calibri"/>
        </w:rPr>
        <w:t xml:space="preserve">. </w:t>
      </w:r>
      <w:r w:rsidR="00B4771F" w:rsidRPr="00635FDD">
        <w:rPr>
          <w:rFonts w:asciiTheme="minorHAnsi" w:hAnsiTheme="minorHAnsi" w:cs="Calibri"/>
        </w:rPr>
        <w:t>2014; 29:</w:t>
      </w:r>
      <w:r w:rsidRPr="00635FDD">
        <w:rPr>
          <w:rFonts w:asciiTheme="minorHAnsi" w:hAnsiTheme="minorHAnsi" w:cs="Calibri"/>
        </w:rPr>
        <w:t xml:space="preserve"> 1286-1293</w:t>
      </w:r>
    </w:p>
    <w:p w14:paraId="2539B65E" w14:textId="77777777" w:rsidR="00735CA5" w:rsidRPr="00635FDD" w:rsidRDefault="00E626BC" w:rsidP="00635FDD">
      <w:pPr>
        <w:pStyle w:val="ListParagraph"/>
        <w:numPr>
          <w:ilvl w:val="0"/>
          <w:numId w:val="4"/>
        </w:numPr>
        <w:spacing w:line="360" w:lineRule="auto"/>
        <w:jc w:val="both"/>
        <w:rPr>
          <w:rFonts w:asciiTheme="minorHAnsi" w:hAnsiTheme="minorHAnsi"/>
          <w:noProof/>
        </w:rPr>
      </w:pPr>
      <w:bookmarkStart w:id="1" w:name="_ENREF_6"/>
      <w:r>
        <w:rPr>
          <w:rFonts w:asciiTheme="minorHAnsi" w:hAnsiTheme="minorHAnsi"/>
          <w:noProof/>
        </w:rPr>
        <w:t>World Health Organisation</w:t>
      </w:r>
      <w:r w:rsidR="00735CA5" w:rsidRPr="00635FDD">
        <w:rPr>
          <w:rFonts w:asciiTheme="minorHAnsi" w:hAnsiTheme="minorHAnsi"/>
          <w:noProof/>
        </w:rPr>
        <w:t>. Schedules for Clinical Assessment in Neuropsychiatry Interview. Version 2.1. World Health Organisation, Geneva</w:t>
      </w:r>
      <w:r>
        <w:rPr>
          <w:rFonts w:asciiTheme="minorHAnsi" w:hAnsiTheme="minorHAnsi"/>
          <w:noProof/>
        </w:rPr>
        <w:t>, 1999</w:t>
      </w:r>
      <w:r w:rsidR="00735CA5" w:rsidRPr="00635FDD">
        <w:rPr>
          <w:rFonts w:asciiTheme="minorHAnsi" w:hAnsiTheme="minorHAnsi"/>
          <w:noProof/>
        </w:rPr>
        <w:t>.</w:t>
      </w:r>
      <w:bookmarkEnd w:id="1"/>
    </w:p>
    <w:p w14:paraId="3215EB72" w14:textId="77777777" w:rsidR="00735CA5" w:rsidRPr="00635FDD" w:rsidRDefault="00E626BC" w:rsidP="00635FDD">
      <w:pPr>
        <w:pStyle w:val="ListParagraph"/>
        <w:numPr>
          <w:ilvl w:val="0"/>
          <w:numId w:val="4"/>
        </w:numPr>
        <w:spacing w:line="360" w:lineRule="auto"/>
        <w:jc w:val="both"/>
        <w:rPr>
          <w:rFonts w:asciiTheme="minorHAnsi" w:hAnsiTheme="minorHAnsi"/>
          <w:noProof/>
        </w:rPr>
      </w:pPr>
      <w:bookmarkStart w:id="2" w:name="_ENREF_5"/>
      <w:r>
        <w:rPr>
          <w:rFonts w:asciiTheme="minorHAnsi" w:hAnsiTheme="minorHAnsi"/>
          <w:noProof/>
        </w:rPr>
        <w:t xml:space="preserve">World Health Organisation. </w:t>
      </w:r>
      <w:r w:rsidR="00735CA5" w:rsidRPr="00635FDD">
        <w:rPr>
          <w:rFonts w:asciiTheme="minorHAnsi" w:hAnsiTheme="minorHAnsi"/>
          <w:noProof/>
        </w:rPr>
        <w:t>International Classification of Diseases. 10th Edition. WHO, Geneva</w:t>
      </w:r>
      <w:r>
        <w:rPr>
          <w:rFonts w:asciiTheme="minorHAnsi" w:hAnsiTheme="minorHAnsi"/>
          <w:noProof/>
        </w:rPr>
        <w:t>, 1992</w:t>
      </w:r>
      <w:r w:rsidR="00735CA5" w:rsidRPr="00635FDD">
        <w:rPr>
          <w:rFonts w:asciiTheme="minorHAnsi" w:hAnsiTheme="minorHAnsi"/>
          <w:noProof/>
        </w:rPr>
        <w:t>.</w:t>
      </w:r>
      <w:bookmarkEnd w:id="2"/>
    </w:p>
    <w:p w14:paraId="0DF65034" w14:textId="77777777" w:rsidR="00735CA5" w:rsidRPr="00635FDD" w:rsidRDefault="00735CA5" w:rsidP="00635FDD">
      <w:pPr>
        <w:pStyle w:val="ListParagraph"/>
        <w:numPr>
          <w:ilvl w:val="0"/>
          <w:numId w:val="4"/>
        </w:numPr>
        <w:spacing w:line="360" w:lineRule="auto"/>
        <w:jc w:val="both"/>
        <w:rPr>
          <w:rFonts w:asciiTheme="minorHAnsi" w:hAnsiTheme="minorHAnsi"/>
          <w:noProof/>
        </w:rPr>
      </w:pPr>
      <w:bookmarkStart w:id="3" w:name="_ENREF_1"/>
      <w:r w:rsidRPr="00635FDD">
        <w:rPr>
          <w:rFonts w:asciiTheme="minorHAnsi" w:hAnsiTheme="minorHAnsi"/>
          <w:noProof/>
          <w:lang w:val="de-DE"/>
        </w:rPr>
        <w:t>Folste</w:t>
      </w:r>
      <w:r w:rsidR="00E626BC">
        <w:rPr>
          <w:rFonts w:asciiTheme="minorHAnsi" w:hAnsiTheme="minorHAnsi"/>
          <w:noProof/>
          <w:lang w:val="de-DE"/>
        </w:rPr>
        <w:t>in M, Folstein S, McHugh P</w:t>
      </w:r>
      <w:r w:rsidRPr="00635FDD">
        <w:rPr>
          <w:rFonts w:asciiTheme="minorHAnsi" w:hAnsiTheme="minorHAnsi"/>
          <w:noProof/>
          <w:lang w:val="de-DE"/>
        </w:rPr>
        <w:t xml:space="preserve">.  </w:t>
      </w:r>
      <w:r w:rsidRPr="00635FDD">
        <w:rPr>
          <w:rFonts w:asciiTheme="minorHAnsi" w:hAnsiTheme="minorHAnsi"/>
          <w:noProof/>
        </w:rPr>
        <w:t xml:space="preserve">Mini-mental State – a practical method for grading the cognitive state of patients for the clinician.  J. Psychiat. Res. </w:t>
      </w:r>
      <w:r w:rsidR="00E626BC">
        <w:rPr>
          <w:rFonts w:asciiTheme="minorHAnsi" w:hAnsiTheme="minorHAnsi"/>
          <w:noProof/>
        </w:rPr>
        <w:t>1975; 12:</w:t>
      </w:r>
      <w:r w:rsidRPr="00635FDD">
        <w:rPr>
          <w:rFonts w:asciiTheme="minorHAnsi" w:hAnsiTheme="minorHAnsi"/>
          <w:noProof/>
        </w:rPr>
        <w:t xml:space="preserve"> 189-198.</w:t>
      </w:r>
      <w:bookmarkEnd w:id="3"/>
    </w:p>
    <w:p w14:paraId="3D6FA1EC" w14:textId="77777777" w:rsidR="00735CA5" w:rsidRPr="00635FDD" w:rsidRDefault="00735CA5" w:rsidP="00735CA5">
      <w:pPr>
        <w:pStyle w:val="ListParagraph"/>
        <w:numPr>
          <w:ilvl w:val="0"/>
          <w:numId w:val="4"/>
        </w:numPr>
        <w:spacing w:line="360" w:lineRule="auto"/>
        <w:jc w:val="both"/>
        <w:rPr>
          <w:rFonts w:asciiTheme="minorHAnsi" w:hAnsiTheme="minorHAnsi"/>
          <w:noProof/>
        </w:rPr>
      </w:pPr>
      <w:bookmarkStart w:id="4" w:name="_ENREF_2"/>
      <w:r w:rsidRPr="00635FDD">
        <w:rPr>
          <w:rFonts w:asciiTheme="minorHAnsi" w:hAnsiTheme="minorHAnsi"/>
          <w:noProof/>
        </w:rPr>
        <w:lastRenderedPageBreak/>
        <w:t>Folstein M, Folste</w:t>
      </w:r>
      <w:r w:rsidR="00E626BC">
        <w:rPr>
          <w:rFonts w:asciiTheme="minorHAnsi" w:hAnsiTheme="minorHAnsi"/>
          <w:noProof/>
        </w:rPr>
        <w:t>in S, McHugh P, Fanjiang G</w:t>
      </w:r>
      <w:r w:rsidRPr="00635FDD">
        <w:rPr>
          <w:rFonts w:asciiTheme="minorHAnsi" w:hAnsiTheme="minorHAnsi"/>
          <w:noProof/>
        </w:rPr>
        <w:t>.  Mini-Mental State Examination user’s guide</w:t>
      </w:r>
      <w:r w:rsidRPr="00635FDD">
        <w:rPr>
          <w:rFonts w:asciiTheme="minorHAnsi" w:hAnsiTheme="minorHAnsi"/>
          <w:i/>
          <w:noProof/>
        </w:rPr>
        <w:t>.</w:t>
      </w:r>
      <w:r w:rsidRPr="00635FDD">
        <w:rPr>
          <w:rFonts w:asciiTheme="minorHAnsi" w:hAnsiTheme="minorHAnsi"/>
          <w:noProof/>
        </w:rPr>
        <w:t xml:space="preserve"> </w:t>
      </w:r>
      <w:bookmarkEnd w:id="4"/>
      <w:r w:rsidRPr="00635FDD">
        <w:rPr>
          <w:rFonts w:asciiTheme="minorHAnsi" w:hAnsiTheme="minorHAnsi"/>
          <w:noProof/>
        </w:rPr>
        <w:t>Odessa, Florida</w:t>
      </w:r>
      <w:r w:rsidR="00E626BC">
        <w:rPr>
          <w:rFonts w:asciiTheme="minorHAnsi" w:hAnsiTheme="minorHAnsi"/>
          <w:noProof/>
        </w:rPr>
        <w:t xml:space="preserve"> 2001</w:t>
      </w:r>
      <w:r w:rsidRPr="00635FDD">
        <w:rPr>
          <w:rFonts w:asciiTheme="minorHAnsi" w:hAnsiTheme="minorHAnsi"/>
          <w:noProof/>
        </w:rPr>
        <w:t>.</w:t>
      </w:r>
    </w:p>
    <w:p w14:paraId="7EA3BC10" w14:textId="77777777" w:rsidR="00735CA5" w:rsidRPr="00635FDD" w:rsidRDefault="00735CA5" w:rsidP="00635FDD">
      <w:pPr>
        <w:pStyle w:val="ListParagraph"/>
        <w:numPr>
          <w:ilvl w:val="0"/>
          <w:numId w:val="4"/>
        </w:numPr>
        <w:spacing w:after="240" w:line="360" w:lineRule="auto"/>
        <w:jc w:val="both"/>
        <w:rPr>
          <w:rFonts w:asciiTheme="minorHAnsi" w:hAnsiTheme="minorHAnsi"/>
          <w:noProof/>
        </w:rPr>
      </w:pPr>
      <w:bookmarkStart w:id="5" w:name="_ENREF_3"/>
      <w:r w:rsidRPr="00635FDD">
        <w:rPr>
          <w:rFonts w:asciiTheme="minorHAnsi" w:hAnsiTheme="minorHAnsi"/>
          <w:noProof/>
        </w:rPr>
        <w:t>Lopez M, Charter R, Most</w:t>
      </w:r>
      <w:r w:rsidR="00E626BC">
        <w:rPr>
          <w:rFonts w:asciiTheme="minorHAnsi" w:hAnsiTheme="minorHAnsi"/>
          <w:noProof/>
        </w:rPr>
        <w:t>afavi B, Nibut L, Smith W.</w:t>
      </w:r>
      <w:r w:rsidRPr="00635FDD">
        <w:rPr>
          <w:rFonts w:asciiTheme="minorHAnsi" w:hAnsiTheme="minorHAnsi"/>
          <w:noProof/>
        </w:rPr>
        <w:t xml:space="preserve"> Psychometric properties of the Folstein Mini-Mental State Examination. Assessment </w:t>
      </w:r>
      <w:r w:rsidR="00E626BC">
        <w:rPr>
          <w:rFonts w:asciiTheme="minorHAnsi" w:hAnsiTheme="minorHAnsi"/>
          <w:noProof/>
        </w:rPr>
        <w:t>2005; 12:</w:t>
      </w:r>
      <w:r w:rsidRPr="00635FDD">
        <w:rPr>
          <w:rFonts w:asciiTheme="minorHAnsi" w:hAnsiTheme="minorHAnsi"/>
          <w:noProof/>
        </w:rPr>
        <w:t xml:space="preserve"> 137-144.</w:t>
      </w:r>
      <w:bookmarkStart w:id="6" w:name="_ENREF_4"/>
      <w:bookmarkEnd w:id="5"/>
    </w:p>
    <w:p w14:paraId="6A72B024" w14:textId="77777777" w:rsidR="00735CA5" w:rsidRPr="00635FDD" w:rsidRDefault="00E626BC" w:rsidP="00635FDD">
      <w:pPr>
        <w:pStyle w:val="ListParagraph"/>
        <w:numPr>
          <w:ilvl w:val="0"/>
          <w:numId w:val="4"/>
        </w:numPr>
        <w:spacing w:after="240" w:line="360" w:lineRule="auto"/>
        <w:jc w:val="both"/>
        <w:rPr>
          <w:rFonts w:asciiTheme="minorHAnsi" w:hAnsiTheme="minorHAnsi"/>
          <w:noProof/>
        </w:rPr>
      </w:pPr>
      <w:r>
        <w:rPr>
          <w:rFonts w:asciiTheme="minorHAnsi" w:hAnsiTheme="minorHAnsi"/>
          <w:noProof/>
        </w:rPr>
        <w:t>Tombaugh T, McIntyre N</w:t>
      </w:r>
      <w:r w:rsidR="00735CA5" w:rsidRPr="00635FDD">
        <w:rPr>
          <w:rFonts w:asciiTheme="minorHAnsi" w:hAnsiTheme="minorHAnsi"/>
          <w:noProof/>
        </w:rPr>
        <w:t xml:space="preserve">.  The mini-mental state examination: a </w:t>
      </w:r>
      <w:r>
        <w:rPr>
          <w:rFonts w:asciiTheme="minorHAnsi" w:hAnsiTheme="minorHAnsi"/>
          <w:noProof/>
        </w:rPr>
        <w:t>comprehensive review. J Am Geriatr Soc</w:t>
      </w:r>
      <w:r w:rsidR="00735CA5" w:rsidRPr="00635FDD">
        <w:rPr>
          <w:rFonts w:asciiTheme="minorHAnsi" w:hAnsiTheme="minorHAnsi"/>
          <w:noProof/>
        </w:rPr>
        <w:t xml:space="preserve"> </w:t>
      </w:r>
      <w:r>
        <w:rPr>
          <w:rFonts w:asciiTheme="minorHAnsi" w:hAnsiTheme="minorHAnsi"/>
          <w:noProof/>
        </w:rPr>
        <w:t>1992; 40:</w:t>
      </w:r>
      <w:r w:rsidR="00735CA5" w:rsidRPr="00635FDD">
        <w:rPr>
          <w:rFonts w:asciiTheme="minorHAnsi" w:hAnsiTheme="minorHAnsi"/>
          <w:noProof/>
        </w:rPr>
        <w:t xml:space="preserve"> 922-935.</w:t>
      </w:r>
      <w:bookmarkEnd w:id="6"/>
    </w:p>
    <w:p w14:paraId="4CDC3882" w14:textId="77777777" w:rsidR="00735CA5" w:rsidRPr="00635FDD" w:rsidRDefault="00735CA5" w:rsidP="00635FDD">
      <w:pPr>
        <w:pStyle w:val="ListParagraph"/>
        <w:numPr>
          <w:ilvl w:val="0"/>
          <w:numId w:val="4"/>
        </w:numPr>
        <w:spacing w:after="240" w:line="360" w:lineRule="auto"/>
        <w:jc w:val="both"/>
        <w:rPr>
          <w:rFonts w:asciiTheme="minorHAnsi" w:hAnsiTheme="minorHAnsi"/>
          <w:noProof/>
        </w:rPr>
      </w:pPr>
      <w:r>
        <w:t>Bowler C, Boyle A, Branford M, Coope</w:t>
      </w:r>
      <w:r w:rsidR="00E626BC">
        <w:t>r S, Harper R, Lindesay J</w:t>
      </w:r>
      <w:r>
        <w:t xml:space="preserve">.  Detection of psychiatric disorders in elderly medical inpatients. </w:t>
      </w:r>
      <w:r w:rsidRPr="007B21E8">
        <w:t>Age Ageing</w:t>
      </w:r>
      <w:r>
        <w:t xml:space="preserve"> </w:t>
      </w:r>
      <w:r w:rsidR="00E626BC">
        <w:t>1994; 23:</w:t>
      </w:r>
      <w:r>
        <w:t xml:space="preserve"> 307-11</w:t>
      </w:r>
    </w:p>
    <w:p w14:paraId="3770AE7D" w14:textId="77777777" w:rsidR="00735CA5" w:rsidRDefault="00735CA5" w:rsidP="00635FDD">
      <w:pPr>
        <w:pStyle w:val="ListParagraph"/>
        <w:numPr>
          <w:ilvl w:val="0"/>
          <w:numId w:val="4"/>
        </w:numPr>
        <w:tabs>
          <w:tab w:val="left" w:pos="1440"/>
          <w:tab w:val="left" w:pos="3600"/>
        </w:tabs>
        <w:spacing w:line="360" w:lineRule="auto"/>
        <w:jc w:val="both"/>
      </w:pPr>
      <w:r>
        <w:t>Cullum S, Tucker S</w:t>
      </w:r>
      <w:r w:rsidR="00E626BC">
        <w:t>, Todd C, Brayne C</w:t>
      </w:r>
      <w:r>
        <w:t xml:space="preserve">.  Screening for depression in older medical inpatients. </w:t>
      </w:r>
      <w:r w:rsidRPr="003B6EF5">
        <w:t>Int J</w:t>
      </w:r>
      <w:r w:rsidR="00E626BC">
        <w:t xml:space="preserve"> Geriatr</w:t>
      </w:r>
      <w:r w:rsidRPr="003B6EF5">
        <w:t xml:space="preserve"> Psych</w:t>
      </w:r>
      <w:r w:rsidR="00E626BC">
        <w:t xml:space="preserve"> 2006;</w:t>
      </w:r>
      <w:r>
        <w:t xml:space="preserve"> 21: 469-76</w:t>
      </w:r>
    </w:p>
    <w:p w14:paraId="78E2D463" w14:textId="77777777" w:rsidR="00735CA5" w:rsidRPr="00635FDD" w:rsidRDefault="00735CA5" w:rsidP="00635FDD">
      <w:pPr>
        <w:pStyle w:val="ListParagraph"/>
        <w:numPr>
          <w:ilvl w:val="0"/>
          <w:numId w:val="4"/>
        </w:numPr>
        <w:spacing w:line="360" w:lineRule="auto"/>
        <w:jc w:val="both"/>
        <w:rPr>
          <w:color w:val="000000"/>
          <w:lang w:eastAsia="en-GB"/>
        </w:rPr>
      </w:pPr>
      <w:r w:rsidRPr="00635FDD">
        <w:rPr>
          <w:color w:val="000000"/>
          <w:lang w:eastAsia="en-GB"/>
        </w:rPr>
        <w:t xml:space="preserve">Glover A, Bradshaw L, Watson N, </w:t>
      </w:r>
      <w:r w:rsidRPr="00635FDD">
        <w:rPr>
          <w:rStyle w:val="Strong"/>
          <w:rFonts w:asciiTheme="minorHAnsi" w:hAnsiTheme="minorHAnsi"/>
          <w:b w:val="0"/>
          <w:color w:val="000000"/>
          <w:bdr w:val="none" w:sz="0" w:space="0" w:color="auto" w:frame="1"/>
          <w:shd w:val="clear" w:color="auto" w:fill="FFFFFF"/>
        </w:rPr>
        <w:t>Laithwaite E, Goldberg S, Whittamore K, Harwoo</w:t>
      </w:r>
      <w:r w:rsidR="00E626BC">
        <w:rPr>
          <w:color w:val="000000"/>
          <w:lang w:eastAsia="en-GB"/>
        </w:rPr>
        <w:t>d R</w:t>
      </w:r>
      <w:r w:rsidRPr="00635FDD">
        <w:rPr>
          <w:color w:val="000000"/>
          <w:lang w:eastAsia="en-GB"/>
        </w:rPr>
        <w:t xml:space="preserve">. Diagnosis, problems and healthcare interventions amongst older people with an unscheduled hospital admission who have concurrent mental health problems: a prevalence study. BMC Geriatrics </w:t>
      </w:r>
      <w:r w:rsidR="00E626BC">
        <w:rPr>
          <w:color w:val="000000"/>
          <w:lang w:eastAsia="en-GB"/>
        </w:rPr>
        <w:t>2014; 14:</w:t>
      </w:r>
      <w:r w:rsidRPr="00635FDD">
        <w:rPr>
          <w:color w:val="000000"/>
          <w:lang w:eastAsia="en-GB"/>
        </w:rPr>
        <w:t xml:space="preserve"> 43.</w:t>
      </w:r>
    </w:p>
    <w:p w14:paraId="30FAD825" w14:textId="77777777" w:rsidR="00735CA5" w:rsidRDefault="00735CA5" w:rsidP="00635FDD">
      <w:pPr>
        <w:pStyle w:val="ListParagraph"/>
        <w:numPr>
          <w:ilvl w:val="0"/>
          <w:numId w:val="4"/>
        </w:numPr>
        <w:spacing w:line="360" w:lineRule="auto"/>
        <w:rPr>
          <w:color w:val="000000"/>
          <w:lang w:eastAsia="en-GB"/>
        </w:rPr>
      </w:pPr>
      <w:r w:rsidRPr="00635FDD">
        <w:rPr>
          <w:color w:val="000000"/>
          <w:lang w:val="de-DE" w:eastAsia="en-GB"/>
        </w:rPr>
        <w:t>Wals</w:t>
      </w:r>
      <w:r w:rsidR="00EB2BE4">
        <w:rPr>
          <w:color w:val="000000"/>
          <w:lang w:val="de-DE" w:eastAsia="en-GB"/>
        </w:rPr>
        <w:t>h B, Roberts H, Nicholls P</w:t>
      </w:r>
      <w:r w:rsidRPr="00635FDD">
        <w:rPr>
          <w:color w:val="000000"/>
          <w:lang w:val="de-DE" w:eastAsia="en-GB"/>
        </w:rPr>
        <w:t xml:space="preserve">.  </w:t>
      </w:r>
      <w:r w:rsidRPr="00635FDD">
        <w:rPr>
          <w:color w:val="000000"/>
          <w:lang w:eastAsia="en-GB"/>
        </w:rPr>
        <w:t xml:space="preserve">Features and outcomes of unplanned hospital admissions of older people due to ill-defined (R-coded) conditions: Retrospective analysis of hospital admissions data in England.  BMC Geriatrics </w:t>
      </w:r>
      <w:r w:rsidR="00EB2BE4">
        <w:rPr>
          <w:color w:val="000000"/>
          <w:lang w:eastAsia="en-GB"/>
        </w:rPr>
        <w:t>2011; 11:</w:t>
      </w:r>
      <w:r w:rsidRPr="00635FDD">
        <w:rPr>
          <w:color w:val="000000"/>
          <w:lang w:eastAsia="en-GB"/>
        </w:rPr>
        <w:t xml:space="preserve"> 62</w:t>
      </w:r>
    </w:p>
    <w:p w14:paraId="56468084" w14:textId="0132F5CB" w:rsidR="002429DB" w:rsidRPr="00635FDD" w:rsidRDefault="002429DB" w:rsidP="00635FDD">
      <w:pPr>
        <w:pStyle w:val="ListParagraph"/>
        <w:numPr>
          <w:ilvl w:val="0"/>
          <w:numId w:val="4"/>
        </w:numPr>
        <w:spacing w:line="360" w:lineRule="auto"/>
        <w:rPr>
          <w:color w:val="000000"/>
          <w:lang w:eastAsia="en-GB"/>
        </w:rPr>
      </w:pPr>
      <w:r>
        <w:rPr>
          <w:color w:val="000000"/>
          <w:lang w:eastAsia="en-GB"/>
        </w:rPr>
        <w:t xml:space="preserve">Cannon B, Thaler T, Roos S. Oral </w:t>
      </w:r>
      <w:r>
        <w:rPr>
          <w:i/>
          <w:color w:val="000000"/>
          <w:lang w:eastAsia="en-GB"/>
        </w:rPr>
        <w:t>versus</w:t>
      </w:r>
      <w:r>
        <w:rPr>
          <w:color w:val="000000"/>
          <w:lang w:eastAsia="en-GB"/>
        </w:rPr>
        <w:t xml:space="preserve"> written administration of the Geriatric Depression Scale</w:t>
      </w:r>
      <w:r w:rsidR="00F530FD">
        <w:rPr>
          <w:color w:val="000000"/>
          <w:lang w:eastAsia="en-GB"/>
        </w:rPr>
        <w:t>.</w:t>
      </w:r>
      <w:r>
        <w:rPr>
          <w:color w:val="000000"/>
          <w:lang w:eastAsia="en-GB"/>
        </w:rPr>
        <w:t xml:space="preserve"> Aging Ment Health 2002; </w:t>
      </w:r>
      <w:r w:rsidR="00F530FD">
        <w:rPr>
          <w:color w:val="000000"/>
          <w:lang w:eastAsia="en-GB"/>
        </w:rPr>
        <w:t>6: 418-422.</w:t>
      </w:r>
    </w:p>
    <w:p w14:paraId="2242D8C9" w14:textId="77777777" w:rsidR="00635FDD" w:rsidRDefault="00EB2BE4" w:rsidP="00635FDD">
      <w:pPr>
        <w:pStyle w:val="ListParagraph"/>
        <w:numPr>
          <w:ilvl w:val="0"/>
          <w:numId w:val="4"/>
        </w:numPr>
        <w:tabs>
          <w:tab w:val="left" w:pos="1440"/>
          <w:tab w:val="left" w:pos="3600"/>
        </w:tabs>
        <w:spacing w:line="360" w:lineRule="auto"/>
        <w:jc w:val="both"/>
      </w:pPr>
      <w:r>
        <w:t>Murray l, Carothers A</w:t>
      </w:r>
      <w:r w:rsidR="00635FDD">
        <w:t xml:space="preserve">.  The Validation of the Edinburgh Postnatal Depression Scale on a community sample. Brit. J. Psychiat </w:t>
      </w:r>
      <w:r>
        <w:t xml:space="preserve">1990; </w:t>
      </w:r>
      <w:r w:rsidR="00635FDD">
        <w:t>157</w:t>
      </w:r>
      <w:r>
        <w:t>:</w:t>
      </w:r>
      <w:r w:rsidR="00635FDD">
        <w:t xml:space="preserve"> 288-290</w:t>
      </w:r>
    </w:p>
    <w:p w14:paraId="79836C96" w14:textId="77777777" w:rsidR="00635FDD" w:rsidRDefault="00635FDD" w:rsidP="00635FDD">
      <w:pPr>
        <w:pStyle w:val="ListParagraph"/>
        <w:numPr>
          <w:ilvl w:val="0"/>
          <w:numId w:val="4"/>
        </w:numPr>
        <w:tabs>
          <w:tab w:val="left" w:pos="1440"/>
          <w:tab w:val="left" w:pos="3600"/>
        </w:tabs>
        <w:spacing w:line="360" w:lineRule="auto"/>
        <w:jc w:val="both"/>
      </w:pPr>
      <w:r w:rsidRPr="00635FDD">
        <w:rPr>
          <w:lang w:val="fr-FR"/>
        </w:rPr>
        <w:t>Matijasevich A, M</w:t>
      </w:r>
      <w:r w:rsidR="00EB2BE4">
        <w:rPr>
          <w:lang w:val="fr-FR"/>
        </w:rPr>
        <w:t>unhoz T, Tavares B, et al.</w:t>
      </w:r>
      <w:r w:rsidRPr="00635FDD">
        <w:rPr>
          <w:lang w:val="fr-FR"/>
        </w:rPr>
        <w:t xml:space="preserve">  </w:t>
      </w:r>
      <w:r>
        <w:t xml:space="preserve">Validation of the Edinburgh Postnatal Depression Scale (EPDS) for screening of major depressive episode among adults from the general population. BMC Psychiatry </w:t>
      </w:r>
      <w:r w:rsidR="00EB2BE4">
        <w:t>2014; 14:</w:t>
      </w:r>
      <w:r>
        <w:t xml:space="preserve"> 284</w:t>
      </w:r>
    </w:p>
    <w:p w14:paraId="41E9A0F7" w14:textId="34BD8BB5" w:rsidR="007B21E8" w:rsidRPr="00635FDD" w:rsidRDefault="007B21E8" w:rsidP="00635FDD">
      <w:pPr>
        <w:pStyle w:val="ListParagraph"/>
        <w:numPr>
          <w:ilvl w:val="0"/>
          <w:numId w:val="4"/>
        </w:numPr>
        <w:spacing w:line="360" w:lineRule="auto"/>
        <w:jc w:val="both"/>
        <w:rPr>
          <w:rFonts w:asciiTheme="minorHAnsi" w:hAnsiTheme="minorHAnsi" w:cs="Calibri"/>
        </w:rPr>
      </w:pPr>
      <w:r w:rsidRPr="00635FDD">
        <w:rPr>
          <w:rFonts w:asciiTheme="minorHAnsi" w:hAnsiTheme="minorHAnsi" w:cs="Calibri"/>
        </w:rPr>
        <w:t>Baldwin R, Wild</w:t>
      </w:r>
      <w:r w:rsidR="00EB2BE4">
        <w:rPr>
          <w:rFonts w:asciiTheme="minorHAnsi" w:hAnsiTheme="minorHAnsi" w:cs="Calibri"/>
        </w:rPr>
        <w:t xml:space="preserve"> R</w:t>
      </w:r>
      <w:r w:rsidRPr="00635FDD">
        <w:rPr>
          <w:rFonts w:asciiTheme="minorHAnsi" w:hAnsiTheme="minorHAnsi" w:cs="Calibri"/>
        </w:rPr>
        <w:t>.</w:t>
      </w:r>
      <w:r w:rsidR="00737ADC" w:rsidRPr="00635FDD">
        <w:rPr>
          <w:rFonts w:asciiTheme="minorHAnsi" w:hAnsiTheme="minorHAnsi" w:cs="Calibri"/>
        </w:rPr>
        <w:t xml:space="preserve"> </w:t>
      </w:r>
      <w:r w:rsidRPr="00635FDD">
        <w:rPr>
          <w:rFonts w:asciiTheme="minorHAnsi" w:hAnsiTheme="minorHAnsi" w:cs="Calibri"/>
        </w:rPr>
        <w:t xml:space="preserve"> Management of depression in later life. Advances in Psychiatric Treatment</w:t>
      </w:r>
      <w:r w:rsidRPr="00635FDD">
        <w:rPr>
          <w:rFonts w:asciiTheme="minorHAnsi" w:hAnsiTheme="minorHAnsi" w:cs="Calibri"/>
          <w:i/>
        </w:rPr>
        <w:t xml:space="preserve"> </w:t>
      </w:r>
      <w:r w:rsidR="00EB2BE4">
        <w:rPr>
          <w:rFonts w:asciiTheme="minorHAnsi" w:hAnsiTheme="minorHAnsi" w:cs="Calibri"/>
        </w:rPr>
        <w:t>2004; 10:</w:t>
      </w:r>
      <w:r w:rsidRPr="00635FDD">
        <w:rPr>
          <w:rFonts w:asciiTheme="minorHAnsi" w:hAnsiTheme="minorHAnsi" w:cs="Calibri"/>
        </w:rPr>
        <w:t xml:space="preserve"> 131-139.</w:t>
      </w:r>
    </w:p>
    <w:p w14:paraId="3AD101EA" w14:textId="77777777" w:rsidR="003B6EF5" w:rsidRPr="003E6B0D" w:rsidRDefault="003B6EF5" w:rsidP="00635FDD">
      <w:pPr>
        <w:pStyle w:val="BodyText"/>
        <w:numPr>
          <w:ilvl w:val="0"/>
          <w:numId w:val="4"/>
        </w:numPr>
        <w:spacing w:line="360" w:lineRule="auto"/>
        <w:rPr>
          <w:rFonts w:asciiTheme="minorHAnsi" w:hAnsiTheme="minorHAnsi"/>
          <w:sz w:val="22"/>
          <w:szCs w:val="22"/>
        </w:rPr>
      </w:pPr>
      <w:r w:rsidRPr="003E6B0D">
        <w:rPr>
          <w:rFonts w:asciiTheme="minorHAnsi" w:hAnsiTheme="minorHAnsi"/>
          <w:sz w:val="22"/>
          <w:szCs w:val="22"/>
        </w:rPr>
        <w:t>Dennis M.</w:t>
      </w:r>
      <w:r w:rsidRPr="003E6B0D">
        <w:rPr>
          <w:rFonts w:asciiTheme="minorHAnsi" w:hAnsiTheme="minorHAnsi"/>
          <w:b/>
          <w:sz w:val="22"/>
          <w:szCs w:val="22"/>
        </w:rPr>
        <w:t xml:space="preserve"> </w:t>
      </w:r>
      <w:r w:rsidR="00737ADC">
        <w:rPr>
          <w:rFonts w:asciiTheme="minorHAnsi" w:hAnsiTheme="minorHAnsi"/>
          <w:b/>
          <w:sz w:val="22"/>
          <w:szCs w:val="22"/>
        </w:rPr>
        <w:t xml:space="preserve"> </w:t>
      </w:r>
      <w:r w:rsidRPr="003E6B0D">
        <w:rPr>
          <w:rFonts w:asciiTheme="minorHAnsi" w:hAnsiTheme="minorHAnsi"/>
          <w:sz w:val="22"/>
          <w:szCs w:val="22"/>
        </w:rPr>
        <w:t>Suicide and Self-harm in Older People</w:t>
      </w:r>
      <w:r>
        <w:rPr>
          <w:rFonts w:asciiTheme="minorHAnsi" w:hAnsiTheme="minorHAnsi"/>
          <w:sz w:val="22"/>
          <w:szCs w:val="22"/>
        </w:rPr>
        <w:t xml:space="preserve">. </w:t>
      </w:r>
      <w:r w:rsidRPr="003B6EF5">
        <w:rPr>
          <w:rFonts w:asciiTheme="minorHAnsi" w:hAnsiTheme="minorHAnsi"/>
          <w:sz w:val="22"/>
          <w:szCs w:val="22"/>
        </w:rPr>
        <w:t>Quality in Ageing</w:t>
      </w:r>
      <w:r w:rsidRPr="003E6B0D">
        <w:rPr>
          <w:rFonts w:asciiTheme="minorHAnsi" w:hAnsiTheme="minorHAnsi"/>
          <w:i/>
          <w:sz w:val="22"/>
          <w:szCs w:val="22"/>
        </w:rPr>
        <w:t xml:space="preserve"> </w:t>
      </w:r>
      <w:r w:rsidR="00635FDD">
        <w:rPr>
          <w:rFonts w:asciiTheme="minorHAnsi" w:hAnsiTheme="minorHAnsi"/>
          <w:sz w:val="22"/>
          <w:szCs w:val="22"/>
        </w:rPr>
        <w:t>2009;10:</w:t>
      </w:r>
      <w:r w:rsidRPr="003E6B0D">
        <w:rPr>
          <w:rFonts w:asciiTheme="minorHAnsi" w:hAnsiTheme="minorHAnsi"/>
          <w:sz w:val="22"/>
          <w:szCs w:val="22"/>
        </w:rPr>
        <w:t xml:space="preserve"> 16-23</w:t>
      </w:r>
    </w:p>
    <w:p w14:paraId="7F435435" w14:textId="77777777" w:rsidR="006655AB" w:rsidRPr="003E6B0D" w:rsidRDefault="006655AB" w:rsidP="006655AB">
      <w:pPr>
        <w:pStyle w:val="BodyText"/>
        <w:spacing w:line="360" w:lineRule="auto"/>
        <w:rPr>
          <w:rFonts w:asciiTheme="minorHAnsi" w:hAnsiTheme="minorHAnsi" w:cs="Arial"/>
          <w:snapToGrid w:val="0"/>
          <w:sz w:val="22"/>
          <w:szCs w:val="22"/>
        </w:rPr>
      </w:pPr>
    </w:p>
    <w:p w14:paraId="55026C2A" w14:textId="77777777" w:rsidR="006655AB" w:rsidRDefault="006655AB" w:rsidP="006655AB">
      <w:pPr>
        <w:pStyle w:val="PlainText"/>
        <w:spacing w:line="360" w:lineRule="auto"/>
        <w:rPr>
          <w:rFonts w:ascii="Calibri" w:hAnsi="Calibri"/>
          <w:sz w:val="22"/>
          <w:szCs w:val="22"/>
        </w:rPr>
      </w:pPr>
    </w:p>
    <w:p w14:paraId="58FC6B49" w14:textId="77777777" w:rsidR="001373B9" w:rsidRPr="00E46997" w:rsidRDefault="00447A29" w:rsidP="006655AB">
      <w:pPr>
        <w:spacing w:after="240" w:line="360" w:lineRule="auto"/>
        <w:jc w:val="both"/>
        <w:rPr>
          <w:rFonts w:cs="Calibri"/>
          <w:b/>
          <w:i/>
          <w:sz w:val="24"/>
          <w:szCs w:val="24"/>
          <w:lang w:eastAsia="en-GB"/>
        </w:rPr>
      </w:pPr>
      <w:r>
        <w:rPr>
          <w:sz w:val="24"/>
          <w:szCs w:val="24"/>
        </w:rPr>
        <w:fldChar w:fldCharType="begin"/>
      </w:r>
      <w:r w:rsidR="001373B9">
        <w:rPr>
          <w:sz w:val="24"/>
          <w:szCs w:val="24"/>
        </w:rPr>
        <w:instrText xml:space="preserve"> ADDIN EN.REFLIST </w:instrText>
      </w:r>
      <w:r>
        <w:rPr>
          <w:sz w:val="24"/>
          <w:szCs w:val="24"/>
        </w:rPr>
        <w:fldChar w:fldCharType="end"/>
      </w:r>
      <w:r w:rsidR="001373B9">
        <w:rPr>
          <w:sz w:val="24"/>
          <w:szCs w:val="24"/>
        </w:rPr>
        <w:br w:type="page"/>
      </w:r>
      <w:r w:rsidR="001373B9" w:rsidRPr="00E46997">
        <w:rPr>
          <w:rFonts w:cs="Calibri"/>
          <w:b/>
          <w:i/>
          <w:sz w:val="24"/>
          <w:szCs w:val="24"/>
          <w:lang w:eastAsia="en-GB"/>
        </w:rPr>
        <w:lastRenderedPageBreak/>
        <w:t xml:space="preserve">Figure 1 – ROC curve for </w:t>
      </w:r>
      <w:r w:rsidR="007509FF">
        <w:rPr>
          <w:rFonts w:cs="Calibri"/>
          <w:b/>
          <w:i/>
          <w:sz w:val="24"/>
          <w:szCs w:val="24"/>
          <w:lang w:eastAsia="en-GB"/>
        </w:rPr>
        <w:t xml:space="preserve">the </w:t>
      </w:r>
      <w:r w:rsidR="001373B9" w:rsidRPr="00E46997">
        <w:rPr>
          <w:rFonts w:cs="Calibri"/>
          <w:b/>
          <w:i/>
          <w:sz w:val="24"/>
          <w:szCs w:val="24"/>
          <w:lang w:eastAsia="en-GB"/>
        </w:rPr>
        <w:t xml:space="preserve">EDS identification of </w:t>
      </w:r>
      <w:r w:rsidR="00B67A96">
        <w:rPr>
          <w:rFonts w:cs="Calibri"/>
          <w:b/>
          <w:i/>
          <w:sz w:val="24"/>
          <w:szCs w:val="24"/>
          <w:lang w:eastAsia="en-GB"/>
        </w:rPr>
        <w:t>ICD-10 depressive episode</w:t>
      </w:r>
      <w:r w:rsidR="001373B9" w:rsidRPr="00E46997">
        <w:rPr>
          <w:rFonts w:cs="Calibri"/>
          <w:b/>
          <w:i/>
          <w:sz w:val="24"/>
          <w:szCs w:val="24"/>
          <w:lang w:eastAsia="en-GB"/>
        </w:rPr>
        <w:t xml:space="preserve"> showing the performance at the main cut-off scores for each scale</w:t>
      </w:r>
    </w:p>
    <w:p w14:paraId="66ACBC2A" w14:textId="77777777" w:rsidR="001373B9" w:rsidRPr="00E46997" w:rsidRDefault="001373B9" w:rsidP="001373B9">
      <w:pPr>
        <w:autoSpaceDE w:val="0"/>
        <w:autoSpaceDN w:val="0"/>
        <w:adjustRightInd w:val="0"/>
        <w:rPr>
          <w:rFonts w:cs="Calibri"/>
          <w:b/>
          <w:i/>
          <w:sz w:val="24"/>
          <w:szCs w:val="24"/>
          <w:lang w:eastAsia="en-GB"/>
        </w:rPr>
      </w:pPr>
    </w:p>
    <w:p w14:paraId="0BBB7FA3" w14:textId="77777777" w:rsidR="004C5C36" w:rsidRDefault="00F8280E" w:rsidP="007509FF">
      <w:pPr>
        <w:jc w:val="both"/>
        <w:rPr>
          <w:rFonts w:cs="Calibri"/>
          <w:b/>
          <w:sz w:val="24"/>
          <w:szCs w:val="24"/>
        </w:rPr>
      </w:pPr>
      <w:r>
        <w:rPr>
          <w:noProof/>
          <w:sz w:val="24"/>
          <w:szCs w:val="24"/>
          <w:lang w:eastAsia="en-GB"/>
        </w:rPr>
        <w:drawing>
          <wp:inline distT="0" distB="0" distL="0" distR="0" wp14:anchorId="321C5610" wp14:editId="041E7BEF">
            <wp:extent cx="6096000" cy="4464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a:stretch>
                      <a:fillRect/>
                    </a:stretch>
                  </pic:blipFill>
                  <pic:spPr bwMode="auto">
                    <a:xfrm>
                      <a:off x="0" y="0"/>
                      <a:ext cx="6096000" cy="4464050"/>
                    </a:xfrm>
                    <a:prstGeom prst="rect">
                      <a:avLst/>
                    </a:prstGeom>
                    <a:noFill/>
                    <a:ln w="9525">
                      <a:noFill/>
                      <a:miter lim="800000"/>
                      <a:headEnd/>
                      <a:tailEnd/>
                    </a:ln>
                  </pic:spPr>
                </pic:pic>
              </a:graphicData>
            </a:graphic>
          </wp:inline>
        </w:drawing>
      </w:r>
      <w:r w:rsidR="001373B9" w:rsidRPr="00E46997">
        <w:rPr>
          <w:sz w:val="24"/>
          <w:szCs w:val="24"/>
        </w:rPr>
        <w:br w:type="page"/>
      </w:r>
      <w:r w:rsidR="007509FF">
        <w:rPr>
          <w:rFonts w:cs="Calibri"/>
          <w:b/>
          <w:sz w:val="24"/>
          <w:szCs w:val="24"/>
        </w:rPr>
        <w:lastRenderedPageBreak/>
        <w:t xml:space="preserve"> </w:t>
      </w:r>
    </w:p>
    <w:p w14:paraId="331C44AA" w14:textId="77777777" w:rsidR="001373B9" w:rsidRPr="00E46997" w:rsidRDefault="007509FF" w:rsidP="001373B9">
      <w:pPr>
        <w:jc w:val="both"/>
        <w:rPr>
          <w:rFonts w:cs="Calibri"/>
          <w:b/>
          <w:i/>
          <w:sz w:val="24"/>
          <w:szCs w:val="24"/>
        </w:rPr>
      </w:pPr>
      <w:r>
        <w:rPr>
          <w:rFonts w:cs="Calibri"/>
          <w:b/>
          <w:i/>
          <w:sz w:val="24"/>
          <w:szCs w:val="24"/>
        </w:rPr>
        <w:t>Table 1</w:t>
      </w:r>
      <w:r w:rsidR="001373B9" w:rsidRPr="00E46997">
        <w:rPr>
          <w:rFonts w:cs="Calibri"/>
          <w:b/>
          <w:i/>
          <w:sz w:val="24"/>
          <w:szCs w:val="24"/>
        </w:rPr>
        <w:t xml:space="preserve"> - Test characteristics of EDS for identification of depression (</w:t>
      </w:r>
      <w:r w:rsidR="004573FC">
        <w:rPr>
          <w:rFonts w:cs="Calibri"/>
          <w:b/>
          <w:i/>
          <w:sz w:val="24"/>
          <w:szCs w:val="24"/>
        </w:rPr>
        <w:t>according to ICD-10 criteria</w:t>
      </w:r>
      <w:r w:rsidR="001373B9" w:rsidRPr="00E46997">
        <w:rPr>
          <w:rFonts w:cs="Calibri"/>
          <w:b/>
          <w:i/>
          <w:sz w:val="24"/>
          <w:szCs w:val="24"/>
        </w:rPr>
        <w:t>)</w:t>
      </w:r>
    </w:p>
    <w:p w14:paraId="5E830D4A" w14:textId="77777777" w:rsidR="001373B9" w:rsidRPr="00E46997" w:rsidRDefault="001373B9" w:rsidP="001373B9">
      <w:pPr>
        <w:jc w:val="both"/>
        <w:rPr>
          <w:rFonts w:cs="Calibri"/>
          <w:b/>
          <w:i/>
          <w:sz w:val="24"/>
          <w:szCs w:val="24"/>
        </w:rPr>
      </w:pPr>
    </w:p>
    <w:tbl>
      <w:tblPr>
        <w:tblW w:w="9212" w:type="dxa"/>
        <w:jc w:val="center"/>
        <w:tblLook w:val="04A0" w:firstRow="1" w:lastRow="0" w:firstColumn="1" w:lastColumn="0" w:noHBand="0" w:noVBand="1"/>
      </w:tblPr>
      <w:tblGrid>
        <w:gridCol w:w="872"/>
        <w:gridCol w:w="1327"/>
        <w:gridCol w:w="1438"/>
        <w:gridCol w:w="1276"/>
        <w:gridCol w:w="1275"/>
        <w:gridCol w:w="754"/>
        <w:gridCol w:w="718"/>
        <w:gridCol w:w="754"/>
        <w:gridCol w:w="798"/>
      </w:tblGrid>
      <w:tr w:rsidR="001373B9" w:rsidRPr="00E46997" w14:paraId="6D12116A" w14:textId="77777777" w:rsidTr="004573FC">
        <w:trPr>
          <w:jc w:val="center"/>
        </w:trPr>
        <w:tc>
          <w:tcPr>
            <w:tcW w:w="872" w:type="dxa"/>
            <w:tcBorders>
              <w:top w:val="single" w:sz="4" w:space="0" w:color="auto"/>
              <w:bottom w:val="single" w:sz="4" w:space="0" w:color="auto"/>
            </w:tcBorders>
          </w:tcPr>
          <w:p w14:paraId="64A1C06C" w14:textId="77777777" w:rsidR="001373B9" w:rsidRPr="00E46997" w:rsidRDefault="001373B9" w:rsidP="00E2459A">
            <w:pPr>
              <w:jc w:val="center"/>
              <w:rPr>
                <w:rFonts w:cs="Calibri"/>
                <w:b/>
                <w:sz w:val="24"/>
                <w:szCs w:val="24"/>
              </w:rPr>
            </w:pPr>
            <w:r w:rsidRPr="00E46997">
              <w:rPr>
                <w:rFonts w:cs="Calibri"/>
                <w:b/>
                <w:sz w:val="24"/>
                <w:szCs w:val="24"/>
              </w:rPr>
              <w:t>Cut-off</w:t>
            </w:r>
          </w:p>
        </w:tc>
        <w:tc>
          <w:tcPr>
            <w:tcW w:w="1327" w:type="dxa"/>
            <w:tcBorders>
              <w:top w:val="single" w:sz="4" w:space="0" w:color="auto"/>
              <w:bottom w:val="single" w:sz="4" w:space="0" w:color="auto"/>
            </w:tcBorders>
          </w:tcPr>
          <w:p w14:paraId="2C5FE8B2" w14:textId="77777777" w:rsidR="001373B9" w:rsidRPr="00932E03" w:rsidRDefault="001373B9" w:rsidP="004573FC">
            <w:pPr>
              <w:jc w:val="center"/>
              <w:rPr>
                <w:rFonts w:cs="Calibri"/>
                <w:b/>
                <w:sz w:val="24"/>
                <w:szCs w:val="24"/>
              </w:rPr>
            </w:pPr>
            <w:r w:rsidRPr="00932E03">
              <w:rPr>
                <w:rFonts w:cs="Calibri"/>
                <w:b/>
                <w:sz w:val="24"/>
                <w:szCs w:val="24"/>
              </w:rPr>
              <w:t>Se</w:t>
            </w:r>
          </w:p>
          <w:p w14:paraId="766EB8FF" w14:textId="77777777" w:rsidR="001373B9" w:rsidRPr="00932E03" w:rsidRDefault="001373B9" w:rsidP="004573FC">
            <w:pPr>
              <w:jc w:val="center"/>
              <w:rPr>
                <w:rFonts w:cs="Calibri"/>
                <w:b/>
                <w:sz w:val="24"/>
                <w:szCs w:val="24"/>
              </w:rPr>
            </w:pPr>
            <w:r w:rsidRPr="00932E03">
              <w:rPr>
                <w:rFonts w:cs="Calibri"/>
                <w:sz w:val="24"/>
                <w:szCs w:val="24"/>
              </w:rPr>
              <w:t>(95% CI)</w:t>
            </w:r>
          </w:p>
        </w:tc>
        <w:tc>
          <w:tcPr>
            <w:tcW w:w="1438" w:type="dxa"/>
            <w:tcBorders>
              <w:top w:val="single" w:sz="4" w:space="0" w:color="auto"/>
              <w:bottom w:val="single" w:sz="4" w:space="0" w:color="auto"/>
            </w:tcBorders>
          </w:tcPr>
          <w:p w14:paraId="10BC01A8" w14:textId="77777777" w:rsidR="001373B9" w:rsidRPr="00932E03" w:rsidRDefault="001373B9" w:rsidP="004573FC">
            <w:pPr>
              <w:jc w:val="center"/>
              <w:rPr>
                <w:rFonts w:cs="Calibri"/>
                <w:b/>
                <w:sz w:val="24"/>
                <w:szCs w:val="24"/>
              </w:rPr>
            </w:pPr>
            <w:r w:rsidRPr="00932E03">
              <w:rPr>
                <w:rFonts w:cs="Calibri"/>
                <w:b/>
                <w:sz w:val="24"/>
                <w:szCs w:val="24"/>
              </w:rPr>
              <w:t>Sp</w:t>
            </w:r>
          </w:p>
          <w:p w14:paraId="1798369E" w14:textId="77777777" w:rsidR="001373B9" w:rsidRPr="00932E03" w:rsidRDefault="001373B9" w:rsidP="004573FC">
            <w:pPr>
              <w:jc w:val="center"/>
              <w:rPr>
                <w:rFonts w:cs="Calibri"/>
                <w:b/>
                <w:sz w:val="24"/>
                <w:szCs w:val="24"/>
              </w:rPr>
            </w:pPr>
            <w:r w:rsidRPr="00932E03">
              <w:rPr>
                <w:rFonts w:cs="Calibri"/>
                <w:sz w:val="24"/>
                <w:szCs w:val="24"/>
              </w:rPr>
              <w:t>(95% CI)</w:t>
            </w:r>
          </w:p>
        </w:tc>
        <w:tc>
          <w:tcPr>
            <w:tcW w:w="1276" w:type="dxa"/>
            <w:tcBorders>
              <w:top w:val="single" w:sz="4" w:space="0" w:color="auto"/>
              <w:bottom w:val="single" w:sz="4" w:space="0" w:color="auto"/>
            </w:tcBorders>
          </w:tcPr>
          <w:p w14:paraId="457401CC" w14:textId="77777777" w:rsidR="001373B9" w:rsidRPr="00932E03" w:rsidRDefault="001373B9" w:rsidP="004573FC">
            <w:pPr>
              <w:jc w:val="center"/>
              <w:rPr>
                <w:rFonts w:cs="Calibri"/>
                <w:b/>
                <w:sz w:val="24"/>
                <w:szCs w:val="24"/>
              </w:rPr>
            </w:pPr>
            <w:r w:rsidRPr="00932E03">
              <w:rPr>
                <w:rFonts w:cs="Calibri"/>
                <w:b/>
                <w:sz w:val="24"/>
                <w:szCs w:val="24"/>
              </w:rPr>
              <w:t>PPV</w:t>
            </w:r>
          </w:p>
          <w:p w14:paraId="0E75C402" w14:textId="77777777" w:rsidR="001373B9" w:rsidRPr="00932E03" w:rsidRDefault="001373B9" w:rsidP="004573FC">
            <w:pPr>
              <w:jc w:val="center"/>
              <w:rPr>
                <w:rFonts w:cs="Calibri"/>
                <w:b/>
                <w:sz w:val="24"/>
                <w:szCs w:val="24"/>
              </w:rPr>
            </w:pPr>
            <w:r w:rsidRPr="00932E03">
              <w:rPr>
                <w:rFonts w:cs="Calibri"/>
                <w:sz w:val="24"/>
                <w:szCs w:val="24"/>
              </w:rPr>
              <w:t>(95% CI)</w:t>
            </w:r>
          </w:p>
        </w:tc>
        <w:tc>
          <w:tcPr>
            <w:tcW w:w="1275" w:type="dxa"/>
            <w:tcBorders>
              <w:top w:val="single" w:sz="4" w:space="0" w:color="auto"/>
              <w:bottom w:val="single" w:sz="4" w:space="0" w:color="auto"/>
            </w:tcBorders>
          </w:tcPr>
          <w:p w14:paraId="56ED2C7C" w14:textId="77777777" w:rsidR="001373B9" w:rsidRPr="00932E03" w:rsidRDefault="001373B9" w:rsidP="004573FC">
            <w:pPr>
              <w:jc w:val="center"/>
              <w:rPr>
                <w:rFonts w:cs="Calibri"/>
                <w:b/>
                <w:sz w:val="24"/>
                <w:szCs w:val="24"/>
              </w:rPr>
            </w:pPr>
            <w:r w:rsidRPr="00932E03">
              <w:rPr>
                <w:rFonts w:cs="Calibri"/>
                <w:b/>
                <w:sz w:val="24"/>
                <w:szCs w:val="24"/>
              </w:rPr>
              <w:t>NPV</w:t>
            </w:r>
          </w:p>
          <w:p w14:paraId="63D06DE2" w14:textId="77777777" w:rsidR="001373B9" w:rsidRPr="00932E03" w:rsidRDefault="001373B9" w:rsidP="004573FC">
            <w:pPr>
              <w:jc w:val="center"/>
              <w:rPr>
                <w:rFonts w:cs="Calibri"/>
                <w:b/>
                <w:sz w:val="24"/>
                <w:szCs w:val="24"/>
              </w:rPr>
            </w:pPr>
            <w:r w:rsidRPr="00932E03">
              <w:rPr>
                <w:rFonts w:cs="Calibri"/>
                <w:sz w:val="24"/>
                <w:szCs w:val="24"/>
              </w:rPr>
              <w:t>(95% CI)</w:t>
            </w:r>
          </w:p>
        </w:tc>
        <w:tc>
          <w:tcPr>
            <w:tcW w:w="754" w:type="dxa"/>
            <w:tcBorders>
              <w:top w:val="single" w:sz="4" w:space="0" w:color="auto"/>
              <w:bottom w:val="single" w:sz="4" w:space="0" w:color="auto"/>
            </w:tcBorders>
          </w:tcPr>
          <w:p w14:paraId="4E1452F7" w14:textId="77777777" w:rsidR="001373B9" w:rsidRPr="00E46997" w:rsidRDefault="001373B9" w:rsidP="00E2459A">
            <w:pPr>
              <w:jc w:val="center"/>
              <w:rPr>
                <w:rFonts w:cs="Calibri"/>
                <w:b/>
                <w:sz w:val="24"/>
                <w:szCs w:val="24"/>
              </w:rPr>
            </w:pPr>
            <w:r w:rsidRPr="00E46997">
              <w:rPr>
                <w:rFonts w:cs="Calibri"/>
                <w:b/>
                <w:sz w:val="24"/>
                <w:szCs w:val="24"/>
              </w:rPr>
              <w:t>PLR</w:t>
            </w:r>
          </w:p>
        </w:tc>
        <w:tc>
          <w:tcPr>
            <w:tcW w:w="718" w:type="dxa"/>
            <w:tcBorders>
              <w:top w:val="single" w:sz="4" w:space="0" w:color="auto"/>
              <w:bottom w:val="single" w:sz="4" w:space="0" w:color="auto"/>
            </w:tcBorders>
          </w:tcPr>
          <w:p w14:paraId="7CBF9BBA" w14:textId="77777777" w:rsidR="001373B9" w:rsidRPr="00E46997" w:rsidRDefault="001373B9" w:rsidP="00E2459A">
            <w:pPr>
              <w:jc w:val="center"/>
              <w:rPr>
                <w:rFonts w:cs="Calibri"/>
                <w:b/>
                <w:sz w:val="24"/>
                <w:szCs w:val="24"/>
              </w:rPr>
            </w:pPr>
            <w:r w:rsidRPr="00E46997">
              <w:rPr>
                <w:rFonts w:cs="Calibri"/>
                <w:b/>
                <w:sz w:val="24"/>
                <w:szCs w:val="24"/>
              </w:rPr>
              <w:t>NLR</w:t>
            </w:r>
          </w:p>
        </w:tc>
        <w:tc>
          <w:tcPr>
            <w:tcW w:w="754" w:type="dxa"/>
            <w:tcBorders>
              <w:top w:val="single" w:sz="4" w:space="0" w:color="auto"/>
              <w:bottom w:val="single" w:sz="4" w:space="0" w:color="auto"/>
            </w:tcBorders>
          </w:tcPr>
          <w:p w14:paraId="5DC63225" w14:textId="77777777" w:rsidR="001373B9" w:rsidRPr="00E46997" w:rsidRDefault="001373B9" w:rsidP="00E2459A">
            <w:pPr>
              <w:jc w:val="center"/>
              <w:rPr>
                <w:rFonts w:cs="Calibri"/>
                <w:b/>
                <w:sz w:val="24"/>
                <w:szCs w:val="24"/>
              </w:rPr>
            </w:pPr>
            <w:r w:rsidRPr="00E46997">
              <w:rPr>
                <w:rFonts w:cs="Calibri"/>
                <w:b/>
                <w:sz w:val="24"/>
                <w:szCs w:val="24"/>
              </w:rPr>
              <w:t>DOR</w:t>
            </w:r>
          </w:p>
        </w:tc>
        <w:tc>
          <w:tcPr>
            <w:tcW w:w="798" w:type="dxa"/>
            <w:tcBorders>
              <w:top w:val="single" w:sz="4" w:space="0" w:color="auto"/>
              <w:bottom w:val="single" w:sz="4" w:space="0" w:color="auto"/>
            </w:tcBorders>
          </w:tcPr>
          <w:p w14:paraId="177E8DC9" w14:textId="77777777" w:rsidR="001373B9" w:rsidRPr="00E46997" w:rsidRDefault="001373B9" w:rsidP="00E2459A">
            <w:pPr>
              <w:jc w:val="center"/>
              <w:rPr>
                <w:rFonts w:cs="Calibri"/>
                <w:b/>
                <w:sz w:val="24"/>
                <w:szCs w:val="24"/>
              </w:rPr>
            </w:pPr>
            <w:r w:rsidRPr="00E46997">
              <w:rPr>
                <w:rFonts w:cs="Calibri"/>
                <w:b/>
                <w:sz w:val="24"/>
                <w:szCs w:val="24"/>
              </w:rPr>
              <w:t>OMR</w:t>
            </w:r>
          </w:p>
        </w:tc>
      </w:tr>
      <w:tr w:rsidR="004573FC" w:rsidRPr="00E46997" w14:paraId="246E6BEA" w14:textId="77777777" w:rsidTr="004573FC">
        <w:trPr>
          <w:jc w:val="center"/>
        </w:trPr>
        <w:tc>
          <w:tcPr>
            <w:tcW w:w="872" w:type="dxa"/>
            <w:tcMar>
              <w:top w:w="28" w:type="dxa"/>
            </w:tcMar>
          </w:tcPr>
          <w:p w14:paraId="6932EE97" w14:textId="77777777" w:rsidR="004573FC" w:rsidRPr="00E46997" w:rsidRDefault="004573FC" w:rsidP="00E2459A">
            <w:pPr>
              <w:jc w:val="both"/>
              <w:rPr>
                <w:rFonts w:cs="Calibri"/>
                <w:sz w:val="24"/>
                <w:szCs w:val="24"/>
              </w:rPr>
            </w:pPr>
            <w:r w:rsidRPr="00E46997">
              <w:rPr>
                <w:rFonts w:cs="Calibri"/>
                <w:sz w:val="24"/>
                <w:szCs w:val="24"/>
              </w:rPr>
              <w:t>6/7</w:t>
            </w:r>
          </w:p>
          <w:p w14:paraId="61F80406" w14:textId="77777777" w:rsidR="004573FC" w:rsidRPr="00E46997" w:rsidRDefault="004573FC" w:rsidP="00E2459A">
            <w:pPr>
              <w:jc w:val="both"/>
              <w:rPr>
                <w:rFonts w:cs="Calibri"/>
                <w:sz w:val="24"/>
                <w:szCs w:val="24"/>
              </w:rPr>
            </w:pPr>
          </w:p>
        </w:tc>
        <w:tc>
          <w:tcPr>
            <w:tcW w:w="1327" w:type="dxa"/>
            <w:tcMar>
              <w:top w:w="28" w:type="dxa"/>
            </w:tcMar>
          </w:tcPr>
          <w:p w14:paraId="02BF4CF9" w14:textId="77777777" w:rsidR="004573FC" w:rsidRPr="00932E03" w:rsidRDefault="004573FC" w:rsidP="004573FC">
            <w:pPr>
              <w:jc w:val="center"/>
            </w:pPr>
            <w:r w:rsidRPr="00932E03">
              <w:t>0.92</w:t>
            </w:r>
          </w:p>
          <w:p w14:paraId="7FF8AA6B" w14:textId="77777777" w:rsidR="004573FC" w:rsidRPr="00932E03" w:rsidRDefault="004573FC" w:rsidP="004573FC">
            <w:pPr>
              <w:jc w:val="center"/>
            </w:pPr>
            <w:r w:rsidRPr="00932E03">
              <w:t>(0.73-0.98)</w:t>
            </w:r>
          </w:p>
        </w:tc>
        <w:tc>
          <w:tcPr>
            <w:tcW w:w="1438" w:type="dxa"/>
            <w:tcMar>
              <w:top w:w="28" w:type="dxa"/>
            </w:tcMar>
          </w:tcPr>
          <w:p w14:paraId="01AED366" w14:textId="77777777" w:rsidR="004573FC" w:rsidRPr="00932E03" w:rsidRDefault="004573FC" w:rsidP="004573FC">
            <w:pPr>
              <w:jc w:val="center"/>
            </w:pPr>
            <w:r w:rsidRPr="00932E03">
              <w:t>0.67</w:t>
            </w:r>
          </w:p>
          <w:p w14:paraId="2AF0924C" w14:textId="77777777" w:rsidR="004573FC" w:rsidRPr="00932E03" w:rsidRDefault="004573FC" w:rsidP="004573FC">
            <w:pPr>
              <w:jc w:val="center"/>
            </w:pPr>
            <w:r w:rsidRPr="00932E03">
              <w:t>(0.56-0.76)</w:t>
            </w:r>
          </w:p>
        </w:tc>
        <w:tc>
          <w:tcPr>
            <w:tcW w:w="1276" w:type="dxa"/>
            <w:tcMar>
              <w:top w:w="28" w:type="dxa"/>
            </w:tcMar>
          </w:tcPr>
          <w:p w14:paraId="6A2947D3" w14:textId="77777777" w:rsidR="004573FC" w:rsidRPr="00932E03" w:rsidRDefault="004573FC" w:rsidP="004573FC">
            <w:pPr>
              <w:jc w:val="center"/>
            </w:pPr>
            <w:r w:rsidRPr="00932E03">
              <w:t>0.44</w:t>
            </w:r>
          </w:p>
          <w:p w14:paraId="4CB54ECE" w14:textId="77777777" w:rsidR="004573FC" w:rsidRPr="00932E03" w:rsidRDefault="004573FC" w:rsidP="004573FC">
            <w:pPr>
              <w:jc w:val="center"/>
            </w:pPr>
            <w:r w:rsidRPr="00932E03">
              <w:t>(0.31-0.85)</w:t>
            </w:r>
          </w:p>
        </w:tc>
        <w:tc>
          <w:tcPr>
            <w:tcW w:w="1275" w:type="dxa"/>
            <w:tcMar>
              <w:top w:w="28" w:type="dxa"/>
            </w:tcMar>
          </w:tcPr>
          <w:p w14:paraId="629D16EA" w14:textId="77777777" w:rsidR="004573FC" w:rsidRPr="00932E03" w:rsidRDefault="00D12EE7" w:rsidP="004573FC">
            <w:pPr>
              <w:jc w:val="center"/>
            </w:pPr>
            <w:r>
              <w:t>0.97</w:t>
            </w:r>
          </w:p>
          <w:p w14:paraId="3F85064B" w14:textId="77777777" w:rsidR="004573FC" w:rsidRPr="00932E03" w:rsidRDefault="004573FC" w:rsidP="004573FC">
            <w:pPr>
              <w:jc w:val="center"/>
            </w:pPr>
            <w:r w:rsidRPr="00932E03">
              <w:t>(0.88-0.99)</w:t>
            </w:r>
          </w:p>
        </w:tc>
        <w:tc>
          <w:tcPr>
            <w:tcW w:w="754" w:type="dxa"/>
            <w:tcMar>
              <w:top w:w="28" w:type="dxa"/>
            </w:tcMar>
          </w:tcPr>
          <w:p w14:paraId="6D4F4BAD" w14:textId="77777777" w:rsidR="004573FC" w:rsidRPr="00D12EE7" w:rsidRDefault="00D12EE7" w:rsidP="00D12EE7">
            <w:pPr>
              <w:jc w:val="center"/>
              <w:rPr>
                <w:rFonts w:cs="Calibri"/>
                <w:color w:val="000000"/>
              </w:rPr>
            </w:pPr>
            <w:r>
              <w:rPr>
                <w:rFonts w:cs="Calibri"/>
                <w:color w:val="000000"/>
              </w:rPr>
              <w:t>2.83</w:t>
            </w:r>
          </w:p>
        </w:tc>
        <w:tc>
          <w:tcPr>
            <w:tcW w:w="718" w:type="dxa"/>
            <w:tcMar>
              <w:top w:w="28" w:type="dxa"/>
            </w:tcMar>
          </w:tcPr>
          <w:p w14:paraId="16172349" w14:textId="77777777" w:rsidR="004573FC" w:rsidRPr="00D12EE7" w:rsidRDefault="00D12EE7" w:rsidP="00E2459A">
            <w:pPr>
              <w:jc w:val="center"/>
              <w:rPr>
                <w:rFonts w:cs="Calibri"/>
                <w:color w:val="000000"/>
              </w:rPr>
            </w:pPr>
            <w:r>
              <w:rPr>
                <w:rFonts w:cs="Calibri"/>
                <w:color w:val="000000"/>
              </w:rPr>
              <w:t>0.11</w:t>
            </w:r>
          </w:p>
        </w:tc>
        <w:tc>
          <w:tcPr>
            <w:tcW w:w="754" w:type="dxa"/>
            <w:tcMar>
              <w:top w:w="28" w:type="dxa"/>
            </w:tcMar>
          </w:tcPr>
          <w:p w14:paraId="10B16FAE" w14:textId="77777777" w:rsidR="004573FC" w:rsidRPr="00D12EE7" w:rsidRDefault="00D12EE7" w:rsidP="00E2459A">
            <w:pPr>
              <w:jc w:val="center"/>
              <w:rPr>
                <w:rFonts w:cs="Calibri"/>
                <w:color w:val="000000"/>
              </w:rPr>
            </w:pPr>
            <w:r>
              <w:rPr>
                <w:rFonts w:cs="Calibri"/>
                <w:color w:val="000000"/>
              </w:rPr>
              <w:t>24.80</w:t>
            </w:r>
          </w:p>
        </w:tc>
        <w:tc>
          <w:tcPr>
            <w:tcW w:w="798" w:type="dxa"/>
            <w:tcMar>
              <w:top w:w="28" w:type="dxa"/>
            </w:tcMar>
          </w:tcPr>
          <w:p w14:paraId="0216169E" w14:textId="77777777" w:rsidR="004573FC" w:rsidRPr="00D12EE7" w:rsidRDefault="00D12EE7" w:rsidP="00E2459A">
            <w:pPr>
              <w:jc w:val="center"/>
              <w:rPr>
                <w:rFonts w:cs="Calibri"/>
                <w:color w:val="000000"/>
              </w:rPr>
            </w:pPr>
            <w:r>
              <w:rPr>
                <w:rFonts w:cs="Calibri"/>
                <w:color w:val="000000"/>
              </w:rPr>
              <w:t>0.27</w:t>
            </w:r>
          </w:p>
        </w:tc>
      </w:tr>
      <w:tr w:rsidR="004573FC" w:rsidRPr="00E46997" w14:paraId="67249820" w14:textId="77777777" w:rsidTr="004573FC">
        <w:trPr>
          <w:jc w:val="center"/>
        </w:trPr>
        <w:tc>
          <w:tcPr>
            <w:tcW w:w="872" w:type="dxa"/>
            <w:tcMar>
              <w:top w:w="28" w:type="dxa"/>
            </w:tcMar>
          </w:tcPr>
          <w:p w14:paraId="3B2EB28C" w14:textId="77777777" w:rsidR="004573FC" w:rsidRPr="00E46997" w:rsidRDefault="004573FC" w:rsidP="00E2459A">
            <w:pPr>
              <w:jc w:val="both"/>
              <w:rPr>
                <w:rFonts w:cs="Calibri"/>
                <w:sz w:val="24"/>
                <w:szCs w:val="24"/>
              </w:rPr>
            </w:pPr>
            <w:r w:rsidRPr="00E46997">
              <w:rPr>
                <w:rFonts w:cs="Calibri"/>
                <w:sz w:val="24"/>
                <w:szCs w:val="24"/>
              </w:rPr>
              <w:t>7/8</w:t>
            </w:r>
          </w:p>
          <w:p w14:paraId="09847ABB" w14:textId="77777777" w:rsidR="004573FC" w:rsidRPr="00E46997" w:rsidRDefault="004573FC" w:rsidP="00E2459A">
            <w:pPr>
              <w:jc w:val="both"/>
              <w:rPr>
                <w:rFonts w:cs="Calibri"/>
                <w:sz w:val="24"/>
                <w:szCs w:val="24"/>
              </w:rPr>
            </w:pPr>
          </w:p>
        </w:tc>
        <w:tc>
          <w:tcPr>
            <w:tcW w:w="1327" w:type="dxa"/>
            <w:tcMar>
              <w:top w:w="28" w:type="dxa"/>
            </w:tcMar>
          </w:tcPr>
          <w:p w14:paraId="3A65118E" w14:textId="77777777" w:rsidR="004573FC" w:rsidRPr="00932E03" w:rsidRDefault="004573FC" w:rsidP="004573FC">
            <w:pPr>
              <w:jc w:val="center"/>
            </w:pPr>
            <w:r w:rsidRPr="00932E03">
              <w:t>0.88</w:t>
            </w:r>
          </w:p>
          <w:p w14:paraId="525F4236" w14:textId="77777777" w:rsidR="004573FC" w:rsidRPr="00932E03" w:rsidRDefault="004573FC" w:rsidP="004573FC">
            <w:pPr>
              <w:jc w:val="center"/>
            </w:pPr>
            <w:r w:rsidRPr="00932E03">
              <w:t>(0.68-0.96)</w:t>
            </w:r>
          </w:p>
        </w:tc>
        <w:tc>
          <w:tcPr>
            <w:tcW w:w="1438" w:type="dxa"/>
            <w:tcMar>
              <w:top w:w="28" w:type="dxa"/>
            </w:tcMar>
          </w:tcPr>
          <w:p w14:paraId="2B7BF25A" w14:textId="77777777" w:rsidR="004573FC" w:rsidRPr="00932E03" w:rsidRDefault="004573FC" w:rsidP="004573FC">
            <w:pPr>
              <w:jc w:val="center"/>
            </w:pPr>
            <w:r w:rsidRPr="00932E03">
              <w:t>0.77</w:t>
            </w:r>
          </w:p>
          <w:p w14:paraId="4D0D2D47" w14:textId="77777777" w:rsidR="004573FC" w:rsidRPr="00932E03" w:rsidRDefault="004573FC" w:rsidP="004573FC">
            <w:pPr>
              <w:jc w:val="center"/>
            </w:pPr>
            <w:r w:rsidRPr="00932E03">
              <w:t>(0.67-0.85)</w:t>
            </w:r>
          </w:p>
        </w:tc>
        <w:tc>
          <w:tcPr>
            <w:tcW w:w="1276" w:type="dxa"/>
            <w:tcMar>
              <w:top w:w="28" w:type="dxa"/>
            </w:tcMar>
          </w:tcPr>
          <w:p w14:paraId="0D8EDAAE" w14:textId="77777777" w:rsidR="004573FC" w:rsidRPr="00932E03" w:rsidRDefault="004573FC" w:rsidP="004573FC">
            <w:pPr>
              <w:jc w:val="center"/>
            </w:pPr>
            <w:r w:rsidRPr="00932E03">
              <w:t>0.52</w:t>
            </w:r>
          </w:p>
          <w:p w14:paraId="3C680F8A" w14:textId="77777777" w:rsidR="004573FC" w:rsidRPr="00932E03" w:rsidRDefault="004573FC" w:rsidP="004573FC">
            <w:pPr>
              <w:jc w:val="center"/>
            </w:pPr>
            <w:r w:rsidRPr="00932E03">
              <w:t>(0.36-0.67)</w:t>
            </w:r>
          </w:p>
        </w:tc>
        <w:tc>
          <w:tcPr>
            <w:tcW w:w="1275" w:type="dxa"/>
            <w:tcMar>
              <w:top w:w="28" w:type="dxa"/>
            </w:tcMar>
          </w:tcPr>
          <w:p w14:paraId="7F290229" w14:textId="77777777" w:rsidR="004573FC" w:rsidRPr="00932E03" w:rsidRDefault="00D12EE7" w:rsidP="004573FC">
            <w:pPr>
              <w:jc w:val="center"/>
            </w:pPr>
            <w:r>
              <w:t>0.96</w:t>
            </w:r>
          </w:p>
          <w:p w14:paraId="6344E7B6" w14:textId="77777777" w:rsidR="004573FC" w:rsidRPr="00932E03" w:rsidRDefault="004573FC" w:rsidP="004573FC">
            <w:pPr>
              <w:jc w:val="center"/>
            </w:pPr>
            <w:r w:rsidRPr="00932E03">
              <w:t>(0.87-0.98)</w:t>
            </w:r>
          </w:p>
        </w:tc>
        <w:tc>
          <w:tcPr>
            <w:tcW w:w="754" w:type="dxa"/>
            <w:tcMar>
              <w:top w:w="28" w:type="dxa"/>
            </w:tcMar>
          </w:tcPr>
          <w:p w14:paraId="657A2507" w14:textId="77777777" w:rsidR="004573FC" w:rsidRPr="00D12EE7" w:rsidRDefault="00D12EE7" w:rsidP="00E2459A">
            <w:pPr>
              <w:jc w:val="center"/>
              <w:rPr>
                <w:rFonts w:cs="Calibri"/>
                <w:color w:val="000000"/>
              </w:rPr>
            </w:pPr>
            <w:r>
              <w:rPr>
                <w:rFonts w:cs="Calibri"/>
                <w:color w:val="000000"/>
              </w:rPr>
              <w:t>3.88</w:t>
            </w:r>
          </w:p>
        </w:tc>
        <w:tc>
          <w:tcPr>
            <w:tcW w:w="718" w:type="dxa"/>
            <w:tcMar>
              <w:top w:w="28" w:type="dxa"/>
            </w:tcMar>
          </w:tcPr>
          <w:p w14:paraId="19EB7DAC" w14:textId="77777777" w:rsidR="004573FC" w:rsidRPr="00D12EE7" w:rsidRDefault="00D12EE7" w:rsidP="00E2459A">
            <w:pPr>
              <w:jc w:val="center"/>
              <w:rPr>
                <w:rFonts w:cs="Calibri"/>
                <w:color w:val="000000"/>
              </w:rPr>
            </w:pPr>
            <w:r>
              <w:rPr>
                <w:rFonts w:cs="Calibri"/>
                <w:color w:val="000000"/>
              </w:rPr>
              <w:t>0.15</w:t>
            </w:r>
          </w:p>
        </w:tc>
        <w:tc>
          <w:tcPr>
            <w:tcW w:w="754" w:type="dxa"/>
            <w:tcMar>
              <w:top w:w="28" w:type="dxa"/>
            </w:tcMar>
          </w:tcPr>
          <w:p w14:paraId="7A40FA2F" w14:textId="77777777" w:rsidR="004573FC" w:rsidRPr="00D12EE7" w:rsidRDefault="00D12EE7" w:rsidP="00E2459A">
            <w:pPr>
              <w:jc w:val="center"/>
              <w:rPr>
                <w:rFonts w:cs="Calibri"/>
                <w:color w:val="000000"/>
              </w:rPr>
            </w:pPr>
            <w:r>
              <w:rPr>
                <w:rFonts w:cs="Calibri"/>
                <w:color w:val="000000"/>
              </w:rPr>
              <w:t>25.92</w:t>
            </w:r>
          </w:p>
        </w:tc>
        <w:tc>
          <w:tcPr>
            <w:tcW w:w="798" w:type="dxa"/>
            <w:tcMar>
              <w:top w:w="28" w:type="dxa"/>
            </w:tcMar>
          </w:tcPr>
          <w:p w14:paraId="29CAE0F3" w14:textId="77777777" w:rsidR="004573FC" w:rsidRPr="00D12EE7" w:rsidRDefault="00D12EE7" w:rsidP="00E2459A">
            <w:pPr>
              <w:jc w:val="center"/>
              <w:rPr>
                <w:rFonts w:cs="Calibri"/>
                <w:color w:val="000000"/>
              </w:rPr>
            </w:pPr>
            <w:r>
              <w:rPr>
                <w:rFonts w:cs="Calibri"/>
                <w:color w:val="000000"/>
              </w:rPr>
              <w:t>0.20</w:t>
            </w:r>
          </w:p>
        </w:tc>
      </w:tr>
      <w:tr w:rsidR="004573FC" w:rsidRPr="00E46997" w14:paraId="003FA10C" w14:textId="77777777" w:rsidTr="004573FC">
        <w:trPr>
          <w:jc w:val="center"/>
        </w:trPr>
        <w:tc>
          <w:tcPr>
            <w:tcW w:w="872" w:type="dxa"/>
            <w:tcMar>
              <w:top w:w="28" w:type="dxa"/>
            </w:tcMar>
          </w:tcPr>
          <w:p w14:paraId="01ECF944" w14:textId="0273F215" w:rsidR="004573FC" w:rsidRPr="00E46997" w:rsidRDefault="004573FC" w:rsidP="00E2459A">
            <w:pPr>
              <w:jc w:val="both"/>
              <w:rPr>
                <w:rFonts w:cs="Calibri"/>
                <w:sz w:val="24"/>
                <w:szCs w:val="24"/>
              </w:rPr>
            </w:pPr>
            <w:r w:rsidRPr="00E46997">
              <w:rPr>
                <w:rFonts w:cs="Calibri"/>
                <w:sz w:val="24"/>
                <w:szCs w:val="24"/>
              </w:rPr>
              <w:t>8/9</w:t>
            </w:r>
            <w:r w:rsidR="002D0F37" w:rsidRPr="00E46997">
              <w:rPr>
                <w:rFonts w:cs="Calibri"/>
                <w:sz w:val="24"/>
                <w:szCs w:val="24"/>
                <w:vertAlign w:val="superscript"/>
              </w:rPr>
              <w:t xml:space="preserve"> </w:t>
            </w:r>
          </w:p>
          <w:p w14:paraId="7B235FEB" w14:textId="77777777" w:rsidR="004573FC" w:rsidRPr="00E46997" w:rsidRDefault="004573FC" w:rsidP="00E2459A">
            <w:pPr>
              <w:jc w:val="both"/>
              <w:rPr>
                <w:rFonts w:cs="Calibri"/>
                <w:sz w:val="24"/>
                <w:szCs w:val="24"/>
              </w:rPr>
            </w:pPr>
          </w:p>
        </w:tc>
        <w:tc>
          <w:tcPr>
            <w:tcW w:w="1327" w:type="dxa"/>
            <w:tcMar>
              <w:top w:w="28" w:type="dxa"/>
            </w:tcMar>
          </w:tcPr>
          <w:p w14:paraId="1723BFC0" w14:textId="77777777" w:rsidR="004573FC" w:rsidRPr="00932E03" w:rsidRDefault="00D12EE7" w:rsidP="004573FC">
            <w:pPr>
              <w:jc w:val="center"/>
            </w:pPr>
            <w:r>
              <w:t>0.81</w:t>
            </w:r>
          </w:p>
          <w:p w14:paraId="517FD93A" w14:textId="77777777" w:rsidR="004573FC" w:rsidRPr="00932E03" w:rsidRDefault="004573FC" w:rsidP="004573FC">
            <w:pPr>
              <w:jc w:val="center"/>
            </w:pPr>
            <w:r w:rsidRPr="00932E03">
              <w:t>(0.60-0.92)</w:t>
            </w:r>
          </w:p>
        </w:tc>
        <w:tc>
          <w:tcPr>
            <w:tcW w:w="1438" w:type="dxa"/>
            <w:tcMar>
              <w:top w:w="28" w:type="dxa"/>
            </w:tcMar>
          </w:tcPr>
          <w:p w14:paraId="30BD73EB" w14:textId="77777777" w:rsidR="004573FC" w:rsidRPr="00932E03" w:rsidRDefault="00D12EE7" w:rsidP="004573FC">
            <w:pPr>
              <w:jc w:val="center"/>
            </w:pPr>
            <w:r>
              <w:t>0.82</w:t>
            </w:r>
          </w:p>
          <w:p w14:paraId="6F14BCC9" w14:textId="77777777" w:rsidR="004573FC" w:rsidRPr="00932E03" w:rsidRDefault="004573FC" w:rsidP="004573FC">
            <w:pPr>
              <w:jc w:val="center"/>
            </w:pPr>
            <w:r w:rsidRPr="00932E03">
              <w:t>(0.71- 0.88)</w:t>
            </w:r>
          </w:p>
        </w:tc>
        <w:tc>
          <w:tcPr>
            <w:tcW w:w="1276" w:type="dxa"/>
            <w:tcMar>
              <w:top w:w="28" w:type="dxa"/>
            </w:tcMar>
          </w:tcPr>
          <w:p w14:paraId="099B50A0" w14:textId="77777777" w:rsidR="004573FC" w:rsidRPr="00932E03" w:rsidRDefault="004573FC" w:rsidP="004573FC">
            <w:pPr>
              <w:jc w:val="center"/>
            </w:pPr>
            <w:r w:rsidRPr="00932E03">
              <w:t>0.55</w:t>
            </w:r>
          </w:p>
          <w:p w14:paraId="2670C94B" w14:textId="77777777" w:rsidR="004573FC" w:rsidRPr="00932E03" w:rsidRDefault="004573FC" w:rsidP="004573FC">
            <w:pPr>
              <w:jc w:val="center"/>
            </w:pPr>
            <w:r w:rsidRPr="00932E03">
              <w:t>(0.38-0.71)</w:t>
            </w:r>
          </w:p>
        </w:tc>
        <w:tc>
          <w:tcPr>
            <w:tcW w:w="1275" w:type="dxa"/>
            <w:tcMar>
              <w:top w:w="28" w:type="dxa"/>
            </w:tcMar>
          </w:tcPr>
          <w:p w14:paraId="4FE6FA71" w14:textId="77777777" w:rsidR="004573FC" w:rsidRPr="00932E03" w:rsidRDefault="00D12EE7" w:rsidP="004573FC">
            <w:pPr>
              <w:jc w:val="center"/>
            </w:pPr>
            <w:r>
              <w:t>0.94</w:t>
            </w:r>
          </w:p>
          <w:p w14:paraId="6B22A3BB" w14:textId="77777777" w:rsidR="004573FC" w:rsidRPr="00932E03" w:rsidRDefault="004573FC" w:rsidP="004573FC">
            <w:pPr>
              <w:jc w:val="center"/>
            </w:pPr>
            <w:r w:rsidRPr="00932E03">
              <w:t>(0.85-0.97)</w:t>
            </w:r>
          </w:p>
        </w:tc>
        <w:tc>
          <w:tcPr>
            <w:tcW w:w="754" w:type="dxa"/>
            <w:tcMar>
              <w:top w:w="28" w:type="dxa"/>
            </w:tcMar>
          </w:tcPr>
          <w:p w14:paraId="2AF01F3E" w14:textId="77777777" w:rsidR="004573FC" w:rsidRPr="00D12EE7" w:rsidRDefault="00D12EE7" w:rsidP="00E2459A">
            <w:pPr>
              <w:jc w:val="center"/>
              <w:rPr>
                <w:rFonts w:cs="Calibri"/>
                <w:color w:val="000000"/>
              </w:rPr>
            </w:pPr>
            <w:r>
              <w:rPr>
                <w:rFonts w:cs="Calibri"/>
                <w:color w:val="000000"/>
              </w:rPr>
              <w:t>4.37</w:t>
            </w:r>
          </w:p>
        </w:tc>
        <w:tc>
          <w:tcPr>
            <w:tcW w:w="718" w:type="dxa"/>
            <w:tcMar>
              <w:top w:w="28" w:type="dxa"/>
            </w:tcMar>
          </w:tcPr>
          <w:p w14:paraId="58EB4CFD" w14:textId="77777777" w:rsidR="004573FC" w:rsidRPr="00D12EE7" w:rsidRDefault="00D12EE7" w:rsidP="00E2459A">
            <w:pPr>
              <w:jc w:val="center"/>
              <w:rPr>
                <w:rFonts w:cs="Calibri"/>
                <w:color w:val="000000"/>
              </w:rPr>
            </w:pPr>
            <w:r>
              <w:rPr>
                <w:rFonts w:cs="Calibri"/>
                <w:color w:val="000000"/>
              </w:rPr>
              <w:t>0.24</w:t>
            </w:r>
          </w:p>
        </w:tc>
        <w:tc>
          <w:tcPr>
            <w:tcW w:w="754" w:type="dxa"/>
            <w:tcMar>
              <w:top w:w="28" w:type="dxa"/>
            </w:tcMar>
          </w:tcPr>
          <w:p w14:paraId="55F559FB" w14:textId="77777777" w:rsidR="004573FC" w:rsidRPr="00D12EE7" w:rsidRDefault="00D12EE7" w:rsidP="00E2459A">
            <w:pPr>
              <w:jc w:val="center"/>
              <w:rPr>
                <w:rFonts w:cs="Calibri"/>
                <w:color w:val="000000"/>
              </w:rPr>
            </w:pPr>
            <w:r>
              <w:rPr>
                <w:rFonts w:cs="Calibri"/>
                <w:color w:val="000000"/>
              </w:rPr>
              <w:t>18.53</w:t>
            </w:r>
          </w:p>
        </w:tc>
        <w:tc>
          <w:tcPr>
            <w:tcW w:w="798" w:type="dxa"/>
            <w:tcMar>
              <w:top w:w="28" w:type="dxa"/>
            </w:tcMar>
          </w:tcPr>
          <w:p w14:paraId="4089C461" w14:textId="77777777" w:rsidR="004573FC" w:rsidRPr="00D12EE7" w:rsidRDefault="00D12EE7" w:rsidP="00E2459A">
            <w:pPr>
              <w:jc w:val="center"/>
              <w:rPr>
                <w:rFonts w:cs="Calibri"/>
                <w:color w:val="000000"/>
              </w:rPr>
            </w:pPr>
            <w:r>
              <w:rPr>
                <w:rFonts w:cs="Calibri"/>
                <w:color w:val="000000"/>
              </w:rPr>
              <w:t>0.19</w:t>
            </w:r>
          </w:p>
        </w:tc>
      </w:tr>
      <w:tr w:rsidR="004573FC" w:rsidRPr="00E46997" w14:paraId="78A1DD03" w14:textId="77777777" w:rsidTr="004573FC">
        <w:trPr>
          <w:jc w:val="center"/>
        </w:trPr>
        <w:tc>
          <w:tcPr>
            <w:tcW w:w="872" w:type="dxa"/>
            <w:tcMar>
              <w:top w:w="28" w:type="dxa"/>
            </w:tcMar>
          </w:tcPr>
          <w:p w14:paraId="2411FABD" w14:textId="77777777" w:rsidR="004573FC" w:rsidRPr="00E46997" w:rsidRDefault="004573FC" w:rsidP="00E2459A">
            <w:pPr>
              <w:jc w:val="both"/>
              <w:rPr>
                <w:rFonts w:cs="Calibri"/>
                <w:sz w:val="24"/>
                <w:szCs w:val="24"/>
              </w:rPr>
            </w:pPr>
            <w:r w:rsidRPr="00E46997">
              <w:rPr>
                <w:rFonts w:cs="Calibri"/>
                <w:sz w:val="24"/>
                <w:szCs w:val="24"/>
              </w:rPr>
              <w:t>9/10</w:t>
            </w:r>
          </w:p>
          <w:p w14:paraId="60CCF309" w14:textId="77777777" w:rsidR="004573FC" w:rsidRPr="00E46997" w:rsidRDefault="004573FC" w:rsidP="00E2459A">
            <w:pPr>
              <w:jc w:val="both"/>
              <w:rPr>
                <w:rFonts w:cs="Calibri"/>
                <w:sz w:val="24"/>
                <w:szCs w:val="24"/>
              </w:rPr>
            </w:pPr>
          </w:p>
        </w:tc>
        <w:tc>
          <w:tcPr>
            <w:tcW w:w="1327" w:type="dxa"/>
            <w:tcMar>
              <w:top w:w="28" w:type="dxa"/>
            </w:tcMar>
          </w:tcPr>
          <w:p w14:paraId="31948859" w14:textId="77777777" w:rsidR="004573FC" w:rsidRPr="00932E03" w:rsidRDefault="004573FC" w:rsidP="004573FC">
            <w:pPr>
              <w:jc w:val="center"/>
            </w:pPr>
            <w:r w:rsidRPr="00932E03">
              <w:t>0.73</w:t>
            </w:r>
          </w:p>
          <w:p w14:paraId="2A3F7D46" w14:textId="77777777" w:rsidR="004573FC" w:rsidRPr="00932E03" w:rsidRDefault="004573FC" w:rsidP="004573FC">
            <w:pPr>
              <w:jc w:val="center"/>
            </w:pPr>
            <w:r w:rsidRPr="00932E03">
              <w:t>(0.51-0.87)</w:t>
            </w:r>
          </w:p>
        </w:tc>
        <w:tc>
          <w:tcPr>
            <w:tcW w:w="1438" w:type="dxa"/>
            <w:tcMar>
              <w:top w:w="28" w:type="dxa"/>
            </w:tcMar>
          </w:tcPr>
          <w:p w14:paraId="60B5B015" w14:textId="77777777" w:rsidR="004573FC" w:rsidRPr="00932E03" w:rsidRDefault="004573FC" w:rsidP="004573FC">
            <w:pPr>
              <w:jc w:val="center"/>
            </w:pPr>
            <w:r w:rsidRPr="00932E03">
              <w:t>0.88</w:t>
            </w:r>
          </w:p>
          <w:p w14:paraId="353104AC" w14:textId="77777777" w:rsidR="004573FC" w:rsidRPr="00932E03" w:rsidRDefault="004573FC" w:rsidP="004573FC">
            <w:pPr>
              <w:jc w:val="center"/>
            </w:pPr>
            <w:r w:rsidRPr="00932E03">
              <w:t>(0.79-0.93)</w:t>
            </w:r>
          </w:p>
        </w:tc>
        <w:tc>
          <w:tcPr>
            <w:tcW w:w="1276" w:type="dxa"/>
            <w:tcMar>
              <w:top w:w="28" w:type="dxa"/>
            </w:tcMar>
          </w:tcPr>
          <w:p w14:paraId="348D1BAB" w14:textId="77777777" w:rsidR="004573FC" w:rsidRPr="00932E03" w:rsidRDefault="004573FC" w:rsidP="004573FC">
            <w:pPr>
              <w:jc w:val="center"/>
            </w:pPr>
            <w:r w:rsidRPr="00932E03">
              <w:t>0.63</w:t>
            </w:r>
          </w:p>
          <w:p w14:paraId="246B3927" w14:textId="77777777" w:rsidR="004573FC" w:rsidRPr="00932E03" w:rsidRDefault="004573FC" w:rsidP="004573FC">
            <w:pPr>
              <w:jc w:val="center"/>
            </w:pPr>
            <w:r w:rsidRPr="00932E03">
              <w:t>(0.43-0.79)</w:t>
            </w:r>
          </w:p>
        </w:tc>
        <w:tc>
          <w:tcPr>
            <w:tcW w:w="1275" w:type="dxa"/>
            <w:tcMar>
              <w:top w:w="28" w:type="dxa"/>
            </w:tcMar>
          </w:tcPr>
          <w:p w14:paraId="407C5254" w14:textId="77777777" w:rsidR="004573FC" w:rsidRPr="00932E03" w:rsidRDefault="004573FC" w:rsidP="004573FC">
            <w:pPr>
              <w:jc w:val="center"/>
            </w:pPr>
            <w:r w:rsidRPr="00932E03">
              <w:t>0.92</w:t>
            </w:r>
          </w:p>
          <w:p w14:paraId="7C6F2D17" w14:textId="77777777" w:rsidR="004573FC" w:rsidRPr="00932E03" w:rsidRDefault="004573FC" w:rsidP="004573FC">
            <w:pPr>
              <w:jc w:val="center"/>
            </w:pPr>
            <w:r w:rsidRPr="00932E03">
              <w:t>(0.83-0.96)</w:t>
            </w:r>
          </w:p>
        </w:tc>
        <w:tc>
          <w:tcPr>
            <w:tcW w:w="754" w:type="dxa"/>
            <w:tcMar>
              <w:top w:w="28" w:type="dxa"/>
            </w:tcMar>
          </w:tcPr>
          <w:p w14:paraId="5021BD9F" w14:textId="77777777" w:rsidR="004573FC" w:rsidRPr="00D12EE7" w:rsidRDefault="00D12EE7" w:rsidP="00E2459A">
            <w:pPr>
              <w:jc w:val="center"/>
              <w:rPr>
                <w:rFonts w:cs="Calibri"/>
                <w:color w:val="000000"/>
              </w:rPr>
            </w:pPr>
            <w:r>
              <w:rPr>
                <w:rFonts w:cs="Calibri"/>
                <w:color w:val="000000"/>
              </w:rPr>
              <w:t>6.11</w:t>
            </w:r>
          </w:p>
        </w:tc>
        <w:tc>
          <w:tcPr>
            <w:tcW w:w="718" w:type="dxa"/>
            <w:tcMar>
              <w:top w:w="28" w:type="dxa"/>
            </w:tcMar>
          </w:tcPr>
          <w:p w14:paraId="397456C0" w14:textId="77777777" w:rsidR="004573FC" w:rsidRPr="00D12EE7" w:rsidRDefault="00D12EE7" w:rsidP="00E2459A">
            <w:pPr>
              <w:jc w:val="center"/>
              <w:rPr>
                <w:rFonts w:cs="Calibri"/>
                <w:color w:val="000000"/>
              </w:rPr>
            </w:pPr>
            <w:r>
              <w:rPr>
                <w:rFonts w:cs="Calibri"/>
                <w:color w:val="000000"/>
              </w:rPr>
              <w:t>0.31</w:t>
            </w:r>
          </w:p>
        </w:tc>
        <w:tc>
          <w:tcPr>
            <w:tcW w:w="754" w:type="dxa"/>
            <w:tcMar>
              <w:top w:w="28" w:type="dxa"/>
            </w:tcMar>
          </w:tcPr>
          <w:p w14:paraId="3F30E35C" w14:textId="77777777" w:rsidR="004573FC" w:rsidRPr="00D12EE7" w:rsidRDefault="00D12EE7" w:rsidP="00E2459A">
            <w:pPr>
              <w:jc w:val="center"/>
              <w:rPr>
                <w:rFonts w:cs="Calibri"/>
                <w:color w:val="000000"/>
              </w:rPr>
            </w:pPr>
            <w:r>
              <w:rPr>
                <w:rFonts w:cs="Calibri"/>
                <w:color w:val="000000"/>
              </w:rPr>
              <w:t>19.99</w:t>
            </w:r>
          </w:p>
        </w:tc>
        <w:tc>
          <w:tcPr>
            <w:tcW w:w="798" w:type="dxa"/>
            <w:tcMar>
              <w:top w:w="28" w:type="dxa"/>
            </w:tcMar>
          </w:tcPr>
          <w:p w14:paraId="518F1192" w14:textId="77777777" w:rsidR="004573FC" w:rsidRPr="00D12EE7" w:rsidRDefault="00D12EE7" w:rsidP="00E2459A">
            <w:pPr>
              <w:jc w:val="center"/>
              <w:rPr>
                <w:rFonts w:cs="Calibri"/>
                <w:color w:val="000000"/>
              </w:rPr>
            </w:pPr>
            <w:r>
              <w:rPr>
                <w:rFonts w:cs="Calibri"/>
                <w:color w:val="000000"/>
              </w:rPr>
              <w:t>0.15</w:t>
            </w:r>
          </w:p>
        </w:tc>
      </w:tr>
      <w:tr w:rsidR="004573FC" w:rsidRPr="00E46997" w14:paraId="0E6BBAD4" w14:textId="77777777" w:rsidTr="004573FC">
        <w:trPr>
          <w:jc w:val="center"/>
        </w:trPr>
        <w:tc>
          <w:tcPr>
            <w:tcW w:w="872" w:type="dxa"/>
            <w:tcMar>
              <w:top w:w="28" w:type="dxa"/>
            </w:tcMar>
          </w:tcPr>
          <w:p w14:paraId="74A8A729" w14:textId="77777777" w:rsidR="004573FC" w:rsidRPr="00E46997" w:rsidRDefault="004573FC" w:rsidP="00E2459A">
            <w:pPr>
              <w:jc w:val="both"/>
              <w:rPr>
                <w:rFonts w:cs="Calibri"/>
                <w:sz w:val="24"/>
                <w:szCs w:val="24"/>
              </w:rPr>
            </w:pPr>
            <w:r w:rsidRPr="00E46997">
              <w:rPr>
                <w:rFonts w:cs="Calibri"/>
                <w:sz w:val="24"/>
                <w:szCs w:val="24"/>
              </w:rPr>
              <w:t>10/11</w:t>
            </w:r>
          </w:p>
          <w:p w14:paraId="0521BF77" w14:textId="77777777" w:rsidR="004573FC" w:rsidRPr="00E46997" w:rsidRDefault="004573FC" w:rsidP="00E2459A">
            <w:pPr>
              <w:jc w:val="both"/>
              <w:rPr>
                <w:rFonts w:cs="Calibri"/>
                <w:sz w:val="24"/>
                <w:szCs w:val="24"/>
              </w:rPr>
            </w:pPr>
          </w:p>
        </w:tc>
        <w:tc>
          <w:tcPr>
            <w:tcW w:w="1327" w:type="dxa"/>
            <w:tcMar>
              <w:top w:w="28" w:type="dxa"/>
            </w:tcMar>
          </w:tcPr>
          <w:p w14:paraId="7ABAFD89" w14:textId="77777777" w:rsidR="004573FC" w:rsidRPr="00932E03" w:rsidRDefault="004573FC" w:rsidP="004573FC">
            <w:pPr>
              <w:jc w:val="center"/>
            </w:pPr>
            <w:r w:rsidRPr="00932E03">
              <w:t>0.65</w:t>
            </w:r>
          </w:p>
          <w:p w14:paraId="729D71A5" w14:textId="77777777" w:rsidR="004573FC" w:rsidRPr="00932E03" w:rsidRDefault="004573FC" w:rsidP="004573FC">
            <w:pPr>
              <w:jc w:val="center"/>
            </w:pPr>
            <w:r w:rsidRPr="00932E03">
              <w:t>(0.44-0.82)</w:t>
            </w:r>
          </w:p>
        </w:tc>
        <w:tc>
          <w:tcPr>
            <w:tcW w:w="1438" w:type="dxa"/>
            <w:tcMar>
              <w:top w:w="28" w:type="dxa"/>
            </w:tcMar>
          </w:tcPr>
          <w:p w14:paraId="1D1DB0F8" w14:textId="77777777" w:rsidR="004573FC" w:rsidRPr="00932E03" w:rsidRDefault="004573FC" w:rsidP="004573FC">
            <w:pPr>
              <w:jc w:val="center"/>
            </w:pPr>
            <w:r w:rsidRPr="00932E03">
              <w:t>0.93</w:t>
            </w:r>
          </w:p>
          <w:p w14:paraId="171ACE79" w14:textId="77777777" w:rsidR="004573FC" w:rsidRPr="00932E03" w:rsidRDefault="004573FC" w:rsidP="004573FC">
            <w:pPr>
              <w:jc w:val="center"/>
            </w:pPr>
            <w:r w:rsidRPr="00932E03">
              <w:t>(0.85-0.97)</w:t>
            </w:r>
          </w:p>
        </w:tc>
        <w:tc>
          <w:tcPr>
            <w:tcW w:w="1276" w:type="dxa"/>
            <w:tcMar>
              <w:top w:w="28" w:type="dxa"/>
            </w:tcMar>
          </w:tcPr>
          <w:p w14:paraId="7A6FAA28" w14:textId="77777777" w:rsidR="004573FC" w:rsidRPr="00932E03" w:rsidRDefault="00D12EE7" w:rsidP="004573FC">
            <w:pPr>
              <w:jc w:val="center"/>
            </w:pPr>
            <w:r>
              <w:t>0.74</w:t>
            </w:r>
          </w:p>
          <w:p w14:paraId="28DFB532" w14:textId="77777777" w:rsidR="004573FC" w:rsidRPr="00932E03" w:rsidRDefault="004573FC" w:rsidP="004573FC">
            <w:pPr>
              <w:jc w:val="center"/>
            </w:pPr>
            <w:r w:rsidRPr="00932E03">
              <w:t>(0.51-0.88)</w:t>
            </w:r>
          </w:p>
        </w:tc>
        <w:tc>
          <w:tcPr>
            <w:tcW w:w="1275" w:type="dxa"/>
            <w:tcMar>
              <w:top w:w="28" w:type="dxa"/>
            </w:tcMar>
          </w:tcPr>
          <w:p w14:paraId="293711F6" w14:textId="77777777" w:rsidR="004573FC" w:rsidRPr="00932E03" w:rsidRDefault="00D12EE7" w:rsidP="004573FC">
            <w:pPr>
              <w:jc w:val="center"/>
            </w:pPr>
            <w:r>
              <w:t>0.91</w:t>
            </w:r>
          </w:p>
          <w:p w14:paraId="40B8D931" w14:textId="77777777" w:rsidR="004573FC" w:rsidRPr="00932E03" w:rsidRDefault="004573FC" w:rsidP="004573FC">
            <w:pPr>
              <w:jc w:val="center"/>
            </w:pPr>
            <w:r w:rsidRPr="00932E03">
              <w:t>(0.82-0.95)</w:t>
            </w:r>
          </w:p>
        </w:tc>
        <w:tc>
          <w:tcPr>
            <w:tcW w:w="754" w:type="dxa"/>
            <w:tcMar>
              <w:top w:w="28" w:type="dxa"/>
            </w:tcMar>
          </w:tcPr>
          <w:p w14:paraId="0E7109F1" w14:textId="77777777" w:rsidR="004573FC" w:rsidRPr="00D12EE7" w:rsidRDefault="00D12EE7" w:rsidP="00E2459A">
            <w:pPr>
              <w:jc w:val="center"/>
              <w:rPr>
                <w:rFonts w:cs="Calibri"/>
                <w:color w:val="000000"/>
              </w:rPr>
            </w:pPr>
            <w:r>
              <w:rPr>
                <w:rFonts w:cs="Calibri"/>
                <w:color w:val="000000"/>
              </w:rPr>
              <w:t>10.03</w:t>
            </w:r>
          </w:p>
        </w:tc>
        <w:tc>
          <w:tcPr>
            <w:tcW w:w="718" w:type="dxa"/>
            <w:tcMar>
              <w:top w:w="28" w:type="dxa"/>
            </w:tcMar>
          </w:tcPr>
          <w:p w14:paraId="21970D90" w14:textId="77777777" w:rsidR="004573FC" w:rsidRPr="00D12EE7" w:rsidRDefault="00D12EE7" w:rsidP="00E2459A">
            <w:pPr>
              <w:jc w:val="center"/>
              <w:rPr>
                <w:rFonts w:cs="Calibri"/>
                <w:color w:val="000000"/>
              </w:rPr>
            </w:pPr>
            <w:r>
              <w:rPr>
                <w:rFonts w:cs="Calibri"/>
                <w:color w:val="000000"/>
              </w:rPr>
              <w:t>0.37</w:t>
            </w:r>
          </w:p>
        </w:tc>
        <w:tc>
          <w:tcPr>
            <w:tcW w:w="754" w:type="dxa"/>
            <w:tcMar>
              <w:top w:w="28" w:type="dxa"/>
            </w:tcMar>
          </w:tcPr>
          <w:p w14:paraId="3AF00AD4" w14:textId="77777777" w:rsidR="004573FC" w:rsidRPr="00D12EE7" w:rsidRDefault="00D12EE7" w:rsidP="00E2459A">
            <w:pPr>
              <w:jc w:val="center"/>
              <w:rPr>
                <w:rFonts w:cs="Calibri"/>
                <w:color w:val="000000"/>
              </w:rPr>
            </w:pPr>
            <w:r>
              <w:rPr>
                <w:rFonts w:cs="Calibri"/>
                <w:color w:val="000000"/>
              </w:rPr>
              <w:t>27.07</w:t>
            </w:r>
          </w:p>
        </w:tc>
        <w:tc>
          <w:tcPr>
            <w:tcW w:w="798" w:type="dxa"/>
            <w:tcMar>
              <w:top w:w="28" w:type="dxa"/>
            </w:tcMar>
          </w:tcPr>
          <w:p w14:paraId="25DC45BA" w14:textId="77777777" w:rsidR="004573FC" w:rsidRPr="00D12EE7" w:rsidRDefault="00D12EE7" w:rsidP="00E2459A">
            <w:pPr>
              <w:jc w:val="center"/>
              <w:rPr>
                <w:rFonts w:cs="Calibri"/>
                <w:color w:val="000000"/>
              </w:rPr>
            </w:pPr>
            <w:r>
              <w:rPr>
                <w:rFonts w:cs="Calibri"/>
                <w:color w:val="000000"/>
              </w:rPr>
              <w:t>0.13</w:t>
            </w:r>
          </w:p>
        </w:tc>
      </w:tr>
      <w:tr w:rsidR="004573FC" w:rsidRPr="00E46997" w14:paraId="29DF1453" w14:textId="77777777" w:rsidTr="004573FC">
        <w:trPr>
          <w:jc w:val="center"/>
        </w:trPr>
        <w:tc>
          <w:tcPr>
            <w:tcW w:w="872" w:type="dxa"/>
            <w:tcMar>
              <w:top w:w="28" w:type="dxa"/>
            </w:tcMar>
          </w:tcPr>
          <w:p w14:paraId="55EB0AB7" w14:textId="77777777" w:rsidR="004573FC" w:rsidRPr="00E46997" w:rsidRDefault="004573FC" w:rsidP="00E2459A">
            <w:pPr>
              <w:jc w:val="both"/>
              <w:rPr>
                <w:rFonts w:cs="Calibri"/>
                <w:sz w:val="24"/>
                <w:szCs w:val="24"/>
              </w:rPr>
            </w:pPr>
            <w:r w:rsidRPr="00E46997">
              <w:rPr>
                <w:rFonts w:cs="Calibri"/>
                <w:sz w:val="24"/>
                <w:szCs w:val="24"/>
              </w:rPr>
              <w:t>11/12</w:t>
            </w:r>
          </w:p>
          <w:p w14:paraId="3506F50F" w14:textId="77777777" w:rsidR="004573FC" w:rsidRPr="00E46997" w:rsidRDefault="004573FC" w:rsidP="00E2459A">
            <w:pPr>
              <w:jc w:val="both"/>
              <w:rPr>
                <w:rFonts w:cs="Calibri"/>
                <w:sz w:val="24"/>
                <w:szCs w:val="24"/>
              </w:rPr>
            </w:pPr>
          </w:p>
        </w:tc>
        <w:tc>
          <w:tcPr>
            <w:tcW w:w="1327" w:type="dxa"/>
            <w:tcMar>
              <w:top w:w="28" w:type="dxa"/>
            </w:tcMar>
          </w:tcPr>
          <w:p w14:paraId="66F40D79" w14:textId="77777777" w:rsidR="004573FC" w:rsidRPr="00932E03" w:rsidRDefault="00D12EE7" w:rsidP="004573FC">
            <w:pPr>
              <w:jc w:val="center"/>
            </w:pPr>
            <w:r>
              <w:t>0.62</w:t>
            </w:r>
          </w:p>
          <w:p w14:paraId="3BB5D0AC" w14:textId="77777777" w:rsidR="004573FC" w:rsidRPr="00932E03" w:rsidRDefault="004573FC" w:rsidP="004573FC">
            <w:pPr>
              <w:jc w:val="center"/>
            </w:pPr>
            <w:r w:rsidRPr="00932E03">
              <w:t>(0.40-0.79)</w:t>
            </w:r>
          </w:p>
        </w:tc>
        <w:tc>
          <w:tcPr>
            <w:tcW w:w="1438" w:type="dxa"/>
            <w:tcMar>
              <w:top w:w="28" w:type="dxa"/>
            </w:tcMar>
          </w:tcPr>
          <w:p w14:paraId="491317AC" w14:textId="77777777" w:rsidR="004573FC" w:rsidRPr="00932E03" w:rsidRDefault="004573FC" w:rsidP="004573FC">
            <w:pPr>
              <w:jc w:val="center"/>
            </w:pPr>
            <w:r w:rsidRPr="00932E03">
              <w:t>0.93</w:t>
            </w:r>
          </w:p>
          <w:p w14:paraId="7C7FFC5E" w14:textId="77777777" w:rsidR="004573FC" w:rsidRPr="00932E03" w:rsidRDefault="004573FC" w:rsidP="004573FC">
            <w:pPr>
              <w:jc w:val="center"/>
            </w:pPr>
            <w:r w:rsidRPr="00932E03">
              <w:t>(0.85-0.97)</w:t>
            </w:r>
          </w:p>
        </w:tc>
        <w:tc>
          <w:tcPr>
            <w:tcW w:w="1276" w:type="dxa"/>
            <w:tcMar>
              <w:top w:w="28" w:type="dxa"/>
            </w:tcMar>
          </w:tcPr>
          <w:p w14:paraId="5501AF03" w14:textId="77777777" w:rsidR="004573FC" w:rsidRPr="00932E03" w:rsidRDefault="00D12EE7" w:rsidP="004573FC">
            <w:pPr>
              <w:jc w:val="center"/>
            </w:pPr>
            <w:r>
              <w:t>0.73</w:t>
            </w:r>
          </w:p>
          <w:p w14:paraId="3CA3F283" w14:textId="77777777" w:rsidR="004573FC" w:rsidRPr="00932E03" w:rsidRDefault="004573FC" w:rsidP="004573FC">
            <w:pPr>
              <w:jc w:val="center"/>
            </w:pPr>
            <w:r w:rsidRPr="00932E03">
              <w:t>(0.49-0.88)</w:t>
            </w:r>
          </w:p>
        </w:tc>
        <w:tc>
          <w:tcPr>
            <w:tcW w:w="1275" w:type="dxa"/>
            <w:tcMar>
              <w:top w:w="28" w:type="dxa"/>
            </w:tcMar>
          </w:tcPr>
          <w:p w14:paraId="789B5F0F" w14:textId="77777777" w:rsidR="004573FC" w:rsidRPr="00932E03" w:rsidRDefault="00D12EE7" w:rsidP="004573FC">
            <w:pPr>
              <w:jc w:val="center"/>
            </w:pPr>
            <w:r>
              <w:t>0.90</w:t>
            </w:r>
          </w:p>
          <w:p w14:paraId="7B9AA99F" w14:textId="77777777" w:rsidR="004573FC" w:rsidRPr="00932E03" w:rsidRDefault="004573FC" w:rsidP="004573FC">
            <w:pPr>
              <w:jc w:val="center"/>
            </w:pPr>
            <w:r w:rsidRPr="00932E03">
              <w:t>(0.81-0.94)</w:t>
            </w:r>
          </w:p>
        </w:tc>
        <w:tc>
          <w:tcPr>
            <w:tcW w:w="754" w:type="dxa"/>
            <w:tcMar>
              <w:top w:w="28" w:type="dxa"/>
            </w:tcMar>
          </w:tcPr>
          <w:p w14:paraId="776A3D9B" w14:textId="77777777" w:rsidR="004573FC" w:rsidRPr="00D12EE7" w:rsidRDefault="00D12EE7" w:rsidP="00E2459A">
            <w:pPr>
              <w:jc w:val="center"/>
              <w:rPr>
                <w:rFonts w:cs="Calibri"/>
                <w:color w:val="000000"/>
              </w:rPr>
            </w:pPr>
            <w:r>
              <w:rPr>
                <w:rFonts w:cs="Calibri"/>
                <w:color w:val="000000"/>
              </w:rPr>
              <w:t>9.44</w:t>
            </w:r>
          </w:p>
        </w:tc>
        <w:tc>
          <w:tcPr>
            <w:tcW w:w="718" w:type="dxa"/>
            <w:tcMar>
              <w:top w:w="28" w:type="dxa"/>
            </w:tcMar>
          </w:tcPr>
          <w:p w14:paraId="41CA6576" w14:textId="77777777" w:rsidR="004573FC" w:rsidRPr="00D12EE7" w:rsidRDefault="00D12EE7" w:rsidP="00E2459A">
            <w:pPr>
              <w:jc w:val="center"/>
              <w:rPr>
                <w:rFonts w:cs="Calibri"/>
                <w:color w:val="000000"/>
              </w:rPr>
            </w:pPr>
            <w:r>
              <w:rPr>
                <w:rFonts w:cs="Calibri"/>
                <w:color w:val="000000"/>
              </w:rPr>
              <w:t>0.41</w:t>
            </w:r>
          </w:p>
        </w:tc>
        <w:tc>
          <w:tcPr>
            <w:tcW w:w="754" w:type="dxa"/>
            <w:tcMar>
              <w:top w:w="28" w:type="dxa"/>
            </w:tcMar>
          </w:tcPr>
          <w:p w14:paraId="0CA326FA" w14:textId="77777777" w:rsidR="004573FC" w:rsidRPr="00D12EE7" w:rsidRDefault="00447771" w:rsidP="00E2459A">
            <w:pPr>
              <w:jc w:val="center"/>
              <w:rPr>
                <w:rFonts w:cs="Calibri"/>
                <w:color w:val="000000"/>
              </w:rPr>
            </w:pPr>
            <w:r>
              <w:rPr>
                <w:rFonts w:cs="Calibri"/>
                <w:color w:val="000000"/>
              </w:rPr>
              <w:t>22.93</w:t>
            </w:r>
          </w:p>
        </w:tc>
        <w:tc>
          <w:tcPr>
            <w:tcW w:w="798" w:type="dxa"/>
            <w:tcMar>
              <w:top w:w="28" w:type="dxa"/>
            </w:tcMar>
          </w:tcPr>
          <w:p w14:paraId="6A1B06C1" w14:textId="77777777" w:rsidR="004573FC" w:rsidRPr="00D12EE7" w:rsidRDefault="00447771" w:rsidP="00E2459A">
            <w:pPr>
              <w:jc w:val="center"/>
              <w:rPr>
                <w:rFonts w:cs="Calibri"/>
                <w:color w:val="000000"/>
              </w:rPr>
            </w:pPr>
            <w:r>
              <w:rPr>
                <w:rFonts w:cs="Calibri"/>
                <w:color w:val="000000"/>
              </w:rPr>
              <w:t>0.14</w:t>
            </w:r>
          </w:p>
        </w:tc>
      </w:tr>
      <w:tr w:rsidR="004573FC" w:rsidRPr="00E46997" w14:paraId="0CE08C1A" w14:textId="77777777" w:rsidTr="007509FF">
        <w:trPr>
          <w:jc w:val="center"/>
        </w:trPr>
        <w:tc>
          <w:tcPr>
            <w:tcW w:w="872" w:type="dxa"/>
            <w:tcMar>
              <w:top w:w="28" w:type="dxa"/>
            </w:tcMar>
          </w:tcPr>
          <w:p w14:paraId="6E1B7171" w14:textId="77777777" w:rsidR="004573FC" w:rsidRPr="00E46997" w:rsidRDefault="004573FC" w:rsidP="00E2459A">
            <w:pPr>
              <w:jc w:val="both"/>
              <w:rPr>
                <w:rFonts w:cs="Calibri"/>
                <w:sz w:val="24"/>
                <w:szCs w:val="24"/>
              </w:rPr>
            </w:pPr>
            <w:r w:rsidRPr="00E46997">
              <w:rPr>
                <w:rFonts w:cs="Calibri"/>
                <w:sz w:val="24"/>
                <w:szCs w:val="24"/>
              </w:rPr>
              <w:t>12/13</w:t>
            </w:r>
          </w:p>
          <w:p w14:paraId="2DDBEC38" w14:textId="77777777" w:rsidR="004573FC" w:rsidRPr="00E46997" w:rsidRDefault="004573FC" w:rsidP="00E2459A">
            <w:pPr>
              <w:jc w:val="both"/>
              <w:rPr>
                <w:rFonts w:cs="Calibri"/>
                <w:sz w:val="24"/>
                <w:szCs w:val="24"/>
              </w:rPr>
            </w:pPr>
          </w:p>
        </w:tc>
        <w:tc>
          <w:tcPr>
            <w:tcW w:w="1327" w:type="dxa"/>
            <w:tcMar>
              <w:top w:w="28" w:type="dxa"/>
            </w:tcMar>
          </w:tcPr>
          <w:p w14:paraId="6901F709" w14:textId="77777777" w:rsidR="004573FC" w:rsidRPr="00932E03" w:rsidRDefault="00D12EE7" w:rsidP="004573FC">
            <w:pPr>
              <w:jc w:val="center"/>
            </w:pPr>
            <w:r>
              <w:t>0.54</w:t>
            </w:r>
          </w:p>
          <w:p w14:paraId="0B6EF42E" w14:textId="77777777" w:rsidR="004573FC" w:rsidRPr="00932E03" w:rsidRDefault="004573FC" w:rsidP="004573FC">
            <w:pPr>
              <w:jc w:val="center"/>
            </w:pPr>
            <w:r w:rsidRPr="00932E03">
              <w:t>(0.33-0.72)</w:t>
            </w:r>
          </w:p>
        </w:tc>
        <w:tc>
          <w:tcPr>
            <w:tcW w:w="1438" w:type="dxa"/>
            <w:tcMar>
              <w:top w:w="28" w:type="dxa"/>
            </w:tcMar>
          </w:tcPr>
          <w:p w14:paraId="3A9A4F5E" w14:textId="77777777" w:rsidR="004573FC" w:rsidRPr="00932E03" w:rsidRDefault="00D12EE7" w:rsidP="004573FC">
            <w:pPr>
              <w:jc w:val="center"/>
            </w:pPr>
            <w:r>
              <w:t>0.96</w:t>
            </w:r>
          </w:p>
          <w:p w14:paraId="4CE3AE00" w14:textId="77777777" w:rsidR="004573FC" w:rsidRPr="00932E03" w:rsidRDefault="004573FC" w:rsidP="004573FC">
            <w:pPr>
              <w:jc w:val="center"/>
            </w:pPr>
            <w:r w:rsidRPr="00932E03">
              <w:t>(0.88-0.98)</w:t>
            </w:r>
          </w:p>
        </w:tc>
        <w:tc>
          <w:tcPr>
            <w:tcW w:w="1276" w:type="dxa"/>
            <w:tcMar>
              <w:top w:w="28" w:type="dxa"/>
            </w:tcMar>
          </w:tcPr>
          <w:p w14:paraId="55972292" w14:textId="77777777" w:rsidR="004573FC" w:rsidRPr="00932E03" w:rsidRDefault="00D12EE7" w:rsidP="004573FC">
            <w:pPr>
              <w:jc w:val="center"/>
            </w:pPr>
            <w:r>
              <w:t>0.78</w:t>
            </w:r>
          </w:p>
          <w:p w14:paraId="22161C73" w14:textId="77777777" w:rsidR="004573FC" w:rsidRPr="00932E03" w:rsidRDefault="004573FC" w:rsidP="004573FC">
            <w:pPr>
              <w:jc w:val="center"/>
            </w:pPr>
            <w:r w:rsidRPr="00932E03">
              <w:t>(0.51-0.92)</w:t>
            </w:r>
          </w:p>
        </w:tc>
        <w:tc>
          <w:tcPr>
            <w:tcW w:w="1275" w:type="dxa"/>
            <w:tcMar>
              <w:top w:w="28" w:type="dxa"/>
            </w:tcMar>
          </w:tcPr>
          <w:p w14:paraId="454E2059" w14:textId="77777777" w:rsidR="004573FC" w:rsidRPr="00932E03" w:rsidRDefault="004573FC" w:rsidP="004573FC">
            <w:pPr>
              <w:jc w:val="center"/>
            </w:pPr>
            <w:r w:rsidRPr="00932E03">
              <w:t>0.88</w:t>
            </w:r>
          </w:p>
          <w:p w14:paraId="613BD57D" w14:textId="77777777" w:rsidR="004573FC" w:rsidRPr="00932E03" w:rsidRDefault="004573FC" w:rsidP="004573FC">
            <w:pPr>
              <w:jc w:val="center"/>
            </w:pPr>
            <w:r w:rsidRPr="00932E03">
              <w:t>(0.79-0.93)</w:t>
            </w:r>
          </w:p>
        </w:tc>
        <w:tc>
          <w:tcPr>
            <w:tcW w:w="754" w:type="dxa"/>
            <w:tcMar>
              <w:top w:w="28" w:type="dxa"/>
            </w:tcMar>
          </w:tcPr>
          <w:p w14:paraId="4F7A1079" w14:textId="77777777" w:rsidR="004573FC" w:rsidRPr="00D12EE7" w:rsidRDefault="00447771" w:rsidP="00E2459A">
            <w:pPr>
              <w:jc w:val="center"/>
              <w:rPr>
                <w:rFonts w:cs="Calibri"/>
                <w:color w:val="000000"/>
              </w:rPr>
            </w:pPr>
            <w:r>
              <w:rPr>
                <w:rFonts w:cs="Calibri"/>
                <w:color w:val="000000"/>
              </w:rPr>
              <w:t>12.38</w:t>
            </w:r>
          </w:p>
        </w:tc>
        <w:tc>
          <w:tcPr>
            <w:tcW w:w="718" w:type="dxa"/>
            <w:tcMar>
              <w:top w:w="28" w:type="dxa"/>
            </w:tcMar>
          </w:tcPr>
          <w:p w14:paraId="18D6D9A9" w14:textId="77777777" w:rsidR="004573FC" w:rsidRPr="00D12EE7" w:rsidRDefault="00447771" w:rsidP="00E2459A">
            <w:pPr>
              <w:jc w:val="center"/>
              <w:rPr>
                <w:rFonts w:cs="Calibri"/>
                <w:color w:val="000000"/>
              </w:rPr>
            </w:pPr>
            <w:r>
              <w:rPr>
                <w:rFonts w:cs="Calibri"/>
                <w:color w:val="000000"/>
              </w:rPr>
              <w:t>0.48</w:t>
            </w:r>
          </w:p>
        </w:tc>
        <w:tc>
          <w:tcPr>
            <w:tcW w:w="754" w:type="dxa"/>
            <w:tcMar>
              <w:top w:w="28" w:type="dxa"/>
            </w:tcMar>
          </w:tcPr>
          <w:p w14:paraId="0568EADC" w14:textId="77777777" w:rsidR="004573FC" w:rsidRPr="00D12EE7" w:rsidRDefault="00447771" w:rsidP="00E2459A">
            <w:pPr>
              <w:jc w:val="center"/>
              <w:rPr>
                <w:rFonts w:cs="Calibri"/>
                <w:color w:val="000000"/>
              </w:rPr>
            </w:pPr>
            <w:r>
              <w:rPr>
                <w:rFonts w:cs="Calibri"/>
                <w:color w:val="000000"/>
              </w:rPr>
              <w:t>25.67</w:t>
            </w:r>
          </w:p>
        </w:tc>
        <w:tc>
          <w:tcPr>
            <w:tcW w:w="798" w:type="dxa"/>
            <w:tcMar>
              <w:top w:w="28" w:type="dxa"/>
            </w:tcMar>
          </w:tcPr>
          <w:p w14:paraId="2506B1D2" w14:textId="77777777" w:rsidR="004573FC" w:rsidRPr="00D12EE7" w:rsidRDefault="00447771" w:rsidP="00E2459A">
            <w:pPr>
              <w:jc w:val="center"/>
              <w:rPr>
                <w:rFonts w:cs="Calibri"/>
                <w:color w:val="000000"/>
              </w:rPr>
            </w:pPr>
            <w:r>
              <w:rPr>
                <w:rFonts w:cs="Calibri"/>
                <w:color w:val="000000"/>
              </w:rPr>
              <w:t>0.14</w:t>
            </w:r>
          </w:p>
        </w:tc>
      </w:tr>
      <w:tr w:rsidR="004573FC" w:rsidRPr="00E46997" w14:paraId="126BE40F" w14:textId="77777777" w:rsidTr="007509FF">
        <w:trPr>
          <w:jc w:val="center"/>
        </w:trPr>
        <w:tc>
          <w:tcPr>
            <w:tcW w:w="872" w:type="dxa"/>
            <w:tcBorders>
              <w:bottom w:val="single" w:sz="4" w:space="0" w:color="auto"/>
            </w:tcBorders>
            <w:tcMar>
              <w:top w:w="28" w:type="dxa"/>
            </w:tcMar>
          </w:tcPr>
          <w:p w14:paraId="1D6B6783" w14:textId="77777777" w:rsidR="004573FC" w:rsidRPr="00E46997" w:rsidRDefault="004573FC" w:rsidP="00E2459A">
            <w:pPr>
              <w:jc w:val="both"/>
              <w:rPr>
                <w:rFonts w:cs="Calibri"/>
                <w:sz w:val="24"/>
                <w:szCs w:val="24"/>
              </w:rPr>
            </w:pPr>
            <w:r w:rsidRPr="00E46997">
              <w:rPr>
                <w:rFonts w:cs="Calibri"/>
                <w:sz w:val="24"/>
                <w:szCs w:val="24"/>
              </w:rPr>
              <w:t>13/14</w:t>
            </w:r>
          </w:p>
          <w:p w14:paraId="3C6ECA8E" w14:textId="77777777" w:rsidR="004573FC" w:rsidRPr="00E46997" w:rsidRDefault="004573FC" w:rsidP="00E2459A">
            <w:pPr>
              <w:jc w:val="both"/>
              <w:rPr>
                <w:rFonts w:cs="Calibri"/>
                <w:sz w:val="24"/>
                <w:szCs w:val="24"/>
              </w:rPr>
            </w:pPr>
          </w:p>
        </w:tc>
        <w:tc>
          <w:tcPr>
            <w:tcW w:w="1327" w:type="dxa"/>
            <w:tcBorders>
              <w:bottom w:val="single" w:sz="4" w:space="0" w:color="auto"/>
            </w:tcBorders>
            <w:tcMar>
              <w:top w:w="28" w:type="dxa"/>
            </w:tcMar>
          </w:tcPr>
          <w:p w14:paraId="015D8BBF" w14:textId="77777777" w:rsidR="004573FC" w:rsidRPr="00932E03" w:rsidRDefault="004573FC" w:rsidP="004573FC">
            <w:pPr>
              <w:jc w:val="center"/>
            </w:pPr>
            <w:r w:rsidRPr="00932E03">
              <w:t>0.42</w:t>
            </w:r>
          </w:p>
          <w:p w14:paraId="7CC6CFE9" w14:textId="77777777" w:rsidR="004573FC" w:rsidRPr="00932E03" w:rsidRDefault="004573FC" w:rsidP="004573FC">
            <w:pPr>
              <w:jc w:val="center"/>
            </w:pPr>
            <w:r w:rsidRPr="00932E03">
              <w:t>(0.23-0.62)</w:t>
            </w:r>
          </w:p>
        </w:tc>
        <w:tc>
          <w:tcPr>
            <w:tcW w:w="1438" w:type="dxa"/>
            <w:tcBorders>
              <w:bottom w:val="single" w:sz="4" w:space="0" w:color="auto"/>
            </w:tcBorders>
            <w:tcMar>
              <w:top w:w="28" w:type="dxa"/>
            </w:tcMar>
          </w:tcPr>
          <w:p w14:paraId="72232051" w14:textId="77777777" w:rsidR="004573FC" w:rsidRPr="00932E03" w:rsidRDefault="00D12EE7" w:rsidP="004573FC">
            <w:pPr>
              <w:jc w:val="center"/>
            </w:pPr>
            <w:r>
              <w:t>0.97</w:t>
            </w:r>
          </w:p>
          <w:p w14:paraId="489BC6C6" w14:textId="77777777" w:rsidR="004573FC" w:rsidRPr="00932E03" w:rsidRDefault="004573FC" w:rsidP="004573FC">
            <w:pPr>
              <w:jc w:val="center"/>
            </w:pPr>
            <w:r w:rsidRPr="00932E03">
              <w:t>(0.90-0.99)</w:t>
            </w:r>
          </w:p>
        </w:tc>
        <w:tc>
          <w:tcPr>
            <w:tcW w:w="1276" w:type="dxa"/>
            <w:tcBorders>
              <w:bottom w:val="single" w:sz="4" w:space="0" w:color="auto"/>
            </w:tcBorders>
            <w:tcMar>
              <w:top w:w="28" w:type="dxa"/>
            </w:tcMar>
          </w:tcPr>
          <w:p w14:paraId="1B2583CE" w14:textId="77777777" w:rsidR="004573FC" w:rsidRPr="00932E03" w:rsidRDefault="00D12EE7" w:rsidP="004573FC">
            <w:pPr>
              <w:jc w:val="center"/>
            </w:pPr>
            <w:r>
              <w:t>0.79</w:t>
            </w:r>
          </w:p>
          <w:p w14:paraId="093E4291" w14:textId="77777777" w:rsidR="004573FC" w:rsidRPr="00932E03" w:rsidRDefault="004573FC" w:rsidP="004573FC">
            <w:pPr>
              <w:jc w:val="center"/>
            </w:pPr>
            <w:r w:rsidRPr="00932E03">
              <w:t>(0.48-0.94)</w:t>
            </w:r>
          </w:p>
        </w:tc>
        <w:tc>
          <w:tcPr>
            <w:tcW w:w="1275" w:type="dxa"/>
            <w:tcBorders>
              <w:bottom w:val="single" w:sz="4" w:space="0" w:color="auto"/>
            </w:tcBorders>
            <w:tcMar>
              <w:top w:w="28" w:type="dxa"/>
            </w:tcMar>
          </w:tcPr>
          <w:p w14:paraId="348C6827" w14:textId="77777777" w:rsidR="004573FC" w:rsidRPr="00932E03" w:rsidRDefault="00D12EE7" w:rsidP="004573FC">
            <w:pPr>
              <w:jc w:val="center"/>
            </w:pPr>
            <w:r>
              <w:t>0.86</w:t>
            </w:r>
          </w:p>
          <w:p w14:paraId="098471D8" w14:textId="77777777" w:rsidR="004573FC" w:rsidRPr="00932E03" w:rsidRDefault="004573FC" w:rsidP="004573FC">
            <w:pPr>
              <w:jc w:val="center"/>
            </w:pPr>
            <w:r w:rsidRPr="00932E03">
              <w:t>(0.77-0.91)</w:t>
            </w:r>
          </w:p>
        </w:tc>
        <w:tc>
          <w:tcPr>
            <w:tcW w:w="754" w:type="dxa"/>
            <w:tcBorders>
              <w:bottom w:val="single" w:sz="4" w:space="0" w:color="auto"/>
            </w:tcBorders>
            <w:tcMar>
              <w:top w:w="28" w:type="dxa"/>
            </w:tcMar>
          </w:tcPr>
          <w:p w14:paraId="39101E7F" w14:textId="77777777" w:rsidR="004573FC" w:rsidRPr="00D12EE7" w:rsidRDefault="00447771" w:rsidP="00E2459A">
            <w:pPr>
              <w:jc w:val="center"/>
              <w:rPr>
                <w:rFonts w:cs="Calibri"/>
                <w:color w:val="000000"/>
              </w:rPr>
            </w:pPr>
            <w:r>
              <w:rPr>
                <w:rFonts w:cs="Calibri"/>
                <w:color w:val="000000"/>
              </w:rPr>
              <w:t>12.97</w:t>
            </w:r>
          </w:p>
        </w:tc>
        <w:tc>
          <w:tcPr>
            <w:tcW w:w="718" w:type="dxa"/>
            <w:tcBorders>
              <w:bottom w:val="single" w:sz="4" w:space="0" w:color="auto"/>
            </w:tcBorders>
            <w:tcMar>
              <w:top w:w="28" w:type="dxa"/>
            </w:tcMar>
          </w:tcPr>
          <w:p w14:paraId="3A6EBC5D" w14:textId="77777777" w:rsidR="004573FC" w:rsidRPr="00D12EE7" w:rsidRDefault="00447771" w:rsidP="00E2459A">
            <w:pPr>
              <w:jc w:val="center"/>
              <w:rPr>
                <w:rFonts w:cs="Calibri"/>
                <w:color w:val="000000"/>
              </w:rPr>
            </w:pPr>
            <w:r>
              <w:rPr>
                <w:rFonts w:cs="Calibri"/>
                <w:color w:val="000000"/>
              </w:rPr>
              <w:t>0.60</w:t>
            </w:r>
          </w:p>
        </w:tc>
        <w:tc>
          <w:tcPr>
            <w:tcW w:w="754" w:type="dxa"/>
            <w:tcBorders>
              <w:bottom w:val="single" w:sz="4" w:space="0" w:color="auto"/>
            </w:tcBorders>
            <w:tcMar>
              <w:top w:w="28" w:type="dxa"/>
            </w:tcMar>
          </w:tcPr>
          <w:p w14:paraId="453D078A" w14:textId="77777777" w:rsidR="004573FC" w:rsidRPr="00D12EE7" w:rsidRDefault="00447771" w:rsidP="00E2459A">
            <w:pPr>
              <w:jc w:val="center"/>
              <w:rPr>
                <w:rFonts w:cs="Calibri"/>
                <w:color w:val="000000"/>
              </w:rPr>
            </w:pPr>
            <w:r>
              <w:rPr>
                <w:rFonts w:cs="Calibri"/>
                <w:color w:val="000000"/>
              </w:rPr>
              <w:t>21.76</w:t>
            </w:r>
          </w:p>
        </w:tc>
        <w:tc>
          <w:tcPr>
            <w:tcW w:w="798" w:type="dxa"/>
            <w:tcBorders>
              <w:bottom w:val="single" w:sz="4" w:space="0" w:color="auto"/>
            </w:tcBorders>
            <w:tcMar>
              <w:top w:w="28" w:type="dxa"/>
            </w:tcMar>
          </w:tcPr>
          <w:p w14:paraId="5157051C" w14:textId="77777777" w:rsidR="004573FC" w:rsidRPr="00D12EE7" w:rsidRDefault="00447771" w:rsidP="00E2459A">
            <w:pPr>
              <w:jc w:val="center"/>
              <w:rPr>
                <w:rFonts w:cs="Calibri"/>
                <w:color w:val="000000"/>
              </w:rPr>
            </w:pPr>
            <w:r>
              <w:rPr>
                <w:rFonts w:cs="Calibri"/>
                <w:color w:val="000000"/>
              </w:rPr>
              <w:t>0.15</w:t>
            </w:r>
          </w:p>
        </w:tc>
      </w:tr>
    </w:tbl>
    <w:p w14:paraId="5018C19B" w14:textId="5CC1CB3E" w:rsidR="001373B9" w:rsidRPr="00E46997" w:rsidRDefault="001373B9" w:rsidP="001373B9">
      <w:pPr>
        <w:jc w:val="both"/>
        <w:rPr>
          <w:rFonts w:cs="Calibri"/>
          <w:sz w:val="24"/>
          <w:szCs w:val="24"/>
        </w:rPr>
      </w:pPr>
      <w:r w:rsidRPr="00E46997">
        <w:rPr>
          <w:rFonts w:cs="Calibri"/>
          <w:sz w:val="24"/>
          <w:szCs w:val="24"/>
        </w:rPr>
        <w:tab/>
      </w:r>
      <w:r w:rsidRPr="00E46997">
        <w:rPr>
          <w:rFonts w:cs="Calibri"/>
          <w:sz w:val="24"/>
          <w:szCs w:val="24"/>
        </w:rPr>
        <w:tab/>
        <w:t>OMR (overall misclassification rate)</w:t>
      </w:r>
    </w:p>
    <w:p w14:paraId="60C82CF3" w14:textId="77777777" w:rsidR="001373B9" w:rsidRPr="00E46997" w:rsidRDefault="001373B9" w:rsidP="001373B9">
      <w:pPr>
        <w:jc w:val="both"/>
        <w:rPr>
          <w:rFonts w:cs="Calibri"/>
          <w:sz w:val="24"/>
          <w:szCs w:val="24"/>
        </w:rPr>
      </w:pPr>
    </w:p>
    <w:p w14:paraId="7A7157B7" w14:textId="77777777" w:rsidR="001373B9" w:rsidRPr="00E46997" w:rsidRDefault="001373B9" w:rsidP="001373B9">
      <w:pPr>
        <w:rPr>
          <w:sz w:val="24"/>
          <w:szCs w:val="24"/>
        </w:rPr>
      </w:pPr>
    </w:p>
    <w:p w14:paraId="693F07D5" w14:textId="77777777" w:rsidR="001373B9" w:rsidRDefault="001373B9" w:rsidP="001D42C6">
      <w:pPr>
        <w:jc w:val="both"/>
        <w:rPr>
          <w:sz w:val="24"/>
          <w:szCs w:val="24"/>
        </w:rPr>
      </w:pPr>
    </w:p>
    <w:sectPr w:rsidR="001373B9" w:rsidSect="00E46997">
      <w:footerReference w:type="default" r:id="rId14"/>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2EE9C3" w14:textId="77777777" w:rsidR="00F530FD" w:rsidRDefault="00F530FD" w:rsidP="009A36A8">
      <w:r>
        <w:separator/>
      </w:r>
    </w:p>
  </w:endnote>
  <w:endnote w:type="continuationSeparator" w:id="0">
    <w:p w14:paraId="6D4E7BDF" w14:textId="77777777" w:rsidR="00F530FD" w:rsidRDefault="00F530FD" w:rsidP="009A36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4A7848" w14:textId="77777777" w:rsidR="00F530FD" w:rsidRDefault="00F530FD">
    <w:pPr>
      <w:pStyle w:val="Footer"/>
      <w:jc w:val="center"/>
    </w:pPr>
    <w:r>
      <w:fldChar w:fldCharType="begin"/>
    </w:r>
    <w:r>
      <w:instrText xml:space="preserve"> PAGE   \* MERGEFORMAT </w:instrText>
    </w:r>
    <w:r>
      <w:fldChar w:fldCharType="separate"/>
    </w:r>
    <w:r w:rsidR="005B7A80">
      <w:rPr>
        <w:noProof/>
      </w:rPr>
      <w:t>2</w:t>
    </w:r>
    <w:r>
      <w:rPr>
        <w:noProof/>
      </w:rPr>
      <w:fldChar w:fldCharType="end"/>
    </w:r>
  </w:p>
  <w:p w14:paraId="74F55A43" w14:textId="77777777" w:rsidR="00F530FD" w:rsidRDefault="00F530F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852451" w14:textId="77777777" w:rsidR="00F530FD" w:rsidRDefault="00F530FD" w:rsidP="009A36A8">
      <w:r>
        <w:separator/>
      </w:r>
    </w:p>
  </w:footnote>
  <w:footnote w:type="continuationSeparator" w:id="0">
    <w:p w14:paraId="55B9F332" w14:textId="77777777" w:rsidR="00F530FD" w:rsidRDefault="00F530FD" w:rsidP="009A36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E46A5B"/>
    <w:multiLevelType w:val="hybridMultilevel"/>
    <w:tmpl w:val="079C6F82"/>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60D7248"/>
    <w:multiLevelType w:val="hybridMultilevel"/>
    <w:tmpl w:val="22C8B4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A5B7152"/>
    <w:multiLevelType w:val="hybridMultilevel"/>
    <w:tmpl w:val="E100471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611C34C7"/>
    <w:multiLevelType w:val="hybridMultilevel"/>
    <w:tmpl w:val="E97E3B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0&lt;/Enabled&gt;&lt;ScanUnformatted&gt;1&lt;/ScanUnformatted&gt;&lt;ScanChanges&gt;1&lt;/ScanChanges&gt;&lt;/ENInstantFormat&gt;"/>
    <w:docVar w:name="EN.Layout" w:val="&lt;ENLayout&gt;&lt;Style&gt;Intl J Geriatric Psychiatry&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2&lt;/LineSpacing&gt;&lt;SpaceAfter&gt;1&lt;/SpaceAfter&gt;&lt;HyperlinksEnabled&gt;1&lt;/HyperlinksEnabled&gt;&lt;HyperlinksVisible&gt;0&lt;/HyperlinksVisible&gt;&lt;/ENLayout&gt;"/>
    <w:docVar w:name="EN.Libraries" w:val="&lt;Libraries&gt;&lt;item db-id=&quot;ptwffvd9jdt2tze90erxt9dj52ftsx9fpppe&quot;&gt;Depression in PD&lt;record-ids&gt;&lt;item&gt;67&lt;/item&gt;&lt;item&gt;69&lt;/item&gt;&lt;item&gt;122&lt;/item&gt;&lt;item&gt;123&lt;/item&gt;&lt;item&gt;124&lt;/item&gt;&lt;item&gt;127&lt;/item&gt;&lt;/record-ids&gt;&lt;/item&gt;&lt;/Libraries&gt;"/>
  </w:docVars>
  <w:rsids>
    <w:rsidRoot w:val="009A36A8"/>
    <w:rsid w:val="00011BAA"/>
    <w:rsid w:val="0001288F"/>
    <w:rsid w:val="00013B55"/>
    <w:rsid w:val="0001573E"/>
    <w:rsid w:val="0002073A"/>
    <w:rsid w:val="00027C50"/>
    <w:rsid w:val="000346EA"/>
    <w:rsid w:val="0003603A"/>
    <w:rsid w:val="0006757C"/>
    <w:rsid w:val="000704DC"/>
    <w:rsid w:val="00074BA0"/>
    <w:rsid w:val="000A336A"/>
    <w:rsid w:val="000A4267"/>
    <w:rsid w:val="000B4AD4"/>
    <w:rsid w:val="000D4F97"/>
    <w:rsid w:val="00102680"/>
    <w:rsid w:val="00117A69"/>
    <w:rsid w:val="001373B9"/>
    <w:rsid w:val="001706A9"/>
    <w:rsid w:val="00174668"/>
    <w:rsid w:val="00174946"/>
    <w:rsid w:val="00193787"/>
    <w:rsid w:val="001D0285"/>
    <w:rsid w:val="001D42C6"/>
    <w:rsid w:val="001D60DF"/>
    <w:rsid w:val="00206918"/>
    <w:rsid w:val="002429DB"/>
    <w:rsid w:val="00245DD3"/>
    <w:rsid w:val="0025286D"/>
    <w:rsid w:val="0026326B"/>
    <w:rsid w:val="00276D25"/>
    <w:rsid w:val="00285C49"/>
    <w:rsid w:val="002A1E62"/>
    <w:rsid w:val="002A26B6"/>
    <w:rsid w:val="002D0F37"/>
    <w:rsid w:val="002D3D1C"/>
    <w:rsid w:val="002D7B49"/>
    <w:rsid w:val="002F6595"/>
    <w:rsid w:val="002F67E2"/>
    <w:rsid w:val="003303A6"/>
    <w:rsid w:val="00337833"/>
    <w:rsid w:val="00347593"/>
    <w:rsid w:val="00354E74"/>
    <w:rsid w:val="00371AD3"/>
    <w:rsid w:val="00373713"/>
    <w:rsid w:val="003B6EF5"/>
    <w:rsid w:val="003D6390"/>
    <w:rsid w:val="003D6DF2"/>
    <w:rsid w:val="003E6B0D"/>
    <w:rsid w:val="003F4DD8"/>
    <w:rsid w:val="00403864"/>
    <w:rsid w:val="00417621"/>
    <w:rsid w:val="004215FA"/>
    <w:rsid w:val="00423322"/>
    <w:rsid w:val="00426A94"/>
    <w:rsid w:val="0043231C"/>
    <w:rsid w:val="004338A5"/>
    <w:rsid w:val="00444308"/>
    <w:rsid w:val="00447771"/>
    <w:rsid w:val="00447A29"/>
    <w:rsid w:val="004573FC"/>
    <w:rsid w:val="00466973"/>
    <w:rsid w:val="00471B1A"/>
    <w:rsid w:val="00480229"/>
    <w:rsid w:val="0048384A"/>
    <w:rsid w:val="004C5C36"/>
    <w:rsid w:val="004D00B9"/>
    <w:rsid w:val="004D19A9"/>
    <w:rsid w:val="004D6048"/>
    <w:rsid w:val="004E7B28"/>
    <w:rsid w:val="004F1C4E"/>
    <w:rsid w:val="004F6FE3"/>
    <w:rsid w:val="005120BC"/>
    <w:rsid w:val="00540E48"/>
    <w:rsid w:val="005511EF"/>
    <w:rsid w:val="0057393D"/>
    <w:rsid w:val="005A14E3"/>
    <w:rsid w:val="005A30F6"/>
    <w:rsid w:val="005B23E4"/>
    <w:rsid w:val="005B7A80"/>
    <w:rsid w:val="00604B86"/>
    <w:rsid w:val="006074B9"/>
    <w:rsid w:val="00612BFB"/>
    <w:rsid w:val="006148F4"/>
    <w:rsid w:val="00622CC4"/>
    <w:rsid w:val="0063120D"/>
    <w:rsid w:val="00635FDD"/>
    <w:rsid w:val="00636C77"/>
    <w:rsid w:val="00636FD1"/>
    <w:rsid w:val="00641328"/>
    <w:rsid w:val="0064148E"/>
    <w:rsid w:val="006437F8"/>
    <w:rsid w:val="00647C7B"/>
    <w:rsid w:val="00647F97"/>
    <w:rsid w:val="006512D1"/>
    <w:rsid w:val="00652AF7"/>
    <w:rsid w:val="00657C9D"/>
    <w:rsid w:val="00664F09"/>
    <w:rsid w:val="006655AB"/>
    <w:rsid w:val="006708DB"/>
    <w:rsid w:val="006729D3"/>
    <w:rsid w:val="00676685"/>
    <w:rsid w:val="00680BB1"/>
    <w:rsid w:val="006840EA"/>
    <w:rsid w:val="006B4E87"/>
    <w:rsid w:val="006C58B9"/>
    <w:rsid w:val="006F3B19"/>
    <w:rsid w:val="00720CD3"/>
    <w:rsid w:val="00722A3C"/>
    <w:rsid w:val="00733BE3"/>
    <w:rsid w:val="00735CA5"/>
    <w:rsid w:val="00737ADC"/>
    <w:rsid w:val="00740E86"/>
    <w:rsid w:val="007438B5"/>
    <w:rsid w:val="00743D16"/>
    <w:rsid w:val="00745776"/>
    <w:rsid w:val="00745ED9"/>
    <w:rsid w:val="00746F78"/>
    <w:rsid w:val="007509FF"/>
    <w:rsid w:val="007652B8"/>
    <w:rsid w:val="007812AE"/>
    <w:rsid w:val="00786A27"/>
    <w:rsid w:val="007915B7"/>
    <w:rsid w:val="007922E7"/>
    <w:rsid w:val="007953D8"/>
    <w:rsid w:val="007A4719"/>
    <w:rsid w:val="007B0B0C"/>
    <w:rsid w:val="007B21E8"/>
    <w:rsid w:val="007C2F47"/>
    <w:rsid w:val="00804062"/>
    <w:rsid w:val="008339FC"/>
    <w:rsid w:val="00844DA5"/>
    <w:rsid w:val="0085089E"/>
    <w:rsid w:val="00853DC2"/>
    <w:rsid w:val="008708DE"/>
    <w:rsid w:val="00875082"/>
    <w:rsid w:val="00884F41"/>
    <w:rsid w:val="00894377"/>
    <w:rsid w:val="00896F5E"/>
    <w:rsid w:val="008A0A82"/>
    <w:rsid w:val="008A7B18"/>
    <w:rsid w:val="008B05C8"/>
    <w:rsid w:val="008B4C00"/>
    <w:rsid w:val="008B635B"/>
    <w:rsid w:val="008D473D"/>
    <w:rsid w:val="008F2F39"/>
    <w:rsid w:val="00900225"/>
    <w:rsid w:val="00906FBB"/>
    <w:rsid w:val="00925B73"/>
    <w:rsid w:val="00932E03"/>
    <w:rsid w:val="00952BA7"/>
    <w:rsid w:val="0095715F"/>
    <w:rsid w:val="009707BF"/>
    <w:rsid w:val="00991586"/>
    <w:rsid w:val="009A36A8"/>
    <w:rsid w:val="009B0108"/>
    <w:rsid w:val="009D4E89"/>
    <w:rsid w:val="009D514B"/>
    <w:rsid w:val="009E34F7"/>
    <w:rsid w:val="00A00AED"/>
    <w:rsid w:val="00A05439"/>
    <w:rsid w:val="00A42427"/>
    <w:rsid w:val="00A71157"/>
    <w:rsid w:val="00A86996"/>
    <w:rsid w:val="00A9480D"/>
    <w:rsid w:val="00AB0EE7"/>
    <w:rsid w:val="00AB106D"/>
    <w:rsid w:val="00AD679A"/>
    <w:rsid w:val="00AE2468"/>
    <w:rsid w:val="00B00A9C"/>
    <w:rsid w:val="00B055FB"/>
    <w:rsid w:val="00B07CFF"/>
    <w:rsid w:val="00B10B51"/>
    <w:rsid w:val="00B17FBD"/>
    <w:rsid w:val="00B21ADA"/>
    <w:rsid w:val="00B242A7"/>
    <w:rsid w:val="00B257C4"/>
    <w:rsid w:val="00B27DCE"/>
    <w:rsid w:val="00B4771F"/>
    <w:rsid w:val="00B662A9"/>
    <w:rsid w:val="00B67693"/>
    <w:rsid w:val="00B67A96"/>
    <w:rsid w:val="00B67C47"/>
    <w:rsid w:val="00B74C5A"/>
    <w:rsid w:val="00B7505D"/>
    <w:rsid w:val="00B84C01"/>
    <w:rsid w:val="00BC338A"/>
    <w:rsid w:val="00BC690D"/>
    <w:rsid w:val="00BD580C"/>
    <w:rsid w:val="00BD696D"/>
    <w:rsid w:val="00BD7082"/>
    <w:rsid w:val="00BE6AF4"/>
    <w:rsid w:val="00BF5D04"/>
    <w:rsid w:val="00C0710E"/>
    <w:rsid w:val="00C12471"/>
    <w:rsid w:val="00C14A49"/>
    <w:rsid w:val="00C23D93"/>
    <w:rsid w:val="00C301A9"/>
    <w:rsid w:val="00C35B87"/>
    <w:rsid w:val="00C5112E"/>
    <w:rsid w:val="00C64B6F"/>
    <w:rsid w:val="00C94B04"/>
    <w:rsid w:val="00CA13AD"/>
    <w:rsid w:val="00CA4E10"/>
    <w:rsid w:val="00CB34A2"/>
    <w:rsid w:val="00CB3A73"/>
    <w:rsid w:val="00CD3DEA"/>
    <w:rsid w:val="00CE128F"/>
    <w:rsid w:val="00CE5E8F"/>
    <w:rsid w:val="00D12303"/>
    <w:rsid w:val="00D12EE7"/>
    <w:rsid w:val="00D35FEC"/>
    <w:rsid w:val="00D562F0"/>
    <w:rsid w:val="00D74AD1"/>
    <w:rsid w:val="00D75BC7"/>
    <w:rsid w:val="00D82593"/>
    <w:rsid w:val="00D92AEF"/>
    <w:rsid w:val="00DA04C0"/>
    <w:rsid w:val="00DA393B"/>
    <w:rsid w:val="00DA4AD3"/>
    <w:rsid w:val="00DB25D3"/>
    <w:rsid w:val="00E05387"/>
    <w:rsid w:val="00E116C2"/>
    <w:rsid w:val="00E155DD"/>
    <w:rsid w:val="00E1583A"/>
    <w:rsid w:val="00E2459A"/>
    <w:rsid w:val="00E31330"/>
    <w:rsid w:val="00E42C66"/>
    <w:rsid w:val="00E46997"/>
    <w:rsid w:val="00E609BA"/>
    <w:rsid w:val="00E626BC"/>
    <w:rsid w:val="00E81FE6"/>
    <w:rsid w:val="00E930BC"/>
    <w:rsid w:val="00EB243C"/>
    <w:rsid w:val="00EB2BE4"/>
    <w:rsid w:val="00EB373E"/>
    <w:rsid w:val="00EB37DA"/>
    <w:rsid w:val="00EB62BD"/>
    <w:rsid w:val="00EE2318"/>
    <w:rsid w:val="00F001E7"/>
    <w:rsid w:val="00F21757"/>
    <w:rsid w:val="00F3137C"/>
    <w:rsid w:val="00F52AFF"/>
    <w:rsid w:val="00F530FD"/>
    <w:rsid w:val="00F77194"/>
    <w:rsid w:val="00F8182B"/>
    <w:rsid w:val="00F8280E"/>
    <w:rsid w:val="00FC0EC0"/>
    <w:rsid w:val="00FC3C9A"/>
    <w:rsid w:val="00FE065E"/>
    <w:rsid w:val="00FE2A0D"/>
    <w:rsid w:val="00FE3AC7"/>
    <w:rsid w:val="00FE7305"/>
    <w:rsid w:val="00FF48A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6E9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7DCE"/>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9A36A8"/>
    <w:rPr>
      <w:color w:val="0000FF"/>
      <w:u w:val="single"/>
    </w:rPr>
  </w:style>
  <w:style w:type="paragraph" w:styleId="FootnoteText">
    <w:name w:val="footnote text"/>
    <w:basedOn w:val="Normal"/>
    <w:link w:val="FootnoteTextChar"/>
    <w:uiPriority w:val="99"/>
    <w:semiHidden/>
    <w:unhideWhenUsed/>
    <w:rsid w:val="009A36A8"/>
    <w:pPr>
      <w:spacing w:line="276" w:lineRule="auto"/>
    </w:pPr>
    <w:rPr>
      <w:sz w:val="20"/>
      <w:szCs w:val="20"/>
    </w:rPr>
  </w:style>
  <w:style w:type="character" w:customStyle="1" w:styleId="FootnoteTextChar">
    <w:name w:val="Footnote Text Char"/>
    <w:link w:val="FootnoteText"/>
    <w:uiPriority w:val="99"/>
    <w:semiHidden/>
    <w:rsid w:val="009A36A8"/>
    <w:rPr>
      <w:rFonts w:ascii="Calibri" w:eastAsia="Calibri" w:hAnsi="Calibri" w:cs="Times New Roman"/>
      <w:sz w:val="20"/>
      <w:szCs w:val="20"/>
    </w:rPr>
  </w:style>
  <w:style w:type="character" w:styleId="FootnoteReference">
    <w:name w:val="footnote reference"/>
    <w:uiPriority w:val="99"/>
    <w:semiHidden/>
    <w:unhideWhenUsed/>
    <w:rsid w:val="009A36A8"/>
    <w:rPr>
      <w:vertAlign w:val="superscript"/>
    </w:rPr>
  </w:style>
  <w:style w:type="paragraph" w:styleId="Header">
    <w:name w:val="header"/>
    <w:basedOn w:val="Normal"/>
    <w:link w:val="HeaderChar"/>
    <w:uiPriority w:val="99"/>
    <w:unhideWhenUsed/>
    <w:rsid w:val="00354E74"/>
    <w:pPr>
      <w:tabs>
        <w:tab w:val="center" w:pos="4513"/>
        <w:tab w:val="right" w:pos="9026"/>
      </w:tabs>
    </w:pPr>
  </w:style>
  <w:style w:type="character" w:customStyle="1" w:styleId="HeaderChar">
    <w:name w:val="Header Char"/>
    <w:link w:val="Header"/>
    <w:uiPriority w:val="99"/>
    <w:rsid w:val="00354E74"/>
    <w:rPr>
      <w:sz w:val="22"/>
      <w:szCs w:val="22"/>
      <w:lang w:eastAsia="en-US"/>
    </w:rPr>
  </w:style>
  <w:style w:type="paragraph" w:styleId="Footer">
    <w:name w:val="footer"/>
    <w:basedOn w:val="Normal"/>
    <w:link w:val="FooterChar"/>
    <w:uiPriority w:val="99"/>
    <w:unhideWhenUsed/>
    <w:rsid w:val="00354E74"/>
    <w:pPr>
      <w:tabs>
        <w:tab w:val="center" w:pos="4513"/>
        <w:tab w:val="right" w:pos="9026"/>
      </w:tabs>
    </w:pPr>
  </w:style>
  <w:style w:type="character" w:customStyle="1" w:styleId="FooterChar">
    <w:name w:val="Footer Char"/>
    <w:link w:val="Footer"/>
    <w:uiPriority w:val="99"/>
    <w:rsid w:val="00354E74"/>
    <w:rPr>
      <w:sz w:val="22"/>
      <w:szCs w:val="22"/>
      <w:lang w:eastAsia="en-US"/>
    </w:rPr>
  </w:style>
  <w:style w:type="paragraph" w:styleId="BalloonText">
    <w:name w:val="Balloon Text"/>
    <w:basedOn w:val="Normal"/>
    <w:link w:val="BalloonTextChar"/>
    <w:uiPriority w:val="99"/>
    <w:semiHidden/>
    <w:unhideWhenUsed/>
    <w:rsid w:val="00354E74"/>
    <w:rPr>
      <w:rFonts w:ascii="Tahoma" w:hAnsi="Tahoma" w:cs="Tahoma"/>
      <w:sz w:val="16"/>
      <w:szCs w:val="16"/>
    </w:rPr>
  </w:style>
  <w:style w:type="character" w:customStyle="1" w:styleId="BalloonTextChar">
    <w:name w:val="Balloon Text Char"/>
    <w:link w:val="BalloonText"/>
    <w:uiPriority w:val="99"/>
    <w:semiHidden/>
    <w:rsid w:val="00354E74"/>
    <w:rPr>
      <w:rFonts w:ascii="Tahoma" w:hAnsi="Tahoma" w:cs="Tahoma"/>
      <w:sz w:val="16"/>
      <w:szCs w:val="16"/>
      <w:lang w:eastAsia="en-US"/>
    </w:rPr>
  </w:style>
  <w:style w:type="paragraph" w:styleId="ListParagraph">
    <w:name w:val="List Paragraph"/>
    <w:basedOn w:val="Normal"/>
    <w:uiPriority w:val="34"/>
    <w:qFormat/>
    <w:rsid w:val="00B07CFF"/>
    <w:pPr>
      <w:ind w:left="720"/>
      <w:contextualSpacing/>
    </w:pPr>
  </w:style>
  <w:style w:type="character" w:styleId="CommentReference">
    <w:name w:val="annotation reference"/>
    <w:uiPriority w:val="99"/>
    <w:semiHidden/>
    <w:unhideWhenUsed/>
    <w:rsid w:val="002F67E2"/>
    <w:rPr>
      <w:sz w:val="16"/>
      <w:szCs w:val="16"/>
    </w:rPr>
  </w:style>
  <w:style w:type="paragraph" w:styleId="CommentText">
    <w:name w:val="annotation text"/>
    <w:basedOn w:val="Normal"/>
    <w:link w:val="CommentTextChar"/>
    <w:uiPriority w:val="99"/>
    <w:semiHidden/>
    <w:unhideWhenUsed/>
    <w:rsid w:val="002F67E2"/>
    <w:rPr>
      <w:sz w:val="20"/>
      <w:szCs w:val="20"/>
    </w:rPr>
  </w:style>
  <w:style w:type="character" w:customStyle="1" w:styleId="CommentTextChar">
    <w:name w:val="Comment Text Char"/>
    <w:link w:val="CommentText"/>
    <w:uiPriority w:val="99"/>
    <w:semiHidden/>
    <w:rsid w:val="002F67E2"/>
    <w:rPr>
      <w:lang w:eastAsia="en-US"/>
    </w:rPr>
  </w:style>
  <w:style w:type="paragraph" w:styleId="CommentSubject">
    <w:name w:val="annotation subject"/>
    <w:basedOn w:val="CommentText"/>
    <w:next w:val="CommentText"/>
    <w:link w:val="CommentSubjectChar"/>
    <w:uiPriority w:val="99"/>
    <w:semiHidden/>
    <w:unhideWhenUsed/>
    <w:rsid w:val="002F67E2"/>
    <w:rPr>
      <w:b/>
      <w:bCs/>
    </w:rPr>
  </w:style>
  <w:style w:type="character" w:customStyle="1" w:styleId="CommentSubjectChar">
    <w:name w:val="Comment Subject Char"/>
    <w:link w:val="CommentSubject"/>
    <w:uiPriority w:val="99"/>
    <w:semiHidden/>
    <w:rsid w:val="002F67E2"/>
    <w:rPr>
      <w:b/>
      <w:bCs/>
      <w:lang w:eastAsia="en-US"/>
    </w:rPr>
  </w:style>
  <w:style w:type="paragraph" w:styleId="BodyText">
    <w:name w:val="Body Text"/>
    <w:basedOn w:val="Normal"/>
    <w:link w:val="BodyTextChar"/>
    <w:rsid w:val="000704DC"/>
    <w:pPr>
      <w:widowControl w:val="0"/>
      <w:autoSpaceDE w:val="0"/>
      <w:autoSpaceDN w:val="0"/>
    </w:pPr>
    <w:rPr>
      <w:rFonts w:ascii="Times New Roman" w:eastAsia="Times New Roman" w:hAnsi="Times New Roman"/>
      <w:sz w:val="20"/>
      <w:szCs w:val="20"/>
    </w:rPr>
  </w:style>
  <w:style w:type="character" w:customStyle="1" w:styleId="BodyTextChar">
    <w:name w:val="Body Text Char"/>
    <w:basedOn w:val="DefaultParagraphFont"/>
    <w:link w:val="BodyText"/>
    <w:rsid w:val="000704DC"/>
    <w:rPr>
      <w:rFonts w:ascii="Times New Roman" w:eastAsia="Times New Roman" w:hAnsi="Times New Roman"/>
      <w:lang w:eastAsia="en-US"/>
    </w:rPr>
  </w:style>
  <w:style w:type="paragraph" w:styleId="PlainText">
    <w:name w:val="Plain Text"/>
    <w:basedOn w:val="Normal"/>
    <w:link w:val="PlainTextChar"/>
    <w:uiPriority w:val="99"/>
    <w:unhideWhenUsed/>
    <w:rsid w:val="000704DC"/>
    <w:rPr>
      <w:rFonts w:ascii="Consolas" w:hAnsi="Consolas"/>
      <w:sz w:val="21"/>
      <w:szCs w:val="21"/>
    </w:rPr>
  </w:style>
  <w:style w:type="character" w:customStyle="1" w:styleId="PlainTextChar">
    <w:name w:val="Plain Text Char"/>
    <w:basedOn w:val="DefaultParagraphFont"/>
    <w:link w:val="PlainText"/>
    <w:uiPriority w:val="99"/>
    <w:rsid w:val="000704DC"/>
    <w:rPr>
      <w:rFonts w:ascii="Consolas" w:hAnsi="Consolas"/>
      <w:sz w:val="21"/>
      <w:szCs w:val="21"/>
      <w:lang w:eastAsia="en-US"/>
    </w:rPr>
  </w:style>
  <w:style w:type="character" w:styleId="Strong">
    <w:name w:val="Strong"/>
    <w:basedOn w:val="DefaultParagraphFont"/>
    <w:uiPriority w:val="22"/>
    <w:qFormat/>
    <w:rsid w:val="00D92AEF"/>
    <w:rPr>
      <w:b/>
      <w:bCs/>
    </w:rPr>
  </w:style>
  <w:style w:type="character" w:customStyle="1" w:styleId="apple-converted-space">
    <w:name w:val="apple-converted-space"/>
    <w:basedOn w:val="DefaultParagraphFont"/>
    <w:rsid w:val="00D92AE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7DCE"/>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9A36A8"/>
    <w:rPr>
      <w:color w:val="0000FF"/>
      <w:u w:val="single"/>
    </w:rPr>
  </w:style>
  <w:style w:type="paragraph" w:styleId="FootnoteText">
    <w:name w:val="footnote text"/>
    <w:basedOn w:val="Normal"/>
    <w:link w:val="FootnoteTextChar"/>
    <w:uiPriority w:val="99"/>
    <w:semiHidden/>
    <w:unhideWhenUsed/>
    <w:rsid w:val="009A36A8"/>
    <w:pPr>
      <w:spacing w:line="276" w:lineRule="auto"/>
    </w:pPr>
    <w:rPr>
      <w:sz w:val="20"/>
      <w:szCs w:val="20"/>
    </w:rPr>
  </w:style>
  <w:style w:type="character" w:customStyle="1" w:styleId="FootnoteTextChar">
    <w:name w:val="Footnote Text Char"/>
    <w:link w:val="FootnoteText"/>
    <w:uiPriority w:val="99"/>
    <w:semiHidden/>
    <w:rsid w:val="009A36A8"/>
    <w:rPr>
      <w:rFonts w:ascii="Calibri" w:eastAsia="Calibri" w:hAnsi="Calibri" w:cs="Times New Roman"/>
      <w:sz w:val="20"/>
      <w:szCs w:val="20"/>
    </w:rPr>
  </w:style>
  <w:style w:type="character" w:styleId="FootnoteReference">
    <w:name w:val="footnote reference"/>
    <w:uiPriority w:val="99"/>
    <w:semiHidden/>
    <w:unhideWhenUsed/>
    <w:rsid w:val="009A36A8"/>
    <w:rPr>
      <w:vertAlign w:val="superscript"/>
    </w:rPr>
  </w:style>
  <w:style w:type="paragraph" w:styleId="Header">
    <w:name w:val="header"/>
    <w:basedOn w:val="Normal"/>
    <w:link w:val="HeaderChar"/>
    <w:uiPriority w:val="99"/>
    <w:unhideWhenUsed/>
    <w:rsid w:val="00354E74"/>
    <w:pPr>
      <w:tabs>
        <w:tab w:val="center" w:pos="4513"/>
        <w:tab w:val="right" w:pos="9026"/>
      </w:tabs>
    </w:pPr>
  </w:style>
  <w:style w:type="character" w:customStyle="1" w:styleId="HeaderChar">
    <w:name w:val="Header Char"/>
    <w:link w:val="Header"/>
    <w:uiPriority w:val="99"/>
    <w:rsid w:val="00354E74"/>
    <w:rPr>
      <w:sz w:val="22"/>
      <w:szCs w:val="22"/>
      <w:lang w:eastAsia="en-US"/>
    </w:rPr>
  </w:style>
  <w:style w:type="paragraph" w:styleId="Footer">
    <w:name w:val="footer"/>
    <w:basedOn w:val="Normal"/>
    <w:link w:val="FooterChar"/>
    <w:uiPriority w:val="99"/>
    <w:unhideWhenUsed/>
    <w:rsid w:val="00354E74"/>
    <w:pPr>
      <w:tabs>
        <w:tab w:val="center" w:pos="4513"/>
        <w:tab w:val="right" w:pos="9026"/>
      </w:tabs>
    </w:pPr>
  </w:style>
  <w:style w:type="character" w:customStyle="1" w:styleId="FooterChar">
    <w:name w:val="Footer Char"/>
    <w:link w:val="Footer"/>
    <w:uiPriority w:val="99"/>
    <w:rsid w:val="00354E74"/>
    <w:rPr>
      <w:sz w:val="22"/>
      <w:szCs w:val="22"/>
      <w:lang w:eastAsia="en-US"/>
    </w:rPr>
  </w:style>
  <w:style w:type="paragraph" w:styleId="BalloonText">
    <w:name w:val="Balloon Text"/>
    <w:basedOn w:val="Normal"/>
    <w:link w:val="BalloonTextChar"/>
    <w:uiPriority w:val="99"/>
    <w:semiHidden/>
    <w:unhideWhenUsed/>
    <w:rsid w:val="00354E74"/>
    <w:rPr>
      <w:rFonts w:ascii="Tahoma" w:hAnsi="Tahoma" w:cs="Tahoma"/>
      <w:sz w:val="16"/>
      <w:szCs w:val="16"/>
    </w:rPr>
  </w:style>
  <w:style w:type="character" w:customStyle="1" w:styleId="BalloonTextChar">
    <w:name w:val="Balloon Text Char"/>
    <w:link w:val="BalloonText"/>
    <w:uiPriority w:val="99"/>
    <w:semiHidden/>
    <w:rsid w:val="00354E74"/>
    <w:rPr>
      <w:rFonts w:ascii="Tahoma" w:hAnsi="Tahoma" w:cs="Tahoma"/>
      <w:sz w:val="16"/>
      <w:szCs w:val="16"/>
      <w:lang w:eastAsia="en-US"/>
    </w:rPr>
  </w:style>
  <w:style w:type="paragraph" w:styleId="ListParagraph">
    <w:name w:val="List Paragraph"/>
    <w:basedOn w:val="Normal"/>
    <w:uiPriority w:val="34"/>
    <w:qFormat/>
    <w:rsid w:val="00B07CFF"/>
    <w:pPr>
      <w:ind w:left="720"/>
      <w:contextualSpacing/>
    </w:pPr>
  </w:style>
  <w:style w:type="character" w:styleId="CommentReference">
    <w:name w:val="annotation reference"/>
    <w:uiPriority w:val="99"/>
    <w:semiHidden/>
    <w:unhideWhenUsed/>
    <w:rsid w:val="002F67E2"/>
    <w:rPr>
      <w:sz w:val="16"/>
      <w:szCs w:val="16"/>
    </w:rPr>
  </w:style>
  <w:style w:type="paragraph" w:styleId="CommentText">
    <w:name w:val="annotation text"/>
    <w:basedOn w:val="Normal"/>
    <w:link w:val="CommentTextChar"/>
    <w:uiPriority w:val="99"/>
    <w:semiHidden/>
    <w:unhideWhenUsed/>
    <w:rsid w:val="002F67E2"/>
    <w:rPr>
      <w:sz w:val="20"/>
      <w:szCs w:val="20"/>
    </w:rPr>
  </w:style>
  <w:style w:type="character" w:customStyle="1" w:styleId="CommentTextChar">
    <w:name w:val="Comment Text Char"/>
    <w:link w:val="CommentText"/>
    <w:uiPriority w:val="99"/>
    <w:semiHidden/>
    <w:rsid w:val="002F67E2"/>
    <w:rPr>
      <w:lang w:eastAsia="en-US"/>
    </w:rPr>
  </w:style>
  <w:style w:type="paragraph" w:styleId="CommentSubject">
    <w:name w:val="annotation subject"/>
    <w:basedOn w:val="CommentText"/>
    <w:next w:val="CommentText"/>
    <w:link w:val="CommentSubjectChar"/>
    <w:uiPriority w:val="99"/>
    <w:semiHidden/>
    <w:unhideWhenUsed/>
    <w:rsid w:val="002F67E2"/>
    <w:rPr>
      <w:b/>
      <w:bCs/>
    </w:rPr>
  </w:style>
  <w:style w:type="character" w:customStyle="1" w:styleId="CommentSubjectChar">
    <w:name w:val="Comment Subject Char"/>
    <w:link w:val="CommentSubject"/>
    <w:uiPriority w:val="99"/>
    <w:semiHidden/>
    <w:rsid w:val="002F67E2"/>
    <w:rPr>
      <w:b/>
      <w:bCs/>
      <w:lang w:eastAsia="en-US"/>
    </w:rPr>
  </w:style>
  <w:style w:type="paragraph" w:styleId="BodyText">
    <w:name w:val="Body Text"/>
    <w:basedOn w:val="Normal"/>
    <w:link w:val="BodyTextChar"/>
    <w:rsid w:val="000704DC"/>
    <w:pPr>
      <w:widowControl w:val="0"/>
      <w:autoSpaceDE w:val="0"/>
      <w:autoSpaceDN w:val="0"/>
    </w:pPr>
    <w:rPr>
      <w:rFonts w:ascii="Times New Roman" w:eastAsia="Times New Roman" w:hAnsi="Times New Roman"/>
      <w:sz w:val="20"/>
      <w:szCs w:val="20"/>
    </w:rPr>
  </w:style>
  <w:style w:type="character" w:customStyle="1" w:styleId="BodyTextChar">
    <w:name w:val="Body Text Char"/>
    <w:basedOn w:val="DefaultParagraphFont"/>
    <w:link w:val="BodyText"/>
    <w:rsid w:val="000704DC"/>
    <w:rPr>
      <w:rFonts w:ascii="Times New Roman" w:eastAsia="Times New Roman" w:hAnsi="Times New Roman"/>
      <w:lang w:eastAsia="en-US"/>
    </w:rPr>
  </w:style>
  <w:style w:type="paragraph" w:styleId="PlainText">
    <w:name w:val="Plain Text"/>
    <w:basedOn w:val="Normal"/>
    <w:link w:val="PlainTextChar"/>
    <w:uiPriority w:val="99"/>
    <w:unhideWhenUsed/>
    <w:rsid w:val="000704DC"/>
    <w:rPr>
      <w:rFonts w:ascii="Consolas" w:hAnsi="Consolas"/>
      <w:sz w:val="21"/>
      <w:szCs w:val="21"/>
    </w:rPr>
  </w:style>
  <w:style w:type="character" w:customStyle="1" w:styleId="PlainTextChar">
    <w:name w:val="Plain Text Char"/>
    <w:basedOn w:val="DefaultParagraphFont"/>
    <w:link w:val="PlainText"/>
    <w:uiPriority w:val="99"/>
    <w:rsid w:val="000704DC"/>
    <w:rPr>
      <w:rFonts w:ascii="Consolas" w:hAnsi="Consolas"/>
      <w:sz w:val="21"/>
      <w:szCs w:val="21"/>
      <w:lang w:eastAsia="en-US"/>
    </w:rPr>
  </w:style>
  <w:style w:type="character" w:styleId="Strong">
    <w:name w:val="Strong"/>
    <w:basedOn w:val="DefaultParagraphFont"/>
    <w:uiPriority w:val="22"/>
    <w:qFormat/>
    <w:rsid w:val="00D92AEF"/>
    <w:rPr>
      <w:b/>
      <w:bCs/>
    </w:rPr>
  </w:style>
  <w:style w:type="character" w:customStyle="1" w:styleId="apple-converted-space">
    <w:name w:val="apple-converted-space"/>
    <w:basedOn w:val="DefaultParagraphFont"/>
    <w:rsid w:val="00D92A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9010754">
      <w:bodyDiv w:val="1"/>
      <w:marLeft w:val="0"/>
      <w:marRight w:val="0"/>
      <w:marTop w:val="0"/>
      <w:marBottom w:val="0"/>
      <w:divBdr>
        <w:top w:val="none" w:sz="0" w:space="0" w:color="auto"/>
        <w:left w:val="none" w:sz="0" w:space="0" w:color="auto"/>
        <w:bottom w:val="none" w:sz="0" w:space="0" w:color="auto"/>
        <w:right w:val="none" w:sz="0" w:space="0" w:color="auto"/>
      </w:divBdr>
    </w:div>
    <w:div w:id="1547136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1000livesplus.wales.nhs.uk/mh-depressio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ice.org/CG91)"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rcpsych.ac.uk/PDF/WhoCaresWins.pdf" TargetMode="External"/><Relationship Id="rId4" Type="http://schemas.microsoft.com/office/2007/relationships/stylesWithEffects" Target="stylesWithEffects.xml"/><Relationship Id="rId9" Type="http://schemas.openxmlformats.org/officeDocument/2006/relationships/hyperlink" Target="mailto:sfb5@leicester.ac.uk"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4BFD77-F8D1-42B0-B920-CBC701B08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28E57E3F.dotm</Template>
  <TotalTime>0</TotalTime>
  <Pages>14</Pages>
  <Words>2785</Words>
  <Characters>15878</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18626</CharactersWithSpaces>
  <SharedDoc>false</SharedDoc>
  <HLinks>
    <vt:vector size="42" baseType="variant">
      <vt:variant>
        <vt:i4>4456459</vt:i4>
      </vt:variant>
      <vt:variant>
        <vt:i4>31</vt:i4>
      </vt:variant>
      <vt:variant>
        <vt:i4>0</vt:i4>
      </vt:variant>
      <vt:variant>
        <vt:i4>5</vt:i4>
      </vt:variant>
      <vt:variant>
        <vt:lpwstr/>
      </vt:variant>
      <vt:variant>
        <vt:lpwstr>_ENREF_5</vt:lpwstr>
      </vt:variant>
      <vt:variant>
        <vt:i4>4521995</vt:i4>
      </vt:variant>
      <vt:variant>
        <vt:i4>25</vt:i4>
      </vt:variant>
      <vt:variant>
        <vt:i4>0</vt:i4>
      </vt:variant>
      <vt:variant>
        <vt:i4>5</vt:i4>
      </vt:variant>
      <vt:variant>
        <vt:lpwstr/>
      </vt:variant>
      <vt:variant>
        <vt:lpwstr>_ENREF_4</vt:lpwstr>
      </vt:variant>
      <vt:variant>
        <vt:i4>4325387</vt:i4>
      </vt:variant>
      <vt:variant>
        <vt:i4>22</vt:i4>
      </vt:variant>
      <vt:variant>
        <vt:i4>0</vt:i4>
      </vt:variant>
      <vt:variant>
        <vt:i4>5</vt:i4>
      </vt:variant>
      <vt:variant>
        <vt:lpwstr/>
      </vt:variant>
      <vt:variant>
        <vt:lpwstr>_ENREF_3</vt:lpwstr>
      </vt:variant>
      <vt:variant>
        <vt:i4>4390923</vt:i4>
      </vt:variant>
      <vt:variant>
        <vt:i4>19</vt:i4>
      </vt:variant>
      <vt:variant>
        <vt:i4>0</vt:i4>
      </vt:variant>
      <vt:variant>
        <vt:i4>5</vt:i4>
      </vt:variant>
      <vt:variant>
        <vt:lpwstr/>
      </vt:variant>
      <vt:variant>
        <vt:lpwstr>_ENREF_2</vt:lpwstr>
      </vt:variant>
      <vt:variant>
        <vt:i4>4194315</vt:i4>
      </vt:variant>
      <vt:variant>
        <vt:i4>11</vt:i4>
      </vt:variant>
      <vt:variant>
        <vt:i4>0</vt:i4>
      </vt:variant>
      <vt:variant>
        <vt:i4>5</vt:i4>
      </vt:variant>
      <vt:variant>
        <vt:lpwstr/>
      </vt:variant>
      <vt:variant>
        <vt:lpwstr>_ENREF_1</vt:lpwstr>
      </vt:variant>
      <vt:variant>
        <vt:i4>4653067</vt:i4>
      </vt:variant>
      <vt:variant>
        <vt:i4>5</vt:i4>
      </vt:variant>
      <vt:variant>
        <vt:i4>0</vt:i4>
      </vt:variant>
      <vt:variant>
        <vt:i4>5</vt:i4>
      </vt:variant>
      <vt:variant>
        <vt:lpwstr/>
      </vt:variant>
      <vt:variant>
        <vt:lpwstr>_ENREF_6</vt:lpwstr>
      </vt:variant>
      <vt:variant>
        <vt:i4>1769520</vt:i4>
      </vt:variant>
      <vt:variant>
        <vt:i4>0</vt:i4>
      </vt:variant>
      <vt:variant>
        <vt:i4>0</vt:i4>
      </vt:variant>
      <vt:variant>
        <vt:i4>5</vt:i4>
      </vt:variant>
      <vt:variant>
        <vt:lpwstr>mailto:sfb5@leicester.ac.uk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sfb5</dc:creator>
  <cp:lastModifiedBy>sfb5</cp:lastModifiedBy>
  <cp:revision>2</cp:revision>
  <cp:lastPrinted>2013-10-10T15:52:00Z</cp:lastPrinted>
  <dcterms:created xsi:type="dcterms:W3CDTF">2016-03-15T14:52:00Z</dcterms:created>
  <dcterms:modified xsi:type="dcterms:W3CDTF">2016-03-15T14:52:00Z</dcterms:modified>
</cp:coreProperties>
</file>