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E5B" w:rsidRPr="0029142D" w:rsidRDefault="008F2E5B" w:rsidP="001760E0">
      <w:pPr>
        <w:pStyle w:val="NoSpacing"/>
        <w:jc w:val="center"/>
        <w:rPr>
          <w:rFonts w:cs="Calibri"/>
          <w:b/>
          <w:sz w:val="32"/>
          <w:szCs w:val="32"/>
        </w:rPr>
      </w:pPr>
      <w:r w:rsidRPr="0029142D">
        <w:rPr>
          <w:rFonts w:cs="Calibri"/>
          <w:b/>
          <w:sz w:val="32"/>
          <w:szCs w:val="32"/>
        </w:rPr>
        <w:t>TITLE PAGE</w:t>
      </w:r>
    </w:p>
    <w:p w:rsidR="008F2E5B" w:rsidRPr="0029142D" w:rsidRDefault="008F2E5B" w:rsidP="001760E0">
      <w:pPr>
        <w:pStyle w:val="NoSpacing"/>
        <w:rPr>
          <w:rFonts w:cs="Calibri"/>
          <w:b/>
          <w:sz w:val="32"/>
          <w:szCs w:val="32"/>
        </w:rPr>
      </w:pPr>
    </w:p>
    <w:p w:rsidR="008F2E5B" w:rsidRPr="0029142D" w:rsidRDefault="008F2E5B" w:rsidP="001760E0">
      <w:pPr>
        <w:pStyle w:val="NoSpacing"/>
        <w:rPr>
          <w:rFonts w:cs="Calibri"/>
          <w:b/>
          <w:sz w:val="32"/>
          <w:szCs w:val="32"/>
        </w:rPr>
      </w:pPr>
      <w:r>
        <w:rPr>
          <w:rFonts w:cs="Calibri"/>
          <w:b/>
          <w:sz w:val="32"/>
          <w:szCs w:val="32"/>
        </w:rPr>
        <w:t xml:space="preserve">Growth Hormone for </w:t>
      </w:r>
      <w:r w:rsidR="006C75D4">
        <w:rPr>
          <w:rFonts w:cs="Calibri"/>
          <w:b/>
          <w:sz w:val="32"/>
          <w:szCs w:val="32"/>
        </w:rPr>
        <w:t>risk stratification and effects of therapy</w:t>
      </w:r>
      <w:r>
        <w:rPr>
          <w:rFonts w:cs="Calibri"/>
          <w:b/>
          <w:sz w:val="32"/>
          <w:szCs w:val="32"/>
        </w:rPr>
        <w:t xml:space="preserve"> in </w:t>
      </w:r>
      <w:r w:rsidRPr="0029142D">
        <w:rPr>
          <w:rFonts w:cs="Calibri"/>
          <w:b/>
          <w:sz w:val="32"/>
          <w:szCs w:val="32"/>
        </w:rPr>
        <w:t xml:space="preserve">acute </w:t>
      </w:r>
      <w:r>
        <w:rPr>
          <w:rFonts w:cs="Calibri"/>
          <w:b/>
          <w:sz w:val="32"/>
          <w:szCs w:val="32"/>
        </w:rPr>
        <w:t xml:space="preserve">myocardial infarction </w:t>
      </w:r>
    </w:p>
    <w:p w:rsidR="008F2E5B" w:rsidRPr="0029142D" w:rsidRDefault="008F2E5B" w:rsidP="001760E0">
      <w:pPr>
        <w:pStyle w:val="NoSpacing"/>
        <w:rPr>
          <w:rFonts w:cs="Calibri"/>
          <w:b/>
          <w:bCs/>
          <w:sz w:val="32"/>
          <w:szCs w:val="32"/>
        </w:rPr>
      </w:pPr>
    </w:p>
    <w:p w:rsidR="008F2E5B" w:rsidRPr="0011686C" w:rsidRDefault="001B57FF" w:rsidP="00E9203B">
      <w:pPr>
        <w:pStyle w:val="NoSpacing"/>
        <w:rPr>
          <w:rFonts w:cs="Calibri"/>
          <w:b/>
          <w:bCs/>
          <w:sz w:val="24"/>
          <w:szCs w:val="24"/>
        </w:rPr>
      </w:pPr>
      <w:r>
        <w:rPr>
          <w:rFonts w:cs="Calibri"/>
          <w:b/>
          <w:bCs/>
          <w:sz w:val="24"/>
          <w:szCs w:val="24"/>
        </w:rPr>
        <w:t>Leong L. Ng</w:t>
      </w:r>
      <w:r w:rsidR="008F2E5B" w:rsidRPr="0011686C">
        <w:rPr>
          <w:rFonts w:cs="Calibri"/>
          <w:b/>
          <w:bCs/>
          <w:sz w:val="24"/>
          <w:szCs w:val="24"/>
        </w:rPr>
        <w:t xml:space="preserve">*, </w:t>
      </w:r>
      <w:r>
        <w:rPr>
          <w:rFonts w:cs="Calibri"/>
          <w:b/>
          <w:bCs/>
          <w:sz w:val="24"/>
          <w:szCs w:val="24"/>
        </w:rPr>
        <w:t>Sanjay S. Bhandari</w:t>
      </w:r>
      <w:r w:rsidRPr="0011686C">
        <w:rPr>
          <w:rFonts w:cs="Calibri"/>
          <w:b/>
          <w:bCs/>
          <w:sz w:val="24"/>
          <w:szCs w:val="24"/>
        </w:rPr>
        <w:t>*,</w:t>
      </w:r>
      <w:r>
        <w:rPr>
          <w:rFonts w:cs="Calibri"/>
          <w:b/>
          <w:bCs/>
          <w:sz w:val="24"/>
          <w:szCs w:val="24"/>
        </w:rPr>
        <w:t xml:space="preserve"> </w:t>
      </w:r>
      <w:r w:rsidR="008F2E5B" w:rsidRPr="0011686C">
        <w:rPr>
          <w:rFonts w:cs="Calibri"/>
          <w:b/>
          <w:bCs/>
          <w:sz w:val="24"/>
          <w:szCs w:val="24"/>
        </w:rPr>
        <w:t xml:space="preserve">Jatinderpal K. Sandhu*, Paulene A. Quinn*, Iain B. Squire*, Joan E. Davies*, </w:t>
      </w:r>
      <w:r w:rsidR="008F2E5B">
        <w:rPr>
          <w:rFonts w:cs="Calibri"/>
          <w:b/>
          <w:bCs/>
          <w:sz w:val="24"/>
          <w:szCs w:val="24"/>
        </w:rPr>
        <w:t>Joachim Struck</w:t>
      </w:r>
      <w:r w:rsidR="008F2E5B" w:rsidRPr="0011686C">
        <w:rPr>
          <w:rFonts w:cs="Calibri"/>
          <w:sz w:val="24"/>
          <w:szCs w:val="24"/>
        </w:rPr>
        <w:t>‡</w:t>
      </w:r>
      <w:r w:rsidR="008F2E5B">
        <w:rPr>
          <w:rFonts w:cs="Calibri"/>
          <w:b/>
          <w:bCs/>
          <w:sz w:val="24"/>
          <w:szCs w:val="24"/>
        </w:rPr>
        <w:t xml:space="preserve">, </w:t>
      </w:r>
      <w:r w:rsidR="008F2E5B" w:rsidRPr="0011686C">
        <w:rPr>
          <w:rFonts w:cs="Calibri"/>
          <w:b/>
          <w:bCs/>
          <w:sz w:val="24"/>
          <w:szCs w:val="24"/>
        </w:rPr>
        <w:t>Andreas Bergmann</w:t>
      </w:r>
      <w:r w:rsidR="008F2E5B" w:rsidRPr="0011686C">
        <w:rPr>
          <w:rFonts w:cs="Calibri"/>
          <w:sz w:val="24"/>
          <w:szCs w:val="24"/>
        </w:rPr>
        <w:t>‡</w:t>
      </w:r>
      <w:r w:rsidR="008F2E5B" w:rsidRPr="0011686C">
        <w:rPr>
          <w:rFonts w:cs="Calibri"/>
          <w:b/>
          <w:bCs/>
          <w:sz w:val="24"/>
          <w:szCs w:val="24"/>
        </w:rPr>
        <w:t>, Donald J.L. Jones†</w:t>
      </w:r>
    </w:p>
    <w:p w:rsidR="008F2E5B" w:rsidRPr="0011686C" w:rsidRDefault="008F2E5B" w:rsidP="00E9203B">
      <w:pPr>
        <w:pStyle w:val="NoSpacing"/>
        <w:spacing w:line="360" w:lineRule="auto"/>
        <w:rPr>
          <w:rFonts w:cs="Calibri"/>
          <w:sz w:val="24"/>
          <w:szCs w:val="24"/>
        </w:rPr>
      </w:pPr>
    </w:p>
    <w:p w:rsidR="00336102" w:rsidRDefault="008F2E5B" w:rsidP="00E9203B">
      <w:pPr>
        <w:rPr>
          <w:rFonts w:cs="Calibri"/>
          <w:sz w:val="24"/>
          <w:szCs w:val="24"/>
        </w:rPr>
      </w:pPr>
      <w:r w:rsidRPr="0011686C">
        <w:rPr>
          <w:rFonts w:cs="Calibri"/>
          <w:sz w:val="24"/>
          <w:szCs w:val="24"/>
        </w:rPr>
        <w:t xml:space="preserve">From the University of Leicester, </w:t>
      </w:r>
      <w:r w:rsidRPr="0011686C">
        <w:rPr>
          <w:rFonts w:cs="Calibri"/>
          <w:b/>
          <w:bCs/>
          <w:sz w:val="24"/>
          <w:szCs w:val="24"/>
        </w:rPr>
        <w:t>*</w:t>
      </w:r>
      <w:r w:rsidRPr="0011686C">
        <w:rPr>
          <w:rFonts w:cs="Calibri"/>
          <w:sz w:val="24"/>
          <w:szCs w:val="24"/>
        </w:rPr>
        <w:t xml:space="preserve">Department of Cardiovascular Sciences and NIHR Leicester Cardiovascular Biomedical Research Unit, </w:t>
      </w:r>
      <w:proofErr w:type="spellStart"/>
      <w:r w:rsidRPr="0011686C">
        <w:rPr>
          <w:rFonts w:cs="Calibri"/>
          <w:sz w:val="24"/>
          <w:szCs w:val="24"/>
        </w:rPr>
        <w:t>Glenfield</w:t>
      </w:r>
      <w:proofErr w:type="spellEnd"/>
      <w:r w:rsidRPr="0011686C">
        <w:rPr>
          <w:rFonts w:cs="Calibri"/>
          <w:sz w:val="24"/>
          <w:szCs w:val="24"/>
        </w:rPr>
        <w:t xml:space="preserve"> Hospital, Leicester LE3 9QP, United Kingdom; and the </w:t>
      </w:r>
      <w:r w:rsidRPr="0011686C">
        <w:rPr>
          <w:rFonts w:cs="Calibri"/>
          <w:b/>
          <w:bCs/>
          <w:sz w:val="24"/>
          <w:szCs w:val="24"/>
        </w:rPr>
        <w:t>†</w:t>
      </w:r>
      <w:r w:rsidRPr="0011686C">
        <w:rPr>
          <w:rFonts w:cs="Calibri"/>
          <w:sz w:val="24"/>
          <w:szCs w:val="24"/>
        </w:rPr>
        <w:t>University of Leicester, Department of Cancer studies and Molecular Medicine, Leicester Royal Infirmary, Leicester LE1 5WW, United Kingdom</w:t>
      </w:r>
      <w:r w:rsidR="00336102">
        <w:rPr>
          <w:rFonts w:cs="Calibri"/>
          <w:sz w:val="24"/>
          <w:szCs w:val="24"/>
        </w:rPr>
        <w:t xml:space="preserve"> and </w:t>
      </w:r>
      <w:r w:rsidRPr="0011686C">
        <w:rPr>
          <w:rFonts w:cs="Calibri"/>
          <w:sz w:val="24"/>
          <w:szCs w:val="24"/>
        </w:rPr>
        <w:t xml:space="preserve">‡Sphingotec, GmbH, </w:t>
      </w:r>
      <w:proofErr w:type="spellStart"/>
      <w:r w:rsidRPr="0011686C">
        <w:rPr>
          <w:rFonts w:cs="Calibri"/>
          <w:sz w:val="24"/>
          <w:szCs w:val="24"/>
        </w:rPr>
        <w:t>Hennigsdorf</w:t>
      </w:r>
      <w:proofErr w:type="spellEnd"/>
      <w:r w:rsidRPr="0011686C">
        <w:rPr>
          <w:rFonts w:cs="Calibri"/>
          <w:sz w:val="24"/>
          <w:szCs w:val="24"/>
        </w:rPr>
        <w:t>, German</w:t>
      </w:r>
      <w:r w:rsidR="00336102">
        <w:rPr>
          <w:rFonts w:cs="Calibri"/>
          <w:sz w:val="24"/>
          <w:szCs w:val="24"/>
        </w:rPr>
        <w:t>.</w:t>
      </w:r>
    </w:p>
    <w:p w:rsidR="008F2E5B" w:rsidRPr="0011686C" w:rsidRDefault="008F2E5B" w:rsidP="00E9203B">
      <w:pPr>
        <w:spacing w:after="0" w:line="240" w:lineRule="auto"/>
        <w:rPr>
          <w:rFonts w:cs="Calibri"/>
          <w:sz w:val="24"/>
          <w:szCs w:val="24"/>
        </w:rPr>
      </w:pPr>
      <w:r w:rsidRPr="0011686C">
        <w:rPr>
          <w:rFonts w:cs="Calibri"/>
          <w:sz w:val="24"/>
          <w:szCs w:val="24"/>
        </w:rPr>
        <w:t>The authors' disclosures are below:-</w:t>
      </w:r>
    </w:p>
    <w:p w:rsidR="008F2E5B" w:rsidRPr="0011686C" w:rsidRDefault="008F2E5B" w:rsidP="00E9203B">
      <w:pPr>
        <w:spacing w:after="0" w:line="240" w:lineRule="auto"/>
        <w:rPr>
          <w:rFonts w:cs="Calibri"/>
          <w:sz w:val="24"/>
          <w:szCs w:val="24"/>
        </w:rPr>
      </w:pPr>
    </w:p>
    <w:p w:rsidR="008F2E5B" w:rsidRPr="0011686C" w:rsidRDefault="008F2E5B" w:rsidP="00E9203B">
      <w:pPr>
        <w:pStyle w:val="NoSpacing"/>
        <w:rPr>
          <w:rFonts w:cs="Calibri"/>
          <w:sz w:val="24"/>
          <w:szCs w:val="24"/>
        </w:rPr>
      </w:pPr>
      <w:r w:rsidRPr="0011686C">
        <w:rPr>
          <w:rFonts w:cs="Calibri"/>
          <w:sz w:val="24"/>
          <w:szCs w:val="24"/>
        </w:rPr>
        <w:t xml:space="preserve">Dr. Bergmann holds ownership in Sphingotec AG which </w:t>
      </w:r>
      <w:r>
        <w:rPr>
          <w:rFonts w:cs="Calibri"/>
          <w:sz w:val="24"/>
          <w:szCs w:val="24"/>
        </w:rPr>
        <w:t>provided the GH assay</w:t>
      </w:r>
      <w:r w:rsidRPr="0011686C">
        <w:rPr>
          <w:rFonts w:cs="Calibri"/>
          <w:sz w:val="24"/>
          <w:szCs w:val="24"/>
        </w:rPr>
        <w:t>, and is a member of the board of directors of Sphingotec GmbH.</w:t>
      </w:r>
    </w:p>
    <w:p w:rsidR="008F2E5B" w:rsidRDefault="008F2E5B" w:rsidP="00E9203B">
      <w:pPr>
        <w:spacing w:after="0" w:line="240" w:lineRule="auto"/>
        <w:rPr>
          <w:rFonts w:cs="Calibri"/>
          <w:sz w:val="24"/>
          <w:szCs w:val="24"/>
        </w:rPr>
      </w:pPr>
    </w:p>
    <w:p w:rsidR="008F2E5B" w:rsidRDefault="008F2E5B" w:rsidP="0098223B">
      <w:pPr>
        <w:pStyle w:val="NoSpacing"/>
        <w:rPr>
          <w:rFonts w:cs="Calibri"/>
          <w:sz w:val="24"/>
          <w:szCs w:val="24"/>
        </w:rPr>
      </w:pPr>
      <w:r>
        <w:rPr>
          <w:rFonts w:cs="Calibri"/>
          <w:sz w:val="24"/>
          <w:szCs w:val="24"/>
        </w:rPr>
        <w:t>Dr. Struck is employed by Sphingotec GmbH.</w:t>
      </w:r>
    </w:p>
    <w:p w:rsidR="008F2E5B" w:rsidRDefault="008F2E5B" w:rsidP="0098223B">
      <w:pPr>
        <w:pStyle w:val="NoSpacing"/>
        <w:rPr>
          <w:rFonts w:cs="Calibri"/>
          <w:sz w:val="24"/>
          <w:szCs w:val="24"/>
        </w:rPr>
      </w:pPr>
    </w:p>
    <w:p w:rsidR="008F2E5B" w:rsidRPr="0011686C" w:rsidRDefault="008F2E5B" w:rsidP="0098223B">
      <w:pPr>
        <w:pStyle w:val="NoSpacing"/>
        <w:rPr>
          <w:rFonts w:cs="Calibri"/>
          <w:sz w:val="24"/>
          <w:szCs w:val="24"/>
        </w:rPr>
      </w:pPr>
      <w:r>
        <w:rPr>
          <w:rFonts w:cs="Calibri"/>
          <w:sz w:val="24"/>
          <w:szCs w:val="24"/>
        </w:rPr>
        <w:t xml:space="preserve">Dr. Ng has submitted patents on cardiovascular biomarkers on behalf of the </w:t>
      </w:r>
      <w:smartTag w:uri="urn:schemas-microsoft-com:office:smarttags" w:element="place">
        <w:smartTag w:uri="urn:schemas-microsoft-com:office:smarttags" w:element="PlaceType">
          <w:r>
            <w:rPr>
              <w:rFonts w:cs="Calibri"/>
              <w:sz w:val="24"/>
              <w:szCs w:val="24"/>
            </w:rPr>
            <w:t>University</w:t>
          </w:r>
        </w:smartTag>
        <w:r>
          <w:rPr>
            <w:rFonts w:cs="Calibri"/>
            <w:sz w:val="24"/>
            <w:szCs w:val="24"/>
          </w:rPr>
          <w:t xml:space="preserve"> of </w:t>
        </w:r>
        <w:smartTag w:uri="urn:schemas-microsoft-com:office:smarttags" w:element="PlaceName">
          <w:r>
            <w:rPr>
              <w:rFonts w:cs="Calibri"/>
              <w:sz w:val="24"/>
              <w:szCs w:val="24"/>
            </w:rPr>
            <w:t>Leicester</w:t>
          </w:r>
        </w:smartTag>
      </w:smartTag>
      <w:r>
        <w:rPr>
          <w:rFonts w:cs="Calibri"/>
          <w:sz w:val="24"/>
          <w:szCs w:val="24"/>
        </w:rPr>
        <w:t>.</w:t>
      </w:r>
    </w:p>
    <w:p w:rsidR="008F2E5B" w:rsidRPr="0011686C" w:rsidRDefault="008F2E5B" w:rsidP="00E9203B">
      <w:pPr>
        <w:spacing w:after="0" w:line="240" w:lineRule="auto"/>
        <w:rPr>
          <w:rFonts w:cs="Calibri"/>
          <w:sz w:val="24"/>
          <w:szCs w:val="24"/>
        </w:rPr>
      </w:pPr>
    </w:p>
    <w:p w:rsidR="008F2E5B" w:rsidRPr="0011686C" w:rsidRDefault="008F2E5B" w:rsidP="005D797C">
      <w:pPr>
        <w:pStyle w:val="NoSpacing"/>
        <w:rPr>
          <w:rFonts w:cs="Calibri"/>
          <w:sz w:val="24"/>
          <w:szCs w:val="24"/>
        </w:rPr>
      </w:pPr>
      <w:r w:rsidRPr="0011686C">
        <w:rPr>
          <w:rFonts w:cs="Calibri"/>
          <w:sz w:val="24"/>
          <w:szCs w:val="24"/>
        </w:rPr>
        <w:t xml:space="preserve">Key words: myocardial infarction; </w:t>
      </w:r>
      <w:r>
        <w:rPr>
          <w:rFonts w:cs="Calibri"/>
          <w:sz w:val="24"/>
          <w:szCs w:val="24"/>
        </w:rPr>
        <w:t>Growth Hormone</w:t>
      </w:r>
      <w:r w:rsidRPr="0011686C">
        <w:rPr>
          <w:rFonts w:cs="Calibri"/>
          <w:sz w:val="24"/>
          <w:szCs w:val="24"/>
        </w:rPr>
        <w:t>;</w:t>
      </w:r>
      <w:r>
        <w:rPr>
          <w:rFonts w:cs="Calibri"/>
          <w:sz w:val="24"/>
          <w:szCs w:val="24"/>
        </w:rPr>
        <w:t xml:space="preserve"> beta blockers; ACE inhibitors</w:t>
      </w:r>
    </w:p>
    <w:p w:rsidR="008F2E5B" w:rsidRDefault="008F2E5B" w:rsidP="001760E0">
      <w:pPr>
        <w:pStyle w:val="NoSpacing"/>
        <w:rPr>
          <w:rFonts w:cs="Calibri"/>
          <w:sz w:val="24"/>
          <w:szCs w:val="24"/>
        </w:rPr>
      </w:pPr>
    </w:p>
    <w:p w:rsidR="008F2E5B" w:rsidRPr="00616ED9" w:rsidRDefault="008F2E5B" w:rsidP="001760E0">
      <w:pPr>
        <w:pStyle w:val="NoSpacing"/>
        <w:rPr>
          <w:rFonts w:cs="Calibri"/>
          <w:sz w:val="24"/>
          <w:szCs w:val="24"/>
        </w:rPr>
      </w:pPr>
      <w:r w:rsidRPr="00616ED9">
        <w:rPr>
          <w:rFonts w:cs="Calibri"/>
          <w:sz w:val="24"/>
          <w:szCs w:val="24"/>
        </w:rPr>
        <w:t>Address for Correspondence:  Professor Leong L. Ng</w:t>
      </w:r>
    </w:p>
    <w:p w:rsidR="008F2E5B" w:rsidRPr="00616ED9" w:rsidRDefault="008F2E5B" w:rsidP="001760E0">
      <w:pPr>
        <w:pStyle w:val="NoSpacing"/>
        <w:rPr>
          <w:rFonts w:cs="Calibri"/>
          <w:sz w:val="24"/>
          <w:szCs w:val="24"/>
        </w:rPr>
      </w:pPr>
      <w:r w:rsidRPr="00616ED9">
        <w:rPr>
          <w:rFonts w:cs="Calibri"/>
          <w:sz w:val="24"/>
          <w:szCs w:val="24"/>
        </w:rPr>
        <w:t>Department of Cardiovascular Sciences</w:t>
      </w:r>
    </w:p>
    <w:p w:rsidR="008F2E5B" w:rsidRPr="00616ED9" w:rsidRDefault="008F2E5B" w:rsidP="008E5B99">
      <w:pPr>
        <w:pStyle w:val="NoSpacing"/>
        <w:tabs>
          <w:tab w:val="left" w:pos="3357"/>
        </w:tabs>
        <w:rPr>
          <w:rFonts w:cs="Calibri"/>
          <w:sz w:val="24"/>
          <w:szCs w:val="24"/>
        </w:rPr>
      </w:pPr>
      <w:r>
        <w:rPr>
          <w:rFonts w:cs="Calibri"/>
          <w:sz w:val="24"/>
          <w:szCs w:val="24"/>
        </w:rPr>
        <w:t xml:space="preserve">Clinical Sciences Wing, </w:t>
      </w:r>
      <w:proofErr w:type="spellStart"/>
      <w:r w:rsidRPr="00616ED9">
        <w:rPr>
          <w:rFonts w:cs="Calibri"/>
          <w:sz w:val="24"/>
          <w:szCs w:val="24"/>
        </w:rPr>
        <w:t>Glenfield</w:t>
      </w:r>
      <w:proofErr w:type="spellEnd"/>
      <w:r w:rsidRPr="00616ED9">
        <w:rPr>
          <w:rFonts w:cs="Calibri"/>
          <w:sz w:val="24"/>
          <w:szCs w:val="24"/>
        </w:rPr>
        <w:t xml:space="preserve"> Hospital,</w:t>
      </w:r>
    </w:p>
    <w:p w:rsidR="008F2E5B" w:rsidRPr="00616ED9" w:rsidRDefault="008F2E5B" w:rsidP="001760E0">
      <w:pPr>
        <w:pStyle w:val="NoSpacing"/>
        <w:rPr>
          <w:rFonts w:cs="Calibri"/>
          <w:sz w:val="24"/>
          <w:szCs w:val="24"/>
          <w:lang w:val="fr-FR"/>
        </w:rPr>
      </w:pPr>
      <w:r w:rsidRPr="00616ED9">
        <w:rPr>
          <w:rFonts w:cs="Calibri"/>
          <w:sz w:val="24"/>
          <w:szCs w:val="24"/>
          <w:lang w:val="fr-FR"/>
        </w:rPr>
        <w:t xml:space="preserve">Leicester  </w:t>
      </w:r>
      <w:r w:rsidRPr="00616ED9">
        <w:rPr>
          <w:rFonts w:cs="Calibri"/>
          <w:sz w:val="24"/>
          <w:szCs w:val="24"/>
        </w:rPr>
        <w:t>LE3 9QP</w:t>
      </w:r>
      <w:r w:rsidRPr="00616ED9">
        <w:rPr>
          <w:rFonts w:cs="Calibri"/>
          <w:sz w:val="24"/>
          <w:szCs w:val="24"/>
          <w:lang w:val="fr-FR"/>
        </w:rPr>
        <w:t>,   UK</w:t>
      </w:r>
    </w:p>
    <w:p w:rsidR="008F2E5B" w:rsidRPr="00616ED9" w:rsidRDefault="008F2E5B" w:rsidP="001760E0">
      <w:pPr>
        <w:pStyle w:val="NoSpacing"/>
        <w:rPr>
          <w:rFonts w:cs="Calibri"/>
          <w:sz w:val="24"/>
          <w:szCs w:val="24"/>
          <w:lang w:val="fr-FR"/>
        </w:rPr>
      </w:pPr>
      <w:r w:rsidRPr="00616ED9">
        <w:rPr>
          <w:rFonts w:cs="Calibri"/>
          <w:sz w:val="24"/>
          <w:szCs w:val="24"/>
          <w:lang w:val="fr-FR"/>
        </w:rPr>
        <w:t xml:space="preserve">Phone:+44 116 2502449 ; </w:t>
      </w:r>
    </w:p>
    <w:p w:rsidR="008F2E5B" w:rsidRPr="00616ED9" w:rsidRDefault="008F2E5B" w:rsidP="001760E0">
      <w:pPr>
        <w:pStyle w:val="NoSpacing"/>
        <w:rPr>
          <w:rFonts w:cs="Calibri"/>
          <w:sz w:val="24"/>
          <w:szCs w:val="24"/>
          <w:lang w:val="fr-FR"/>
        </w:rPr>
      </w:pPr>
      <w:proofErr w:type="gramStart"/>
      <w:r w:rsidRPr="00616ED9">
        <w:rPr>
          <w:rFonts w:cs="Calibri"/>
          <w:sz w:val="24"/>
          <w:szCs w:val="24"/>
          <w:lang w:val="fr-FR"/>
        </w:rPr>
        <w:t>e-mail</w:t>
      </w:r>
      <w:proofErr w:type="gramEnd"/>
      <w:r w:rsidRPr="00616ED9">
        <w:rPr>
          <w:rFonts w:cs="Calibri"/>
          <w:sz w:val="24"/>
          <w:szCs w:val="24"/>
          <w:lang w:val="fr-FR"/>
        </w:rPr>
        <w:t xml:space="preserve">: lln1@le.ac.uk </w:t>
      </w:r>
    </w:p>
    <w:p w:rsidR="008F2E5B" w:rsidRPr="00616ED9" w:rsidRDefault="008F2E5B" w:rsidP="001760E0">
      <w:pPr>
        <w:pStyle w:val="NoSpacing"/>
        <w:rPr>
          <w:rFonts w:cs="Calibri"/>
          <w:sz w:val="24"/>
          <w:szCs w:val="24"/>
        </w:rPr>
      </w:pPr>
    </w:p>
    <w:p w:rsidR="008F2E5B" w:rsidRPr="00616ED9" w:rsidRDefault="008F2E5B" w:rsidP="001760E0">
      <w:pPr>
        <w:pStyle w:val="NoSpacing"/>
        <w:rPr>
          <w:rFonts w:cs="Calibri"/>
          <w:sz w:val="24"/>
          <w:szCs w:val="24"/>
        </w:rPr>
      </w:pPr>
      <w:r w:rsidRPr="00304DA3">
        <w:rPr>
          <w:rFonts w:cs="Calibri"/>
          <w:sz w:val="24"/>
          <w:szCs w:val="24"/>
        </w:rPr>
        <w:t xml:space="preserve">Word </w:t>
      </w:r>
      <w:proofErr w:type="gramStart"/>
      <w:r w:rsidRPr="00304DA3">
        <w:rPr>
          <w:rFonts w:cs="Calibri"/>
          <w:sz w:val="24"/>
          <w:szCs w:val="24"/>
        </w:rPr>
        <w:t>count :</w:t>
      </w:r>
      <w:proofErr w:type="gramEnd"/>
      <w:r w:rsidRPr="00304DA3">
        <w:rPr>
          <w:rFonts w:cs="Calibri"/>
          <w:sz w:val="24"/>
          <w:szCs w:val="24"/>
        </w:rPr>
        <w:t xml:space="preserve"> Abstract </w:t>
      </w:r>
      <w:r w:rsidR="00053D0C">
        <w:rPr>
          <w:rFonts w:cs="Calibri"/>
          <w:sz w:val="24"/>
          <w:szCs w:val="24"/>
        </w:rPr>
        <w:t>184</w:t>
      </w:r>
      <w:r w:rsidRPr="00304DA3">
        <w:rPr>
          <w:rFonts w:cs="Calibri"/>
          <w:sz w:val="24"/>
          <w:szCs w:val="24"/>
        </w:rPr>
        <w:t xml:space="preserve">:   Main Text and References: </w:t>
      </w:r>
      <w:r w:rsidR="00AF1625">
        <w:rPr>
          <w:rFonts w:cs="Calibri"/>
          <w:sz w:val="24"/>
          <w:szCs w:val="24"/>
        </w:rPr>
        <w:t>2200</w:t>
      </w:r>
    </w:p>
    <w:p w:rsidR="008F2E5B" w:rsidRPr="00616ED9" w:rsidRDefault="008F2E5B" w:rsidP="001760E0">
      <w:pPr>
        <w:pStyle w:val="NoSpacing"/>
        <w:jc w:val="center"/>
        <w:rPr>
          <w:rFonts w:cs="Calibri"/>
          <w:b/>
          <w:sz w:val="24"/>
          <w:szCs w:val="24"/>
        </w:rPr>
      </w:pPr>
      <w:r w:rsidRPr="00616ED9">
        <w:rPr>
          <w:rFonts w:cs="Calibri"/>
          <w:sz w:val="24"/>
          <w:szCs w:val="24"/>
        </w:rPr>
        <w:br w:type="page"/>
      </w:r>
      <w:r w:rsidRPr="00616ED9">
        <w:rPr>
          <w:rFonts w:cs="Calibri"/>
          <w:b/>
          <w:sz w:val="24"/>
          <w:szCs w:val="24"/>
        </w:rPr>
        <w:lastRenderedPageBreak/>
        <w:t>STRUCTURED ABSTRACT</w:t>
      </w:r>
    </w:p>
    <w:p w:rsidR="008F2E5B" w:rsidRPr="00616ED9" w:rsidRDefault="008F2E5B" w:rsidP="001760E0">
      <w:pPr>
        <w:pStyle w:val="NoSpacing"/>
        <w:rPr>
          <w:rFonts w:cs="Calibri"/>
          <w:sz w:val="24"/>
          <w:szCs w:val="24"/>
        </w:rPr>
      </w:pPr>
    </w:p>
    <w:p w:rsidR="008F6A8B" w:rsidRDefault="008F6A8B" w:rsidP="00E64B5D">
      <w:pPr>
        <w:pStyle w:val="NoSpacing"/>
        <w:spacing w:line="480" w:lineRule="auto"/>
        <w:rPr>
          <w:rFonts w:cs="Calibri"/>
          <w:b/>
          <w:sz w:val="24"/>
          <w:szCs w:val="24"/>
        </w:rPr>
      </w:pPr>
      <w:r>
        <w:rPr>
          <w:rFonts w:cs="Calibri"/>
          <w:b/>
          <w:sz w:val="24"/>
          <w:szCs w:val="24"/>
        </w:rPr>
        <w:t>Context</w:t>
      </w:r>
    </w:p>
    <w:p w:rsidR="008F6A8B" w:rsidRDefault="008F6A8B" w:rsidP="008F6A8B">
      <w:pPr>
        <w:pStyle w:val="NoSpacing"/>
        <w:spacing w:line="480" w:lineRule="auto"/>
        <w:rPr>
          <w:rFonts w:cs="Calibri"/>
          <w:sz w:val="24"/>
          <w:szCs w:val="24"/>
        </w:rPr>
      </w:pPr>
      <w:r>
        <w:rPr>
          <w:rFonts w:cs="Calibri"/>
          <w:sz w:val="24"/>
          <w:szCs w:val="24"/>
        </w:rPr>
        <w:t xml:space="preserve">Excess </w:t>
      </w:r>
      <w:r>
        <w:rPr>
          <w:rFonts w:cs="Calibri"/>
          <w:sz w:val="24"/>
          <w:szCs w:val="24"/>
        </w:rPr>
        <w:t>growth hormone</w:t>
      </w:r>
      <w:r>
        <w:rPr>
          <w:rFonts w:cs="Calibri"/>
          <w:sz w:val="24"/>
          <w:szCs w:val="24"/>
        </w:rPr>
        <w:t xml:space="preserve"> is associated with</w:t>
      </w:r>
      <w:r>
        <w:rPr>
          <w:rFonts w:cs="Calibri"/>
          <w:sz w:val="24"/>
          <w:szCs w:val="24"/>
        </w:rPr>
        <w:t xml:space="preserve"> </w:t>
      </w:r>
      <w:r>
        <w:rPr>
          <w:rFonts w:cs="Calibri"/>
          <w:sz w:val="24"/>
          <w:szCs w:val="24"/>
        </w:rPr>
        <w:t xml:space="preserve">early mortality. In healthy populations, </w:t>
      </w:r>
      <w:proofErr w:type="gramStart"/>
      <w:r>
        <w:rPr>
          <w:rFonts w:cs="Calibri"/>
          <w:sz w:val="24"/>
          <w:szCs w:val="24"/>
        </w:rPr>
        <w:t>high GH levels was</w:t>
      </w:r>
      <w:proofErr w:type="gramEnd"/>
      <w:r>
        <w:rPr>
          <w:rFonts w:cs="Calibri"/>
          <w:sz w:val="24"/>
          <w:szCs w:val="24"/>
        </w:rPr>
        <w:t xml:space="preserve"> associated with increased mortality.  </w:t>
      </w:r>
    </w:p>
    <w:p w:rsidR="008F2E5B" w:rsidRPr="00E64B5D" w:rsidRDefault="008F2E5B" w:rsidP="00E64B5D">
      <w:pPr>
        <w:pStyle w:val="NoSpacing"/>
        <w:spacing w:line="480" w:lineRule="auto"/>
        <w:rPr>
          <w:rFonts w:cs="Calibri"/>
          <w:b/>
          <w:sz w:val="24"/>
          <w:szCs w:val="24"/>
        </w:rPr>
      </w:pPr>
      <w:r w:rsidRPr="00E64B5D">
        <w:rPr>
          <w:rFonts w:cs="Calibri"/>
          <w:b/>
          <w:sz w:val="24"/>
          <w:szCs w:val="24"/>
        </w:rPr>
        <w:t>Objectives</w:t>
      </w:r>
    </w:p>
    <w:p w:rsidR="00531354" w:rsidRDefault="008F2E5B" w:rsidP="00E64B5D">
      <w:pPr>
        <w:pStyle w:val="NoSpacing"/>
        <w:spacing w:line="480" w:lineRule="auto"/>
        <w:rPr>
          <w:rFonts w:cs="Calibri"/>
          <w:sz w:val="24"/>
          <w:szCs w:val="24"/>
        </w:rPr>
      </w:pPr>
      <w:r>
        <w:rPr>
          <w:rFonts w:cs="Calibri"/>
          <w:sz w:val="24"/>
          <w:szCs w:val="24"/>
        </w:rPr>
        <w:t xml:space="preserve">We assessed </w:t>
      </w:r>
      <w:r w:rsidR="00531354">
        <w:rPr>
          <w:rFonts w:cs="Calibri"/>
          <w:sz w:val="24"/>
          <w:szCs w:val="24"/>
        </w:rPr>
        <w:t>the association of Growth Hormone (GH) with</w:t>
      </w:r>
      <w:r>
        <w:rPr>
          <w:rFonts w:cs="Calibri"/>
          <w:sz w:val="24"/>
          <w:szCs w:val="24"/>
        </w:rPr>
        <w:t xml:space="preserve"> prognosis after </w:t>
      </w:r>
      <w:r w:rsidRPr="00616ED9">
        <w:rPr>
          <w:rFonts w:cs="Calibri"/>
          <w:sz w:val="24"/>
          <w:szCs w:val="24"/>
        </w:rPr>
        <w:t xml:space="preserve">acute myocardial </w:t>
      </w:r>
      <w:proofErr w:type="gramStart"/>
      <w:r w:rsidRPr="00616ED9">
        <w:rPr>
          <w:rFonts w:cs="Calibri"/>
          <w:sz w:val="24"/>
          <w:szCs w:val="24"/>
        </w:rPr>
        <w:t>infarction(</w:t>
      </w:r>
      <w:proofErr w:type="gramEnd"/>
      <w:r w:rsidRPr="00616ED9">
        <w:rPr>
          <w:rFonts w:cs="Calibri"/>
          <w:sz w:val="24"/>
          <w:szCs w:val="24"/>
        </w:rPr>
        <w:t>AMI)</w:t>
      </w:r>
      <w:r>
        <w:rPr>
          <w:rFonts w:cs="Calibri"/>
          <w:sz w:val="24"/>
          <w:szCs w:val="24"/>
        </w:rPr>
        <w:t xml:space="preserve">, </w:t>
      </w:r>
      <w:r w:rsidR="00531354">
        <w:rPr>
          <w:rFonts w:cs="Calibri"/>
          <w:sz w:val="24"/>
          <w:szCs w:val="24"/>
        </w:rPr>
        <w:t>and the effects of secondary prevention therapies on outcome stratified by GH levels.</w:t>
      </w:r>
    </w:p>
    <w:p w:rsidR="008F2E5B" w:rsidRPr="00E64B5D" w:rsidRDefault="008F2E5B" w:rsidP="00E64B5D">
      <w:pPr>
        <w:pStyle w:val="NoSpacing"/>
        <w:spacing w:line="480" w:lineRule="auto"/>
        <w:rPr>
          <w:rFonts w:cs="Calibri"/>
          <w:b/>
          <w:sz w:val="24"/>
          <w:szCs w:val="24"/>
        </w:rPr>
      </w:pPr>
      <w:r w:rsidRPr="00E64B5D">
        <w:rPr>
          <w:rFonts w:cs="Calibri"/>
          <w:b/>
          <w:sz w:val="24"/>
          <w:szCs w:val="24"/>
        </w:rPr>
        <w:t>Methods</w:t>
      </w:r>
    </w:p>
    <w:p w:rsidR="00FA3730" w:rsidRDefault="007A5AA3" w:rsidP="00E64B5D">
      <w:pPr>
        <w:pStyle w:val="NoSpacing"/>
        <w:spacing w:line="480" w:lineRule="auto"/>
        <w:rPr>
          <w:rFonts w:cs="Calibri"/>
          <w:sz w:val="24"/>
          <w:szCs w:val="24"/>
        </w:rPr>
      </w:pPr>
      <w:r>
        <w:rPr>
          <w:rFonts w:cs="Calibri"/>
          <w:sz w:val="24"/>
          <w:szCs w:val="24"/>
        </w:rPr>
        <w:t>GH was measured using a high-sensitivity assay in 953</w:t>
      </w:r>
      <w:r w:rsidR="008F2E5B" w:rsidRPr="00616ED9">
        <w:rPr>
          <w:rFonts w:cs="Calibri"/>
          <w:sz w:val="24"/>
          <w:szCs w:val="24"/>
        </w:rPr>
        <w:t xml:space="preserve"> (</w:t>
      </w:r>
      <w:r w:rsidR="00FA3730">
        <w:rPr>
          <w:rFonts w:cs="Calibri"/>
          <w:sz w:val="24"/>
          <w:szCs w:val="24"/>
        </w:rPr>
        <w:t>687</w:t>
      </w:r>
      <w:r w:rsidR="008F2E5B" w:rsidRPr="00616ED9">
        <w:rPr>
          <w:rFonts w:cs="Calibri"/>
          <w:sz w:val="24"/>
          <w:szCs w:val="24"/>
        </w:rPr>
        <w:t xml:space="preserve"> male, mean age </w:t>
      </w:r>
      <w:r w:rsidR="00FA3730" w:rsidRPr="00794645">
        <w:rPr>
          <w:rFonts w:cs="Calibri"/>
          <w:bCs/>
          <w:sz w:val="24"/>
          <w:szCs w:val="24"/>
        </w:rPr>
        <w:t>66.</w:t>
      </w:r>
      <w:r w:rsidR="00FA3730">
        <w:rPr>
          <w:rFonts w:cs="Calibri"/>
          <w:bCs/>
          <w:sz w:val="24"/>
          <w:szCs w:val="24"/>
        </w:rPr>
        <w:t>1</w:t>
      </w:r>
      <w:r w:rsidR="00FA3730" w:rsidRPr="00794645">
        <w:rPr>
          <w:rFonts w:cs="Calibri"/>
          <w:bCs/>
          <w:sz w:val="24"/>
          <w:szCs w:val="24"/>
        </w:rPr>
        <w:t xml:space="preserve"> ± 12.8</w:t>
      </w:r>
      <w:r w:rsidR="00FA3730">
        <w:rPr>
          <w:rFonts w:cs="Calibri"/>
          <w:bCs/>
          <w:sz w:val="24"/>
          <w:szCs w:val="24"/>
        </w:rPr>
        <w:t xml:space="preserve"> </w:t>
      </w:r>
      <w:r w:rsidR="008F2E5B" w:rsidRPr="00616ED9">
        <w:rPr>
          <w:rFonts w:cs="Calibri"/>
          <w:sz w:val="24"/>
          <w:szCs w:val="24"/>
        </w:rPr>
        <w:t xml:space="preserve">years) AMI patients. </w:t>
      </w:r>
      <w:r w:rsidR="00FA3730">
        <w:rPr>
          <w:rFonts w:cs="Calibri"/>
          <w:sz w:val="24"/>
          <w:szCs w:val="24"/>
        </w:rPr>
        <w:t xml:space="preserve">The primary outcome was </w:t>
      </w:r>
      <w:r w:rsidR="008F2E5B" w:rsidRPr="00616ED9">
        <w:rPr>
          <w:rFonts w:cs="Calibri"/>
          <w:sz w:val="24"/>
          <w:szCs w:val="24"/>
        </w:rPr>
        <w:t>major adverse events (</w:t>
      </w:r>
      <w:r w:rsidR="005461BC">
        <w:rPr>
          <w:rFonts w:cs="Calibri"/>
          <w:sz w:val="24"/>
          <w:szCs w:val="24"/>
        </w:rPr>
        <w:t xml:space="preserve">MACE, a </w:t>
      </w:r>
      <w:r w:rsidR="008F2E5B" w:rsidRPr="00616ED9">
        <w:rPr>
          <w:rFonts w:cs="Calibri"/>
          <w:sz w:val="24"/>
          <w:szCs w:val="24"/>
        </w:rPr>
        <w:t xml:space="preserve">composite of death, </w:t>
      </w:r>
      <w:r w:rsidR="008F2E5B">
        <w:rPr>
          <w:rFonts w:cs="Calibri"/>
          <w:sz w:val="24"/>
          <w:szCs w:val="24"/>
        </w:rPr>
        <w:t>re-AMI</w:t>
      </w:r>
      <w:r w:rsidR="008F2E5B" w:rsidRPr="00616ED9">
        <w:rPr>
          <w:rFonts w:cs="Calibri"/>
          <w:sz w:val="24"/>
          <w:szCs w:val="24"/>
        </w:rPr>
        <w:t xml:space="preserve">, </w:t>
      </w:r>
      <w:proofErr w:type="gramStart"/>
      <w:r w:rsidR="008F2E5B" w:rsidRPr="00616ED9">
        <w:rPr>
          <w:rFonts w:cs="Calibri"/>
          <w:sz w:val="24"/>
          <w:szCs w:val="24"/>
        </w:rPr>
        <w:t>heart</w:t>
      </w:r>
      <w:proofErr w:type="gramEnd"/>
      <w:r w:rsidR="008F2E5B" w:rsidRPr="00616ED9">
        <w:rPr>
          <w:rFonts w:cs="Calibri"/>
          <w:sz w:val="24"/>
          <w:szCs w:val="24"/>
        </w:rPr>
        <w:t xml:space="preserve"> </w:t>
      </w:r>
      <w:r w:rsidR="008F2E5B">
        <w:rPr>
          <w:rFonts w:cs="Calibri"/>
          <w:sz w:val="24"/>
          <w:szCs w:val="24"/>
        </w:rPr>
        <w:t>failure</w:t>
      </w:r>
      <w:r w:rsidR="003E200F">
        <w:rPr>
          <w:rFonts w:cs="Calibri"/>
          <w:sz w:val="24"/>
          <w:szCs w:val="24"/>
        </w:rPr>
        <w:t xml:space="preserve"> </w:t>
      </w:r>
      <w:r w:rsidR="008F2E5B">
        <w:rPr>
          <w:rFonts w:cs="Calibri"/>
          <w:sz w:val="24"/>
          <w:szCs w:val="24"/>
        </w:rPr>
        <w:t>(HF) hospitalization)</w:t>
      </w:r>
      <w:r w:rsidR="00FA3730">
        <w:rPr>
          <w:rFonts w:cs="Calibri"/>
          <w:sz w:val="24"/>
          <w:szCs w:val="24"/>
        </w:rPr>
        <w:t>.</w:t>
      </w:r>
    </w:p>
    <w:p w:rsidR="008F2E5B" w:rsidRPr="00E64B5D" w:rsidRDefault="008F2E5B" w:rsidP="00E64B5D">
      <w:pPr>
        <w:pStyle w:val="NoSpacing"/>
        <w:spacing w:line="480" w:lineRule="auto"/>
        <w:rPr>
          <w:rFonts w:cs="Calibri"/>
          <w:b/>
          <w:sz w:val="24"/>
          <w:szCs w:val="24"/>
        </w:rPr>
      </w:pPr>
      <w:r w:rsidRPr="00E64B5D">
        <w:rPr>
          <w:rFonts w:cs="Calibri"/>
          <w:b/>
          <w:sz w:val="24"/>
          <w:szCs w:val="24"/>
        </w:rPr>
        <w:t>Results</w:t>
      </w:r>
    </w:p>
    <w:p w:rsidR="008F6A8B" w:rsidRDefault="008F2E5B" w:rsidP="008F6A8B">
      <w:pPr>
        <w:pStyle w:val="NoSpacing"/>
        <w:spacing w:line="480" w:lineRule="auto"/>
        <w:rPr>
          <w:rFonts w:asciiTheme="minorHAnsi" w:hAnsiTheme="minorHAnsi"/>
          <w:sz w:val="24"/>
          <w:szCs w:val="24"/>
          <w:lang w:eastAsia="en-GB"/>
        </w:rPr>
      </w:pPr>
      <w:r w:rsidRPr="00616ED9">
        <w:rPr>
          <w:rFonts w:cs="Calibri"/>
          <w:sz w:val="24"/>
          <w:szCs w:val="24"/>
        </w:rPr>
        <w:t xml:space="preserve">During </w:t>
      </w:r>
      <w:r>
        <w:rPr>
          <w:rFonts w:cs="Calibri"/>
          <w:sz w:val="24"/>
          <w:szCs w:val="24"/>
        </w:rPr>
        <w:t xml:space="preserve">2 years </w:t>
      </w:r>
      <w:r w:rsidRPr="00616ED9">
        <w:rPr>
          <w:rFonts w:cs="Calibri"/>
          <w:sz w:val="24"/>
          <w:szCs w:val="24"/>
        </w:rPr>
        <w:t>follow-up</w:t>
      </w:r>
      <w:r>
        <w:rPr>
          <w:rFonts w:cs="Calibri"/>
          <w:sz w:val="24"/>
          <w:szCs w:val="24"/>
        </w:rPr>
        <w:t xml:space="preserve">, </w:t>
      </w:r>
      <w:r w:rsidR="00FA3730">
        <w:rPr>
          <w:rFonts w:cs="Calibri"/>
          <w:sz w:val="24"/>
          <w:szCs w:val="24"/>
        </w:rPr>
        <w:t xml:space="preserve">there were 281 major adverse event </w:t>
      </w:r>
      <w:r w:rsidR="008F6A8B">
        <w:rPr>
          <w:rFonts w:cs="Calibri"/>
          <w:sz w:val="24"/>
          <w:szCs w:val="24"/>
        </w:rPr>
        <w:t xml:space="preserve">endpoints. </w:t>
      </w:r>
      <w:r w:rsidR="00344765" w:rsidRPr="00906960">
        <w:rPr>
          <w:rFonts w:cs="Calibri"/>
          <w:sz w:val="24"/>
          <w:szCs w:val="24"/>
        </w:rPr>
        <w:t xml:space="preserve">Patients with MACE had higher levels of GH </w:t>
      </w:r>
      <w:r w:rsidR="00344765">
        <w:rPr>
          <w:rFonts w:cs="Calibri"/>
          <w:sz w:val="24"/>
          <w:szCs w:val="24"/>
        </w:rPr>
        <w:t>(</w:t>
      </w:r>
      <w:r w:rsidR="00344765" w:rsidRPr="00906960">
        <w:rPr>
          <w:rFonts w:cs="Calibri"/>
          <w:sz w:val="24"/>
          <w:szCs w:val="24"/>
        </w:rPr>
        <w:t>median [range]</w:t>
      </w:r>
      <w:proofErr w:type="gramStart"/>
      <w:r w:rsidR="00344765">
        <w:rPr>
          <w:rFonts w:cs="Calibri"/>
          <w:sz w:val="24"/>
          <w:szCs w:val="24"/>
        </w:rPr>
        <w:t xml:space="preserve">, </w:t>
      </w:r>
      <w:r w:rsidR="00344765" w:rsidRPr="00906960">
        <w:rPr>
          <w:rFonts w:cs="Calibri"/>
          <w:sz w:val="24"/>
          <w:szCs w:val="24"/>
        </w:rPr>
        <w:t xml:space="preserve"> 0.91</w:t>
      </w:r>
      <w:proofErr w:type="gramEnd"/>
      <w:r w:rsidR="00344765" w:rsidRPr="00906960">
        <w:rPr>
          <w:rFonts w:cs="Calibri"/>
          <w:sz w:val="24"/>
          <w:szCs w:val="24"/>
        </w:rPr>
        <w:t xml:space="preserve"> [0.04-26.28]</w:t>
      </w:r>
      <w:r w:rsidR="00344765">
        <w:rPr>
          <w:rFonts w:cs="Calibri"/>
          <w:sz w:val="24"/>
          <w:szCs w:val="24"/>
        </w:rPr>
        <w:t xml:space="preserve"> µg/L) compared to event free survivors (0.59 [0.02-21.6], </w:t>
      </w:r>
      <w:r w:rsidR="00344765" w:rsidRPr="00906960">
        <w:rPr>
          <w:rFonts w:cs="Calibri"/>
          <w:sz w:val="24"/>
          <w:szCs w:val="24"/>
        </w:rPr>
        <w:t>p</w:t>
      </w:r>
      <w:r w:rsidR="00344765">
        <w:rPr>
          <w:rFonts w:cs="Calibri"/>
          <w:sz w:val="24"/>
          <w:szCs w:val="24"/>
        </w:rPr>
        <w:t>&lt;</w:t>
      </w:r>
      <w:r w:rsidR="00344765" w:rsidRPr="00906960">
        <w:rPr>
          <w:rFonts w:cs="Calibri"/>
          <w:sz w:val="24"/>
          <w:szCs w:val="24"/>
        </w:rPr>
        <w:t xml:space="preserve">0.0005 </w:t>
      </w:r>
      <w:r w:rsidR="00344765">
        <w:rPr>
          <w:rFonts w:cs="Calibri"/>
          <w:sz w:val="24"/>
          <w:szCs w:val="24"/>
        </w:rPr>
        <w:t>using the M</w:t>
      </w:r>
      <w:r w:rsidR="00344765" w:rsidRPr="00906960">
        <w:rPr>
          <w:rFonts w:cs="Calibri"/>
          <w:sz w:val="24"/>
          <w:szCs w:val="24"/>
        </w:rPr>
        <w:t xml:space="preserve">ann </w:t>
      </w:r>
      <w:r w:rsidR="00344765">
        <w:rPr>
          <w:rFonts w:cs="Calibri"/>
          <w:sz w:val="24"/>
          <w:szCs w:val="24"/>
        </w:rPr>
        <w:t>-W</w:t>
      </w:r>
      <w:r w:rsidR="00344765" w:rsidRPr="00906960">
        <w:rPr>
          <w:rFonts w:cs="Calibri"/>
          <w:sz w:val="24"/>
          <w:szCs w:val="24"/>
        </w:rPr>
        <w:t>hitney</w:t>
      </w:r>
      <w:r w:rsidR="00344765">
        <w:rPr>
          <w:rFonts w:cs="Calibri"/>
          <w:sz w:val="24"/>
          <w:szCs w:val="24"/>
        </w:rPr>
        <w:t xml:space="preserve"> test).</w:t>
      </w:r>
      <w:r w:rsidR="00C763FB">
        <w:rPr>
          <w:rFonts w:cs="Calibri"/>
          <w:sz w:val="24"/>
          <w:szCs w:val="24"/>
        </w:rPr>
        <w:t xml:space="preserve"> </w:t>
      </w:r>
      <w:r w:rsidR="00C763FB" w:rsidRPr="003D2EEC">
        <w:rPr>
          <w:rFonts w:asciiTheme="minorHAnsi" w:hAnsiTheme="minorHAnsi" w:cs="Calibri"/>
          <w:sz w:val="24"/>
          <w:szCs w:val="24"/>
        </w:rPr>
        <w:t xml:space="preserve">In multivariate Cox survival analysis correcting for clinical variables, </w:t>
      </w:r>
      <w:r w:rsidR="004E6795" w:rsidRPr="003D2EEC">
        <w:rPr>
          <w:rFonts w:asciiTheme="minorHAnsi" w:hAnsiTheme="minorHAnsi" w:cs="Calibri"/>
          <w:sz w:val="24"/>
          <w:szCs w:val="24"/>
        </w:rPr>
        <w:t xml:space="preserve">GH was a significant predictor of MACE </w:t>
      </w:r>
      <w:r w:rsidR="008F6A8B" w:rsidRPr="003D2EEC">
        <w:rPr>
          <w:rFonts w:asciiTheme="minorHAnsi" w:hAnsiTheme="minorHAnsi" w:cs="Calibri"/>
          <w:sz w:val="24"/>
          <w:szCs w:val="24"/>
        </w:rPr>
        <w:t xml:space="preserve">(hazard ratio (95% confidence interval) </w:t>
      </w:r>
      <w:r w:rsidR="008F6A8B">
        <w:rPr>
          <w:rFonts w:asciiTheme="minorHAnsi" w:hAnsiTheme="minorHAnsi"/>
          <w:sz w:val="24"/>
          <w:szCs w:val="24"/>
          <w:lang w:eastAsia="en-GB"/>
        </w:rPr>
        <w:t>1.43(1.05-1.95)</w:t>
      </w:r>
      <w:proofErr w:type="gramStart"/>
      <w:r w:rsidR="008F6A8B">
        <w:rPr>
          <w:rFonts w:asciiTheme="minorHAnsi" w:hAnsiTheme="minorHAnsi"/>
          <w:sz w:val="24"/>
          <w:szCs w:val="24"/>
          <w:lang w:eastAsia="en-GB"/>
        </w:rPr>
        <w:t>,</w:t>
      </w:r>
      <w:r w:rsidR="008F6A8B" w:rsidRPr="003D2EEC">
        <w:rPr>
          <w:rFonts w:asciiTheme="minorHAnsi" w:hAnsiTheme="minorHAnsi"/>
          <w:sz w:val="24"/>
          <w:szCs w:val="24"/>
          <w:lang w:eastAsia="en-GB"/>
        </w:rPr>
        <w:t>p</w:t>
      </w:r>
      <w:proofErr w:type="gramEnd"/>
      <w:r w:rsidR="008F6A8B" w:rsidRPr="003D2EEC">
        <w:rPr>
          <w:rFonts w:asciiTheme="minorHAnsi" w:hAnsiTheme="minorHAnsi"/>
          <w:sz w:val="24"/>
          <w:szCs w:val="24"/>
          <w:lang w:eastAsia="en-GB"/>
        </w:rPr>
        <w:t>=0</w:t>
      </w:r>
      <w:r w:rsidR="008F6A8B">
        <w:rPr>
          <w:rFonts w:asciiTheme="minorHAnsi" w:hAnsiTheme="minorHAnsi"/>
          <w:sz w:val="24"/>
          <w:szCs w:val="24"/>
          <w:lang w:eastAsia="en-GB"/>
        </w:rPr>
        <w:t>.026 and 1.49 (1.10-2.02),</w:t>
      </w:r>
      <w:r w:rsidR="008F6A8B" w:rsidRPr="003D2EEC">
        <w:rPr>
          <w:rFonts w:asciiTheme="minorHAnsi" w:hAnsiTheme="minorHAnsi"/>
          <w:sz w:val="24"/>
          <w:szCs w:val="24"/>
          <w:lang w:eastAsia="en-GB"/>
        </w:rPr>
        <w:t>p=0.01 respectively)</w:t>
      </w:r>
      <w:r w:rsidR="008F6A8B">
        <w:rPr>
          <w:rFonts w:asciiTheme="minorHAnsi" w:hAnsiTheme="minorHAnsi"/>
          <w:sz w:val="24"/>
          <w:szCs w:val="24"/>
          <w:lang w:eastAsia="en-GB"/>
        </w:rPr>
        <w:t xml:space="preserve"> </w:t>
      </w:r>
      <w:r w:rsidR="004E6795" w:rsidRPr="003D2EEC">
        <w:rPr>
          <w:rFonts w:asciiTheme="minorHAnsi" w:hAnsiTheme="minorHAnsi"/>
          <w:sz w:val="24"/>
          <w:szCs w:val="24"/>
          <w:lang w:eastAsia="en-GB"/>
        </w:rPr>
        <w:t>with sign</w:t>
      </w:r>
      <w:r w:rsidR="00E23601" w:rsidRPr="003D2EEC">
        <w:rPr>
          <w:rFonts w:asciiTheme="minorHAnsi" w:hAnsiTheme="minorHAnsi"/>
          <w:sz w:val="24"/>
          <w:szCs w:val="24"/>
          <w:lang w:eastAsia="en-GB"/>
        </w:rPr>
        <w:t>i</w:t>
      </w:r>
      <w:r w:rsidR="004E6795" w:rsidRPr="003D2EEC">
        <w:rPr>
          <w:rFonts w:asciiTheme="minorHAnsi" w:hAnsiTheme="minorHAnsi"/>
          <w:sz w:val="24"/>
          <w:szCs w:val="24"/>
          <w:lang w:eastAsia="en-GB"/>
        </w:rPr>
        <w:t>ficant interaction</w:t>
      </w:r>
      <w:r w:rsidR="00E23601" w:rsidRPr="003D2EEC">
        <w:rPr>
          <w:rFonts w:asciiTheme="minorHAnsi" w:hAnsiTheme="minorHAnsi"/>
          <w:sz w:val="24"/>
          <w:szCs w:val="24"/>
          <w:lang w:eastAsia="en-GB"/>
        </w:rPr>
        <w:t>s</w:t>
      </w:r>
      <w:r w:rsidR="004E6795" w:rsidRPr="003D2EEC">
        <w:rPr>
          <w:rFonts w:asciiTheme="minorHAnsi" w:hAnsiTheme="minorHAnsi"/>
          <w:sz w:val="24"/>
          <w:szCs w:val="24"/>
          <w:lang w:eastAsia="en-GB"/>
        </w:rPr>
        <w:t xml:space="preserve"> with beta blocker therapy (p=0.047) and</w:t>
      </w:r>
      <w:r w:rsidR="00907BD8">
        <w:rPr>
          <w:rFonts w:asciiTheme="minorHAnsi" w:hAnsiTheme="minorHAnsi"/>
          <w:sz w:val="24"/>
          <w:szCs w:val="24"/>
          <w:lang w:eastAsia="en-GB"/>
        </w:rPr>
        <w:t xml:space="preserve"> </w:t>
      </w:r>
      <w:r w:rsidR="004E6795" w:rsidRPr="003D2EEC">
        <w:rPr>
          <w:rFonts w:asciiTheme="minorHAnsi" w:hAnsiTheme="minorHAnsi"/>
          <w:sz w:val="24"/>
          <w:szCs w:val="24"/>
          <w:lang w:eastAsia="en-GB"/>
        </w:rPr>
        <w:t>ACE/ARB therapy (p=0.016)</w:t>
      </w:r>
      <w:r w:rsidR="008F6A8B">
        <w:rPr>
          <w:rFonts w:asciiTheme="minorHAnsi" w:hAnsiTheme="minorHAnsi"/>
          <w:sz w:val="24"/>
          <w:szCs w:val="24"/>
          <w:lang w:eastAsia="en-GB"/>
        </w:rPr>
        <w:t>.</w:t>
      </w:r>
      <w:r w:rsidR="00E23601" w:rsidRPr="003D2EEC">
        <w:rPr>
          <w:rFonts w:asciiTheme="minorHAnsi" w:hAnsiTheme="minorHAnsi"/>
          <w:sz w:val="24"/>
          <w:szCs w:val="24"/>
          <w:lang w:eastAsia="en-GB"/>
        </w:rPr>
        <w:t xml:space="preserve"> Prescription of beta blocker therapy and ACE/ARB </w:t>
      </w:r>
      <w:r w:rsidR="008F6A8B">
        <w:rPr>
          <w:rFonts w:asciiTheme="minorHAnsi" w:hAnsiTheme="minorHAnsi"/>
          <w:sz w:val="24"/>
          <w:szCs w:val="24"/>
          <w:lang w:eastAsia="en-GB"/>
        </w:rPr>
        <w:t xml:space="preserve">was most effective at </w:t>
      </w:r>
      <w:r w:rsidR="00E23601" w:rsidRPr="003D2EEC">
        <w:rPr>
          <w:rFonts w:asciiTheme="minorHAnsi" w:hAnsiTheme="minorHAnsi"/>
          <w:sz w:val="24"/>
          <w:szCs w:val="24"/>
          <w:lang w:eastAsia="en-GB"/>
        </w:rPr>
        <w:t xml:space="preserve">reducing MACE in those patients in the top GH </w:t>
      </w:r>
      <w:proofErr w:type="spellStart"/>
      <w:r w:rsidR="00E23601" w:rsidRPr="003D2EEC">
        <w:rPr>
          <w:rFonts w:asciiTheme="minorHAnsi" w:hAnsiTheme="minorHAnsi"/>
          <w:sz w:val="24"/>
          <w:szCs w:val="24"/>
          <w:lang w:eastAsia="en-GB"/>
        </w:rPr>
        <w:t>tertile</w:t>
      </w:r>
      <w:proofErr w:type="spellEnd"/>
      <w:r w:rsidR="00E23601" w:rsidRPr="003D2EEC">
        <w:rPr>
          <w:rFonts w:asciiTheme="minorHAnsi" w:hAnsiTheme="minorHAnsi"/>
          <w:sz w:val="24"/>
          <w:szCs w:val="24"/>
          <w:lang w:eastAsia="en-GB"/>
        </w:rPr>
        <w:t xml:space="preserve"> (p&lt;0.0005)</w:t>
      </w:r>
      <w:r w:rsidR="008F6A8B">
        <w:rPr>
          <w:rFonts w:asciiTheme="minorHAnsi" w:hAnsiTheme="minorHAnsi"/>
          <w:sz w:val="24"/>
          <w:szCs w:val="24"/>
          <w:lang w:eastAsia="en-GB"/>
        </w:rPr>
        <w:t>.</w:t>
      </w:r>
    </w:p>
    <w:p w:rsidR="008F2E5B" w:rsidRPr="00E64B5D" w:rsidRDefault="008F2E5B" w:rsidP="00E64B5D">
      <w:pPr>
        <w:pStyle w:val="NoSpacing"/>
        <w:spacing w:line="480" w:lineRule="auto"/>
        <w:rPr>
          <w:rFonts w:cs="Calibri"/>
          <w:b/>
          <w:sz w:val="24"/>
          <w:szCs w:val="24"/>
        </w:rPr>
      </w:pPr>
      <w:r w:rsidRPr="00E64B5D">
        <w:rPr>
          <w:rFonts w:cs="Calibri"/>
          <w:b/>
          <w:sz w:val="24"/>
          <w:szCs w:val="24"/>
        </w:rPr>
        <w:t>Conclusions</w:t>
      </w:r>
    </w:p>
    <w:p w:rsidR="00E23601" w:rsidRDefault="00E23601" w:rsidP="00E64B5D">
      <w:pPr>
        <w:pStyle w:val="NoSpacing"/>
        <w:spacing w:line="480" w:lineRule="auto"/>
        <w:rPr>
          <w:rFonts w:cs="Calibri"/>
          <w:sz w:val="24"/>
          <w:szCs w:val="24"/>
        </w:rPr>
      </w:pPr>
      <w:r>
        <w:rPr>
          <w:rFonts w:cs="Calibri"/>
          <w:sz w:val="24"/>
          <w:szCs w:val="24"/>
        </w:rPr>
        <w:t xml:space="preserve">GH levels post-AMI </w:t>
      </w:r>
      <w:proofErr w:type="gramStart"/>
      <w:r>
        <w:rPr>
          <w:rFonts w:cs="Calibri"/>
          <w:sz w:val="24"/>
          <w:szCs w:val="24"/>
        </w:rPr>
        <w:t>are</w:t>
      </w:r>
      <w:proofErr w:type="gramEnd"/>
      <w:r>
        <w:rPr>
          <w:rFonts w:cs="Calibri"/>
          <w:sz w:val="24"/>
          <w:szCs w:val="24"/>
        </w:rPr>
        <w:t xml:space="preserve"> prognostic for MACE and may indicate those patients who benefit from beta blocker and ACE/ARB therapy.</w:t>
      </w:r>
    </w:p>
    <w:p w:rsidR="008F2E5B" w:rsidRPr="00616ED9" w:rsidRDefault="008F2E5B" w:rsidP="008C6E83">
      <w:pPr>
        <w:pStyle w:val="NoSpacing"/>
        <w:jc w:val="center"/>
        <w:rPr>
          <w:rFonts w:cs="Calibri"/>
          <w:b/>
          <w:sz w:val="24"/>
          <w:szCs w:val="24"/>
        </w:rPr>
      </w:pPr>
      <w:bookmarkStart w:id="0" w:name="_GoBack"/>
      <w:bookmarkEnd w:id="0"/>
      <w:r w:rsidRPr="00616ED9">
        <w:rPr>
          <w:rFonts w:cs="Calibri"/>
          <w:b/>
          <w:sz w:val="24"/>
          <w:szCs w:val="24"/>
        </w:rPr>
        <w:lastRenderedPageBreak/>
        <w:t>ABBREVIATIONS AND ACRONYMS</w:t>
      </w:r>
    </w:p>
    <w:p w:rsidR="008F2E5B" w:rsidRPr="00616ED9" w:rsidRDefault="008F2E5B" w:rsidP="008C6E83">
      <w:pPr>
        <w:pStyle w:val="NoSpacing"/>
        <w:rPr>
          <w:rFonts w:cs="Calibri"/>
          <w:sz w:val="24"/>
          <w:szCs w:val="24"/>
        </w:rPr>
      </w:pPr>
    </w:p>
    <w:p w:rsidR="008F2E5B" w:rsidRPr="00616ED9" w:rsidRDefault="008F2E5B" w:rsidP="008C6E83">
      <w:pPr>
        <w:pStyle w:val="NoSpacing"/>
        <w:rPr>
          <w:rFonts w:cs="Calibri"/>
          <w:sz w:val="24"/>
          <w:szCs w:val="24"/>
        </w:rPr>
      </w:pPr>
    </w:p>
    <w:p w:rsidR="008F2E5B" w:rsidRPr="00616ED9" w:rsidRDefault="008F2E5B" w:rsidP="008C6E83">
      <w:pPr>
        <w:pStyle w:val="NoSpacing"/>
        <w:rPr>
          <w:rFonts w:cs="Calibri"/>
          <w:sz w:val="24"/>
          <w:szCs w:val="24"/>
        </w:rPr>
      </w:pPr>
      <w:r w:rsidRPr="00616ED9">
        <w:rPr>
          <w:rFonts w:cs="Calibri"/>
          <w:sz w:val="24"/>
          <w:szCs w:val="24"/>
        </w:rPr>
        <w:t>AMI = Acute Myocardial Infarction</w:t>
      </w:r>
    </w:p>
    <w:p w:rsidR="008F2E5B" w:rsidRPr="00616ED9" w:rsidRDefault="008F2E5B" w:rsidP="008C6E83">
      <w:pPr>
        <w:pStyle w:val="NoSpacing"/>
        <w:rPr>
          <w:rFonts w:cs="Calibri"/>
          <w:sz w:val="24"/>
          <w:szCs w:val="24"/>
        </w:rPr>
      </w:pPr>
    </w:p>
    <w:p w:rsidR="00E67982" w:rsidRDefault="00E67982" w:rsidP="008C6E83">
      <w:pPr>
        <w:pStyle w:val="NoSpacing"/>
        <w:rPr>
          <w:rFonts w:cs="Calibri"/>
          <w:sz w:val="24"/>
          <w:szCs w:val="24"/>
        </w:rPr>
      </w:pPr>
      <w:r>
        <w:rPr>
          <w:rFonts w:cs="Calibri"/>
          <w:sz w:val="24"/>
          <w:szCs w:val="24"/>
        </w:rPr>
        <w:t>ACE/ARB = Angiotensin converting enzyme inhibitor or angiotensin receptor 1 blocker</w:t>
      </w:r>
    </w:p>
    <w:p w:rsidR="00E67982" w:rsidRDefault="00E67982" w:rsidP="008C6E83">
      <w:pPr>
        <w:pStyle w:val="NoSpacing"/>
        <w:rPr>
          <w:rFonts w:cs="Calibri"/>
          <w:sz w:val="24"/>
          <w:szCs w:val="24"/>
        </w:rPr>
      </w:pPr>
    </w:p>
    <w:p w:rsidR="008F2E5B" w:rsidRPr="00616ED9" w:rsidRDefault="008F2E5B" w:rsidP="008C6E83">
      <w:pPr>
        <w:pStyle w:val="NoSpacing"/>
        <w:rPr>
          <w:rFonts w:cs="Calibri"/>
          <w:sz w:val="24"/>
          <w:szCs w:val="24"/>
        </w:rPr>
      </w:pPr>
      <w:proofErr w:type="gramStart"/>
      <w:r w:rsidRPr="00616ED9">
        <w:rPr>
          <w:rFonts w:cs="Calibri"/>
          <w:sz w:val="24"/>
          <w:szCs w:val="24"/>
        </w:rPr>
        <w:t>eGFR</w:t>
      </w:r>
      <w:proofErr w:type="gramEnd"/>
      <w:r w:rsidRPr="00616ED9">
        <w:rPr>
          <w:rFonts w:cs="Calibri"/>
          <w:sz w:val="24"/>
          <w:szCs w:val="24"/>
        </w:rPr>
        <w:t xml:space="preserve"> = estimated glomerular filtration rate</w:t>
      </w:r>
    </w:p>
    <w:p w:rsidR="008F2E5B" w:rsidRPr="00616ED9" w:rsidRDefault="008F2E5B" w:rsidP="008C6E83">
      <w:pPr>
        <w:pStyle w:val="NoSpacing"/>
        <w:rPr>
          <w:rFonts w:cs="Calibri"/>
          <w:sz w:val="24"/>
          <w:szCs w:val="24"/>
        </w:rPr>
      </w:pPr>
    </w:p>
    <w:p w:rsidR="008F2E5B" w:rsidRPr="00616ED9" w:rsidRDefault="008F2E5B" w:rsidP="008C6E83">
      <w:pPr>
        <w:pStyle w:val="NoSpacing"/>
        <w:rPr>
          <w:rFonts w:cs="Calibri"/>
          <w:sz w:val="24"/>
          <w:szCs w:val="24"/>
        </w:rPr>
      </w:pPr>
      <w:r w:rsidRPr="00616ED9">
        <w:rPr>
          <w:rFonts w:cs="Calibri"/>
          <w:sz w:val="24"/>
          <w:szCs w:val="24"/>
        </w:rPr>
        <w:t xml:space="preserve">MACE = Major Adverse Cardiac Events                </w:t>
      </w:r>
    </w:p>
    <w:p w:rsidR="008F2E5B" w:rsidRPr="00616ED9" w:rsidRDefault="008F2E5B" w:rsidP="008C6E83">
      <w:pPr>
        <w:pStyle w:val="NoSpacing"/>
        <w:rPr>
          <w:rFonts w:cs="Calibri"/>
          <w:sz w:val="24"/>
          <w:szCs w:val="24"/>
        </w:rPr>
      </w:pPr>
    </w:p>
    <w:p w:rsidR="008F2E5B" w:rsidRPr="00616ED9" w:rsidRDefault="008F2E5B" w:rsidP="008C6E83">
      <w:pPr>
        <w:pStyle w:val="NoSpacing"/>
        <w:rPr>
          <w:rFonts w:cs="Calibri"/>
          <w:sz w:val="24"/>
          <w:szCs w:val="24"/>
        </w:rPr>
      </w:pPr>
      <w:r w:rsidRPr="00616ED9">
        <w:rPr>
          <w:rFonts w:cs="Calibri"/>
          <w:sz w:val="24"/>
          <w:szCs w:val="24"/>
        </w:rPr>
        <w:t>Re-AMI = Recurrent Myocardial Infarction</w:t>
      </w:r>
    </w:p>
    <w:p w:rsidR="008F2E5B" w:rsidRPr="00616ED9" w:rsidRDefault="008F2E5B" w:rsidP="008C6E83">
      <w:pPr>
        <w:pStyle w:val="NoSpacing"/>
        <w:rPr>
          <w:rFonts w:cs="Calibri"/>
          <w:sz w:val="24"/>
          <w:szCs w:val="24"/>
        </w:rPr>
      </w:pPr>
    </w:p>
    <w:p w:rsidR="00DC7D6E" w:rsidRDefault="00DC7D6E" w:rsidP="008C6E83">
      <w:pPr>
        <w:pStyle w:val="NoSpacing"/>
        <w:rPr>
          <w:rFonts w:cs="Calibri"/>
          <w:sz w:val="24"/>
          <w:szCs w:val="24"/>
        </w:rPr>
      </w:pPr>
      <w:r>
        <w:rPr>
          <w:rFonts w:cs="Calibri"/>
          <w:sz w:val="24"/>
          <w:szCs w:val="24"/>
        </w:rPr>
        <w:t xml:space="preserve">GH </w:t>
      </w:r>
      <w:proofErr w:type="gramStart"/>
      <w:r>
        <w:rPr>
          <w:rFonts w:cs="Calibri"/>
          <w:sz w:val="24"/>
          <w:szCs w:val="24"/>
        </w:rPr>
        <w:t>=  Growth</w:t>
      </w:r>
      <w:proofErr w:type="gramEnd"/>
      <w:r>
        <w:rPr>
          <w:rFonts w:cs="Calibri"/>
          <w:sz w:val="24"/>
          <w:szCs w:val="24"/>
        </w:rPr>
        <w:t xml:space="preserve"> hormone</w:t>
      </w:r>
    </w:p>
    <w:p w:rsidR="00DC7D6E" w:rsidRDefault="00DC7D6E" w:rsidP="008C6E83">
      <w:pPr>
        <w:pStyle w:val="NoSpacing"/>
        <w:rPr>
          <w:rFonts w:cs="Calibri"/>
          <w:sz w:val="24"/>
          <w:szCs w:val="24"/>
        </w:rPr>
      </w:pPr>
    </w:p>
    <w:p w:rsidR="008F2E5B" w:rsidRPr="00616ED9" w:rsidRDefault="008F2E5B" w:rsidP="008C6E83">
      <w:pPr>
        <w:pStyle w:val="NoSpacing"/>
        <w:rPr>
          <w:rFonts w:cs="Calibri"/>
          <w:sz w:val="24"/>
          <w:szCs w:val="24"/>
        </w:rPr>
      </w:pPr>
      <w:r w:rsidRPr="00616ED9">
        <w:rPr>
          <w:rFonts w:cs="Calibri"/>
          <w:sz w:val="24"/>
          <w:szCs w:val="24"/>
        </w:rPr>
        <w:t>HF = Heart Failure</w:t>
      </w:r>
    </w:p>
    <w:p w:rsidR="008F2E5B" w:rsidRDefault="008F2E5B" w:rsidP="008C6E83">
      <w:pPr>
        <w:pStyle w:val="NoSpacing"/>
        <w:rPr>
          <w:rFonts w:cs="Calibri"/>
          <w:sz w:val="24"/>
          <w:szCs w:val="24"/>
        </w:rPr>
      </w:pPr>
    </w:p>
    <w:p w:rsidR="007D35EE" w:rsidRDefault="007D35EE" w:rsidP="008C6E83">
      <w:pPr>
        <w:pStyle w:val="NoSpacing"/>
        <w:rPr>
          <w:rFonts w:cs="Calibri"/>
          <w:sz w:val="24"/>
          <w:szCs w:val="24"/>
        </w:rPr>
      </w:pPr>
      <w:proofErr w:type="spellStart"/>
      <w:r>
        <w:rPr>
          <w:rFonts w:cs="Calibri"/>
          <w:sz w:val="24"/>
          <w:szCs w:val="24"/>
        </w:rPr>
        <w:t>hs</w:t>
      </w:r>
      <w:proofErr w:type="spellEnd"/>
      <w:r>
        <w:rPr>
          <w:rFonts w:cs="Calibri"/>
          <w:sz w:val="24"/>
          <w:szCs w:val="24"/>
        </w:rPr>
        <w:t>-</w:t>
      </w:r>
      <w:proofErr w:type="gramStart"/>
      <w:r>
        <w:rPr>
          <w:rFonts w:cs="Calibri"/>
          <w:sz w:val="24"/>
          <w:szCs w:val="24"/>
        </w:rPr>
        <w:t>GH  =</w:t>
      </w:r>
      <w:proofErr w:type="gramEnd"/>
      <w:r>
        <w:rPr>
          <w:rFonts w:cs="Calibri"/>
          <w:sz w:val="24"/>
          <w:szCs w:val="24"/>
        </w:rPr>
        <w:t xml:space="preserve">  high sensitivity growth hormone</w:t>
      </w:r>
    </w:p>
    <w:p w:rsidR="007D35EE" w:rsidRPr="00616ED9" w:rsidRDefault="007D35EE" w:rsidP="008C6E83">
      <w:pPr>
        <w:pStyle w:val="NoSpacing"/>
        <w:rPr>
          <w:rFonts w:cs="Calibri"/>
          <w:sz w:val="24"/>
          <w:szCs w:val="24"/>
        </w:rPr>
      </w:pPr>
    </w:p>
    <w:p w:rsidR="008F2E5B" w:rsidRPr="00616ED9" w:rsidRDefault="008F2E5B" w:rsidP="008C6E83">
      <w:pPr>
        <w:pStyle w:val="NoSpacing"/>
        <w:rPr>
          <w:rFonts w:cs="Calibri"/>
          <w:sz w:val="24"/>
          <w:szCs w:val="24"/>
        </w:rPr>
      </w:pPr>
      <w:r w:rsidRPr="00616ED9">
        <w:rPr>
          <w:rFonts w:cs="Calibri"/>
          <w:sz w:val="24"/>
          <w:szCs w:val="24"/>
        </w:rPr>
        <w:t>NSTEMI = Non–ST-segment Elevation Myocardial Infarction</w:t>
      </w:r>
    </w:p>
    <w:p w:rsidR="008F2E5B" w:rsidRPr="00616ED9" w:rsidRDefault="008F2E5B" w:rsidP="008C6E83">
      <w:pPr>
        <w:pStyle w:val="NoSpacing"/>
        <w:rPr>
          <w:rFonts w:cs="Calibri"/>
          <w:sz w:val="24"/>
          <w:szCs w:val="24"/>
        </w:rPr>
      </w:pPr>
    </w:p>
    <w:p w:rsidR="008F2E5B" w:rsidRPr="00616ED9" w:rsidRDefault="008F2E5B" w:rsidP="008C6E83">
      <w:pPr>
        <w:pStyle w:val="NoSpacing"/>
        <w:rPr>
          <w:rFonts w:cs="Calibri"/>
          <w:sz w:val="24"/>
          <w:szCs w:val="24"/>
        </w:rPr>
      </w:pPr>
      <w:r w:rsidRPr="00616ED9">
        <w:rPr>
          <w:rFonts w:cs="Calibri"/>
          <w:sz w:val="24"/>
          <w:szCs w:val="24"/>
        </w:rPr>
        <w:t>STEMI = ST-segment Elevation Myocardial Infarction</w:t>
      </w:r>
    </w:p>
    <w:p w:rsidR="008F2E5B" w:rsidRPr="00616ED9" w:rsidRDefault="008F2E5B" w:rsidP="008C6E83">
      <w:pPr>
        <w:pStyle w:val="NoSpacing"/>
        <w:rPr>
          <w:rFonts w:cs="Calibri"/>
          <w:sz w:val="24"/>
          <w:szCs w:val="24"/>
        </w:rPr>
      </w:pPr>
    </w:p>
    <w:p w:rsidR="008F2E5B" w:rsidRPr="00616ED9" w:rsidRDefault="008F2E5B" w:rsidP="008C6E83">
      <w:pPr>
        <w:pStyle w:val="NoSpacing"/>
        <w:rPr>
          <w:rFonts w:cs="Calibri"/>
          <w:sz w:val="24"/>
          <w:szCs w:val="24"/>
        </w:rPr>
      </w:pPr>
      <w:r w:rsidRPr="00616ED9">
        <w:rPr>
          <w:rFonts w:cs="Calibri"/>
          <w:sz w:val="24"/>
          <w:szCs w:val="24"/>
        </w:rPr>
        <w:t>IHD = Ischemic heart disease</w:t>
      </w:r>
    </w:p>
    <w:p w:rsidR="008F2E5B" w:rsidRPr="00616ED9" w:rsidRDefault="008F2E5B" w:rsidP="008C6E83">
      <w:pPr>
        <w:pStyle w:val="NoSpacing"/>
        <w:rPr>
          <w:rFonts w:cs="Calibri"/>
          <w:sz w:val="24"/>
          <w:szCs w:val="24"/>
        </w:rPr>
      </w:pPr>
    </w:p>
    <w:p w:rsidR="008F2E5B" w:rsidRPr="0011686C" w:rsidRDefault="008F2E5B" w:rsidP="00171B2A">
      <w:pPr>
        <w:pStyle w:val="NoSpacing"/>
        <w:spacing w:line="480" w:lineRule="auto"/>
        <w:rPr>
          <w:rFonts w:cs="Calibri"/>
          <w:sz w:val="24"/>
          <w:szCs w:val="24"/>
        </w:rPr>
      </w:pPr>
      <w:r w:rsidRPr="00616ED9">
        <w:rPr>
          <w:rFonts w:cs="Calibri"/>
          <w:b/>
          <w:sz w:val="24"/>
          <w:szCs w:val="24"/>
        </w:rPr>
        <w:br w:type="page"/>
      </w:r>
    </w:p>
    <w:p w:rsidR="008F2E5B" w:rsidRPr="00616ED9" w:rsidRDefault="008F2E5B" w:rsidP="008C6E83">
      <w:pPr>
        <w:spacing w:line="240" w:lineRule="auto"/>
        <w:rPr>
          <w:rFonts w:cs="Calibri"/>
          <w:b/>
          <w:sz w:val="24"/>
          <w:szCs w:val="24"/>
        </w:rPr>
      </w:pPr>
      <w:r w:rsidRPr="00616ED9">
        <w:rPr>
          <w:rFonts w:cs="Calibri"/>
          <w:b/>
          <w:sz w:val="24"/>
          <w:szCs w:val="24"/>
        </w:rPr>
        <w:lastRenderedPageBreak/>
        <w:t>Introduction</w:t>
      </w:r>
    </w:p>
    <w:p w:rsidR="00486EF9" w:rsidRDefault="00486EF9" w:rsidP="004C1DEE">
      <w:pPr>
        <w:spacing w:line="480" w:lineRule="auto"/>
        <w:rPr>
          <w:rFonts w:cs="Calibri"/>
          <w:sz w:val="24"/>
          <w:szCs w:val="24"/>
        </w:rPr>
      </w:pPr>
      <w:r>
        <w:rPr>
          <w:rFonts w:cs="Calibri"/>
          <w:sz w:val="24"/>
          <w:szCs w:val="24"/>
        </w:rPr>
        <w:t xml:space="preserve">Growth hormone </w:t>
      </w:r>
      <w:r w:rsidR="00DC7D6E">
        <w:rPr>
          <w:rFonts w:cs="Calibri"/>
          <w:sz w:val="24"/>
          <w:szCs w:val="24"/>
        </w:rPr>
        <w:t xml:space="preserve">(GH) </w:t>
      </w:r>
      <w:r>
        <w:rPr>
          <w:rFonts w:cs="Calibri"/>
          <w:sz w:val="24"/>
          <w:szCs w:val="24"/>
        </w:rPr>
        <w:t xml:space="preserve">is secreted from the anterior pituitary gland, in a pulsatile fashion (1), and has multiple </w:t>
      </w:r>
      <w:r w:rsidR="00DC7D6E">
        <w:rPr>
          <w:rFonts w:cs="Calibri"/>
          <w:sz w:val="24"/>
          <w:szCs w:val="24"/>
        </w:rPr>
        <w:t xml:space="preserve">physiological </w:t>
      </w:r>
      <w:r>
        <w:rPr>
          <w:rFonts w:cs="Calibri"/>
          <w:sz w:val="24"/>
          <w:szCs w:val="24"/>
        </w:rPr>
        <w:t xml:space="preserve">effects </w:t>
      </w:r>
      <w:r w:rsidR="00DC7D6E">
        <w:rPr>
          <w:rFonts w:cs="Calibri"/>
          <w:sz w:val="24"/>
          <w:szCs w:val="24"/>
        </w:rPr>
        <w:t xml:space="preserve">in addition to its anabolic effect on tissues.  These include </w:t>
      </w:r>
      <w:proofErr w:type="spellStart"/>
      <w:r>
        <w:rPr>
          <w:rFonts w:cs="Calibri"/>
          <w:sz w:val="24"/>
          <w:szCs w:val="24"/>
        </w:rPr>
        <w:t>adipokinetic</w:t>
      </w:r>
      <w:proofErr w:type="spellEnd"/>
      <w:r w:rsidR="00DC7D6E">
        <w:rPr>
          <w:rFonts w:cs="Calibri"/>
          <w:sz w:val="24"/>
          <w:szCs w:val="24"/>
        </w:rPr>
        <w:t xml:space="preserve">, </w:t>
      </w:r>
      <w:proofErr w:type="spellStart"/>
      <w:r w:rsidR="00DC7D6E">
        <w:rPr>
          <w:rFonts w:cs="Calibri"/>
          <w:sz w:val="24"/>
          <w:szCs w:val="24"/>
        </w:rPr>
        <w:t>diabetogenic</w:t>
      </w:r>
      <w:proofErr w:type="spellEnd"/>
      <w:r>
        <w:rPr>
          <w:rFonts w:cs="Calibri"/>
          <w:sz w:val="24"/>
          <w:szCs w:val="24"/>
        </w:rPr>
        <w:t xml:space="preserve"> </w:t>
      </w:r>
      <w:r w:rsidR="00DC7D6E">
        <w:rPr>
          <w:rFonts w:cs="Calibri"/>
          <w:sz w:val="24"/>
          <w:szCs w:val="24"/>
        </w:rPr>
        <w:t xml:space="preserve">and cardiovascular effects that include stimulation of left ventricular hypertrophy and elevation of blood pressure.  In those patients with GH excess (acromegaly), premature death ensues from a cardiomyopathy with ventricular hypertrophy, arrhythmias, hypertension </w:t>
      </w:r>
      <w:r w:rsidR="002F2311">
        <w:rPr>
          <w:rFonts w:cs="Calibri"/>
          <w:sz w:val="24"/>
          <w:szCs w:val="24"/>
        </w:rPr>
        <w:t>and heart failure (2).  Indeed, administration of GH in acute settings (</w:t>
      </w:r>
      <w:proofErr w:type="spellStart"/>
      <w:r w:rsidR="002F2311">
        <w:rPr>
          <w:rFonts w:cs="Calibri"/>
          <w:sz w:val="24"/>
          <w:szCs w:val="24"/>
        </w:rPr>
        <w:t>eg</w:t>
      </w:r>
      <w:proofErr w:type="spellEnd"/>
      <w:r w:rsidR="002F2311">
        <w:rPr>
          <w:rFonts w:cs="Calibri"/>
          <w:sz w:val="24"/>
          <w:szCs w:val="24"/>
        </w:rPr>
        <w:t xml:space="preserve"> in intensive care units) is associated with an increased mortality (3).</w:t>
      </w:r>
    </w:p>
    <w:p w:rsidR="00D2479B" w:rsidRDefault="007F0812" w:rsidP="004C1DEE">
      <w:pPr>
        <w:spacing w:line="480" w:lineRule="auto"/>
        <w:rPr>
          <w:rFonts w:cs="Calibri"/>
          <w:sz w:val="24"/>
          <w:szCs w:val="24"/>
        </w:rPr>
      </w:pPr>
      <w:r>
        <w:rPr>
          <w:rFonts w:cs="Calibri"/>
          <w:sz w:val="24"/>
          <w:szCs w:val="24"/>
        </w:rPr>
        <w:t xml:space="preserve">Recently, there has been interest in the association of GH levels with outcomes in </w:t>
      </w:r>
      <w:r w:rsidR="00A772B6">
        <w:rPr>
          <w:rFonts w:cs="Calibri"/>
          <w:sz w:val="24"/>
          <w:szCs w:val="24"/>
        </w:rPr>
        <w:t xml:space="preserve">healthy populations.  A prospective study of French policemen with long term follow-up demonstrated increased total and also cardiovascular mortality in those with elevated fasting GH levels (4).   More recently, </w:t>
      </w:r>
      <w:r w:rsidR="00A945EB">
        <w:rPr>
          <w:rFonts w:cs="Calibri"/>
          <w:sz w:val="24"/>
          <w:szCs w:val="24"/>
        </w:rPr>
        <w:t xml:space="preserve">in a </w:t>
      </w:r>
      <w:proofErr w:type="spellStart"/>
      <w:r w:rsidR="00A945EB">
        <w:rPr>
          <w:rFonts w:cs="Calibri"/>
          <w:sz w:val="24"/>
          <w:szCs w:val="24"/>
        </w:rPr>
        <w:t>substudy</w:t>
      </w:r>
      <w:proofErr w:type="spellEnd"/>
      <w:r w:rsidR="00A945EB">
        <w:rPr>
          <w:rFonts w:cs="Calibri"/>
          <w:sz w:val="24"/>
          <w:szCs w:val="24"/>
        </w:rPr>
        <w:t xml:space="preserve"> of the Malmo Diet and Cancer study, </w:t>
      </w:r>
      <w:proofErr w:type="spellStart"/>
      <w:r w:rsidR="00A945EB" w:rsidRPr="00D052A1">
        <w:rPr>
          <w:rFonts w:asciiTheme="minorHAnsi" w:hAnsiTheme="minorHAnsi"/>
          <w:sz w:val="24"/>
          <w:szCs w:val="24"/>
          <w:lang w:val="en-US"/>
        </w:rPr>
        <w:t>Hallengren</w:t>
      </w:r>
      <w:proofErr w:type="spellEnd"/>
      <w:r w:rsidR="00A945EB">
        <w:rPr>
          <w:rFonts w:cs="Calibri"/>
          <w:sz w:val="24"/>
          <w:szCs w:val="24"/>
        </w:rPr>
        <w:t xml:space="preserve"> et al </w:t>
      </w:r>
      <w:r w:rsidR="00E43FBE">
        <w:rPr>
          <w:rFonts w:cs="Calibri"/>
          <w:sz w:val="24"/>
          <w:szCs w:val="24"/>
        </w:rPr>
        <w:t xml:space="preserve">(5) </w:t>
      </w:r>
      <w:r w:rsidR="00A945EB">
        <w:rPr>
          <w:rFonts w:cs="Calibri"/>
          <w:sz w:val="24"/>
          <w:szCs w:val="24"/>
        </w:rPr>
        <w:t>demons</w:t>
      </w:r>
      <w:r w:rsidR="00E43FBE">
        <w:rPr>
          <w:rFonts w:cs="Calibri"/>
          <w:sz w:val="24"/>
          <w:szCs w:val="24"/>
        </w:rPr>
        <w:t xml:space="preserve">trated in a healthy population that </w:t>
      </w:r>
      <w:r w:rsidR="00A945EB">
        <w:rPr>
          <w:rFonts w:cs="Calibri"/>
          <w:sz w:val="24"/>
          <w:szCs w:val="24"/>
        </w:rPr>
        <w:t>higher fasting levels of GH were associated with increased total and cardiovascular mortality, as well as cardiovascular morbidity (incidence</w:t>
      </w:r>
      <w:r w:rsidR="00E43FBE">
        <w:rPr>
          <w:rFonts w:cs="Calibri"/>
          <w:sz w:val="24"/>
          <w:szCs w:val="24"/>
        </w:rPr>
        <w:t xml:space="preserve"> of ischemic heart disease (IHD), heart failure (HF), stroke). </w:t>
      </w:r>
    </w:p>
    <w:p w:rsidR="00A772B6" w:rsidRDefault="00D2479B" w:rsidP="004C1DEE">
      <w:pPr>
        <w:spacing w:line="480" w:lineRule="auto"/>
        <w:rPr>
          <w:rFonts w:cs="Calibri"/>
          <w:sz w:val="24"/>
          <w:szCs w:val="24"/>
        </w:rPr>
      </w:pPr>
      <w:r>
        <w:rPr>
          <w:rFonts w:cs="Calibri"/>
          <w:sz w:val="24"/>
          <w:szCs w:val="24"/>
        </w:rPr>
        <w:t xml:space="preserve">These </w:t>
      </w:r>
      <w:r w:rsidR="00465F59">
        <w:rPr>
          <w:rFonts w:cs="Calibri"/>
          <w:sz w:val="24"/>
          <w:szCs w:val="24"/>
        </w:rPr>
        <w:t>observations</w:t>
      </w:r>
      <w:r>
        <w:rPr>
          <w:rFonts w:cs="Calibri"/>
          <w:sz w:val="24"/>
          <w:szCs w:val="24"/>
        </w:rPr>
        <w:t xml:space="preserve"> were documented despite the pulsatile nature of GH release. Moreover, previous assays of GH were relatively insensitive, although recently, a newly introduced high sensitivity assay (</w:t>
      </w:r>
      <w:proofErr w:type="spellStart"/>
      <w:r>
        <w:rPr>
          <w:rFonts w:cs="Calibri"/>
          <w:sz w:val="24"/>
          <w:szCs w:val="24"/>
        </w:rPr>
        <w:t>hs</w:t>
      </w:r>
      <w:proofErr w:type="spellEnd"/>
      <w:r>
        <w:rPr>
          <w:rFonts w:cs="Calibri"/>
          <w:sz w:val="24"/>
          <w:szCs w:val="24"/>
        </w:rPr>
        <w:t>-GH) was able to quantify even the low normal range of GH levels (6) and enabled a more accurate assessment of the prognostic value of GH levels in the normal population (5).</w:t>
      </w:r>
    </w:p>
    <w:p w:rsidR="004356C4" w:rsidRDefault="004356C4" w:rsidP="004C1DEE">
      <w:pPr>
        <w:spacing w:line="480" w:lineRule="auto"/>
        <w:rPr>
          <w:rFonts w:cs="Calibri"/>
          <w:sz w:val="24"/>
          <w:szCs w:val="24"/>
        </w:rPr>
      </w:pPr>
      <w:r>
        <w:rPr>
          <w:rFonts w:cs="Calibri"/>
          <w:sz w:val="24"/>
          <w:szCs w:val="24"/>
        </w:rPr>
        <w:t xml:space="preserve">It is also known that GH release is stimulated by hypoglycaemia, amino acid infusions, onset of slow wave sleep and also acute stress (1).  There have been no studies on the relationship of GH with outcome in acute disease, such as myocardial infarction which constitutes a </w:t>
      </w:r>
      <w:r>
        <w:rPr>
          <w:rFonts w:cs="Calibri"/>
          <w:sz w:val="24"/>
          <w:szCs w:val="24"/>
        </w:rPr>
        <w:lastRenderedPageBreak/>
        <w:t xml:space="preserve">stressful presentation that may affect GH secretion.  In the present study, we sought to investigate whether GH, as determined by a high sensitivity assay, was associated with major adverse events after myocardial infarction.  We were also interested to investigate whether </w:t>
      </w:r>
      <w:r w:rsidR="00465F59">
        <w:rPr>
          <w:rFonts w:cs="Calibri"/>
          <w:sz w:val="24"/>
          <w:szCs w:val="24"/>
        </w:rPr>
        <w:t xml:space="preserve">the benefit of </w:t>
      </w:r>
      <w:r>
        <w:rPr>
          <w:rFonts w:cs="Calibri"/>
          <w:sz w:val="24"/>
          <w:szCs w:val="24"/>
        </w:rPr>
        <w:t xml:space="preserve">secondary prevention therapies prescribed after myocardial infarction </w:t>
      </w:r>
      <w:r w:rsidR="00465F59">
        <w:rPr>
          <w:rFonts w:cs="Calibri"/>
          <w:sz w:val="24"/>
          <w:szCs w:val="24"/>
        </w:rPr>
        <w:t xml:space="preserve">varies </w:t>
      </w:r>
      <w:proofErr w:type="gramStart"/>
      <w:r w:rsidR="00465F59">
        <w:rPr>
          <w:rFonts w:cs="Calibri"/>
          <w:sz w:val="24"/>
          <w:szCs w:val="24"/>
        </w:rPr>
        <w:t xml:space="preserve">with </w:t>
      </w:r>
      <w:r>
        <w:rPr>
          <w:rFonts w:cs="Calibri"/>
          <w:sz w:val="24"/>
          <w:szCs w:val="24"/>
        </w:rPr>
        <w:t xml:space="preserve"> levels</w:t>
      </w:r>
      <w:proofErr w:type="gramEnd"/>
      <w:r>
        <w:rPr>
          <w:rFonts w:cs="Calibri"/>
          <w:sz w:val="24"/>
          <w:szCs w:val="24"/>
        </w:rPr>
        <w:t xml:space="preserve"> of GH.  </w:t>
      </w:r>
    </w:p>
    <w:p w:rsidR="008F2E5B" w:rsidRPr="00692A69" w:rsidRDefault="008F2E5B" w:rsidP="004C1DEE">
      <w:pPr>
        <w:pStyle w:val="NoSpacing"/>
        <w:spacing w:line="480" w:lineRule="auto"/>
        <w:rPr>
          <w:rFonts w:cs="Calibri"/>
          <w:sz w:val="24"/>
          <w:szCs w:val="24"/>
        </w:rPr>
      </w:pPr>
      <w:r w:rsidRPr="00692A69">
        <w:rPr>
          <w:rFonts w:cs="Calibri"/>
          <w:b/>
          <w:sz w:val="24"/>
          <w:szCs w:val="24"/>
        </w:rPr>
        <w:t>Methods</w:t>
      </w:r>
    </w:p>
    <w:p w:rsidR="008F2E5B" w:rsidRDefault="008F2E5B" w:rsidP="004C1DEE">
      <w:pPr>
        <w:pStyle w:val="NoSpacing"/>
        <w:spacing w:line="480" w:lineRule="auto"/>
        <w:rPr>
          <w:rFonts w:cs="Calibri"/>
          <w:sz w:val="24"/>
          <w:szCs w:val="24"/>
        </w:rPr>
      </w:pPr>
      <w:r w:rsidRPr="00692A69">
        <w:rPr>
          <w:rFonts w:cs="Calibri"/>
          <w:b/>
          <w:sz w:val="24"/>
          <w:szCs w:val="24"/>
        </w:rPr>
        <w:t>Study Population.</w:t>
      </w:r>
      <w:r w:rsidRPr="00692A69">
        <w:rPr>
          <w:rFonts w:cs="Calibri"/>
          <w:sz w:val="24"/>
          <w:szCs w:val="24"/>
        </w:rPr>
        <w:t xml:space="preserve">  We studied </w:t>
      </w:r>
      <w:r w:rsidR="00B90DA7">
        <w:rPr>
          <w:rFonts w:cs="Calibri"/>
          <w:sz w:val="24"/>
          <w:szCs w:val="24"/>
        </w:rPr>
        <w:t>953</w:t>
      </w:r>
      <w:r w:rsidRPr="00692A69">
        <w:rPr>
          <w:rFonts w:cs="Calibri"/>
          <w:sz w:val="24"/>
          <w:szCs w:val="24"/>
        </w:rPr>
        <w:t xml:space="preserve"> STEMI and NSTEMI patients admitted to University Hospitals of Leicester NHS trust between August 2004 and April 2007. This observational cohort study complied with the Declaration of Helsinki</w:t>
      </w:r>
      <w:r w:rsidR="00B90DA7">
        <w:rPr>
          <w:rFonts w:cs="Calibri"/>
          <w:sz w:val="24"/>
          <w:szCs w:val="24"/>
        </w:rPr>
        <w:t xml:space="preserve">, </w:t>
      </w:r>
      <w:r w:rsidRPr="00692A69">
        <w:rPr>
          <w:rFonts w:cs="Calibri"/>
          <w:sz w:val="24"/>
          <w:szCs w:val="24"/>
        </w:rPr>
        <w:t>was approved by the local ethics committee</w:t>
      </w:r>
      <w:r w:rsidR="00B90DA7">
        <w:rPr>
          <w:rFonts w:cs="Calibri"/>
          <w:sz w:val="24"/>
          <w:szCs w:val="24"/>
        </w:rPr>
        <w:t xml:space="preserve"> and all patients provided </w:t>
      </w:r>
      <w:r w:rsidRPr="00692A69">
        <w:rPr>
          <w:rFonts w:cs="Calibri"/>
          <w:sz w:val="24"/>
          <w:szCs w:val="24"/>
        </w:rPr>
        <w:t xml:space="preserve">written informed consent. </w:t>
      </w:r>
      <w:r>
        <w:rPr>
          <w:rFonts w:cs="Calibri"/>
          <w:sz w:val="24"/>
          <w:szCs w:val="24"/>
        </w:rPr>
        <w:t xml:space="preserve"> </w:t>
      </w:r>
      <w:r w:rsidR="001947F4">
        <w:rPr>
          <w:rFonts w:cs="Calibri"/>
          <w:sz w:val="24"/>
          <w:szCs w:val="24"/>
        </w:rPr>
        <w:t>All patients with a diagnosis of acute myocardial infarction (</w:t>
      </w:r>
      <w:r w:rsidRPr="00692A69">
        <w:rPr>
          <w:rFonts w:cs="Calibri"/>
          <w:sz w:val="24"/>
          <w:szCs w:val="24"/>
        </w:rPr>
        <w:t>AMI</w:t>
      </w:r>
      <w:r w:rsidR="001947F4">
        <w:rPr>
          <w:rFonts w:cs="Calibri"/>
          <w:sz w:val="24"/>
          <w:szCs w:val="24"/>
        </w:rPr>
        <w:t>) had</w:t>
      </w:r>
      <w:r w:rsidRPr="00692A69">
        <w:rPr>
          <w:rFonts w:cs="Calibri"/>
          <w:sz w:val="24"/>
          <w:szCs w:val="24"/>
        </w:rPr>
        <w:t xml:space="preserve"> a cardiac troponin I level above the 99</w:t>
      </w:r>
      <w:r w:rsidRPr="00692A69">
        <w:rPr>
          <w:rFonts w:cs="Calibri"/>
          <w:sz w:val="24"/>
          <w:szCs w:val="24"/>
          <w:vertAlign w:val="superscript"/>
        </w:rPr>
        <w:t>th</w:t>
      </w:r>
      <w:r w:rsidRPr="00692A69">
        <w:rPr>
          <w:rFonts w:cs="Calibri"/>
          <w:sz w:val="24"/>
          <w:szCs w:val="24"/>
        </w:rPr>
        <w:t xml:space="preserve"> centile with at least one of the following</w:t>
      </w:r>
      <w:proofErr w:type="gramStart"/>
      <w:r w:rsidRPr="00692A69">
        <w:rPr>
          <w:rFonts w:cs="Calibri"/>
          <w:sz w:val="24"/>
          <w:szCs w:val="24"/>
        </w:rPr>
        <w:t>:-</w:t>
      </w:r>
      <w:proofErr w:type="gramEnd"/>
      <w:r w:rsidRPr="00692A69">
        <w:rPr>
          <w:rFonts w:cs="Calibri"/>
          <w:sz w:val="24"/>
          <w:szCs w:val="24"/>
        </w:rPr>
        <w:t xml:space="preserve"> chest pain lasting &gt;20 minutes or diagnostic serial electrocardiographic changes consisting of new pathological Q waves or ST-segment and T-wave changes (</w:t>
      </w:r>
      <w:r w:rsidR="004356C4">
        <w:rPr>
          <w:rFonts w:cs="Calibri"/>
          <w:sz w:val="24"/>
          <w:szCs w:val="24"/>
        </w:rPr>
        <w:t>7</w:t>
      </w:r>
      <w:r w:rsidRPr="00692A69">
        <w:rPr>
          <w:rFonts w:cs="Calibri"/>
          <w:sz w:val="24"/>
          <w:szCs w:val="24"/>
        </w:rPr>
        <w:t>). Patients with known malignancy, renal replacement therapy or surgery in the previous month were excluded. Estimated glomerular filtration rate (eGFR) was calculated from the simplified Modification of Diet in Renal Disease formula (</w:t>
      </w:r>
      <w:r w:rsidR="00F3664C">
        <w:rPr>
          <w:rFonts w:cs="Calibri"/>
          <w:sz w:val="24"/>
          <w:szCs w:val="24"/>
        </w:rPr>
        <w:t>8</w:t>
      </w:r>
      <w:r w:rsidRPr="00692A69">
        <w:rPr>
          <w:rFonts w:cs="Calibri"/>
          <w:sz w:val="24"/>
          <w:szCs w:val="24"/>
        </w:rPr>
        <w:t xml:space="preserve">). </w:t>
      </w:r>
      <w:r w:rsidR="00F3664C">
        <w:rPr>
          <w:rFonts w:cs="Calibri"/>
          <w:sz w:val="24"/>
          <w:szCs w:val="24"/>
        </w:rPr>
        <w:t xml:space="preserve"> </w:t>
      </w:r>
      <w:r w:rsidRPr="00692A69">
        <w:rPr>
          <w:rFonts w:cs="Calibri"/>
          <w:sz w:val="24"/>
          <w:szCs w:val="24"/>
        </w:rPr>
        <w:t>All patients received standard medical treatment and revascularisation at the discretion of the attending physician.</w:t>
      </w:r>
      <w:r w:rsidR="00E67982">
        <w:rPr>
          <w:rFonts w:cs="Calibri"/>
          <w:sz w:val="24"/>
          <w:szCs w:val="24"/>
        </w:rPr>
        <w:t xml:space="preserve">  Medication on discharge from hospital was noted (aspirin, statin, beta blocker, </w:t>
      </w:r>
      <w:r w:rsidR="00F52C59">
        <w:rPr>
          <w:rFonts w:cs="Calibri"/>
          <w:sz w:val="24"/>
          <w:szCs w:val="24"/>
        </w:rPr>
        <w:t xml:space="preserve">angiotensin </w:t>
      </w:r>
      <w:r w:rsidR="00C32032">
        <w:rPr>
          <w:rFonts w:cs="Calibri"/>
          <w:sz w:val="24"/>
          <w:szCs w:val="24"/>
        </w:rPr>
        <w:t>converting enzyme in</w:t>
      </w:r>
      <w:r w:rsidR="008B5893">
        <w:rPr>
          <w:rFonts w:cs="Calibri"/>
          <w:sz w:val="24"/>
          <w:szCs w:val="24"/>
        </w:rPr>
        <w:t>hibitor or angiotensin receptor blocker (ACE/ARB)</w:t>
      </w:r>
      <w:r w:rsidR="00C32032">
        <w:rPr>
          <w:rFonts w:cs="Calibri"/>
          <w:sz w:val="24"/>
          <w:szCs w:val="24"/>
        </w:rPr>
        <w:t>, loop diuretics).</w:t>
      </w:r>
    </w:p>
    <w:p w:rsidR="00C32032" w:rsidRPr="00692A69" w:rsidRDefault="00C32032" w:rsidP="004C1DEE">
      <w:pPr>
        <w:pStyle w:val="NoSpacing"/>
        <w:spacing w:line="480" w:lineRule="auto"/>
        <w:rPr>
          <w:rFonts w:cs="Calibri"/>
          <w:b/>
          <w:sz w:val="24"/>
          <w:szCs w:val="24"/>
        </w:rPr>
      </w:pPr>
    </w:p>
    <w:p w:rsidR="008F2E5B" w:rsidRPr="00692A69" w:rsidRDefault="008F2E5B" w:rsidP="004C1DEE">
      <w:pPr>
        <w:pStyle w:val="NoSpacing"/>
        <w:spacing w:line="480" w:lineRule="auto"/>
        <w:rPr>
          <w:rFonts w:cs="Calibri"/>
          <w:sz w:val="24"/>
          <w:szCs w:val="24"/>
        </w:rPr>
      </w:pPr>
      <w:proofErr w:type="gramStart"/>
      <w:r w:rsidRPr="00692A69">
        <w:rPr>
          <w:rFonts w:cs="Calibri"/>
          <w:b/>
          <w:sz w:val="24"/>
          <w:szCs w:val="24"/>
        </w:rPr>
        <w:lastRenderedPageBreak/>
        <w:t>Plasma samples.</w:t>
      </w:r>
      <w:proofErr w:type="gramEnd"/>
      <w:r w:rsidRPr="00692A69">
        <w:rPr>
          <w:rFonts w:cs="Calibri"/>
          <w:sz w:val="24"/>
          <w:szCs w:val="24"/>
        </w:rPr>
        <w:t xml:space="preserve">  Blood samples (</w:t>
      </w:r>
      <w:proofErr w:type="spellStart"/>
      <w:r w:rsidRPr="00692A69">
        <w:rPr>
          <w:rFonts w:cs="Calibri"/>
          <w:sz w:val="24"/>
          <w:szCs w:val="24"/>
        </w:rPr>
        <w:t>anticoagulated</w:t>
      </w:r>
      <w:proofErr w:type="spellEnd"/>
      <w:r w:rsidRPr="00692A69">
        <w:rPr>
          <w:rFonts w:cs="Calibri"/>
          <w:sz w:val="24"/>
          <w:szCs w:val="24"/>
        </w:rPr>
        <w:t xml:space="preserve"> with EDTA and </w:t>
      </w:r>
      <w:proofErr w:type="spellStart"/>
      <w:r w:rsidRPr="00692A69">
        <w:rPr>
          <w:rFonts w:cs="Calibri"/>
          <w:sz w:val="24"/>
          <w:szCs w:val="24"/>
        </w:rPr>
        <w:t>aprotinin</w:t>
      </w:r>
      <w:proofErr w:type="spellEnd"/>
      <w:r w:rsidRPr="00692A69">
        <w:rPr>
          <w:rFonts w:cs="Calibri"/>
          <w:sz w:val="24"/>
          <w:szCs w:val="24"/>
        </w:rPr>
        <w:t xml:space="preserve">) were </w:t>
      </w:r>
      <w:r w:rsidR="007D35EE">
        <w:rPr>
          <w:rFonts w:cs="Calibri"/>
          <w:sz w:val="24"/>
          <w:szCs w:val="24"/>
        </w:rPr>
        <w:t xml:space="preserve">obtained </w:t>
      </w:r>
      <w:r w:rsidRPr="00692A69">
        <w:rPr>
          <w:rFonts w:cs="Calibri"/>
          <w:sz w:val="24"/>
          <w:szCs w:val="24"/>
        </w:rPr>
        <w:t xml:space="preserve">immediately after diagnosis and within 36 h of symptom onset. Plasma was stored at -80°C until assayed in a single batch for blinded determination of plasma </w:t>
      </w:r>
      <w:proofErr w:type="spellStart"/>
      <w:r w:rsidR="007D35EE">
        <w:rPr>
          <w:rFonts w:cs="Calibri"/>
          <w:sz w:val="24"/>
          <w:szCs w:val="24"/>
        </w:rPr>
        <w:t>hs</w:t>
      </w:r>
      <w:proofErr w:type="spellEnd"/>
      <w:r w:rsidR="007D35EE">
        <w:rPr>
          <w:rFonts w:cs="Calibri"/>
          <w:sz w:val="24"/>
          <w:szCs w:val="24"/>
        </w:rPr>
        <w:t>-GH</w:t>
      </w:r>
      <w:r w:rsidRPr="00692A69">
        <w:rPr>
          <w:rFonts w:cs="Calibri"/>
          <w:sz w:val="24"/>
          <w:szCs w:val="24"/>
        </w:rPr>
        <w:t>.</w:t>
      </w:r>
    </w:p>
    <w:p w:rsidR="008F2E5B" w:rsidRPr="00692A69" w:rsidRDefault="008F2E5B" w:rsidP="004C1DEE">
      <w:pPr>
        <w:pStyle w:val="NoSpacing"/>
        <w:spacing w:line="480" w:lineRule="auto"/>
        <w:rPr>
          <w:rFonts w:cs="Calibri"/>
          <w:sz w:val="24"/>
          <w:szCs w:val="24"/>
        </w:rPr>
      </w:pPr>
    </w:p>
    <w:p w:rsidR="008F2E5B" w:rsidRPr="00692A69" w:rsidRDefault="008F2E5B" w:rsidP="004C1DEE">
      <w:pPr>
        <w:pStyle w:val="NoSpacing"/>
        <w:spacing w:line="480" w:lineRule="auto"/>
        <w:rPr>
          <w:rFonts w:cs="Calibri"/>
          <w:b/>
          <w:sz w:val="24"/>
          <w:szCs w:val="24"/>
        </w:rPr>
      </w:pPr>
      <w:proofErr w:type="gramStart"/>
      <w:r w:rsidRPr="00692A69">
        <w:rPr>
          <w:rFonts w:cs="Calibri"/>
          <w:b/>
          <w:sz w:val="24"/>
          <w:szCs w:val="24"/>
        </w:rPr>
        <w:t>Echocardiography.</w:t>
      </w:r>
      <w:proofErr w:type="gramEnd"/>
      <w:r>
        <w:rPr>
          <w:rFonts w:cs="Calibri"/>
          <w:b/>
          <w:sz w:val="24"/>
          <w:szCs w:val="24"/>
        </w:rPr>
        <w:t xml:space="preserve"> </w:t>
      </w:r>
      <w:r w:rsidRPr="00692A69">
        <w:rPr>
          <w:rFonts w:cs="Calibri"/>
          <w:sz w:val="24"/>
          <w:szCs w:val="24"/>
        </w:rPr>
        <w:t xml:space="preserve">Transthoracic echocardiography was performed in </w:t>
      </w:r>
      <w:r w:rsidR="00B96A68">
        <w:rPr>
          <w:rFonts w:cs="Calibri"/>
          <w:sz w:val="24"/>
          <w:szCs w:val="24"/>
        </w:rPr>
        <w:t>738</w:t>
      </w:r>
      <w:r w:rsidR="00F52C59">
        <w:rPr>
          <w:rFonts w:cs="Calibri"/>
          <w:sz w:val="24"/>
          <w:szCs w:val="24"/>
        </w:rPr>
        <w:t xml:space="preserve"> </w:t>
      </w:r>
      <w:r w:rsidRPr="00692A69">
        <w:rPr>
          <w:rFonts w:cs="Calibri"/>
          <w:sz w:val="24"/>
          <w:szCs w:val="24"/>
        </w:rPr>
        <w:t>(7</w:t>
      </w:r>
      <w:r>
        <w:rPr>
          <w:rFonts w:cs="Calibri"/>
          <w:sz w:val="24"/>
          <w:szCs w:val="24"/>
        </w:rPr>
        <w:t>7.</w:t>
      </w:r>
      <w:r w:rsidR="00B96A68">
        <w:rPr>
          <w:rFonts w:cs="Calibri"/>
          <w:sz w:val="24"/>
          <w:szCs w:val="24"/>
        </w:rPr>
        <w:t>4</w:t>
      </w:r>
      <w:r w:rsidRPr="00692A69">
        <w:rPr>
          <w:rFonts w:cs="Calibri"/>
          <w:sz w:val="24"/>
          <w:szCs w:val="24"/>
        </w:rPr>
        <w:t xml:space="preserve">%) patients during the index admission, using either a </w:t>
      </w:r>
      <w:proofErr w:type="spellStart"/>
      <w:r w:rsidRPr="00692A69">
        <w:rPr>
          <w:rFonts w:cs="Calibri"/>
          <w:sz w:val="24"/>
          <w:szCs w:val="24"/>
        </w:rPr>
        <w:t>Sonos</w:t>
      </w:r>
      <w:proofErr w:type="spellEnd"/>
      <w:r w:rsidRPr="00692A69">
        <w:rPr>
          <w:rFonts w:cs="Calibri"/>
          <w:sz w:val="24"/>
          <w:szCs w:val="24"/>
        </w:rPr>
        <w:t xml:space="preserve"> 5500 or IE 33 instrument (Philips Medical Systems, Reigate, UK). A 16-segment left ventricular wall motion index (LVWMI) score was performed based on the American Society of Echocardiography</w:t>
      </w:r>
      <w:bookmarkStart w:id="1" w:name="bbib15"/>
      <w:bookmarkEnd w:id="1"/>
      <w:r>
        <w:rPr>
          <w:rFonts w:cs="Calibri"/>
          <w:sz w:val="24"/>
          <w:szCs w:val="24"/>
        </w:rPr>
        <w:t xml:space="preserve"> </w:t>
      </w:r>
      <w:proofErr w:type="gramStart"/>
      <w:r w:rsidRPr="00692A69">
        <w:rPr>
          <w:rFonts w:cs="Calibri"/>
          <w:sz w:val="24"/>
          <w:szCs w:val="24"/>
        </w:rPr>
        <w:t>method(</w:t>
      </w:r>
      <w:proofErr w:type="gramEnd"/>
      <w:r w:rsidR="00F3664C">
        <w:rPr>
          <w:rFonts w:cs="Calibri"/>
          <w:sz w:val="24"/>
          <w:szCs w:val="24"/>
        </w:rPr>
        <w:t>9</w:t>
      </w:r>
      <w:r w:rsidRPr="00692A69">
        <w:rPr>
          <w:rFonts w:cs="Calibri"/>
          <w:sz w:val="24"/>
          <w:szCs w:val="24"/>
        </w:rPr>
        <w:t xml:space="preserve">). In suitable patients left ventricular ejection fraction (LVEF) was calculated using the biplane method of discs formula. LV systolic dysfunction (LVSD) was defined as either an LVEF&lt;40% or a LVWMI &gt;1.8. </w:t>
      </w:r>
    </w:p>
    <w:p w:rsidR="00B96A68" w:rsidRPr="00BB2A5C" w:rsidRDefault="008F2E5B" w:rsidP="00BB2A5C">
      <w:pPr>
        <w:pStyle w:val="NoSpacing"/>
        <w:spacing w:before="240" w:line="480" w:lineRule="auto"/>
        <w:rPr>
          <w:rFonts w:asciiTheme="minorHAnsi" w:hAnsiTheme="minorHAnsi"/>
          <w:sz w:val="24"/>
          <w:szCs w:val="24"/>
          <w:lang w:val="en-US"/>
        </w:rPr>
      </w:pPr>
      <w:r w:rsidRPr="00B96A68">
        <w:rPr>
          <w:rFonts w:asciiTheme="minorHAnsi" w:hAnsiTheme="minorHAnsi" w:cs="Calibri"/>
          <w:b/>
          <w:sz w:val="24"/>
          <w:szCs w:val="24"/>
        </w:rPr>
        <w:t>Biomarker assays</w:t>
      </w:r>
      <w:r w:rsidRPr="00B96A68">
        <w:rPr>
          <w:rFonts w:asciiTheme="minorHAnsi" w:hAnsiTheme="minorHAnsi" w:cs="Calibri"/>
          <w:sz w:val="24"/>
          <w:szCs w:val="24"/>
        </w:rPr>
        <w:t>.  Troponin I was measured using the</w:t>
      </w:r>
      <w:r w:rsidRPr="00B96A68">
        <w:rPr>
          <w:rFonts w:asciiTheme="minorHAnsi" w:hAnsiTheme="minorHAnsi" w:cs="StempelGaramond-Roman"/>
          <w:sz w:val="24"/>
          <w:szCs w:val="24"/>
        </w:rPr>
        <w:t xml:space="preserve"> Centaur </w:t>
      </w:r>
      <w:proofErr w:type="spellStart"/>
      <w:r w:rsidRPr="00B96A68">
        <w:rPr>
          <w:rFonts w:asciiTheme="minorHAnsi" w:hAnsiTheme="minorHAnsi" w:cs="StempelGaramond-Roman"/>
          <w:sz w:val="24"/>
          <w:szCs w:val="24"/>
        </w:rPr>
        <w:t>cTnI</w:t>
      </w:r>
      <w:proofErr w:type="spellEnd"/>
      <w:r w:rsidRPr="00B96A68">
        <w:rPr>
          <w:rFonts w:asciiTheme="minorHAnsi" w:hAnsiTheme="minorHAnsi" w:cs="StempelGaramond-Roman"/>
          <w:sz w:val="24"/>
          <w:szCs w:val="24"/>
        </w:rPr>
        <w:t xml:space="preserve"> Ultra immunoassay </w:t>
      </w:r>
      <w:r w:rsidRPr="00BB2A5C">
        <w:rPr>
          <w:rFonts w:asciiTheme="minorHAnsi" w:hAnsiTheme="minorHAnsi" w:cs="StempelGaramond-Roman"/>
          <w:sz w:val="24"/>
          <w:szCs w:val="24"/>
        </w:rPr>
        <w:t xml:space="preserve">(Siemens Healthcare Diagnostics), which has a CV (coefficient of variation) of 10% at 0.03 </w:t>
      </w:r>
      <w:proofErr w:type="spellStart"/>
      <w:r w:rsidRPr="00BB2A5C">
        <w:rPr>
          <w:rFonts w:asciiTheme="minorHAnsi" w:hAnsiTheme="minorHAnsi" w:cs="Calibri"/>
          <w:sz w:val="24"/>
          <w:szCs w:val="24"/>
        </w:rPr>
        <w:t>μg</w:t>
      </w:r>
      <w:proofErr w:type="spellEnd"/>
      <w:r w:rsidRPr="00BB2A5C">
        <w:rPr>
          <w:rFonts w:asciiTheme="minorHAnsi" w:hAnsiTheme="minorHAnsi" w:cs="Calibri"/>
          <w:sz w:val="24"/>
          <w:szCs w:val="24"/>
        </w:rPr>
        <w:t>/L</w:t>
      </w:r>
      <w:r w:rsidRPr="00BB2A5C">
        <w:rPr>
          <w:rFonts w:asciiTheme="minorHAnsi" w:hAnsiTheme="minorHAnsi" w:cs="StempelGaramond-Roman"/>
          <w:sz w:val="24"/>
          <w:szCs w:val="24"/>
        </w:rPr>
        <w:t xml:space="preserve"> with a 99th percentile of 0.04 </w:t>
      </w:r>
      <w:proofErr w:type="spellStart"/>
      <w:r w:rsidRPr="00BB2A5C">
        <w:rPr>
          <w:rFonts w:asciiTheme="minorHAnsi" w:hAnsiTheme="minorHAnsi" w:cs="Calibri"/>
          <w:sz w:val="24"/>
          <w:szCs w:val="24"/>
        </w:rPr>
        <w:t>μg</w:t>
      </w:r>
      <w:proofErr w:type="spellEnd"/>
      <w:r w:rsidRPr="00BB2A5C">
        <w:rPr>
          <w:rFonts w:asciiTheme="minorHAnsi" w:hAnsiTheme="minorHAnsi" w:cs="Calibri"/>
          <w:sz w:val="24"/>
          <w:szCs w:val="24"/>
        </w:rPr>
        <w:t>/L</w:t>
      </w:r>
      <w:r w:rsidRPr="00BB2A5C">
        <w:rPr>
          <w:rFonts w:asciiTheme="minorHAnsi" w:hAnsiTheme="minorHAnsi" w:cs="StempelGaramond-Roman"/>
          <w:sz w:val="24"/>
          <w:szCs w:val="24"/>
        </w:rPr>
        <w:t xml:space="preserve">.  </w:t>
      </w:r>
      <w:r w:rsidR="00B96A68" w:rsidRPr="00BB2A5C">
        <w:rPr>
          <w:rFonts w:asciiTheme="minorHAnsi" w:hAnsiTheme="minorHAnsi" w:cs="StempelGaramond-Roman"/>
          <w:sz w:val="24"/>
          <w:szCs w:val="24"/>
        </w:rPr>
        <w:t xml:space="preserve">Measurement of GH levels was performed with a high sensitivity </w:t>
      </w:r>
      <w:r w:rsidR="00B96A68" w:rsidRPr="00BB2A5C">
        <w:rPr>
          <w:rFonts w:asciiTheme="minorHAnsi" w:hAnsiTheme="minorHAnsi"/>
          <w:sz w:val="24"/>
          <w:szCs w:val="24"/>
          <w:lang w:val="en-US"/>
        </w:rPr>
        <w:t xml:space="preserve">2-site </w:t>
      </w:r>
      <w:proofErr w:type="spellStart"/>
      <w:r w:rsidR="00B96A68" w:rsidRPr="00BB2A5C">
        <w:rPr>
          <w:rFonts w:asciiTheme="minorHAnsi" w:hAnsiTheme="minorHAnsi"/>
          <w:sz w:val="24"/>
          <w:szCs w:val="24"/>
          <w:lang w:val="en-US"/>
        </w:rPr>
        <w:t>chemiluminescence</w:t>
      </w:r>
      <w:proofErr w:type="spellEnd"/>
      <w:r w:rsidR="00B96A68" w:rsidRPr="00BB2A5C">
        <w:rPr>
          <w:rFonts w:asciiTheme="minorHAnsi" w:hAnsiTheme="minorHAnsi"/>
          <w:sz w:val="24"/>
          <w:szCs w:val="24"/>
          <w:lang w:val="en-US"/>
        </w:rPr>
        <w:t xml:space="preserve"> sandwich immunoassay</w:t>
      </w:r>
      <w:r w:rsidR="00AB721D">
        <w:rPr>
          <w:rFonts w:asciiTheme="minorHAnsi" w:hAnsiTheme="minorHAnsi"/>
          <w:sz w:val="24"/>
          <w:szCs w:val="24"/>
          <w:lang w:val="en-US"/>
        </w:rPr>
        <w:t xml:space="preserve"> similar to one previously described</w:t>
      </w:r>
      <w:r w:rsidR="00B96A68" w:rsidRPr="00BB2A5C">
        <w:rPr>
          <w:rFonts w:asciiTheme="minorHAnsi" w:hAnsiTheme="minorHAnsi"/>
          <w:sz w:val="24"/>
          <w:szCs w:val="24"/>
          <w:lang w:val="en-US"/>
        </w:rPr>
        <w:t xml:space="preserve"> (6), using </w:t>
      </w:r>
      <w:r w:rsidR="00DC2977" w:rsidRPr="00BB2A5C">
        <w:rPr>
          <w:rFonts w:asciiTheme="minorHAnsi" w:hAnsiTheme="minorHAnsi"/>
          <w:sz w:val="24"/>
          <w:szCs w:val="24"/>
          <w:lang w:val="en-US"/>
        </w:rPr>
        <w:t xml:space="preserve">mouse monoclonal antibodies raised against human GH. The capture antibody (1.5 µg antibody/0.3 ml 100 </w:t>
      </w:r>
      <w:proofErr w:type="spellStart"/>
      <w:r w:rsidR="00DC2977" w:rsidRPr="00BB2A5C">
        <w:rPr>
          <w:rFonts w:asciiTheme="minorHAnsi" w:hAnsiTheme="minorHAnsi"/>
          <w:sz w:val="24"/>
          <w:szCs w:val="24"/>
          <w:lang w:val="en-US"/>
        </w:rPr>
        <w:t>mmol</w:t>
      </w:r>
      <w:proofErr w:type="spellEnd"/>
      <w:r w:rsidR="00DC2977" w:rsidRPr="00BB2A5C">
        <w:rPr>
          <w:rFonts w:asciiTheme="minorHAnsi" w:hAnsiTheme="minorHAnsi"/>
          <w:sz w:val="24"/>
          <w:szCs w:val="24"/>
          <w:lang w:val="en-US"/>
        </w:rPr>
        <w:t xml:space="preserve">/l </w:t>
      </w:r>
      <w:proofErr w:type="spellStart"/>
      <w:r w:rsidR="00DC2977" w:rsidRPr="00BB2A5C">
        <w:rPr>
          <w:rFonts w:asciiTheme="minorHAnsi" w:hAnsiTheme="minorHAnsi"/>
          <w:sz w:val="24"/>
          <w:szCs w:val="24"/>
          <w:lang w:val="en-US"/>
        </w:rPr>
        <w:t>NaCl</w:t>
      </w:r>
      <w:proofErr w:type="spellEnd"/>
      <w:r w:rsidR="00DC2977" w:rsidRPr="00BB2A5C">
        <w:rPr>
          <w:rFonts w:asciiTheme="minorHAnsi" w:hAnsiTheme="minorHAnsi"/>
          <w:sz w:val="24"/>
          <w:szCs w:val="24"/>
          <w:lang w:val="en-US"/>
        </w:rPr>
        <w:t xml:space="preserve">, 50 </w:t>
      </w:r>
      <w:proofErr w:type="spellStart"/>
      <w:r w:rsidR="00DC2977" w:rsidRPr="00BB2A5C">
        <w:rPr>
          <w:rFonts w:asciiTheme="minorHAnsi" w:hAnsiTheme="minorHAnsi"/>
          <w:sz w:val="24"/>
          <w:szCs w:val="24"/>
          <w:lang w:val="en-US"/>
        </w:rPr>
        <w:t>mmol</w:t>
      </w:r>
      <w:proofErr w:type="spellEnd"/>
      <w:r w:rsidR="00DC2977" w:rsidRPr="00BB2A5C">
        <w:rPr>
          <w:rFonts w:asciiTheme="minorHAnsi" w:hAnsiTheme="minorHAnsi"/>
          <w:sz w:val="24"/>
          <w:szCs w:val="24"/>
          <w:lang w:val="en-US"/>
        </w:rPr>
        <w:t xml:space="preserve">/l </w:t>
      </w:r>
      <w:proofErr w:type="spellStart"/>
      <w:r w:rsidR="00DC2977" w:rsidRPr="00BB2A5C">
        <w:rPr>
          <w:rFonts w:asciiTheme="minorHAnsi" w:hAnsiTheme="minorHAnsi"/>
          <w:sz w:val="24"/>
          <w:szCs w:val="24"/>
          <w:lang w:val="en-US"/>
        </w:rPr>
        <w:t>Tris</w:t>
      </w:r>
      <w:proofErr w:type="spellEnd"/>
      <w:r w:rsidR="00DC2977" w:rsidRPr="00BB2A5C">
        <w:rPr>
          <w:rFonts w:asciiTheme="minorHAnsi" w:hAnsiTheme="minorHAnsi"/>
          <w:sz w:val="24"/>
          <w:szCs w:val="24"/>
          <w:lang w:val="en-US"/>
        </w:rPr>
        <w:t>/</w:t>
      </w:r>
      <w:proofErr w:type="spellStart"/>
      <w:r w:rsidR="00DC2977" w:rsidRPr="00BB2A5C">
        <w:rPr>
          <w:rFonts w:asciiTheme="minorHAnsi" w:hAnsiTheme="minorHAnsi"/>
          <w:sz w:val="24"/>
          <w:szCs w:val="24"/>
          <w:lang w:val="en-US"/>
        </w:rPr>
        <w:t>HCl</w:t>
      </w:r>
      <w:proofErr w:type="spellEnd"/>
      <w:r w:rsidR="00DC2977" w:rsidRPr="00BB2A5C">
        <w:rPr>
          <w:rFonts w:asciiTheme="minorHAnsi" w:hAnsiTheme="minorHAnsi"/>
          <w:sz w:val="24"/>
          <w:szCs w:val="24"/>
          <w:lang w:val="en-US"/>
        </w:rPr>
        <w:t>, pH 7.8,) was coated onto polystyrene tubes (Greiner Bio-One International AG, Austria) for 18 hours. Tubes were then blocked using 5 % bovine serum albumin. 50 µl of sample (or calibrator standards of human GH) were pipetted into antibody coated tubes, together with 200 µl methyl-</w:t>
      </w:r>
      <w:proofErr w:type="spellStart"/>
      <w:r w:rsidR="00DC2977" w:rsidRPr="00BB2A5C">
        <w:rPr>
          <w:rFonts w:asciiTheme="minorHAnsi" w:hAnsiTheme="minorHAnsi"/>
          <w:sz w:val="24"/>
          <w:szCs w:val="24"/>
          <w:lang w:val="en-US"/>
        </w:rPr>
        <w:t>acridinium</w:t>
      </w:r>
      <w:proofErr w:type="spellEnd"/>
      <w:r w:rsidR="00DC2977" w:rsidRPr="00BB2A5C">
        <w:rPr>
          <w:rFonts w:asciiTheme="minorHAnsi" w:hAnsiTheme="minorHAnsi"/>
          <w:sz w:val="24"/>
          <w:szCs w:val="24"/>
          <w:lang w:val="en-US"/>
        </w:rPr>
        <w:t xml:space="preserve"> ester labeled antibody and incubated </w:t>
      </w:r>
      <w:r w:rsidR="00DC2977" w:rsidRPr="00BB2A5C">
        <w:rPr>
          <w:rFonts w:asciiTheme="minorHAnsi" w:hAnsiTheme="minorHAnsi"/>
          <w:sz w:val="24"/>
          <w:szCs w:val="24"/>
        </w:rPr>
        <w:t xml:space="preserve">at 22°C for 2 hours. Unbound tracer antibody was removed by washes </w:t>
      </w:r>
      <w:r w:rsidR="00DC2977" w:rsidRPr="00BB2A5C">
        <w:rPr>
          <w:rFonts w:asciiTheme="minorHAnsi" w:hAnsiTheme="minorHAnsi"/>
          <w:sz w:val="24"/>
          <w:szCs w:val="24"/>
          <w:lang w:val="en-US"/>
        </w:rPr>
        <w:t xml:space="preserve">(20 </w:t>
      </w:r>
      <w:proofErr w:type="spellStart"/>
      <w:r w:rsidR="00DC2977" w:rsidRPr="00BB2A5C">
        <w:rPr>
          <w:rFonts w:asciiTheme="minorHAnsi" w:hAnsiTheme="minorHAnsi"/>
          <w:sz w:val="24"/>
          <w:szCs w:val="24"/>
          <w:lang w:val="en-US"/>
        </w:rPr>
        <w:t>mmol</w:t>
      </w:r>
      <w:proofErr w:type="spellEnd"/>
      <w:r w:rsidR="00DC2977" w:rsidRPr="00BB2A5C">
        <w:rPr>
          <w:rFonts w:asciiTheme="minorHAnsi" w:hAnsiTheme="minorHAnsi"/>
          <w:sz w:val="24"/>
          <w:szCs w:val="24"/>
          <w:lang w:val="en-US"/>
        </w:rPr>
        <w:t xml:space="preserve">/l PBS, pH 7.4, 0.1 % Triton X 100) and </w:t>
      </w:r>
      <w:proofErr w:type="spellStart"/>
      <w:r w:rsidR="00DC2977" w:rsidRPr="00BB2A5C">
        <w:rPr>
          <w:rFonts w:asciiTheme="minorHAnsi" w:hAnsiTheme="minorHAnsi"/>
          <w:sz w:val="24"/>
          <w:szCs w:val="24"/>
          <w:lang w:val="en-US"/>
        </w:rPr>
        <w:t>chemiluminescence</w:t>
      </w:r>
      <w:proofErr w:type="spellEnd"/>
      <w:r w:rsidR="00DC2977" w:rsidRPr="00BB2A5C">
        <w:rPr>
          <w:rFonts w:asciiTheme="minorHAnsi" w:hAnsiTheme="minorHAnsi"/>
          <w:sz w:val="24"/>
          <w:szCs w:val="24"/>
          <w:lang w:val="en-US"/>
        </w:rPr>
        <w:t xml:space="preserve"> determined on an </w:t>
      </w:r>
      <w:proofErr w:type="spellStart"/>
      <w:r w:rsidR="00DC2977" w:rsidRPr="00BB2A5C">
        <w:rPr>
          <w:rFonts w:asciiTheme="minorHAnsi" w:hAnsiTheme="minorHAnsi"/>
          <w:sz w:val="24"/>
          <w:szCs w:val="24"/>
          <w:lang w:val="en-US"/>
        </w:rPr>
        <w:t>AutoLumat</w:t>
      </w:r>
      <w:proofErr w:type="spellEnd"/>
      <w:r w:rsidR="00DC2977" w:rsidRPr="00BB2A5C">
        <w:rPr>
          <w:rFonts w:asciiTheme="minorHAnsi" w:hAnsiTheme="minorHAnsi"/>
          <w:sz w:val="24"/>
          <w:szCs w:val="24"/>
          <w:lang w:val="en-US"/>
        </w:rPr>
        <w:t xml:space="preserve"> LB 953 (Berthold Techn</w:t>
      </w:r>
      <w:r w:rsidR="00BB2A5C" w:rsidRPr="00BB2A5C">
        <w:rPr>
          <w:rFonts w:asciiTheme="minorHAnsi" w:hAnsiTheme="minorHAnsi"/>
          <w:sz w:val="24"/>
          <w:szCs w:val="24"/>
          <w:lang w:val="en-US"/>
        </w:rPr>
        <w:t>ologies GmbH).</w:t>
      </w:r>
      <w:r w:rsidR="00BB2A5C">
        <w:rPr>
          <w:rFonts w:asciiTheme="minorHAnsi" w:hAnsiTheme="minorHAnsi"/>
          <w:sz w:val="24"/>
          <w:szCs w:val="24"/>
          <w:lang w:val="en-US"/>
        </w:rPr>
        <w:t xml:space="preserve">  </w:t>
      </w:r>
      <w:r w:rsidR="00B96A68" w:rsidRPr="00BB2A5C">
        <w:rPr>
          <w:rFonts w:asciiTheme="minorHAnsi" w:hAnsiTheme="minorHAnsi"/>
          <w:sz w:val="24"/>
          <w:szCs w:val="24"/>
          <w:lang w:val="en-US"/>
        </w:rPr>
        <w:lastRenderedPageBreak/>
        <w:t>The analytical assay sensitivity was 2</w:t>
      </w:r>
      <w:r w:rsidR="00C372F8" w:rsidRPr="00BB2A5C">
        <w:rPr>
          <w:rFonts w:asciiTheme="minorHAnsi" w:hAnsiTheme="minorHAnsi"/>
          <w:sz w:val="24"/>
          <w:szCs w:val="24"/>
          <w:lang w:val="en-US"/>
        </w:rPr>
        <w:t>n</w:t>
      </w:r>
      <w:r w:rsidR="00B96A68" w:rsidRPr="00BB2A5C">
        <w:rPr>
          <w:rFonts w:asciiTheme="minorHAnsi" w:hAnsiTheme="minorHAnsi"/>
          <w:sz w:val="24"/>
          <w:szCs w:val="24"/>
          <w:lang w:val="en-US"/>
        </w:rPr>
        <w:t>g/</w:t>
      </w:r>
      <w:r w:rsidR="00C372F8" w:rsidRPr="00BB2A5C">
        <w:rPr>
          <w:rFonts w:asciiTheme="minorHAnsi" w:hAnsiTheme="minorHAnsi"/>
          <w:sz w:val="24"/>
          <w:szCs w:val="24"/>
          <w:lang w:val="en-US"/>
        </w:rPr>
        <w:t xml:space="preserve">L </w:t>
      </w:r>
      <w:r w:rsidR="00B96A68" w:rsidRPr="00BB2A5C">
        <w:rPr>
          <w:rFonts w:asciiTheme="minorHAnsi" w:hAnsiTheme="minorHAnsi"/>
          <w:sz w:val="24"/>
          <w:szCs w:val="24"/>
          <w:lang w:val="en-US"/>
        </w:rPr>
        <w:t>GH</w:t>
      </w:r>
      <w:r w:rsidR="00C372F8" w:rsidRPr="00BB2A5C">
        <w:rPr>
          <w:rFonts w:asciiTheme="minorHAnsi" w:hAnsiTheme="minorHAnsi"/>
          <w:sz w:val="24"/>
          <w:szCs w:val="24"/>
          <w:lang w:val="en-US"/>
        </w:rPr>
        <w:t xml:space="preserve"> and t</w:t>
      </w:r>
      <w:r w:rsidR="00B96A68" w:rsidRPr="00BB2A5C">
        <w:rPr>
          <w:rFonts w:asciiTheme="minorHAnsi" w:hAnsiTheme="minorHAnsi"/>
          <w:sz w:val="24"/>
          <w:szCs w:val="24"/>
          <w:lang w:val="en-US"/>
        </w:rPr>
        <w:t xml:space="preserve">he functional assay sensitivity (&lt;20% inter assay CV) was </w:t>
      </w:r>
      <w:proofErr w:type="gramStart"/>
      <w:r w:rsidR="00B96A68" w:rsidRPr="00BB2A5C">
        <w:rPr>
          <w:rFonts w:asciiTheme="minorHAnsi" w:hAnsiTheme="minorHAnsi"/>
          <w:sz w:val="24"/>
          <w:szCs w:val="24"/>
          <w:lang w:val="en-US"/>
        </w:rPr>
        <w:t>10</w:t>
      </w:r>
      <w:r w:rsidR="00C372F8" w:rsidRPr="00BB2A5C">
        <w:rPr>
          <w:rFonts w:asciiTheme="minorHAnsi" w:hAnsiTheme="minorHAnsi"/>
          <w:sz w:val="24"/>
          <w:szCs w:val="24"/>
          <w:lang w:val="en-US"/>
        </w:rPr>
        <w:t xml:space="preserve"> ng/L</w:t>
      </w:r>
      <w:r w:rsidR="00B96A68" w:rsidRPr="00BB2A5C">
        <w:rPr>
          <w:rFonts w:asciiTheme="minorHAnsi" w:hAnsiTheme="minorHAnsi"/>
          <w:sz w:val="24"/>
          <w:szCs w:val="24"/>
          <w:lang w:val="en-US"/>
        </w:rPr>
        <w:t>.</w:t>
      </w:r>
      <w:proofErr w:type="gramEnd"/>
      <w:r w:rsidR="00B96A68" w:rsidRPr="00BB2A5C">
        <w:rPr>
          <w:rFonts w:asciiTheme="minorHAnsi" w:hAnsiTheme="minorHAnsi"/>
          <w:sz w:val="24"/>
          <w:szCs w:val="24"/>
          <w:lang w:val="en-US"/>
        </w:rPr>
        <w:t xml:space="preserve"> </w:t>
      </w:r>
    </w:p>
    <w:p w:rsidR="00BB2A5C" w:rsidRDefault="00BB2A5C" w:rsidP="004C1DEE">
      <w:pPr>
        <w:pStyle w:val="NoSpacing"/>
        <w:spacing w:line="480" w:lineRule="auto"/>
        <w:rPr>
          <w:rFonts w:cs="StempelGaramond-Roman"/>
          <w:sz w:val="24"/>
          <w:szCs w:val="24"/>
        </w:rPr>
      </w:pPr>
    </w:p>
    <w:p w:rsidR="008F2E5B" w:rsidRDefault="008F2E5B" w:rsidP="004C1DEE">
      <w:pPr>
        <w:pStyle w:val="NoSpacing"/>
        <w:spacing w:line="480" w:lineRule="auto"/>
        <w:rPr>
          <w:rFonts w:cs="Calibri"/>
          <w:sz w:val="24"/>
          <w:szCs w:val="24"/>
        </w:rPr>
      </w:pPr>
      <w:proofErr w:type="gramStart"/>
      <w:r w:rsidRPr="00692A69">
        <w:rPr>
          <w:rFonts w:cs="Calibri"/>
          <w:b/>
          <w:sz w:val="24"/>
          <w:szCs w:val="24"/>
        </w:rPr>
        <w:t>End points.</w:t>
      </w:r>
      <w:proofErr w:type="gramEnd"/>
      <w:r w:rsidRPr="00692A69">
        <w:rPr>
          <w:rFonts w:cs="Calibri"/>
          <w:sz w:val="24"/>
          <w:szCs w:val="24"/>
        </w:rPr>
        <w:t xml:space="preserve"> The primary composite endpoint was major adverse cardiac events (MACE) </w:t>
      </w:r>
      <w:r>
        <w:rPr>
          <w:rFonts w:cs="Calibri"/>
          <w:sz w:val="24"/>
          <w:szCs w:val="24"/>
        </w:rPr>
        <w:t xml:space="preserve">which included </w:t>
      </w:r>
      <w:r w:rsidRPr="00692A69">
        <w:rPr>
          <w:rFonts w:cs="Calibri"/>
          <w:sz w:val="24"/>
          <w:szCs w:val="24"/>
        </w:rPr>
        <w:t>all-cause mortality, heart failure (HF)</w:t>
      </w:r>
      <w:r w:rsidR="00F52C59">
        <w:rPr>
          <w:rFonts w:cs="Calibri"/>
          <w:sz w:val="24"/>
          <w:szCs w:val="24"/>
        </w:rPr>
        <w:t xml:space="preserve"> </w:t>
      </w:r>
      <w:r>
        <w:rPr>
          <w:rFonts w:cs="Calibri"/>
          <w:sz w:val="24"/>
          <w:szCs w:val="24"/>
        </w:rPr>
        <w:t>hospitalization</w:t>
      </w:r>
      <w:r w:rsidRPr="00692A69">
        <w:rPr>
          <w:rFonts w:cs="Calibri"/>
          <w:sz w:val="24"/>
          <w:szCs w:val="24"/>
        </w:rPr>
        <w:t xml:space="preserve"> or recurrent AMI (re-AMI), within 2 years</w:t>
      </w:r>
      <w:r>
        <w:rPr>
          <w:rFonts w:cs="Calibri"/>
          <w:sz w:val="24"/>
          <w:szCs w:val="24"/>
        </w:rPr>
        <w:t xml:space="preserve"> of the index event</w:t>
      </w:r>
      <w:r w:rsidRPr="00692A69">
        <w:rPr>
          <w:rFonts w:cs="Calibri"/>
          <w:sz w:val="24"/>
          <w:szCs w:val="24"/>
        </w:rPr>
        <w:t>. Hospitalization for HF was defined as a hospital readmission for which HF was the primary reason requiring treatment with high dose diuretics, inotropes or intravenous nitrate. Recurrent AMI was diagnosed using the universal definition (</w:t>
      </w:r>
      <w:r w:rsidR="00D326A6">
        <w:rPr>
          <w:rFonts w:cs="Calibri"/>
          <w:sz w:val="24"/>
          <w:szCs w:val="24"/>
        </w:rPr>
        <w:t>7</w:t>
      </w:r>
      <w:r w:rsidRPr="00692A69">
        <w:rPr>
          <w:rFonts w:cs="Calibri"/>
          <w:sz w:val="24"/>
          <w:szCs w:val="24"/>
        </w:rPr>
        <w:t>).</w:t>
      </w:r>
      <w:r>
        <w:rPr>
          <w:rFonts w:cs="Calibri"/>
          <w:sz w:val="24"/>
          <w:szCs w:val="24"/>
        </w:rPr>
        <w:t xml:space="preserve"> </w:t>
      </w:r>
      <w:r w:rsidRPr="00692A69">
        <w:rPr>
          <w:rFonts w:cs="Calibri"/>
          <w:sz w:val="24"/>
          <w:szCs w:val="24"/>
        </w:rPr>
        <w:t>Endpoints were obtained by reviewing the local hospital databases</w:t>
      </w:r>
      <w:r>
        <w:rPr>
          <w:rFonts w:cs="Calibri"/>
          <w:sz w:val="24"/>
          <w:szCs w:val="24"/>
        </w:rPr>
        <w:t xml:space="preserve"> and patients’ records,</w:t>
      </w:r>
      <w:r w:rsidRPr="00692A69">
        <w:rPr>
          <w:rFonts w:cs="Calibri"/>
          <w:sz w:val="24"/>
          <w:szCs w:val="24"/>
        </w:rPr>
        <w:t xml:space="preserve"> the Office of National Statistics Registry and phone calls to patients. </w:t>
      </w:r>
    </w:p>
    <w:p w:rsidR="0033688B" w:rsidRPr="00692A69" w:rsidRDefault="0033688B" w:rsidP="004C1DEE">
      <w:pPr>
        <w:pStyle w:val="NoSpacing"/>
        <w:spacing w:line="480" w:lineRule="auto"/>
        <w:rPr>
          <w:rFonts w:cs="Calibri"/>
          <w:b/>
          <w:sz w:val="24"/>
          <w:szCs w:val="24"/>
        </w:rPr>
      </w:pPr>
    </w:p>
    <w:p w:rsidR="002C53F6" w:rsidRDefault="008F2E5B" w:rsidP="00EC016C">
      <w:pPr>
        <w:spacing w:line="480" w:lineRule="auto"/>
        <w:rPr>
          <w:rFonts w:cs="Calibri"/>
          <w:sz w:val="24"/>
          <w:szCs w:val="24"/>
        </w:rPr>
      </w:pPr>
      <w:proofErr w:type="gramStart"/>
      <w:r w:rsidRPr="00692A69">
        <w:rPr>
          <w:rFonts w:cs="Calibri"/>
          <w:b/>
          <w:sz w:val="24"/>
          <w:szCs w:val="24"/>
        </w:rPr>
        <w:t>Statistical analysis.</w:t>
      </w:r>
      <w:proofErr w:type="gramEnd"/>
      <w:r>
        <w:rPr>
          <w:rFonts w:cs="Calibri"/>
          <w:b/>
          <w:sz w:val="24"/>
          <w:szCs w:val="24"/>
        </w:rPr>
        <w:t xml:space="preserve"> </w:t>
      </w:r>
      <w:r w:rsidRPr="00692A69">
        <w:rPr>
          <w:rFonts w:cs="Calibri"/>
          <w:sz w:val="24"/>
          <w:szCs w:val="24"/>
        </w:rPr>
        <w:t>Statistical analyses were performed on SPSS Version 20 (SPSS Inc, Chicago, Illinois). Biomarker levels were log</w:t>
      </w:r>
      <w:r w:rsidRPr="00692A69">
        <w:rPr>
          <w:rFonts w:cs="Calibri"/>
          <w:sz w:val="24"/>
          <w:szCs w:val="24"/>
          <w:vertAlign w:val="subscript"/>
        </w:rPr>
        <w:t>10</w:t>
      </w:r>
      <w:r w:rsidRPr="00692A69">
        <w:rPr>
          <w:rFonts w:cs="Calibri"/>
          <w:sz w:val="24"/>
          <w:szCs w:val="24"/>
        </w:rPr>
        <w:t xml:space="preserve"> transformed and </w:t>
      </w:r>
      <w:r>
        <w:rPr>
          <w:rFonts w:cs="Calibri"/>
          <w:sz w:val="24"/>
          <w:szCs w:val="24"/>
        </w:rPr>
        <w:t>h</w:t>
      </w:r>
      <w:r w:rsidRPr="0011686C">
        <w:rPr>
          <w:rFonts w:cs="Calibri"/>
          <w:sz w:val="24"/>
          <w:szCs w:val="24"/>
        </w:rPr>
        <w:t xml:space="preserve">azard ratios for these </w:t>
      </w:r>
      <w:r w:rsidR="002C53F6">
        <w:rPr>
          <w:rFonts w:cs="Calibri"/>
          <w:sz w:val="24"/>
          <w:szCs w:val="24"/>
        </w:rPr>
        <w:t xml:space="preserve">were standardised to </w:t>
      </w:r>
      <w:r w:rsidRPr="0011686C">
        <w:rPr>
          <w:rFonts w:cs="Calibri"/>
          <w:sz w:val="24"/>
          <w:szCs w:val="24"/>
        </w:rPr>
        <w:t xml:space="preserve">1 SD </w:t>
      </w:r>
      <w:r>
        <w:rPr>
          <w:rFonts w:cs="Calibri"/>
          <w:sz w:val="24"/>
          <w:szCs w:val="24"/>
        </w:rPr>
        <w:t>increment</w:t>
      </w:r>
      <w:r w:rsidRPr="0011686C">
        <w:rPr>
          <w:rFonts w:cs="Calibri"/>
          <w:sz w:val="24"/>
          <w:szCs w:val="24"/>
        </w:rPr>
        <w:t xml:space="preserve"> of the log</w:t>
      </w:r>
      <w:r w:rsidRPr="0011686C">
        <w:rPr>
          <w:rFonts w:cs="Calibri"/>
          <w:sz w:val="24"/>
          <w:szCs w:val="24"/>
          <w:vertAlign w:val="subscript"/>
        </w:rPr>
        <w:t>10</w:t>
      </w:r>
      <w:r w:rsidRPr="0011686C">
        <w:rPr>
          <w:rFonts w:cs="Calibri"/>
          <w:sz w:val="24"/>
          <w:szCs w:val="24"/>
        </w:rPr>
        <w:t xml:space="preserve"> transformed biomarker.</w:t>
      </w:r>
      <w:r w:rsidRPr="00692A69">
        <w:rPr>
          <w:rFonts w:cs="Calibri"/>
          <w:sz w:val="24"/>
          <w:szCs w:val="24"/>
        </w:rPr>
        <w:t xml:space="preserve"> Non-parametric tests were employed </w:t>
      </w:r>
      <w:r>
        <w:rPr>
          <w:rFonts w:cs="Calibri"/>
          <w:sz w:val="24"/>
          <w:szCs w:val="24"/>
        </w:rPr>
        <w:t>for data analysis</w:t>
      </w:r>
      <w:r w:rsidRPr="00692A69">
        <w:rPr>
          <w:rFonts w:cs="Calibri"/>
          <w:sz w:val="24"/>
          <w:szCs w:val="24"/>
        </w:rPr>
        <w:t xml:space="preserve"> (</w:t>
      </w:r>
      <w:r>
        <w:rPr>
          <w:rFonts w:cs="Calibri"/>
          <w:sz w:val="24"/>
          <w:szCs w:val="24"/>
        </w:rPr>
        <w:t>Chi-squared</w:t>
      </w:r>
      <w:r w:rsidRPr="00692A69">
        <w:rPr>
          <w:rFonts w:cs="Calibri"/>
          <w:sz w:val="24"/>
          <w:szCs w:val="24"/>
        </w:rPr>
        <w:t xml:space="preserve">, </w:t>
      </w:r>
      <w:r w:rsidR="00C32825">
        <w:rPr>
          <w:rFonts w:cs="Calibri"/>
          <w:sz w:val="24"/>
          <w:szCs w:val="24"/>
        </w:rPr>
        <w:t xml:space="preserve">Mann-Whitney and </w:t>
      </w:r>
      <w:proofErr w:type="spellStart"/>
      <w:r w:rsidRPr="00692A69">
        <w:rPr>
          <w:rFonts w:cs="Calibri"/>
          <w:sz w:val="24"/>
          <w:szCs w:val="24"/>
        </w:rPr>
        <w:t>Kruskal</w:t>
      </w:r>
      <w:proofErr w:type="spellEnd"/>
      <w:r w:rsidRPr="00692A69">
        <w:rPr>
          <w:rFonts w:cs="Calibri"/>
          <w:sz w:val="24"/>
          <w:szCs w:val="24"/>
        </w:rPr>
        <w:t xml:space="preserve"> Wallis test</w:t>
      </w:r>
      <w:r w:rsidR="00C32825">
        <w:rPr>
          <w:rFonts w:cs="Calibri"/>
          <w:sz w:val="24"/>
          <w:szCs w:val="24"/>
        </w:rPr>
        <w:t>s</w:t>
      </w:r>
      <w:r w:rsidRPr="00692A69">
        <w:rPr>
          <w:rFonts w:cs="Calibri"/>
          <w:sz w:val="24"/>
          <w:szCs w:val="24"/>
        </w:rPr>
        <w:t xml:space="preserve"> and Spearman (</w:t>
      </w:r>
      <w:proofErr w:type="spellStart"/>
      <w:r w:rsidRPr="00692A69">
        <w:rPr>
          <w:rFonts w:cs="Calibri"/>
          <w:sz w:val="24"/>
          <w:szCs w:val="24"/>
        </w:rPr>
        <w:t>r</w:t>
      </w:r>
      <w:r w:rsidRPr="00692A69">
        <w:rPr>
          <w:rFonts w:cs="Calibri"/>
          <w:sz w:val="24"/>
          <w:szCs w:val="24"/>
          <w:vertAlign w:val="subscript"/>
        </w:rPr>
        <w:t>s</w:t>
      </w:r>
      <w:proofErr w:type="spellEnd"/>
      <w:r w:rsidRPr="00692A69">
        <w:rPr>
          <w:rFonts w:cs="Calibri"/>
          <w:sz w:val="24"/>
          <w:szCs w:val="24"/>
        </w:rPr>
        <w:t xml:space="preserve">) correlations). </w:t>
      </w:r>
      <w:r w:rsidR="002C53F6">
        <w:rPr>
          <w:rFonts w:cs="Calibri"/>
          <w:sz w:val="24"/>
          <w:szCs w:val="24"/>
        </w:rPr>
        <w:t xml:space="preserve"> Cox survival analysis was used to </w:t>
      </w:r>
      <w:r w:rsidRPr="00692A69">
        <w:rPr>
          <w:rFonts w:cs="Calibri"/>
          <w:sz w:val="24"/>
          <w:szCs w:val="24"/>
        </w:rPr>
        <w:t xml:space="preserve">assess </w:t>
      </w:r>
      <w:r w:rsidR="002C53F6">
        <w:rPr>
          <w:rFonts w:cs="Calibri"/>
          <w:sz w:val="24"/>
          <w:szCs w:val="24"/>
        </w:rPr>
        <w:t xml:space="preserve">the </w:t>
      </w:r>
      <w:r w:rsidRPr="00692A69">
        <w:rPr>
          <w:rFonts w:cs="Calibri"/>
          <w:sz w:val="24"/>
          <w:szCs w:val="24"/>
        </w:rPr>
        <w:t xml:space="preserve">prognostic value of </w:t>
      </w:r>
      <w:r w:rsidR="002C53F6">
        <w:rPr>
          <w:rFonts w:cs="Calibri"/>
          <w:sz w:val="24"/>
          <w:szCs w:val="24"/>
        </w:rPr>
        <w:t xml:space="preserve">variables and </w:t>
      </w:r>
      <w:r w:rsidRPr="00692A69">
        <w:rPr>
          <w:rFonts w:cs="Calibri"/>
          <w:sz w:val="24"/>
          <w:szCs w:val="24"/>
        </w:rPr>
        <w:t>biomarkers</w:t>
      </w:r>
      <w:r w:rsidR="002C53F6">
        <w:rPr>
          <w:rFonts w:cs="Calibri"/>
          <w:sz w:val="24"/>
          <w:szCs w:val="24"/>
        </w:rPr>
        <w:t xml:space="preserve">.  Multivariate models were constructed using clinical variables, prescribed treatments, </w:t>
      </w:r>
      <w:r w:rsidR="002C53F6" w:rsidRPr="0011686C">
        <w:rPr>
          <w:rFonts w:cs="Calibri"/>
          <w:sz w:val="24"/>
          <w:szCs w:val="24"/>
        </w:rPr>
        <w:t xml:space="preserve">biomarkers (log troponin I and log </w:t>
      </w:r>
      <w:proofErr w:type="spellStart"/>
      <w:r w:rsidR="002C53F6">
        <w:rPr>
          <w:rFonts w:cs="Calibri"/>
          <w:sz w:val="24"/>
          <w:szCs w:val="24"/>
        </w:rPr>
        <w:t>hs</w:t>
      </w:r>
      <w:proofErr w:type="spellEnd"/>
      <w:r w:rsidR="002C53F6">
        <w:rPr>
          <w:rFonts w:cs="Calibri"/>
          <w:sz w:val="24"/>
          <w:szCs w:val="24"/>
        </w:rPr>
        <w:t xml:space="preserve">-GH), including an interaction term between </w:t>
      </w:r>
      <w:proofErr w:type="spellStart"/>
      <w:r w:rsidR="002C53F6">
        <w:rPr>
          <w:rFonts w:cs="Calibri"/>
          <w:sz w:val="24"/>
          <w:szCs w:val="24"/>
        </w:rPr>
        <w:t>hs</w:t>
      </w:r>
      <w:proofErr w:type="spellEnd"/>
      <w:r w:rsidR="002C53F6">
        <w:rPr>
          <w:rFonts w:cs="Calibri"/>
          <w:sz w:val="24"/>
          <w:szCs w:val="24"/>
        </w:rPr>
        <w:t>-GH and each treatment, in order to assess whether treatment responses differed according to GH levels.</w:t>
      </w:r>
      <w:r w:rsidR="00680D44">
        <w:rPr>
          <w:rFonts w:cs="Calibri"/>
          <w:sz w:val="24"/>
          <w:szCs w:val="24"/>
        </w:rPr>
        <w:t xml:space="preserve"> Kaplan-Meier survival analysis was used to visualise the treatment effects according to GH </w:t>
      </w:r>
      <w:proofErr w:type="spellStart"/>
      <w:r w:rsidR="00680D44">
        <w:rPr>
          <w:rFonts w:cs="Calibri"/>
          <w:sz w:val="24"/>
          <w:szCs w:val="24"/>
        </w:rPr>
        <w:t>tertiles</w:t>
      </w:r>
      <w:proofErr w:type="spellEnd"/>
      <w:r w:rsidR="00680D44">
        <w:rPr>
          <w:rFonts w:cs="Calibri"/>
          <w:sz w:val="24"/>
          <w:szCs w:val="24"/>
        </w:rPr>
        <w:t>.</w:t>
      </w:r>
    </w:p>
    <w:p w:rsidR="002C53F6" w:rsidRDefault="002C53F6" w:rsidP="00EC016C">
      <w:pPr>
        <w:spacing w:line="480" w:lineRule="auto"/>
        <w:rPr>
          <w:rFonts w:cs="Calibri"/>
          <w:sz w:val="24"/>
          <w:szCs w:val="24"/>
        </w:rPr>
      </w:pPr>
    </w:p>
    <w:p w:rsidR="002C53F6" w:rsidRDefault="002C53F6" w:rsidP="00EC016C">
      <w:pPr>
        <w:spacing w:line="480" w:lineRule="auto"/>
        <w:rPr>
          <w:rFonts w:cs="Calibri"/>
          <w:sz w:val="24"/>
          <w:szCs w:val="24"/>
        </w:rPr>
      </w:pPr>
    </w:p>
    <w:p w:rsidR="008F2E5B" w:rsidRPr="00692A69" w:rsidRDefault="008F2E5B" w:rsidP="004C1DEE">
      <w:pPr>
        <w:spacing w:line="480" w:lineRule="auto"/>
        <w:rPr>
          <w:rFonts w:cs="Calibri"/>
          <w:sz w:val="24"/>
          <w:szCs w:val="24"/>
        </w:rPr>
      </w:pPr>
      <w:r w:rsidRPr="00692A69">
        <w:rPr>
          <w:rFonts w:cs="Calibri"/>
          <w:b/>
          <w:sz w:val="24"/>
          <w:szCs w:val="24"/>
        </w:rPr>
        <w:lastRenderedPageBreak/>
        <w:t>Results</w:t>
      </w:r>
    </w:p>
    <w:p w:rsidR="008F2E5B" w:rsidRPr="00692A69" w:rsidRDefault="008F2E5B" w:rsidP="004C1DEE">
      <w:pPr>
        <w:pStyle w:val="NoSpacing"/>
        <w:spacing w:line="480" w:lineRule="auto"/>
        <w:rPr>
          <w:rFonts w:cs="Calibri"/>
          <w:b/>
          <w:sz w:val="24"/>
          <w:szCs w:val="24"/>
        </w:rPr>
      </w:pPr>
      <w:r w:rsidRPr="00692A69">
        <w:rPr>
          <w:rFonts w:cs="Calibri"/>
          <w:b/>
          <w:sz w:val="24"/>
          <w:szCs w:val="24"/>
        </w:rPr>
        <w:t xml:space="preserve">Patient Characteristics </w:t>
      </w:r>
    </w:p>
    <w:p w:rsidR="00EA5BAC" w:rsidRDefault="0010146D" w:rsidP="004C1DEE">
      <w:pPr>
        <w:pStyle w:val="NoSpacing"/>
        <w:spacing w:line="480" w:lineRule="auto"/>
        <w:rPr>
          <w:rFonts w:cs="Calibri"/>
          <w:sz w:val="24"/>
          <w:szCs w:val="24"/>
        </w:rPr>
      </w:pPr>
      <w:r>
        <w:rPr>
          <w:rFonts w:cs="Calibri"/>
          <w:sz w:val="24"/>
          <w:szCs w:val="24"/>
        </w:rPr>
        <w:t xml:space="preserve">Following AMI, GH secretion was higher in females (median [range] 1.06 [0.03-26.28] </w:t>
      </w:r>
      <w:proofErr w:type="spellStart"/>
      <w:r w:rsidRPr="00BB2A5C">
        <w:rPr>
          <w:rFonts w:asciiTheme="minorHAnsi" w:hAnsiTheme="minorHAnsi" w:cs="Calibri"/>
          <w:sz w:val="24"/>
          <w:szCs w:val="24"/>
        </w:rPr>
        <w:t>μg</w:t>
      </w:r>
      <w:proofErr w:type="spellEnd"/>
      <w:r w:rsidRPr="00BB2A5C">
        <w:rPr>
          <w:rFonts w:asciiTheme="minorHAnsi" w:hAnsiTheme="minorHAnsi" w:cs="Calibri"/>
          <w:sz w:val="24"/>
          <w:szCs w:val="24"/>
        </w:rPr>
        <w:t>/L</w:t>
      </w:r>
      <w:r>
        <w:rPr>
          <w:rFonts w:cs="Calibri"/>
          <w:sz w:val="24"/>
          <w:szCs w:val="24"/>
        </w:rPr>
        <w:t xml:space="preserve">) compared to males </w:t>
      </w:r>
      <w:proofErr w:type="gramStart"/>
      <w:r>
        <w:rPr>
          <w:rFonts w:cs="Calibri"/>
          <w:sz w:val="24"/>
          <w:szCs w:val="24"/>
        </w:rPr>
        <w:t>( 0.58</w:t>
      </w:r>
      <w:proofErr w:type="gramEnd"/>
      <w:r>
        <w:rPr>
          <w:rFonts w:cs="Calibri"/>
          <w:sz w:val="24"/>
          <w:szCs w:val="24"/>
        </w:rPr>
        <w:t xml:space="preserve"> [0.02-19.64] </w:t>
      </w:r>
      <w:proofErr w:type="spellStart"/>
      <w:r w:rsidRPr="00BB2A5C">
        <w:rPr>
          <w:rFonts w:asciiTheme="minorHAnsi" w:hAnsiTheme="minorHAnsi" w:cs="Calibri"/>
          <w:sz w:val="24"/>
          <w:szCs w:val="24"/>
        </w:rPr>
        <w:t>μg</w:t>
      </w:r>
      <w:proofErr w:type="spellEnd"/>
      <w:r w:rsidRPr="00BB2A5C">
        <w:rPr>
          <w:rFonts w:asciiTheme="minorHAnsi" w:hAnsiTheme="minorHAnsi" w:cs="Calibri"/>
          <w:sz w:val="24"/>
          <w:szCs w:val="24"/>
        </w:rPr>
        <w:t>/L</w:t>
      </w:r>
      <w:r>
        <w:rPr>
          <w:rFonts w:cs="Calibri"/>
          <w:sz w:val="24"/>
          <w:szCs w:val="24"/>
        </w:rPr>
        <w:t xml:space="preserve">, p&lt;0.0005). </w:t>
      </w:r>
      <w:r w:rsidR="008F2E5B" w:rsidRPr="00692A69">
        <w:rPr>
          <w:rFonts w:cs="Calibri"/>
          <w:sz w:val="24"/>
          <w:szCs w:val="24"/>
        </w:rPr>
        <w:t xml:space="preserve">The characteristics of the study population are shown in Table 1, according to </w:t>
      </w:r>
      <w:r w:rsidR="00EA5BAC">
        <w:rPr>
          <w:rFonts w:cs="Calibri"/>
          <w:sz w:val="24"/>
          <w:szCs w:val="24"/>
        </w:rPr>
        <w:t xml:space="preserve">GH </w:t>
      </w:r>
      <w:proofErr w:type="spellStart"/>
      <w:r w:rsidR="00EA5BAC">
        <w:rPr>
          <w:rFonts w:cs="Calibri"/>
          <w:sz w:val="24"/>
          <w:szCs w:val="24"/>
        </w:rPr>
        <w:t>tertiles</w:t>
      </w:r>
      <w:proofErr w:type="spellEnd"/>
      <w:r w:rsidR="008F2E5B" w:rsidRPr="00692A69">
        <w:rPr>
          <w:rFonts w:cs="Calibri"/>
          <w:sz w:val="24"/>
          <w:szCs w:val="24"/>
        </w:rPr>
        <w:t xml:space="preserve">. Patients with higher </w:t>
      </w:r>
      <w:r w:rsidR="00EA5BAC">
        <w:rPr>
          <w:rFonts w:cs="Calibri"/>
          <w:sz w:val="24"/>
          <w:szCs w:val="24"/>
        </w:rPr>
        <w:t xml:space="preserve">GH </w:t>
      </w:r>
      <w:r w:rsidR="008F2E5B" w:rsidRPr="00692A69">
        <w:rPr>
          <w:rFonts w:cs="Calibri"/>
          <w:sz w:val="24"/>
          <w:szCs w:val="24"/>
        </w:rPr>
        <w:t xml:space="preserve">levels were older, </w:t>
      </w:r>
      <w:r w:rsidR="00F52C59">
        <w:rPr>
          <w:rFonts w:cs="Calibri"/>
          <w:sz w:val="24"/>
          <w:szCs w:val="24"/>
        </w:rPr>
        <w:t xml:space="preserve">more often </w:t>
      </w:r>
      <w:r w:rsidR="008F2E5B" w:rsidRPr="00692A69">
        <w:rPr>
          <w:rFonts w:cs="Calibri"/>
          <w:sz w:val="24"/>
          <w:szCs w:val="24"/>
        </w:rPr>
        <w:t>female,</w:t>
      </w:r>
      <w:r w:rsidR="00EA5BAC">
        <w:rPr>
          <w:rFonts w:cs="Calibri"/>
          <w:sz w:val="24"/>
          <w:szCs w:val="24"/>
        </w:rPr>
        <w:t xml:space="preserve"> had higher levels of glucose and troponin, lower levels of eGFR. They also showed more signs of heart failure (</w:t>
      </w:r>
      <w:proofErr w:type="spellStart"/>
      <w:r w:rsidR="00EA5BAC">
        <w:rPr>
          <w:rFonts w:cs="Calibri"/>
          <w:sz w:val="24"/>
          <w:szCs w:val="24"/>
        </w:rPr>
        <w:t>Killip</w:t>
      </w:r>
      <w:proofErr w:type="spellEnd"/>
      <w:r w:rsidR="00EA5BAC">
        <w:rPr>
          <w:rFonts w:cs="Calibri"/>
          <w:sz w:val="24"/>
          <w:szCs w:val="24"/>
        </w:rPr>
        <w:t xml:space="preserve"> class greater than 1).  However, there were no significant differences in prevalence of past histories of IHD, HF, diabetes or hypertension, and presence or absence of ST elevation on presenting ECGs.</w:t>
      </w:r>
      <w:r w:rsidR="00C61D86">
        <w:rPr>
          <w:rFonts w:cs="Calibri"/>
          <w:sz w:val="24"/>
          <w:szCs w:val="24"/>
        </w:rPr>
        <w:t xml:space="preserve"> Patients with higher GH levels were less likely to receive aspirin, statins, beta blockers, ACE/ARB and more likely to receive diuretics on discharge (Table 1). Revascularisation rates were similar across GH </w:t>
      </w:r>
      <w:proofErr w:type="spellStart"/>
      <w:r w:rsidR="00C61D86">
        <w:rPr>
          <w:rFonts w:cs="Calibri"/>
          <w:sz w:val="24"/>
          <w:szCs w:val="24"/>
        </w:rPr>
        <w:t>tertiles</w:t>
      </w:r>
      <w:proofErr w:type="spellEnd"/>
      <w:r w:rsidR="00C61D86">
        <w:rPr>
          <w:rFonts w:cs="Calibri"/>
          <w:sz w:val="24"/>
          <w:szCs w:val="24"/>
        </w:rPr>
        <w:t>.</w:t>
      </w:r>
    </w:p>
    <w:p w:rsidR="008F2E5B" w:rsidRDefault="008F2E5B" w:rsidP="004C1DEE">
      <w:pPr>
        <w:pStyle w:val="NoSpacing"/>
        <w:spacing w:line="480" w:lineRule="auto"/>
        <w:rPr>
          <w:rFonts w:cs="Calibri"/>
          <w:sz w:val="24"/>
          <w:szCs w:val="24"/>
        </w:rPr>
      </w:pPr>
    </w:p>
    <w:p w:rsidR="008F2E5B" w:rsidRPr="00692A69" w:rsidRDefault="008F2E5B" w:rsidP="004C1DEE">
      <w:pPr>
        <w:pStyle w:val="NoSpacing"/>
        <w:spacing w:line="480" w:lineRule="auto"/>
        <w:rPr>
          <w:rFonts w:cs="Calibri"/>
          <w:b/>
          <w:sz w:val="24"/>
          <w:szCs w:val="24"/>
        </w:rPr>
      </w:pPr>
      <w:r w:rsidRPr="00692A69">
        <w:rPr>
          <w:rFonts w:cs="Calibri"/>
          <w:b/>
          <w:sz w:val="24"/>
          <w:szCs w:val="24"/>
        </w:rPr>
        <w:t>Correlation analysis</w:t>
      </w:r>
    </w:p>
    <w:p w:rsidR="00E36064" w:rsidRDefault="008F2E5B" w:rsidP="004C1DEE">
      <w:pPr>
        <w:pStyle w:val="NoSpacing"/>
        <w:spacing w:line="480" w:lineRule="auto"/>
        <w:rPr>
          <w:rFonts w:cs="Calibri"/>
          <w:sz w:val="24"/>
          <w:szCs w:val="24"/>
        </w:rPr>
      </w:pPr>
      <w:r w:rsidRPr="00692A69">
        <w:rPr>
          <w:rFonts w:cs="Calibri"/>
          <w:sz w:val="24"/>
          <w:szCs w:val="24"/>
        </w:rPr>
        <w:t xml:space="preserve">Spearman </w:t>
      </w:r>
      <w:r>
        <w:rPr>
          <w:rFonts w:cs="Calibri"/>
          <w:sz w:val="24"/>
          <w:szCs w:val="24"/>
        </w:rPr>
        <w:t xml:space="preserve">correlation </w:t>
      </w:r>
      <w:r w:rsidRPr="00692A69">
        <w:rPr>
          <w:rFonts w:cs="Calibri"/>
          <w:sz w:val="24"/>
          <w:szCs w:val="24"/>
        </w:rPr>
        <w:t>analysis (</w:t>
      </w:r>
      <w:proofErr w:type="spellStart"/>
      <w:r w:rsidRPr="00692A69">
        <w:rPr>
          <w:rFonts w:cs="Calibri"/>
          <w:sz w:val="24"/>
          <w:szCs w:val="24"/>
        </w:rPr>
        <w:t>r</w:t>
      </w:r>
      <w:r w:rsidRPr="00692A69">
        <w:rPr>
          <w:rFonts w:cs="Calibri"/>
          <w:sz w:val="24"/>
          <w:szCs w:val="24"/>
          <w:vertAlign w:val="subscript"/>
        </w:rPr>
        <w:t>s</w:t>
      </w:r>
      <w:proofErr w:type="spellEnd"/>
      <w:r w:rsidRPr="00692A69">
        <w:rPr>
          <w:rFonts w:cs="Calibri"/>
          <w:sz w:val="24"/>
          <w:szCs w:val="24"/>
        </w:rPr>
        <w:t xml:space="preserve">) </w:t>
      </w:r>
      <w:r>
        <w:rPr>
          <w:rFonts w:cs="Calibri"/>
          <w:sz w:val="24"/>
          <w:szCs w:val="24"/>
        </w:rPr>
        <w:t xml:space="preserve">showed </w:t>
      </w:r>
      <w:r w:rsidR="00E36064">
        <w:rPr>
          <w:rFonts w:cs="Calibri"/>
          <w:sz w:val="24"/>
          <w:szCs w:val="24"/>
        </w:rPr>
        <w:t xml:space="preserve">GH </w:t>
      </w:r>
      <w:r w:rsidRPr="00692A69">
        <w:rPr>
          <w:rFonts w:cs="Calibri"/>
          <w:sz w:val="24"/>
          <w:szCs w:val="24"/>
        </w:rPr>
        <w:t>was significantly correlated to age (0.</w:t>
      </w:r>
      <w:r w:rsidR="00E36064">
        <w:rPr>
          <w:rFonts w:cs="Calibri"/>
          <w:sz w:val="24"/>
          <w:szCs w:val="24"/>
        </w:rPr>
        <w:t>236</w:t>
      </w:r>
      <w:r w:rsidRPr="00692A69">
        <w:rPr>
          <w:rFonts w:cs="Calibri"/>
          <w:sz w:val="24"/>
          <w:szCs w:val="24"/>
        </w:rPr>
        <w:t>), eGFR</w:t>
      </w:r>
      <w:r>
        <w:rPr>
          <w:rFonts w:cs="Calibri"/>
          <w:sz w:val="24"/>
          <w:szCs w:val="24"/>
        </w:rPr>
        <w:t xml:space="preserve"> </w:t>
      </w:r>
      <w:r w:rsidRPr="00692A69">
        <w:rPr>
          <w:rFonts w:cs="Calibri"/>
          <w:sz w:val="24"/>
          <w:szCs w:val="24"/>
        </w:rPr>
        <w:t>(-0.</w:t>
      </w:r>
      <w:r w:rsidR="00E36064">
        <w:rPr>
          <w:rFonts w:cs="Calibri"/>
          <w:sz w:val="24"/>
          <w:szCs w:val="24"/>
        </w:rPr>
        <w:t>198</w:t>
      </w:r>
      <w:r>
        <w:rPr>
          <w:rFonts w:cs="Calibri"/>
          <w:sz w:val="24"/>
          <w:szCs w:val="24"/>
        </w:rPr>
        <w:t>)</w:t>
      </w:r>
      <w:r w:rsidR="0072624F">
        <w:rPr>
          <w:rFonts w:cs="Calibri"/>
          <w:sz w:val="24"/>
          <w:szCs w:val="24"/>
        </w:rPr>
        <w:t xml:space="preserve"> and</w:t>
      </w:r>
      <w:r>
        <w:rPr>
          <w:rFonts w:cs="Calibri"/>
          <w:sz w:val="24"/>
          <w:szCs w:val="24"/>
        </w:rPr>
        <w:t xml:space="preserve"> </w:t>
      </w:r>
      <w:r w:rsidR="00E36064">
        <w:rPr>
          <w:rFonts w:cs="Calibri"/>
          <w:sz w:val="24"/>
          <w:szCs w:val="24"/>
        </w:rPr>
        <w:t>troponin (</w:t>
      </w:r>
      <w:r w:rsidRPr="00692A69">
        <w:rPr>
          <w:rFonts w:cs="Calibri"/>
          <w:sz w:val="24"/>
          <w:szCs w:val="24"/>
        </w:rPr>
        <w:t>0.1</w:t>
      </w:r>
      <w:r w:rsidR="00E36064">
        <w:rPr>
          <w:rFonts w:cs="Calibri"/>
          <w:sz w:val="24"/>
          <w:szCs w:val="24"/>
        </w:rPr>
        <w:t>61) (p value for all &lt;0.0005)</w:t>
      </w:r>
      <w:r w:rsidR="0072624F">
        <w:rPr>
          <w:rFonts w:cs="Calibri"/>
          <w:sz w:val="24"/>
          <w:szCs w:val="24"/>
        </w:rPr>
        <w:t>,</w:t>
      </w:r>
      <w:r w:rsidR="00E36064">
        <w:rPr>
          <w:rFonts w:cs="Calibri"/>
          <w:sz w:val="24"/>
          <w:szCs w:val="24"/>
        </w:rPr>
        <w:t xml:space="preserve"> and weakly with </w:t>
      </w:r>
      <w:r>
        <w:rPr>
          <w:rFonts w:cs="Calibri"/>
          <w:sz w:val="24"/>
          <w:szCs w:val="24"/>
        </w:rPr>
        <w:t xml:space="preserve">wall motion score index </w:t>
      </w:r>
      <w:r w:rsidRPr="00692A69">
        <w:rPr>
          <w:rFonts w:cs="Calibri"/>
          <w:sz w:val="24"/>
          <w:szCs w:val="24"/>
        </w:rPr>
        <w:t>(0.1</w:t>
      </w:r>
      <w:r w:rsidR="0072624F">
        <w:rPr>
          <w:rFonts w:cs="Calibri"/>
          <w:sz w:val="24"/>
          <w:szCs w:val="24"/>
        </w:rPr>
        <w:t xml:space="preserve">05, p&lt;0.004) and </w:t>
      </w:r>
      <w:r w:rsidR="00E36064">
        <w:rPr>
          <w:rFonts w:cs="Calibri"/>
          <w:sz w:val="24"/>
          <w:szCs w:val="24"/>
        </w:rPr>
        <w:t xml:space="preserve">peak </w:t>
      </w:r>
      <w:proofErr w:type="spellStart"/>
      <w:r w:rsidR="00E36064">
        <w:rPr>
          <w:rFonts w:cs="Calibri"/>
          <w:sz w:val="24"/>
          <w:szCs w:val="24"/>
        </w:rPr>
        <w:t>creatine</w:t>
      </w:r>
      <w:proofErr w:type="spellEnd"/>
      <w:r w:rsidR="00E36064">
        <w:rPr>
          <w:rFonts w:cs="Calibri"/>
          <w:sz w:val="24"/>
          <w:szCs w:val="24"/>
        </w:rPr>
        <w:t xml:space="preserve"> kinase (0.123, p&lt;0.003)</w:t>
      </w:r>
      <w:r w:rsidR="0047117C">
        <w:rPr>
          <w:rFonts w:cs="Calibri"/>
          <w:sz w:val="24"/>
          <w:szCs w:val="24"/>
        </w:rPr>
        <w:t>.</w:t>
      </w:r>
      <w:r w:rsidR="00C61D86">
        <w:rPr>
          <w:rFonts w:cs="Calibri"/>
          <w:sz w:val="24"/>
          <w:szCs w:val="24"/>
        </w:rPr>
        <w:t xml:space="preserve"> In multivariate analysis, age, troponin (p value for both &lt;0.0005) and sex (p&lt;0.001) remained independent predictors of GH.</w:t>
      </w:r>
    </w:p>
    <w:p w:rsidR="008F2E5B" w:rsidRPr="00692A69" w:rsidRDefault="008F2E5B" w:rsidP="004C1DEE">
      <w:pPr>
        <w:pStyle w:val="NoSpacing"/>
        <w:spacing w:line="480" w:lineRule="auto"/>
        <w:rPr>
          <w:rFonts w:cs="Calibri"/>
          <w:sz w:val="24"/>
          <w:szCs w:val="24"/>
        </w:rPr>
      </w:pPr>
    </w:p>
    <w:p w:rsidR="008F2E5B" w:rsidRPr="00692A69" w:rsidRDefault="008F2E5B" w:rsidP="004C1DEE">
      <w:pPr>
        <w:pStyle w:val="NoSpacing"/>
        <w:spacing w:line="480" w:lineRule="auto"/>
        <w:rPr>
          <w:rFonts w:cs="Calibri"/>
          <w:b/>
          <w:sz w:val="24"/>
          <w:szCs w:val="24"/>
        </w:rPr>
      </w:pPr>
      <w:r w:rsidRPr="00692A69">
        <w:rPr>
          <w:rFonts w:cs="Calibri"/>
          <w:b/>
          <w:sz w:val="24"/>
          <w:szCs w:val="24"/>
        </w:rPr>
        <w:t>Survival analysis</w:t>
      </w:r>
    </w:p>
    <w:p w:rsidR="00906960" w:rsidRDefault="008F2E5B" w:rsidP="00E064D8">
      <w:pPr>
        <w:pStyle w:val="NoSpacing"/>
        <w:spacing w:line="480" w:lineRule="auto"/>
        <w:rPr>
          <w:rFonts w:cs="Calibri"/>
          <w:sz w:val="24"/>
          <w:szCs w:val="24"/>
        </w:rPr>
      </w:pPr>
      <w:r w:rsidRPr="00692A69">
        <w:rPr>
          <w:rFonts w:cs="Calibri"/>
          <w:sz w:val="24"/>
          <w:szCs w:val="24"/>
        </w:rPr>
        <w:t xml:space="preserve">During follow-up </w:t>
      </w:r>
      <w:r w:rsidRPr="00906960">
        <w:rPr>
          <w:rFonts w:cs="Calibri"/>
          <w:sz w:val="24"/>
          <w:szCs w:val="24"/>
        </w:rPr>
        <w:t xml:space="preserve">over 2 years, </w:t>
      </w:r>
      <w:r w:rsidR="00906960" w:rsidRPr="00906960">
        <w:rPr>
          <w:rFonts w:cs="Calibri"/>
          <w:sz w:val="24"/>
          <w:szCs w:val="24"/>
        </w:rPr>
        <w:t>there were 281 MACE,</w:t>
      </w:r>
      <w:r w:rsidR="00E064D8">
        <w:rPr>
          <w:rFonts w:cs="Calibri"/>
          <w:sz w:val="24"/>
          <w:szCs w:val="24"/>
        </w:rPr>
        <w:t xml:space="preserve"> the primary composite endpoint (comprising 117 deaths</w:t>
      </w:r>
      <w:r w:rsidR="00E064D8" w:rsidRPr="00616ED9">
        <w:rPr>
          <w:rFonts w:cs="Calibri"/>
          <w:sz w:val="24"/>
          <w:szCs w:val="24"/>
        </w:rPr>
        <w:t xml:space="preserve">, </w:t>
      </w:r>
      <w:r w:rsidR="00E064D8">
        <w:rPr>
          <w:rFonts w:cs="Calibri"/>
          <w:sz w:val="24"/>
          <w:szCs w:val="24"/>
        </w:rPr>
        <w:t>71</w:t>
      </w:r>
      <w:r w:rsidR="00E064D8" w:rsidRPr="00616ED9">
        <w:rPr>
          <w:rFonts w:cs="Calibri"/>
          <w:sz w:val="24"/>
          <w:szCs w:val="24"/>
        </w:rPr>
        <w:t xml:space="preserve"> HF hospitalisations and </w:t>
      </w:r>
      <w:proofErr w:type="gramStart"/>
      <w:r w:rsidR="00E064D8">
        <w:rPr>
          <w:rFonts w:cs="Calibri"/>
          <w:sz w:val="24"/>
          <w:szCs w:val="24"/>
        </w:rPr>
        <w:t>93</w:t>
      </w:r>
      <w:r w:rsidR="00E064D8" w:rsidRPr="00616ED9">
        <w:rPr>
          <w:rFonts w:cs="Calibri"/>
          <w:sz w:val="24"/>
          <w:szCs w:val="24"/>
        </w:rPr>
        <w:t xml:space="preserve"> re</w:t>
      </w:r>
      <w:r w:rsidR="00E064D8">
        <w:rPr>
          <w:rFonts w:cs="Calibri"/>
          <w:sz w:val="24"/>
          <w:szCs w:val="24"/>
        </w:rPr>
        <w:t>-</w:t>
      </w:r>
      <w:r w:rsidR="00E064D8" w:rsidRPr="00616ED9">
        <w:rPr>
          <w:rFonts w:cs="Calibri"/>
          <w:sz w:val="24"/>
          <w:szCs w:val="24"/>
        </w:rPr>
        <w:t>AMIs</w:t>
      </w:r>
      <w:proofErr w:type="gramEnd"/>
      <w:r w:rsidR="00E064D8">
        <w:rPr>
          <w:rFonts w:cs="Calibri"/>
          <w:sz w:val="24"/>
          <w:szCs w:val="24"/>
        </w:rPr>
        <w:t>)</w:t>
      </w:r>
      <w:r w:rsidR="00E064D8" w:rsidRPr="00616ED9">
        <w:rPr>
          <w:rFonts w:cs="Calibri"/>
          <w:sz w:val="24"/>
          <w:szCs w:val="24"/>
        </w:rPr>
        <w:t xml:space="preserve">. </w:t>
      </w:r>
      <w:r w:rsidR="00E064D8">
        <w:rPr>
          <w:rFonts w:cs="Calibri"/>
          <w:sz w:val="24"/>
          <w:szCs w:val="24"/>
        </w:rPr>
        <w:t xml:space="preserve"> </w:t>
      </w:r>
      <w:r w:rsidR="00906960" w:rsidRPr="00906960">
        <w:rPr>
          <w:rFonts w:cs="Calibri"/>
          <w:sz w:val="24"/>
          <w:szCs w:val="24"/>
        </w:rPr>
        <w:t xml:space="preserve">Patients with MACE had </w:t>
      </w:r>
      <w:r w:rsidR="00906960" w:rsidRPr="00906960">
        <w:rPr>
          <w:rFonts w:cs="Calibri"/>
          <w:sz w:val="24"/>
          <w:szCs w:val="24"/>
        </w:rPr>
        <w:lastRenderedPageBreak/>
        <w:t xml:space="preserve">higher levels of GH on presentation </w:t>
      </w:r>
      <w:r w:rsidR="00906960">
        <w:rPr>
          <w:rFonts w:cs="Calibri"/>
          <w:sz w:val="24"/>
          <w:szCs w:val="24"/>
        </w:rPr>
        <w:t>(</w:t>
      </w:r>
      <w:r w:rsidR="00906960" w:rsidRPr="00906960">
        <w:rPr>
          <w:rFonts w:cs="Calibri"/>
          <w:sz w:val="24"/>
          <w:szCs w:val="24"/>
        </w:rPr>
        <w:t>median [range]</w:t>
      </w:r>
      <w:proofErr w:type="gramStart"/>
      <w:r w:rsidR="00906960">
        <w:rPr>
          <w:rFonts w:cs="Calibri"/>
          <w:sz w:val="24"/>
          <w:szCs w:val="24"/>
        </w:rPr>
        <w:t xml:space="preserve">, </w:t>
      </w:r>
      <w:r w:rsidR="00906960" w:rsidRPr="00906960">
        <w:rPr>
          <w:rFonts w:cs="Calibri"/>
          <w:sz w:val="24"/>
          <w:szCs w:val="24"/>
        </w:rPr>
        <w:t xml:space="preserve"> 0.91</w:t>
      </w:r>
      <w:proofErr w:type="gramEnd"/>
      <w:r w:rsidR="00906960" w:rsidRPr="00906960">
        <w:rPr>
          <w:rFonts w:cs="Calibri"/>
          <w:sz w:val="24"/>
          <w:szCs w:val="24"/>
        </w:rPr>
        <w:t xml:space="preserve"> [0.04-26.28]</w:t>
      </w:r>
      <w:r w:rsidR="00906960">
        <w:rPr>
          <w:rFonts w:cs="Calibri"/>
          <w:sz w:val="24"/>
          <w:szCs w:val="24"/>
        </w:rPr>
        <w:t xml:space="preserve"> µg/L) compared to event free survivors (0.59 [0.02-21.6], </w:t>
      </w:r>
      <w:r w:rsidR="00906960" w:rsidRPr="00906960">
        <w:rPr>
          <w:rFonts w:cs="Calibri"/>
          <w:sz w:val="24"/>
          <w:szCs w:val="24"/>
        </w:rPr>
        <w:t>p</w:t>
      </w:r>
      <w:r w:rsidR="00906960">
        <w:rPr>
          <w:rFonts w:cs="Calibri"/>
          <w:sz w:val="24"/>
          <w:szCs w:val="24"/>
        </w:rPr>
        <w:t>&lt;</w:t>
      </w:r>
      <w:r w:rsidR="00906960" w:rsidRPr="00906960">
        <w:rPr>
          <w:rFonts w:cs="Calibri"/>
          <w:sz w:val="24"/>
          <w:szCs w:val="24"/>
        </w:rPr>
        <w:t xml:space="preserve">0.0005 </w:t>
      </w:r>
      <w:r w:rsidR="00906960">
        <w:rPr>
          <w:rFonts w:cs="Calibri"/>
          <w:sz w:val="24"/>
          <w:szCs w:val="24"/>
        </w:rPr>
        <w:t xml:space="preserve">using </w:t>
      </w:r>
      <w:r w:rsidR="0074065E">
        <w:rPr>
          <w:rFonts w:cs="Calibri"/>
          <w:sz w:val="24"/>
          <w:szCs w:val="24"/>
        </w:rPr>
        <w:t>the M</w:t>
      </w:r>
      <w:r w:rsidR="00906960" w:rsidRPr="00906960">
        <w:rPr>
          <w:rFonts w:cs="Calibri"/>
          <w:sz w:val="24"/>
          <w:szCs w:val="24"/>
        </w:rPr>
        <w:t xml:space="preserve">ann </w:t>
      </w:r>
      <w:r w:rsidR="0074065E">
        <w:rPr>
          <w:rFonts w:cs="Calibri"/>
          <w:sz w:val="24"/>
          <w:szCs w:val="24"/>
        </w:rPr>
        <w:t>-W</w:t>
      </w:r>
      <w:r w:rsidR="00906960" w:rsidRPr="00906960">
        <w:rPr>
          <w:rFonts w:cs="Calibri"/>
          <w:sz w:val="24"/>
          <w:szCs w:val="24"/>
        </w:rPr>
        <w:t>hitney</w:t>
      </w:r>
      <w:r w:rsidR="0074065E">
        <w:rPr>
          <w:rFonts w:cs="Calibri"/>
          <w:sz w:val="24"/>
          <w:szCs w:val="24"/>
        </w:rPr>
        <w:t xml:space="preserve"> test). Table 1 also illustrates the higher prevalence of MACE in patients with higher GH levels.  </w:t>
      </w:r>
    </w:p>
    <w:p w:rsidR="00926007" w:rsidRDefault="0074065E" w:rsidP="0074065E">
      <w:pPr>
        <w:spacing w:line="480" w:lineRule="auto"/>
        <w:rPr>
          <w:rFonts w:cs="Calibri"/>
          <w:sz w:val="24"/>
          <w:szCs w:val="24"/>
        </w:rPr>
      </w:pPr>
      <w:r>
        <w:rPr>
          <w:rFonts w:cs="Calibri"/>
          <w:sz w:val="24"/>
          <w:szCs w:val="24"/>
        </w:rPr>
        <w:t>Table 2 reports the univariate hazard ratios of various factors, therapies and biomarkers that affected the outcome of MACE at 2 years.</w:t>
      </w:r>
      <w:r w:rsidR="00245655">
        <w:rPr>
          <w:rFonts w:cs="Calibri"/>
          <w:sz w:val="24"/>
          <w:szCs w:val="24"/>
        </w:rPr>
        <w:t xml:space="preserve">  In multivariate analysis, individual therapies and their interaction with GH levels were examined. </w:t>
      </w:r>
      <w:r w:rsidR="00926007">
        <w:rPr>
          <w:rFonts w:cs="Calibri"/>
          <w:sz w:val="24"/>
          <w:szCs w:val="24"/>
        </w:rPr>
        <w:t xml:space="preserve"> </w:t>
      </w:r>
      <w:r w:rsidR="00B85B91">
        <w:rPr>
          <w:rFonts w:cs="Calibri"/>
          <w:sz w:val="24"/>
          <w:szCs w:val="24"/>
        </w:rPr>
        <w:t>In all models age</w:t>
      </w:r>
      <w:r w:rsidR="00926007">
        <w:rPr>
          <w:rFonts w:cs="Calibri"/>
          <w:sz w:val="24"/>
          <w:szCs w:val="24"/>
        </w:rPr>
        <w:t xml:space="preserve">, </w:t>
      </w:r>
      <w:proofErr w:type="spellStart"/>
      <w:r w:rsidR="00926007">
        <w:rPr>
          <w:rFonts w:cs="Calibri"/>
          <w:sz w:val="24"/>
          <w:szCs w:val="24"/>
        </w:rPr>
        <w:t>Killip</w:t>
      </w:r>
      <w:proofErr w:type="spellEnd"/>
      <w:r w:rsidR="00926007">
        <w:rPr>
          <w:rFonts w:cs="Calibri"/>
          <w:sz w:val="24"/>
          <w:szCs w:val="24"/>
        </w:rPr>
        <w:t xml:space="preserve"> class&gt;1, </w:t>
      </w:r>
      <w:r w:rsidR="00B85B91">
        <w:rPr>
          <w:rFonts w:cs="Calibri"/>
          <w:sz w:val="24"/>
          <w:szCs w:val="24"/>
        </w:rPr>
        <w:t xml:space="preserve">and </w:t>
      </w:r>
      <w:proofErr w:type="spellStart"/>
      <w:r w:rsidR="00926007">
        <w:rPr>
          <w:rFonts w:cs="Calibri"/>
          <w:sz w:val="24"/>
          <w:szCs w:val="24"/>
        </w:rPr>
        <w:t>eGFR</w:t>
      </w:r>
      <w:proofErr w:type="spellEnd"/>
      <w:r w:rsidR="00926007">
        <w:rPr>
          <w:rFonts w:cs="Calibri"/>
          <w:sz w:val="24"/>
          <w:szCs w:val="24"/>
        </w:rPr>
        <w:t xml:space="preserve"> were retained as independent predictors, together with GH levels. Beta blocker therapy was associated with lower MACE (p=0.03) and showed a </w:t>
      </w:r>
      <w:r w:rsidR="00B85B91">
        <w:rPr>
          <w:rFonts w:cs="Calibri"/>
          <w:sz w:val="24"/>
          <w:szCs w:val="24"/>
        </w:rPr>
        <w:t xml:space="preserve">statistically </w:t>
      </w:r>
      <w:r w:rsidR="00926007">
        <w:rPr>
          <w:rFonts w:cs="Calibri"/>
          <w:sz w:val="24"/>
          <w:szCs w:val="24"/>
        </w:rPr>
        <w:t xml:space="preserve">significant interaction with GH levels (p=0.047, Table 2).  Therapy with ACE/ARB also showed interaction with GH levels (p=0.016, Table 2).  </w:t>
      </w:r>
    </w:p>
    <w:p w:rsidR="00926007" w:rsidRDefault="00EE31EA" w:rsidP="0074065E">
      <w:pPr>
        <w:spacing w:line="480" w:lineRule="auto"/>
        <w:rPr>
          <w:rFonts w:cs="Calibri"/>
          <w:sz w:val="24"/>
          <w:szCs w:val="24"/>
        </w:rPr>
      </w:pPr>
      <w:r>
        <w:rPr>
          <w:rFonts w:cs="Calibri"/>
          <w:sz w:val="24"/>
          <w:szCs w:val="24"/>
        </w:rPr>
        <w:t xml:space="preserve">In analyses of interactions of aspirin, statins or diuretics with GH levels, no significant evidence of an interaction </w:t>
      </w:r>
      <w:r w:rsidR="00770429">
        <w:rPr>
          <w:rFonts w:cs="Calibri"/>
          <w:sz w:val="24"/>
          <w:szCs w:val="24"/>
        </w:rPr>
        <w:t xml:space="preserve">with GH levels </w:t>
      </w:r>
      <w:r>
        <w:rPr>
          <w:rFonts w:cs="Calibri"/>
          <w:sz w:val="24"/>
          <w:szCs w:val="24"/>
        </w:rPr>
        <w:t>was found (data not shown).</w:t>
      </w:r>
    </w:p>
    <w:p w:rsidR="00EE31EA" w:rsidRDefault="008F2E5B" w:rsidP="0074065E">
      <w:pPr>
        <w:pStyle w:val="NoSpacing"/>
        <w:spacing w:line="480" w:lineRule="auto"/>
        <w:rPr>
          <w:sz w:val="24"/>
          <w:szCs w:val="24"/>
        </w:rPr>
      </w:pPr>
      <w:r w:rsidRPr="008B4C11">
        <w:rPr>
          <w:sz w:val="24"/>
          <w:szCs w:val="24"/>
        </w:rPr>
        <w:t xml:space="preserve">Kaplan-Meier survival analysis </w:t>
      </w:r>
      <w:r w:rsidR="00EE31EA">
        <w:rPr>
          <w:sz w:val="24"/>
          <w:szCs w:val="24"/>
        </w:rPr>
        <w:t xml:space="preserve">was used to visualise the interactions of therapies with beta blocker or ACE/ARB according to GH </w:t>
      </w:r>
      <w:proofErr w:type="spellStart"/>
      <w:r w:rsidR="00EE31EA">
        <w:rPr>
          <w:sz w:val="24"/>
          <w:szCs w:val="24"/>
        </w:rPr>
        <w:t>tertiles</w:t>
      </w:r>
      <w:proofErr w:type="spellEnd"/>
      <w:r w:rsidR="00EE31EA">
        <w:rPr>
          <w:sz w:val="24"/>
          <w:szCs w:val="24"/>
        </w:rPr>
        <w:t xml:space="preserve"> (Figure 1). </w:t>
      </w:r>
      <w:r w:rsidR="00BC18EA">
        <w:rPr>
          <w:sz w:val="24"/>
          <w:szCs w:val="24"/>
        </w:rPr>
        <w:t xml:space="preserve">  For beta blocker therapy, MACE rates </w:t>
      </w:r>
      <w:r w:rsidR="004D13BC">
        <w:rPr>
          <w:sz w:val="24"/>
          <w:szCs w:val="24"/>
        </w:rPr>
        <w:t xml:space="preserve">were lower </w:t>
      </w:r>
      <w:proofErr w:type="gramStart"/>
      <w:r w:rsidR="004D13BC">
        <w:rPr>
          <w:sz w:val="24"/>
          <w:szCs w:val="24"/>
        </w:rPr>
        <w:t xml:space="preserve">for </w:t>
      </w:r>
      <w:r w:rsidR="00BC18EA">
        <w:rPr>
          <w:sz w:val="24"/>
          <w:szCs w:val="24"/>
        </w:rPr>
        <w:t xml:space="preserve"> those</w:t>
      </w:r>
      <w:proofErr w:type="gramEnd"/>
      <w:r w:rsidR="00BC18EA">
        <w:rPr>
          <w:sz w:val="24"/>
          <w:szCs w:val="24"/>
        </w:rPr>
        <w:t xml:space="preserve"> prescribed compared to those who were not prescribed this treatment in the 2nd (p=0.009) and 3rd </w:t>
      </w:r>
      <w:r w:rsidR="00AD76CD">
        <w:rPr>
          <w:sz w:val="24"/>
          <w:szCs w:val="24"/>
        </w:rPr>
        <w:t xml:space="preserve">(highest) </w:t>
      </w:r>
      <w:r w:rsidR="00BC18EA">
        <w:rPr>
          <w:sz w:val="24"/>
          <w:szCs w:val="24"/>
        </w:rPr>
        <w:t xml:space="preserve">GH </w:t>
      </w:r>
      <w:proofErr w:type="spellStart"/>
      <w:r w:rsidR="00BC18EA">
        <w:rPr>
          <w:sz w:val="24"/>
          <w:szCs w:val="24"/>
        </w:rPr>
        <w:t>tertiles</w:t>
      </w:r>
      <w:proofErr w:type="spellEnd"/>
      <w:r w:rsidR="00BC18EA">
        <w:rPr>
          <w:sz w:val="24"/>
          <w:szCs w:val="24"/>
        </w:rPr>
        <w:t xml:space="preserve"> (p&lt;0.0005).  </w:t>
      </w:r>
      <w:r w:rsidR="00AD76CD">
        <w:rPr>
          <w:sz w:val="24"/>
          <w:szCs w:val="24"/>
        </w:rPr>
        <w:t>Similarly for</w:t>
      </w:r>
      <w:r w:rsidR="00BC18EA">
        <w:rPr>
          <w:sz w:val="24"/>
          <w:szCs w:val="24"/>
        </w:rPr>
        <w:t xml:space="preserve"> ACE/ARB treatment, MACE rates </w:t>
      </w:r>
      <w:r w:rsidR="00AD76CD">
        <w:rPr>
          <w:sz w:val="24"/>
          <w:szCs w:val="24"/>
        </w:rPr>
        <w:t xml:space="preserve">were lower for </w:t>
      </w:r>
      <w:r w:rsidR="00BC18EA">
        <w:rPr>
          <w:sz w:val="24"/>
          <w:szCs w:val="24"/>
        </w:rPr>
        <w:t xml:space="preserve">those prescribed compared to those who were not prescribed this treatment in the 2nd (p=0.001) and 3rd GH </w:t>
      </w:r>
      <w:proofErr w:type="spellStart"/>
      <w:r w:rsidR="00BC18EA">
        <w:rPr>
          <w:sz w:val="24"/>
          <w:szCs w:val="24"/>
        </w:rPr>
        <w:t>tertiles</w:t>
      </w:r>
      <w:proofErr w:type="spellEnd"/>
      <w:r w:rsidR="00BC18EA">
        <w:rPr>
          <w:sz w:val="24"/>
          <w:szCs w:val="24"/>
        </w:rPr>
        <w:t xml:space="preserve"> (p&lt;0.0005).  In contrast, for both treatments, there was no difference in MACE rates between those prescribed or not prescribed these treatments in those patients in the lowest GH </w:t>
      </w:r>
      <w:proofErr w:type="spellStart"/>
      <w:r w:rsidR="00BC18EA">
        <w:rPr>
          <w:sz w:val="24"/>
          <w:szCs w:val="24"/>
        </w:rPr>
        <w:t>tertile</w:t>
      </w:r>
      <w:proofErr w:type="spellEnd"/>
      <w:r w:rsidR="00BC18EA">
        <w:rPr>
          <w:sz w:val="24"/>
          <w:szCs w:val="24"/>
        </w:rPr>
        <w:t>.</w:t>
      </w:r>
    </w:p>
    <w:p w:rsidR="00BC18EA" w:rsidRDefault="00BC18EA" w:rsidP="0074065E">
      <w:pPr>
        <w:pStyle w:val="NoSpacing"/>
        <w:spacing w:line="480" w:lineRule="auto"/>
        <w:rPr>
          <w:sz w:val="24"/>
          <w:szCs w:val="24"/>
        </w:rPr>
      </w:pPr>
    </w:p>
    <w:p w:rsidR="00BC18EA" w:rsidRDefault="00BC18EA" w:rsidP="0074065E">
      <w:pPr>
        <w:pStyle w:val="NoSpacing"/>
        <w:spacing w:line="480" w:lineRule="auto"/>
        <w:rPr>
          <w:sz w:val="24"/>
          <w:szCs w:val="24"/>
        </w:rPr>
      </w:pPr>
    </w:p>
    <w:p w:rsidR="009D70F8" w:rsidRDefault="009D70F8">
      <w:pPr>
        <w:spacing w:after="0" w:line="240" w:lineRule="auto"/>
        <w:rPr>
          <w:rFonts w:cs="Calibri"/>
          <w:b/>
          <w:sz w:val="24"/>
          <w:szCs w:val="24"/>
        </w:rPr>
      </w:pPr>
      <w:r>
        <w:rPr>
          <w:rFonts w:cs="Calibri"/>
          <w:b/>
          <w:sz w:val="24"/>
          <w:szCs w:val="24"/>
        </w:rPr>
        <w:br w:type="page"/>
      </w:r>
    </w:p>
    <w:p w:rsidR="008F2E5B" w:rsidRPr="009E2C8C" w:rsidRDefault="008F2E5B" w:rsidP="004C1DEE">
      <w:pPr>
        <w:pStyle w:val="NoSpacing"/>
        <w:spacing w:line="480" w:lineRule="auto"/>
        <w:rPr>
          <w:rFonts w:cs="Calibri"/>
          <w:b/>
          <w:sz w:val="24"/>
          <w:szCs w:val="24"/>
        </w:rPr>
      </w:pPr>
      <w:r w:rsidRPr="009E2C8C">
        <w:rPr>
          <w:rFonts w:cs="Calibri"/>
          <w:b/>
          <w:sz w:val="24"/>
          <w:szCs w:val="24"/>
        </w:rPr>
        <w:lastRenderedPageBreak/>
        <w:t>Discussion</w:t>
      </w:r>
    </w:p>
    <w:p w:rsidR="008F2E5B" w:rsidRDefault="00377C81" w:rsidP="004C1DEE">
      <w:pPr>
        <w:pStyle w:val="NoSpacing"/>
        <w:spacing w:line="480" w:lineRule="auto"/>
        <w:rPr>
          <w:rFonts w:cs="Calibri"/>
          <w:sz w:val="24"/>
          <w:szCs w:val="24"/>
        </w:rPr>
      </w:pPr>
      <w:r>
        <w:rPr>
          <w:rFonts w:cs="Calibri"/>
          <w:sz w:val="24"/>
          <w:szCs w:val="24"/>
        </w:rPr>
        <w:t>Previous studies in healthy populations have demonstrated a link between GH levels and total and cardiovascular mortality and morbidity (4</w:t>
      </w:r>
      <w:proofErr w:type="gramStart"/>
      <w:r>
        <w:rPr>
          <w:rFonts w:cs="Calibri"/>
          <w:sz w:val="24"/>
          <w:szCs w:val="24"/>
        </w:rPr>
        <w:t>,5</w:t>
      </w:r>
      <w:proofErr w:type="gramEnd"/>
      <w:r>
        <w:rPr>
          <w:rFonts w:cs="Calibri"/>
          <w:sz w:val="24"/>
          <w:szCs w:val="24"/>
        </w:rPr>
        <w:t xml:space="preserve">).  </w:t>
      </w:r>
      <w:r w:rsidR="002D47F1">
        <w:rPr>
          <w:rFonts w:cs="Calibri"/>
          <w:sz w:val="24"/>
          <w:szCs w:val="24"/>
        </w:rPr>
        <w:t xml:space="preserve">In the present study, we complement these findings by providing evidence of a link between higher GH levels and MACE following an acute cardiovascular presentation, namely myocardial infarction.  GH secretion in such acute </w:t>
      </w:r>
      <w:r w:rsidR="009578C9">
        <w:rPr>
          <w:rFonts w:cs="Calibri"/>
          <w:sz w:val="24"/>
          <w:szCs w:val="24"/>
        </w:rPr>
        <w:t>situation</w:t>
      </w:r>
      <w:r w:rsidR="00B14777">
        <w:rPr>
          <w:rFonts w:cs="Calibri"/>
          <w:sz w:val="24"/>
          <w:szCs w:val="24"/>
        </w:rPr>
        <w:t>s</w:t>
      </w:r>
      <w:r w:rsidR="009578C9">
        <w:rPr>
          <w:rFonts w:cs="Calibri"/>
          <w:sz w:val="24"/>
          <w:szCs w:val="24"/>
        </w:rPr>
        <w:t xml:space="preserve"> </w:t>
      </w:r>
      <w:r w:rsidR="002D47F1">
        <w:rPr>
          <w:rFonts w:cs="Calibri"/>
          <w:sz w:val="24"/>
          <w:szCs w:val="24"/>
        </w:rPr>
        <w:t xml:space="preserve">may represent an acute response to a stressful stimulus.  </w:t>
      </w:r>
      <w:r w:rsidR="005D1836">
        <w:rPr>
          <w:rFonts w:cs="Calibri"/>
          <w:sz w:val="24"/>
          <w:szCs w:val="24"/>
        </w:rPr>
        <w:t xml:space="preserve">However, there are no easily available high throughput methods for measuring the level of stress experienced by such patients presenting with acute illness.  </w:t>
      </w:r>
      <w:r w:rsidR="002D47F1">
        <w:rPr>
          <w:rFonts w:cs="Calibri"/>
          <w:sz w:val="24"/>
          <w:szCs w:val="24"/>
        </w:rPr>
        <w:t xml:space="preserve">The GH </w:t>
      </w:r>
      <w:r w:rsidR="00B14777">
        <w:rPr>
          <w:rFonts w:cs="Calibri"/>
          <w:sz w:val="24"/>
          <w:szCs w:val="24"/>
        </w:rPr>
        <w:t>secretion</w:t>
      </w:r>
      <w:r w:rsidR="002D47F1">
        <w:rPr>
          <w:rFonts w:cs="Calibri"/>
          <w:sz w:val="24"/>
          <w:szCs w:val="24"/>
        </w:rPr>
        <w:t xml:space="preserve"> was </w:t>
      </w:r>
      <w:r w:rsidR="00B14777">
        <w:rPr>
          <w:rFonts w:cs="Calibri"/>
          <w:sz w:val="24"/>
          <w:szCs w:val="24"/>
        </w:rPr>
        <w:t>higher</w:t>
      </w:r>
      <w:r w:rsidR="002D47F1">
        <w:rPr>
          <w:rFonts w:cs="Calibri"/>
          <w:sz w:val="24"/>
          <w:szCs w:val="24"/>
        </w:rPr>
        <w:t xml:space="preserve"> in females following AMI, which resembles the findings </w:t>
      </w:r>
      <w:r w:rsidR="00FC609C">
        <w:rPr>
          <w:rFonts w:cs="Calibri"/>
          <w:sz w:val="24"/>
          <w:szCs w:val="24"/>
        </w:rPr>
        <w:t xml:space="preserve">using fasting GH levels </w:t>
      </w:r>
      <w:r w:rsidR="002D47F1">
        <w:rPr>
          <w:rFonts w:cs="Calibri"/>
          <w:sz w:val="24"/>
          <w:szCs w:val="24"/>
        </w:rPr>
        <w:t xml:space="preserve">in healthy subjects </w:t>
      </w:r>
      <w:r w:rsidR="00FC609C">
        <w:rPr>
          <w:rFonts w:cs="Calibri"/>
          <w:sz w:val="24"/>
          <w:szCs w:val="24"/>
        </w:rPr>
        <w:t xml:space="preserve">within the general </w:t>
      </w:r>
      <w:proofErr w:type="gramStart"/>
      <w:r w:rsidR="00FC609C">
        <w:rPr>
          <w:rFonts w:cs="Calibri"/>
          <w:sz w:val="24"/>
          <w:szCs w:val="24"/>
        </w:rPr>
        <w:t>population</w:t>
      </w:r>
      <w:r w:rsidR="002D47F1">
        <w:rPr>
          <w:rFonts w:cs="Calibri"/>
          <w:sz w:val="24"/>
          <w:szCs w:val="24"/>
        </w:rPr>
        <w:t>(</w:t>
      </w:r>
      <w:proofErr w:type="gramEnd"/>
      <w:r w:rsidR="002D47F1">
        <w:rPr>
          <w:rFonts w:cs="Calibri"/>
          <w:sz w:val="24"/>
          <w:szCs w:val="24"/>
        </w:rPr>
        <w:t xml:space="preserve">5,6).  We also demonstrated a weak correlation to troponin levels, which suggests </w:t>
      </w:r>
      <w:r w:rsidR="00A2034E">
        <w:rPr>
          <w:rFonts w:cs="Calibri"/>
          <w:sz w:val="24"/>
          <w:szCs w:val="24"/>
        </w:rPr>
        <w:t xml:space="preserve">some </w:t>
      </w:r>
      <w:r w:rsidR="002D47F1">
        <w:rPr>
          <w:rFonts w:cs="Calibri"/>
          <w:sz w:val="24"/>
          <w:szCs w:val="24"/>
        </w:rPr>
        <w:t xml:space="preserve">association with infarct size. </w:t>
      </w:r>
    </w:p>
    <w:p w:rsidR="001F5AED" w:rsidRDefault="001F5AED" w:rsidP="004C1DEE">
      <w:pPr>
        <w:pStyle w:val="NoSpacing"/>
        <w:spacing w:line="480" w:lineRule="auto"/>
        <w:rPr>
          <w:rFonts w:cs="Calibri"/>
          <w:sz w:val="24"/>
          <w:szCs w:val="24"/>
        </w:rPr>
      </w:pPr>
    </w:p>
    <w:p w:rsidR="009506FE" w:rsidRDefault="002D47F1" w:rsidP="004C1DEE">
      <w:pPr>
        <w:pStyle w:val="NoSpacing"/>
        <w:spacing w:line="480" w:lineRule="auto"/>
        <w:rPr>
          <w:rFonts w:cs="Calibri"/>
          <w:sz w:val="24"/>
          <w:szCs w:val="24"/>
        </w:rPr>
      </w:pPr>
      <w:r>
        <w:rPr>
          <w:rFonts w:cs="Calibri"/>
          <w:sz w:val="24"/>
          <w:szCs w:val="24"/>
        </w:rPr>
        <w:t>A number of secondary prevention therapies are now routinely prescribed following AMI, namely aspirin, statins, beta blockers and ACE/ARB based on evidence derived from large double blind therapeutic trials.  In</w:t>
      </w:r>
      <w:r w:rsidR="005D1836">
        <w:rPr>
          <w:rFonts w:cs="Calibri"/>
          <w:sz w:val="24"/>
          <w:szCs w:val="24"/>
        </w:rPr>
        <w:t xml:space="preserve"> this study, we examined </w:t>
      </w:r>
      <w:proofErr w:type="gramStart"/>
      <w:r w:rsidR="005D1836">
        <w:rPr>
          <w:rFonts w:cs="Calibri"/>
          <w:sz w:val="24"/>
          <w:szCs w:val="24"/>
        </w:rPr>
        <w:t xml:space="preserve">whether </w:t>
      </w:r>
      <w:r>
        <w:rPr>
          <w:rFonts w:cs="Calibri"/>
          <w:sz w:val="24"/>
          <w:szCs w:val="24"/>
        </w:rPr>
        <w:t xml:space="preserve"> </w:t>
      </w:r>
      <w:r w:rsidR="005D1836">
        <w:rPr>
          <w:rFonts w:cs="Calibri"/>
          <w:sz w:val="24"/>
          <w:szCs w:val="24"/>
        </w:rPr>
        <w:t>outcomes</w:t>
      </w:r>
      <w:proofErr w:type="gramEnd"/>
      <w:r w:rsidR="005D1836">
        <w:rPr>
          <w:rFonts w:cs="Calibri"/>
          <w:sz w:val="24"/>
          <w:szCs w:val="24"/>
        </w:rPr>
        <w:t xml:space="preserve"> in patients prescribed or not prescribed these therapies differed according to the risk of poor outcome, as determined by the GH level.  For some secondary prevention therapies </w:t>
      </w:r>
      <w:proofErr w:type="spellStart"/>
      <w:r w:rsidR="005D1836">
        <w:rPr>
          <w:rFonts w:cs="Calibri"/>
          <w:sz w:val="24"/>
          <w:szCs w:val="24"/>
        </w:rPr>
        <w:t>eg</w:t>
      </w:r>
      <w:proofErr w:type="spellEnd"/>
      <w:r w:rsidR="005D1836">
        <w:rPr>
          <w:rFonts w:cs="Calibri"/>
          <w:sz w:val="24"/>
          <w:szCs w:val="24"/>
        </w:rPr>
        <w:t xml:space="preserve"> beta blockers and ACE/ARB, there was evidence of a significant interaction between GH level and the treatment, suggesting that patients with the lowest GH levels may derive less benefit from these therapies compared to those with higher GH levels.  Both of these treatments may have the most impact on patients with impairment of left ventricular function</w:t>
      </w:r>
      <w:r w:rsidR="004D4F90">
        <w:rPr>
          <w:rFonts w:cs="Calibri"/>
          <w:sz w:val="24"/>
          <w:szCs w:val="24"/>
        </w:rPr>
        <w:t xml:space="preserve"> or adverse ventricular </w:t>
      </w:r>
      <w:proofErr w:type="spellStart"/>
      <w:r w:rsidR="004D4F90">
        <w:rPr>
          <w:rFonts w:cs="Calibri"/>
          <w:sz w:val="24"/>
          <w:szCs w:val="24"/>
        </w:rPr>
        <w:t>remodeling</w:t>
      </w:r>
      <w:proofErr w:type="spellEnd"/>
      <w:r w:rsidR="005D1836">
        <w:rPr>
          <w:rFonts w:cs="Calibri"/>
          <w:sz w:val="24"/>
          <w:szCs w:val="24"/>
        </w:rPr>
        <w:t>.  In contrast, we found no significant interactions of GH levels with therapy using aspirin, statins or loop diuretics</w:t>
      </w:r>
      <w:r w:rsidR="004D4F90">
        <w:rPr>
          <w:rFonts w:cs="Calibri"/>
          <w:sz w:val="24"/>
          <w:szCs w:val="24"/>
        </w:rPr>
        <w:t>.</w:t>
      </w:r>
      <w:r w:rsidR="009506FE">
        <w:rPr>
          <w:rFonts w:cs="Calibri"/>
          <w:sz w:val="24"/>
          <w:szCs w:val="24"/>
        </w:rPr>
        <w:t xml:space="preserve">  </w:t>
      </w:r>
      <w:r w:rsidR="008F2E5B">
        <w:rPr>
          <w:rFonts w:cs="Calibri"/>
          <w:sz w:val="24"/>
          <w:szCs w:val="24"/>
        </w:rPr>
        <w:t xml:space="preserve">Our </w:t>
      </w:r>
      <w:r w:rsidR="008F2E5B" w:rsidRPr="009E2C8C">
        <w:rPr>
          <w:rFonts w:cs="Calibri"/>
          <w:sz w:val="24"/>
          <w:szCs w:val="24"/>
        </w:rPr>
        <w:t xml:space="preserve">findings are hypothesis generating for investigating the </w:t>
      </w:r>
      <w:r w:rsidR="008F2E5B">
        <w:rPr>
          <w:rFonts w:cs="Calibri"/>
          <w:sz w:val="24"/>
          <w:szCs w:val="24"/>
        </w:rPr>
        <w:t xml:space="preserve">role of </w:t>
      </w:r>
      <w:r w:rsidR="009506FE">
        <w:rPr>
          <w:rFonts w:cs="Calibri"/>
          <w:sz w:val="24"/>
          <w:szCs w:val="24"/>
        </w:rPr>
        <w:t xml:space="preserve">GH on stratifying risk post-AMI, and assessing the effects of </w:t>
      </w:r>
      <w:r w:rsidR="009506FE">
        <w:rPr>
          <w:rFonts w:cs="Calibri"/>
          <w:sz w:val="24"/>
          <w:szCs w:val="24"/>
        </w:rPr>
        <w:lastRenderedPageBreak/>
        <w:t>ACE/ARB or beta blockers on left ventricular function/</w:t>
      </w:r>
      <w:proofErr w:type="spellStart"/>
      <w:r w:rsidR="009506FE">
        <w:rPr>
          <w:rFonts w:cs="Calibri"/>
          <w:sz w:val="24"/>
          <w:szCs w:val="24"/>
        </w:rPr>
        <w:t>remodeling</w:t>
      </w:r>
      <w:proofErr w:type="spellEnd"/>
      <w:r w:rsidR="009506FE">
        <w:rPr>
          <w:rFonts w:cs="Calibri"/>
          <w:sz w:val="24"/>
          <w:szCs w:val="24"/>
        </w:rPr>
        <w:t>.  It also remains to be investigated whether these findings apply to healthy populations.</w:t>
      </w:r>
    </w:p>
    <w:p w:rsidR="009506FE" w:rsidRDefault="009506FE" w:rsidP="004C1DEE">
      <w:pPr>
        <w:pStyle w:val="NoSpacing"/>
        <w:spacing w:line="480" w:lineRule="auto"/>
        <w:rPr>
          <w:rFonts w:cs="Calibri"/>
          <w:sz w:val="24"/>
          <w:szCs w:val="24"/>
        </w:rPr>
      </w:pPr>
    </w:p>
    <w:p w:rsidR="008F2E5B" w:rsidRPr="009E2C8C" w:rsidRDefault="008F2E5B" w:rsidP="004C1DEE">
      <w:pPr>
        <w:pStyle w:val="NoSpacing"/>
        <w:spacing w:line="480" w:lineRule="auto"/>
        <w:rPr>
          <w:rFonts w:cs="Calibri"/>
          <w:b/>
          <w:sz w:val="24"/>
          <w:szCs w:val="24"/>
        </w:rPr>
      </w:pPr>
      <w:r w:rsidRPr="009E2C8C">
        <w:rPr>
          <w:rFonts w:cs="Calibri"/>
          <w:b/>
          <w:sz w:val="24"/>
          <w:szCs w:val="24"/>
        </w:rPr>
        <w:t>Limitations</w:t>
      </w:r>
    </w:p>
    <w:p w:rsidR="009506FE" w:rsidRDefault="008F2E5B" w:rsidP="004C1DEE">
      <w:pPr>
        <w:pStyle w:val="NoSpacing"/>
        <w:spacing w:line="480" w:lineRule="auto"/>
        <w:rPr>
          <w:rFonts w:cs="Calibri"/>
          <w:sz w:val="24"/>
          <w:szCs w:val="24"/>
        </w:rPr>
      </w:pPr>
      <w:r w:rsidRPr="009E2C8C">
        <w:rPr>
          <w:rFonts w:cs="Calibri"/>
          <w:sz w:val="24"/>
          <w:szCs w:val="24"/>
        </w:rPr>
        <w:t>Our findings are</w:t>
      </w:r>
      <w:r>
        <w:rPr>
          <w:rFonts w:cs="Calibri"/>
          <w:sz w:val="24"/>
          <w:szCs w:val="24"/>
        </w:rPr>
        <w:t xml:space="preserve"> </w:t>
      </w:r>
      <w:r w:rsidR="009506FE">
        <w:rPr>
          <w:rFonts w:cs="Calibri"/>
          <w:sz w:val="24"/>
          <w:szCs w:val="24"/>
        </w:rPr>
        <w:t xml:space="preserve">observational, and </w:t>
      </w:r>
      <w:r w:rsidRPr="009E2C8C">
        <w:rPr>
          <w:rFonts w:cs="Calibri"/>
          <w:sz w:val="24"/>
          <w:szCs w:val="24"/>
        </w:rPr>
        <w:t xml:space="preserve">based on </w:t>
      </w:r>
      <w:r w:rsidR="009506FE">
        <w:rPr>
          <w:rFonts w:cs="Calibri"/>
          <w:sz w:val="24"/>
          <w:szCs w:val="24"/>
        </w:rPr>
        <w:t>patients recruited in</w:t>
      </w:r>
      <w:r w:rsidRPr="009E2C8C">
        <w:rPr>
          <w:rFonts w:cs="Calibri"/>
          <w:sz w:val="24"/>
          <w:szCs w:val="24"/>
        </w:rPr>
        <w:t xml:space="preserve"> a single centre, with 2 admitting hospitals, and should be verified in other larger populations. The rate of early revascularisation in our NSTEMI population was low </w:t>
      </w:r>
      <w:r w:rsidR="009506FE">
        <w:rPr>
          <w:rFonts w:cs="Calibri"/>
          <w:sz w:val="24"/>
          <w:szCs w:val="24"/>
        </w:rPr>
        <w:t xml:space="preserve">compared to </w:t>
      </w:r>
      <w:r w:rsidRPr="009E2C8C">
        <w:rPr>
          <w:rFonts w:cs="Calibri"/>
          <w:sz w:val="24"/>
          <w:szCs w:val="24"/>
        </w:rPr>
        <w:t>more contemporary invasive approach</w:t>
      </w:r>
      <w:r w:rsidR="009506FE">
        <w:rPr>
          <w:rFonts w:cs="Calibri"/>
          <w:sz w:val="24"/>
          <w:szCs w:val="24"/>
        </w:rPr>
        <w:t>es</w:t>
      </w:r>
      <w:r w:rsidRPr="009E2C8C">
        <w:rPr>
          <w:rFonts w:cs="Calibri"/>
          <w:sz w:val="24"/>
          <w:szCs w:val="24"/>
        </w:rPr>
        <w:t xml:space="preserve"> of revascularisation within 72 h of presentation.</w:t>
      </w:r>
      <w:r>
        <w:rPr>
          <w:rFonts w:cs="Calibri"/>
          <w:sz w:val="24"/>
          <w:szCs w:val="24"/>
        </w:rPr>
        <w:t xml:space="preserve"> </w:t>
      </w:r>
      <w:r w:rsidR="009506FE">
        <w:rPr>
          <w:rFonts w:cs="Calibri"/>
          <w:sz w:val="24"/>
          <w:szCs w:val="24"/>
        </w:rPr>
        <w:t xml:space="preserve"> Prescription of the secondary prevention therapies was at the discretion of the prescribing physician, and was not randomised, so that unmeasured factors could have influenced the prescription rates and the adverse outcomes.</w:t>
      </w:r>
    </w:p>
    <w:p w:rsidR="008F2E5B" w:rsidRDefault="008F2E5B" w:rsidP="004C1DEE">
      <w:pPr>
        <w:pStyle w:val="NoSpacing"/>
        <w:spacing w:line="480" w:lineRule="auto"/>
        <w:rPr>
          <w:rFonts w:cs="Calibri"/>
          <w:sz w:val="24"/>
          <w:szCs w:val="24"/>
        </w:rPr>
      </w:pPr>
    </w:p>
    <w:p w:rsidR="008F2E5B" w:rsidRPr="009E2C8C" w:rsidRDefault="008F2E5B" w:rsidP="004C1DEE">
      <w:pPr>
        <w:pStyle w:val="NoSpacing"/>
        <w:spacing w:line="480" w:lineRule="auto"/>
        <w:rPr>
          <w:rFonts w:cs="Calibri"/>
          <w:b/>
          <w:sz w:val="24"/>
          <w:szCs w:val="24"/>
        </w:rPr>
      </w:pPr>
      <w:r w:rsidRPr="009E2C8C">
        <w:rPr>
          <w:rFonts w:cs="Calibri"/>
          <w:b/>
          <w:sz w:val="24"/>
          <w:szCs w:val="24"/>
        </w:rPr>
        <w:t>Conclusions</w:t>
      </w:r>
    </w:p>
    <w:p w:rsidR="009506FE" w:rsidRDefault="008F2E5B" w:rsidP="004C1DEE">
      <w:pPr>
        <w:pStyle w:val="NoSpacing"/>
        <w:spacing w:line="480" w:lineRule="auto"/>
        <w:rPr>
          <w:rFonts w:cs="Calibri"/>
          <w:sz w:val="24"/>
          <w:szCs w:val="24"/>
        </w:rPr>
      </w:pPr>
      <w:r w:rsidRPr="009E2C8C">
        <w:rPr>
          <w:rFonts w:cs="Calibri"/>
          <w:sz w:val="24"/>
          <w:szCs w:val="24"/>
        </w:rPr>
        <w:t xml:space="preserve">Following AMI, </w:t>
      </w:r>
      <w:r w:rsidR="009506FE">
        <w:rPr>
          <w:rFonts w:cs="Calibri"/>
          <w:sz w:val="24"/>
          <w:szCs w:val="24"/>
        </w:rPr>
        <w:t xml:space="preserve">GH levels may provide independent prognostic information for poor outcomes, and could indicate the groups of patients who derive the most benefit from some secondary prevention therapies such as ACE/ARB and beta blockers. </w:t>
      </w:r>
      <w:r w:rsidR="000B25E3">
        <w:rPr>
          <w:rFonts w:cs="Calibri"/>
          <w:sz w:val="24"/>
          <w:szCs w:val="24"/>
        </w:rPr>
        <w:t xml:space="preserve"> The potential of GH in stratified medicine should be examined in further</w:t>
      </w:r>
      <w:r w:rsidR="001F5AED">
        <w:rPr>
          <w:rFonts w:cs="Calibri"/>
          <w:sz w:val="24"/>
          <w:szCs w:val="24"/>
        </w:rPr>
        <w:t xml:space="preserve"> larger</w:t>
      </w:r>
      <w:r w:rsidR="000B25E3">
        <w:rPr>
          <w:rFonts w:cs="Calibri"/>
          <w:sz w:val="24"/>
          <w:szCs w:val="24"/>
        </w:rPr>
        <w:t xml:space="preserve"> randomised studies. </w:t>
      </w:r>
    </w:p>
    <w:p w:rsidR="009506FE" w:rsidRDefault="009506FE" w:rsidP="004C1DEE">
      <w:pPr>
        <w:pStyle w:val="NoSpacing"/>
        <w:spacing w:line="480" w:lineRule="auto"/>
        <w:rPr>
          <w:rFonts w:cs="Calibri"/>
          <w:sz w:val="24"/>
          <w:szCs w:val="24"/>
        </w:rPr>
      </w:pPr>
    </w:p>
    <w:p w:rsidR="008F2E5B" w:rsidRPr="009E2C8C" w:rsidRDefault="008F2E5B" w:rsidP="004C1DEE">
      <w:pPr>
        <w:spacing w:line="480" w:lineRule="auto"/>
        <w:rPr>
          <w:rFonts w:cs="Calibri"/>
          <w:sz w:val="24"/>
          <w:szCs w:val="24"/>
        </w:rPr>
      </w:pPr>
      <w:r w:rsidRPr="009E2C8C">
        <w:rPr>
          <w:rFonts w:cs="Calibri"/>
          <w:sz w:val="24"/>
          <w:szCs w:val="24"/>
        </w:rPr>
        <w:br w:type="page"/>
      </w:r>
    </w:p>
    <w:p w:rsidR="008F2E5B" w:rsidRPr="00616ED9" w:rsidRDefault="008F2E5B" w:rsidP="004C1DEE">
      <w:pPr>
        <w:pStyle w:val="NoSpacing"/>
        <w:spacing w:line="480" w:lineRule="auto"/>
        <w:rPr>
          <w:rFonts w:cs="Calibri"/>
          <w:b/>
          <w:sz w:val="24"/>
          <w:szCs w:val="24"/>
        </w:rPr>
      </w:pPr>
      <w:r w:rsidRPr="00616ED9">
        <w:rPr>
          <w:rFonts w:cs="Calibri"/>
          <w:b/>
          <w:sz w:val="24"/>
          <w:szCs w:val="24"/>
        </w:rPr>
        <w:lastRenderedPageBreak/>
        <w:t>Acknowledgements</w:t>
      </w:r>
    </w:p>
    <w:p w:rsidR="008F2E5B" w:rsidRPr="00616ED9" w:rsidRDefault="008F2E5B" w:rsidP="004C1DEE">
      <w:pPr>
        <w:pStyle w:val="ListParagraph"/>
        <w:spacing w:after="0" w:line="480" w:lineRule="auto"/>
        <w:ind w:left="0"/>
        <w:rPr>
          <w:rFonts w:cs="Calibri"/>
          <w:sz w:val="24"/>
          <w:szCs w:val="24"/>
        </w:rPr>
      </w:pPr>
      <w:r w:rsidRPr="00616ED9">
        <w:rPr>
          <w:rFonts w:cs="Calibri"/>
          <w:sz w:val="24"/>
          <w:szCs w:val="24"/>
        </w:rPr>
        <w:t xml:space="preserve">This work was supported by the John and Lucille Van </w:t>
      </w:r>
      <w:proofErr w:type="spellStart"/>
      <w:r w:rsidRPr="00616ED9">
        <w:rPr>
          <w:rFonts w:cs="Calibri"/>
          <w:sz w:val="24"/>
          <w:szCs w:val="24"/>
        </w:rPr>
        <w:t>Geest</w:t>
      </w:r>
      <w:proofErr w:type="spellEnd"/>
      <w:r w:rsidRPr="00616ED9">
        <w:rPr>
          <w:rFonts w:cs="Calibri"/>
          <w:sz w:val="24"/>
          <w:szCs w:val="24"/>
        </w:rPr>
        <w:t xml:space="preserve"> Foundation and the National Institute for Health Research Leicester Cardiovascular Biomedical Research Unit.</w:t>
      </w:r>
    </w:p>
    <w:p w:rsidR="008F2E5B" w:rsidRPr="00616ED9" w:rsidRDefault="008F2E5B" w:rsidP="004C1DEE">
      <w:pPr>
        <w:pStyle w:val="NoSpacing"/>
        <w:spacing w:line="480" w:lineRule="auto"/>
        <w:rPr>
          <w:rFonts w:cs="Calibri"/>
          <w:sz w:val="24"/>
          <w:szCs w:val="24"/>
        </w:rPr>
      </w:pPr>
      <w:r w:rsidRPr="00616ED9">
        <w:rPr>
          <w:rFonts w:cs="Calibri"/>
          <w:sz w:val="24"/>
          <w:szCs w:val="24"/>
        </w:rPr>
        <w:t xml:space="preserve">Sphingotec GmbH is a midsized company based in </w:t>
      </w:r>
      <w:proofErr w:type="spellStart"/>
      <w:r w:rsidRPr="00616ED9">
        <w:rPr>
          <w:rFonts w:cs="Calibri"/>
          <w:sz w:val="24"/>
          <w:szCs w:val="24"/>
        </w:rPr>
        <w:t>Hennigsdorf</w:t>
      </w:r>
      <w:proofErr w:type="spellEnd"/>
      <w:r w:rsidRPr="00616ED9">
        <w:rPr>
          <w:rFonts w:cs="Calibri"/>
          <w:sz w:val="24"/>
          <w:szCs w:val="24"/>
        </w:rPr>
        <w:t>, Germany; it commercializes</w:t>
      </w:r>
    </w:p>
    <w:p w:rsidR="008F2E5B" w:rsidRPr="00616ED9" w:rsidRDefault="008F2E5B" w:rsidP="004C1DEE">
      <w:pPr>
        <w:pStyle w:val="NoSpacing"/>
        <w:spacing w:line="480" w:lineRule="auto"/>
        <w:rPr>
          <w:rFonts w:cs="Calibri"/>
          <w:sz w:val="24"/>
          <w:szCs w:val="24"/>
        </w:rPr>
      </w:pPr>
      <w:proofErr w:type="gramStart"/>
      <w:r w:rsidRPr="00616ED9">
        <w:rPr>
          <w:rFonts w:cs="Calibri"/>
          <w:sz w:val="24"/>
          <w:szCs w:val="24"/>
        </w:rPr>
        <w:t>immunoassays</w:t>
      </w:r>
      <w:proofErr w:type="gramEnd"/>
      <w:r w:rsidRPr="00616ED9">
        <w:rPr>
          <w:rFonts w:cs="Calibri"/>
          <w:sz w:val="24"/>
          <w:szCs w:val="24"/>
        </w:rPr>
        <w:t xml:space="preserve">, and has developed the </w:t>
      </w:r>
      <w:proofErr w:type="spellStart"/>
      <w:r w:rsidR="000B25E3">
        <w:rPr>
          <w:rFonts w:cs="Calibri"/>
          <w:sz w:val="24"/>
          <w:szCs w:val="24"/>
        </w:rPr>
        <w:t>hs</w:t>
      </w:r>
      <w:proofErr w:type="spellEnd"/>
      <w:r w:rsidR="000B25E3">
        <w:rPr>
          <w:rFonts w:cs="Calibri"/>
          <w:sz w:val="24"/>
          <w:szCs w:val="24"/>
        </w:rPr>
        <w:t>-HG</w:t>
      </w:r>
      <w:r w:rsidRPr="00616ED9">
        <w:rPr>
          <w:rFonts w:cs="Calibri"/>
          <w:sz w:val="24"/>
          <w:szCs w:val="24"/>
        </w:rPr>
        <w:t xml:space="preserve"> assay, for which it owns</w:t>
      </w:r>
      <w:r>
        <w:rPr>
          <w:rFonts w:cs="Calibri"/>
          <w:sz w:val="24"/>
          <w:szCs w:val="24"/>
        </w:rPr>
        <w:t xml:space="preserve"> </w:t>
      </w:r>
      <w:r w:rsidRPr="00616ED9">
        <w:rPr>
          <w:rFonts w:cs="Calibri"/>
          <w:sz w:val="24"/>
          <w:szCs w:val="24"/>
        </w:rPr>
        <w:t xml:space="preserve">patent rights. </w:t>
      </w:r>
    </w:p>
    <w:p w:rsidR="008F2E5B" w:rsidRPr="00C91D07" w:rsidRDefault="008F2E5B" w:rsidP="004C1DEE">
      <w:pPr>
        <w:spacing w:line="480" w:lineRule="auto"/>
        <w:rPr>
          <w:rFonts w:cs="Calibri"/>
          <w:b/>
          <w:sz w:val="24"/>
          <w:szCs w:val="24"/>
        </w:rPr>
      </w:pPr>
      <w:r w:rsidRPr="00616ED9">
        <w:rPr>
          <w:rFonts w:cs="Calibri"/>
          <w:sz w:val="24"/>
          <w:szCs w:val="24"/>
        </w:rPr>
        <w:br w:type="page"/>
      </w:r>
      <w:r w:rsidRPr="00C91D07">
        <w:rPr>
          <w:rFonts w:cs="Calibri"/>
          <w:b/>
          <w:sz w:val="24"/>
          <w:szCs w:val="24"/>
        </w:rPr>
        <w:lastRenderedPageBreak/>
        <w:t>References</w:t>
      </w:r>
    </w:p>
    <w:p w:rsidR="003F356F" w:rsidRPr="003F356F" w:rsidRDefault="003F356F" w:rsidP="003F356F">
      <w:pPr>
        <w:pStyle w:val="ListParagraph"/>
        <w:numPr>
          <w:ilvl w:val="0"/>
          <w:numId w:val="8"/>
        </w:numPr>
        <w:spacing w:after="0" w:line="480" w:lineRule="auto"/>
        <w:rPr>
          <w:noProof/>
          <w:sz w:val="24"/>
          <w:szCs w:val="24"/>
          <w:lang w:val="en-US"/>
        </w:rPr>
      </w:pPr>
      <w:bookmarkStart w:id="2" w:name="_ENREF_1"/>
      <w:r w:rsidRPr="003F356F">
        <w:rPr>
          <w:noProof/>
          <w:sz w:val="24"/>
          <w:szCs w:val="24"/>
          <w:lang w:val="en-US"/>
        </w:rPr>
        <w:t>Møller N, Jørgensen JOL. Effects of Growth Hormone on Glucose, Lipid, and Protein Metabolism in Human Subjects. Endocrine reviews 2009;30:152-177.</w:t>
      </w:r>
      <w:bookmarkEnd w:id="2"/>
    </w:p>
    <w:p w:rsidR="003F356F" w:rsidRPr="003F356F" w:rsidRDefault="003F356F" w:rsidP="003F356F">
      <w:pPr>
        <w:pStyle w:val="ListParagraph"/>
        <w:numPr>
          <w:ilvl w:val="0"/>
          <w:numId w:val="8"/>
        </w:numPr>
        <w:spacing w:after="0" w:line="480" w:lineRule="auto"/>
        <w:rPr>
          <w:noProof/>
          <w:sz w:val="24"/>
          <w:szCs w:val="24"/>
          <w:lang w:val="en-US"/>
        </w:rPr>
      </w:pPr>
      <w:r w:rsidRPr="003F356F">
        <w:rPr>
          <w:noProof/>
          <w:sz w:val="24"/>
          <w:szCs w:val="24"/>
          <w:lang w:val="en-US"/>
        </w:rPr>
        <w:t>Colao A, Marzullo P, Di Somma C, Lombardi G. Growth h</w:t>
      </w:r>
      <w:r>
        <w:rPr>
          <w:noProof/>
          <w:sz w:val="24"/>
          <w:szCs w:val="24"/>
          <w:lang w:val="en-US"/>
        </w:rPr>
        <w:t>ormone and the heart. Clinical E</w:t>
      </w:r>
      <w:r w:rsidRPr="003F356F">
        <w:rPr>
          <w:noProof/>
          <w:sz w:val="24"/>
          <w:szCs w:val="24"/>
          <w:lang w:val="en-US"/>
        </w:rPr>
        <w:t>ndocrinology 2001;54:137-54.</w:t>
      </w:r>
    </w:p>
    <w:p w:rsidR="003F356F" w:rsidRPr="003F356F" w:rsidRDefault="003F356F" w:rsidP="003F356F">
      <w:pPr>
        <w:pStyle w:val="ListParagraph"/>
        <w:numPr>
          <w:ilvl w:val="0"/>
          <w:numId w:val="8"/>
        </w:numPr>
        <w:spacing w:after="0" w:line="480" w:lineRule="auto"/>
        <w:rPr>
          <w:noProof/>
          <w:sz w:val="24"/>
          <w:szCs w:val="24"/>
          <w:lang w:val="en-US"/>
        </w:rPr>
      </w:pPr>
      <w:r w:rsidRPr="003F356F">
        <w:rPr>
          <w:noProof/>
          <w:sz w:val="24"/>
          <w:szCs w:val="24"/>
          <w:lang w:val="en-US"/>
        </w:rPr>
        <w:t>Takala J, Ruokonen E, Webster NR et al. Increased mortality associated with growth hormone treatment in critical</w:t>
      </w:r>
      <w:r>
        <w:rPr>
          <w:noProof/>
          <w:sz w:val="24"/>
          <w:szCs w:val="24"/>
          <w:lang w:val="en-US"/>
        </w:rPr>
        <w:t>ly ill adults.  New England J</w:t>
      </w:r>
      <w:r w:rsidRPr="003F356F">
        <w:rPr>
          <w:noProof/>
          <w:sz w:val="24"/>
          <w:szCs w:val="24"/>
          <w:lang w:val="en-US"/>
        </w:rPr>
        <w:t xml:space="preserve">ournal of </w:t>
      </w:r>
      <w:r>
        <w:rPr>
          <w:noProof/>
          <w:sz w:val="24"/>
          <w:szCs w:val="24"/>
          <w:lang w:val="en-US"/>
        </w:rPr>
        <w:t>M</w:t>
      </w:r>
      <w:r w:rsidRPr="003F356F">
        <w:rPr>
          <w:noProof/>
          <w:sz w:val="24"/>
          <w:szCs w:val="24"/>
          <w:lang w:val="en-US"/>
        </w:rPr>
        <w:t xml:space="preserve">edicine 1999;341:785-92. </w:t>
      </w:r>
    </w:p>
    <w:p w:rsidR="003F356F" w:rsidRPr="003F356F" w:rsidRDefault="003F356F" w:rsidP="003F356F">
      <w:pPr>
        <w:pStyle w:val="ListParagraph"/>
        <w:numPr>
          <w:ilvl w:val="0"/>
          <w:numId w:val="8"/>
        </w:numPr>
        <w:spacing w:after="0" w:line="480" w:lineRule="auto"/>
        <w:rPr>
          <w:sz w:val="24"/>
          <w:szCs w:val="24"/>
          <w:lang w:val="en-US"/>
        </w:rPr>
      </w:pPr>
      <w:r w:rsidRPr="003F356F">
        <w:rPr>
          <w:noProof/>
          <w:sz w:val="24"/>
          <w:szCs w:val="24"/>
          <w:lang w:val="en-US"/>
        </w:rPr>
        <w:t xml:space="preserve">Maison P, Balkau B, Simon D, Chanson P, Rosselin G, Eschwege E. Growth hormone as a risk </w:t>
      </w:r>
      <w:r w:rsidRPr="003F356F">
        <w:rPr>
          <w:rFonts w:asciiTheme="minorHAnsi" w:hAnsiTheme="minorHAnsi"/>
          <w:noProof/>
          <w:sz w:val="24"/>
          <w:szCs w:val="24"/>
          <w:lang w:val="en-US"/>
        </w:rPr>
        <w:t>for premature mortality in healthy subjects: data from the Paris prospective study. B</w:t>
      </w:r>
      <w:r w:rsidR="00E44ADB">
        <w:rPr>
          <w:rFonts w:asciiTheme="minorHAnsi" w:hAnsiTheme="minorHAnsi"/>
          <w:noProof/>
          <w:sz w:val="24"/>
          <w:szCs w:val="24"/>
          <w:lang w:val="en-US"/>
        </w:rPr>
        <w:t xml:space="preserve">r </w:t>
      </w:r>
      <w:r w:rsidRPr="003F356F">
        <w:rPr>
          <w:rFonts w:asciiTheme="minorHAnsi" w:hAnsiTheme="minorHAnsi"/>
          <w:noProof/>
          <w:sz w:val="24"/>
          <w:szCs w:val="24"/>
          <w:lang w:val="en-US"/>
        </w:rPr>
        <w:t>M</w:t>
      </w:r>
      <w:r w:rsidR="00E44ADB">
        <w:rPr>
          <w:rFonts w:asciiTheme="minorHAnsi" w:hAnsiTheme="minorHAnsi"/>
          <w:noProof/>
          <w:sz w:val="24"/>
          <w:szCs w:val="24"/>
          <w:lang w:val="en-US"/>
        </w:rPr>
        <w:t xml:space="preserve">ed </w:t>
      </w:r>
      <w:r w:rsidRPr="003F356F">
        <w:rPr>
          <w:rFonts w:asciiTheme="minorHAnsi" w:hAnsiTheme="minorHAnsi"/>
          <w:noProof/>
          <w:sz w:val="24"/>
          <w:szCs w:val="24"/>
          <w:lang w:val="en-US"/>
        </w:rPr>
        <w:t>J (Clinical research ed) 1998;316:1132-3.</w:t>
      </w:r>
    </w:p>
    <w:p w:rsidR="003F356F" w:rsidRPr="003F356F" w:rsidRDefault="003F356F" w:rsidP="003F356F">
      <w:pPr>
        <w:pStyle w:val="ListParagraph"/>
        <w:numPr>
          <w:ilvl w:val="0"/>
          <w:numId w:val="8"/>
        </w:numPr>
        <w:spacing w:after="0" w:line="480" w:lineRule="auto"/>
        <w:rPr>
          <w:noProof/>
          <w:sz w:val="24"/>
          <w:szCs w:val="24"/>
          <w:lang w:val="en-US"/>
        </w:rPr>
      </w:pPr>
      <w:proofErr w:type="spellStart"/>
      <w:r w:rsidRPr="003F356F">
        <w:rPr>
          <w:rFonts w:asciiTheme="minorHAnsi" w:hAnsiTheme="minorHAnsi"/>
          <w:sz w:val="24"/>
          <w:szCs w:val="24"/>
          <w:lang w:val="en-US"/>
        </w:rPr>
        <w:t>Hallengren</w:t>
      </w:r>
      <w:proofErr w:type="spellEnd"/>
      <w:r w:rsidRPr="003F356F">
        <w:rPr>
          <w:rFonts w:asciiTheme="minorHAnsi" w:hAnsiTheme="minorHAnsi"/>
          <w:sz w:val="24"/>
          <w:szCs w:val="24"/>
          <w:lang w:val="en-US"/>
        </w:rPr>
        <w:t xml:space="preserve"> E,  </w:t>
      </w:r>
      <w:proofErr w:type="spellStart"/>
      <w:r w:rsidRPr="003F356F">
        <w:rPr>
          <w:rFonts w:asciiTheme="minorHAnsi" w:hAnsiTheme="minorHAnsi"/>
          <w:sz w:val="24"/>
          <w:szCs w:val="24"/>
          <w:lang w:val="en-US"/>
        </w:rPr>
        <w:t>Almgren</w:t>
      </w:r>
      <w:proofErr w:type="spellEnd"/>
      <w:r w:rsidRPr="003F356F">
        <w:rPr>
          <w:rFonts w:asciiTheme="minorHAnsi" w:hAnsiTheme="minorHAnsi"/>
          <w:sz w:val="24"/>
          <w:szCs w:val="24"/>
          <w:lang w:val="en-US"/>
        </w:rPr>
        <w:t xml:space="preserve"> P, </w:t>
      </w:r>
      <w:proofErr w:type="spellStart"/>
      <w:r w:rsidRPr="003F356F">
        <w:rPr>
          <w:rFonts w:asciiTheme="minorHAnsi" w:hAnsiTheme="minorHAnsi"/>
          <w:sz w:val="24"/>
          <w:szCs w:val="24"/>
          <w:lang w:val="en-US"/>
        </w:rPr>
        <w:t>Engström</w:t>
      </w:r>
      <w:proofErr w:type="spellEnd"/>
      <w:r w:rsidRPr="003F356F">
        <w:rPr>
          <w:rFonts w:asciiTheme="minorHAnsi" w:hAnsiTheme="minorHAnsi"/>
          <w:sz w:val="24"/>
          <w:szCs w:val="24"/>
          <w:lang w:val="en-US"/>
        </w:rPr>
        <w:t xml:space="preserve"> G, </w:t>
      </w:r>
      <w:proofErr w:type="spellStart"/>
      <w:r w:rsidRPr="003F356F">
        <w:rPr>
          <w:rFonts w:asciiTheme="minorHAnsi" w:hAnsiTheme="minorHAnsi"/>
          <w:sz w:val="24"/>
          <w:szCs w:val="24"/>
          <w:lang w:val="en-US"/>
        </w:rPr>
        <w:t>Hedblad</w:t>
      </w:r>
      <w:proofErr w:type="spellEnd"/>
      <w:r w:rsidRPr="003F356F">
        <w:rPr>
          <w:rFonts w:asciiTheme="minorHAnsi" w:hAnsiTheme="minorHAnsi"/>
          <w:sz w:val="24"/>
          <w:szCs w:val="24"/>
          <w:lang w:val="en-US"/>
        </w:rPr>
        <w:t xml:space="preserve"> B, </w:t>
      </w:r>
      <w:proofErr w:type="spellStart"/>
      <w:r w:rsidRPr="003F356F">
        <w:rPr>
          <w:rFonts w:asciiTheme="minorHAnsi" w:hAnsiTheme="minorHAnsi"/>
          <w:sz w:val="24"/>
          <w:szCs w:val="24"/>
          <w:lang w:val="en-US"/>
        </w:rPr>
        <w:t>Persson</w:t>
      </w:r>
      <w:proofErr w:type="spellEnd"/>
      <w:r w:rsidRPr="003F356F">
        <w:rPr>
          <w:rFonts w:asciiTheme="minorHAnsi" w:hAnsiTheme="minorHAnsi"/>
          <w:sz w:val="24"/>
          <w:szCs w:val="24"/>
          <w:lang w:val="en-US"/>
        </w:rPr>
        <w:t xml:space="preserve"> M, Suhr J,  Bergmann A, </w:t>
      </w:r>
      <w:proofErr w:type="spellStart"/>
      <w:r w:rsidRPr="003F356F">
        <w:rPr>
          <w:rFonts w:asciiTheme="minorHAnsi" w:hAnsiTheme="minorHAnsi"/>
          <w:sz w:val="24"/>
          <w:szCs w:val="24"/>
          <w:lang w:val="en-US"/>
        </w:rPr>
        <w:t>Melander</w:t>
      </w:r>
      <w:proofErr w:type="spellEnd"/>
      <w:r w:rsidRPr="003F356F">
        <w:rPr>
          <w:rFonts w:asciiTheme="minorHAnsi" w:hAnsiTheme="minorHAnsi"/>
          <w:sz w:val="24"/>
          <w:szCs w:val="24"/>
          <w:lang w:val="en-US"/>
        </w:rPr>
        <w:t xml:space="preserve"> O.  Fasting Levels of High-Sensitivity Growth Hormone predicts cardiovascular morbidity and mortality.  The Malmö Diet and Cancer Study.   JAMA</w:t>
      </w:r>
      <w:bookmarkStart w:id="3" w:name="_ENREF_19"/>
    </w:p>
    <w:p w:rsidR="003F356F" w:rsidRPr="003F356F" w:rsidRDefault="003F356F" w:rsidP="003F356F">
      <w:pPr>
        <w:pStyle w:val="ListParagraph"/>
        <w:numPr>
          <w:ilvl w:val="0"/>
          <w:numId w:val="8"/>
        </w:numPr>
        <w:shd w:val="clear" w:color="auto" w:fill="FFFFFF"/>
        <w:autoSpaceDE w:val="0"/>
        <w:autoSpaceDN w:val="0"/>
        <w:adjustRightInd w:val="0"/>
        <w:spacing w:after="0" w:line="480" w:lineRule="auto"/>
        <w:contextualSpacing w:val="0"/>
        <w:rPr>
          <w:rFonts w:asciiTheme="minorHAnsi" w:hAnsiTheme="minorHAnsi" w:cs="Calibri"/>
          <w:sz w:val="24"/>
          <w:szCs w:val="24"/>
          <w:lang w:val="sv-SE"/>
        </w:rPr>
      </w:pPr>
      <w:r w:rsidRPr="003F356F">
        <w:rPr>
          <w:noProof/>
          <w:sz w:val="24"/>
          <w:szCs w:val="24"/>
          <w:lang w:val="en-US"/>
        </w:rPr>
        <w:t>Bidlingmaier M, Suhr J, Ernst A et al. High-sensitivity chemiluminescence immunoassays for detection of growth horm</w:t>
      </w:r>
      <w:r w:rsidR="00E44ADB">
        <w:rPr>
          <w:noProof/>
          <w:sz w:val="24"/>
          <w:szCs w:val="24"/>
          <w:lang w:val="en-US"/>
        </w:rPr>
        <w:t>one doping in sports. Clinical C</w:t>
      </w:r>
      <w:r w:rsidRPr="003F356F">
        <w:rPr>
          <w:noProof/>
          <w:sz w:val="24"/>
          <w:szCs w:val="24"/>
          <w:lang w:val="en-US"/>
        </w:rPr>
        <w:t>hemistry 2009;55:445-53.</w:t>
      </w:r>
      <w:bookmarkEnd w:id="3"/>
    </w:p>
    <w:p w:rsidR="003F356F" w:rsidRPr="003F356F" w:rsidRDefault="003F356F" w:rsidP="003F356F">
      <w:pPr>
        <w:pStyle w:val="ListParagraph"/>
        <w:numPr>
          <w:ilvl w:val="0"/>
          <w:numId w:val="8"/>
        </w:numPr>
        <w:shd w:val="clear" w:color="auto" w:fill="FFFFFF"/>
        <w:autoSpaceDE w:val="0"/>
        <w:autoSpaceDN w:val="0"/>
        <w:adjustRightInd w:val="0"/>
        <w:spacing w:after="0" w:line="480" w:lineRule="auto"/>
        <w:contextualSpacing w:val="0"/>
        <w:rPr>
          <w:rFonts w:cs="Calibri"/>
          <w:sz w:val="24"/>
          <w:szCs w:val="24"/>
        </w:rPr>
      </w:pPr>
      <w:proofErr w:type="spellStart"/>
      <w:r w:rsidRPr="003F356F">
        <w:rPr>
          <w:rFonts w:cs="Calibri"/>
          <w:sz w:val="24"/>
          <w:szCs w:val="24"/>
        </w:rPr>
        <w:t>Thygesen</w:t>
      </w:r>
      <w:proofErr w:type="spellEnd"/>
      <w:r w:rsidRPr="003F356F">
        <w:rPr>
          <w:rFonts w:cs="Calibri"/>
          <w:sz w:val="24"/>
          <w:szCs w:val="24"/>
        </w:rPr>
        <w:t xml:space="preserve"> K, Alpert JS, White HD; Joint ESC/ACCF/AHA/WHF Task Force for the Redefinition of Myocardial Infarction. Universal definition of myocardial infarction. </w:t>
      </w:r>
      <w:r w:rsidRPr="003F356F">
        <w:rPr>
          <w:rFonts w:cs="Calibri"/>
          <w:iCs/>
          <w:sz w:val="24"/>
          <w:szCs w:val="24"/>
        </w:rPr>
        <w:t>Circulation</w:t>
      </w:r>
      <w:r w:rsidRPr="003F356F">
        <w:rPr>
          <w:rFonts w:cs="Calibri"/>
          <w:sz w:val="24"/>
          <w:szCs w:val="24"/>
        </w:rPr>
        <w:t xml:space="preserve"> 2007</w:t>
      </w:r>
      <w:proofErr w:type="gramStart"/>
      <w:r w:rsidRPr="003F356F">
        <w:rPr>
          <w:rFonts w:cs="Calibri"/>
          <w:sz w:val="24"/>
          <w:szCs w:val="24"/>
        </w:rPr>
        <w:t>;</w:t>
      </w:r>
      <w:r w:rsidRPr="003F356F">
        <w:rPr>
          <w:rStyle w:val="volume"/>
          <w:rFonts w:cs="Calibri"/>
          <w:sz w:val="24"/>
          <w:szCs w:val="24"/>
        </w:rPr>
        <w:t>116</w:t>
      </w:r>
      <w:r w:rsidRPr="003F356F">
        <w:rPr>
          <w:rFonts w:cs="Calibri"/>
          <w:sz w:val="24"/>
          <w:szCs w:val="24"/>
        </w:rPr>
        <w:t>:</w:t>
      </w:r>
      <w:r w:rsidRPr="003F356F">
        <w:rPr>
          <w:rStyle w:val="pages"/>
          <w:rFonts w:cs="Calibri"/>
          <w:sz w:val="24"/>
          <w:szCs w:val="24"/>
        </w:rPr>
        <w:t>2634</w:t>
      </w:r>
      <w:proofErr w:type="gramEnd"/>
      <w:r w:rsidRPr="003F356F">
        <w:rPr>
          <w:rStyle w:val="pages"/>
          <w:rFonts w:cs="Calibri"/>
          <w:sz w:val="24"/>
          <w:szCs w:val="24"/>
        </w:rPr>
        <w:t>-53</w:t>
      </w:r>
      <w:r w:rsidRPr="003F356F">
        <w:rPr>
          <w:rFonts w:cs="Calibri"/>
          <w:sz w:val="24"/>
          <w:szCs w:val="24"/>
        </w:rPr>
        <w:t>.</w:t>
      </w:r>
    </w:p>
    <w:p w:rsidR="003F356F" w:rsidRPr="003F356F" w:rsidRDefault="003F356F" w:rsidP="003F356F">
      <w:pPr>
        <w:pStyle w:val="ListParagraph"/>
        <w:numPr>
          <w:ilvl w:val="0"/>
          <w:numId w:val="8"/>
        </w:numPr>
        <w:spacing w:after="0" w:line="480" w:lineRule="auto"/>
        <w:rPr>
          <w:noProof/>
          <w:sz w:val="24"/>
          <w:szCs w:val="24"/>
          <w:lang w:val="en-US"/>
        </w:rPr>
      </w:pPr>
      <w:proofErr w:type="spellStart"/>
      <w:r w:rsidRPr="003F356F">
        <w:rPr>
          <w:rFonts w:cs="Calibri"/>
          <w:sz w:val="24"/>
          <w:szCs w:val="24"/>
        </w:rPr>
        <w:t>Smilde</w:t>
      </w:r>
      <w:proofErr w:type="spellEnd"/>
      <w:r w:rsidRPr="003F356F">
        <w:rPr>
          <w:rFonts w:cs="Calibri"/>
          <w:sz w:val="24"/>
          <w:szCs w:val="24"/>
        </w:rPr>
        <w:t xml:space="preserve"> TD, van </w:t>
      </w:r>
      <w:proofErr w:type="spellStart"/>
      <w:r w:rsidRPr="003F356F">
        <w:rPr>
          <w:rFonts w:cs="Calibri"/>
          <w:sz w:val="24"/>
          <w:szCs w:val="24"/>
        </w:rPr>
        <w:t>Veldhuisen</w:t>
      </w:r>
      <w:proofErr w:type="spellEnd"/>
      <w:r w:rsidRPr="003F356F">
        <w:rPr>
          <w:rFonts w:cs="Calibri"/>
          <w:sz w:val="24"/>
          <w:szCs w:val="24"/>
        </w:rPr>
        <w:t xml:space="preserve"> DJ, </w:t>
      </w:r>
      <w:proofErr w:type="spellStart"/>
      <w:r w:rsidRPr="003F356F">
        <w:rPr>
          <w:rFonts w:cs="Calibri"/>
          <w:sz w:val="24"/>
          <w:szCs w:val="24"/>
        </w:rPr>
        <w:t>Navis</w:t>
      </w:r>
      <w:proofErr w:type="spellEnd"/>
      <w:r w:rsidRPr="003F356F">
        <w:rPr>
          <w:rFonts w:cs="Calibri"/>
          <w:sz w:val="24"/>
          <w:szCs w:val="24"/>
        </w:rPr>
        <w:t xml:space="preserve"> G, </w:t>
      </w:r>
      <w:proofErr w:type="spellStart"/>
      <w:r w:rsidRPr="003F356F">
        <w:rPr>
          <w:rFonts w:cs="Calibri"/>
          <w:sz w:val="24"/>
          <w:szCs w:val="24"/>
        </w:rPr>
        <w:t>Voors</w:t>
      </w:r>
      <w:proofErr w:type="spellEnd"/>
      <w:r w:rsidRPr="003F356F">
        <w:rPr>
          <w:rFonts w:cs="Calibri"/>
          <w:sz w:val="24"/>
          <w:szCs w:val="24"/>
        </w:rPr>
        <w:t xml:space="preserve"> AA, </w:t>
      </w:r>
      <w:proofErr w:type="spellStart"/>
      <w:r w:rsidRPr="003F356F">
        <w:rPr>
          <w:rFonts w:cs="Calibri"/>
          <w:sz w:val="24"/>
          <w:szCs w:val="24"/>
        </w:rPr>
        <w:t>Hillege</w:t>
      </w:r>
      <w:proofErr w:type="spellEnd"/>
      <w:r w:rsidRPr="003F356F">
        <w:rPr>
          <w:rFonts w:cs="Calibri"/>
          <w:sz w:val="24"/>
          <w:szCs w:val="24"/>
        </w:rPr>
        <w:t xml:space="preserve"> HL. Drawbacks and prognostic value of formulas estimating renal function in patients with chronic heart failure and systolic dysfunction. </w:t>
      </w:r>
      <w:r w:rsidRPr="003F356F">
        <w:rPr>
          <w:rFonts w:cs="Calibri"/>
          <w:iCs/>
          <w:sz w:val="24"/>
          <w:szCs w:val="24"/>
        </w:rPr>
        <w:t>Circulation</w:t>
      </w:r>
      <w:r w:rsidRPr="003F356F">
        <w:rPr>
          <w:rFonts w:cs="Calibri"/>
          <w:sz w:val="24"/>
          <w:szCs w:val="24"/>
        </w:rPr>
        <w:t xml:space="preserve"> 2006;114:1572-80</w:t>
      </w:r>
    </w:p>
    <w:p w:rsidR="003F356F" w:rsidRPr="003F356F" w:rsidRDefault="003F356F" w:rsidP="003F356F">
      <w:pPr>
        <w:pStyle w:val="ListParagraph"/>
        <w:numPr>
          <w:ilvl w:val="0"/>
          <w:numId w:val="8"/>
        </w:numPr>
        <w:spacing w:after="0" w:line="480" w:lineRule="auto"/>
        <w:rPr>
          <w:rFonts w:cstheme="minorBidi"/>
          <w:noProof/>
          <w:sz w:val="24"/>
          <w:szCs w:val="24"/>
          <w:lang w:val="en-US"/>
        </w:rPr>
      </w:pPr>
      <w:r w:rsidRPr="003F356F">
        <w:rPr>
          <w:rFonts w:cs="Calibri"/>
          <w:sz w:val="24"/>
          <w:szCs w:val="24"/>
          <w:lang w:val="de-DE"/>
        </w:rPr>
        <w:lastRenderedPageBreak/>
        <w:t>Schiller NB, Shah PM, Crawford M, et al. R</w:t>
      </w:r>
      <w:proofErr w:type="spellStart"/>
      <w:r w:rsidRPr="003F356F">
        <w:rPr>
          <w:rFonts w:eastAsia="MS Mincho" w:cs="Calibri"/>
          <w:sz w:val="24"/>
          <w:szCs w:val="24"/>
        </w:rPr>
        <w:t>ecommendations</w:t>
      </w:r>
      <w:proofErr w:type="spellEnd"/>
      <w:r w:rsidRPr="003F356F">
        <w:rPr>
          <w:rFonts w:eastAsia="MS Mincho" w:cs="Calibri"/>
          <w:sz w:val="24"/>
          <w:szCs w:val="24"/>
        </w:rPr>
        <w:t xml:space="preserve"> for quantitation of the left ventricle by two-dimensional echocardiography. American Society of Echocardiography Committee on Standards, Subcommittee on Quantitation of Two-Dimensional Echocardiograms. </w:t>
      </w:r>
      <w:r w:rsidR="00E44ADB">
        <w:rPr>
          <w:rFonts w:eastAsia="MS Mincho" w:cs="Calibri"/>
          <w:sz w:val="24"/>
          <w:szCs w:val="24"/>
        </w:rPr>
        <w:t xml:space="preserve"> </w:t>
      </w:r>
      <w:r w:rsidRPr="003F356F">
        <w:rPr>
          <w:rFonts w:eastAsia="MS Mincho" w:cs="Calibri"/>
          <w:sz w:val="24"/>
          <w:szCs w:val="24"/>
        </w:rPr>
        <w:t xml:space="preserve">J Am </w:t>
      </w:r>
      <w:proofErr w:type="spellStart"/>
      <w:r w:rsidRPr="003F356F">
        <w:rPr>
          <w:rFonts w:eastAsia="MS Mincho" w:cs="Calibri"/>
          <w:sz w:val="24"/>
          <w:szCs w:val="24"/>
        </w:rPr>
        <w:t>Soc</w:t>
      </w:r>
      <w:proofErr w:type="spellEnd"/>
      <w:r w:rsidR="00E44ADB">
        <w:rPr>
          <w:rFonts w:eastAsia="MS Mincho" w:cs="Calibri"/>
          <w:sz w:val="24"/>
          <w:szCs w:val="24"/>
        </w:rPr>
        <w:t xml:space="preserve"> </w:t>
      </w:r>
      <w:proofErr w:type="spellStart"/>
      <w:r w:rsidRPr="003F356F">
        <w:rPr>
          <w:rFonts w:eastAsia="MS Mincho" w:cs="Calibri"/>
          <w:sz w:val="24"/>
          <w:szCs w:val="24"/>
        </w:rPr>
        <w:t>Echocardiogr</w:t>
      </w:r>
      <w:proofErr w:type="spellEnd"/>
      <w:r w:rsidRPr="003F356F">
        <w:rPr>
          <w:rFonts w:eastAsia="MS Mincho" w:cs="Calibri"/>
          <w:sz w:val="24"/>
          <w:szCs w:val="24"/>
        </w:rPr>
        <w:t>. 1989; 2: 358-367.</w:t>
      </w:r>
    </w:p>
    <w:p w:rsidR="008F2E5B" w:rsidRPr="00260D4C" w:rsidRDefault="008F2E5B" w:rsidP="00260D4C">
      <w:pPr>
        <w:pStyle w:val="HTMLPreformatted"/>
        <w:rPr>
          <w:rFonts w:ascii="Calibri" w:hAnsi="Calibri" w:cs="Calibri"/>
          <w:sz w:val="24"/>
          <w:szCs w:val="24"/>
        </w:rPr>
      </w:pPr>
      <w:r>
        <w:rPr>
          <w:rFonts w:cs="Calibri"/>
          <w:sz w:val="24"/>
          <w:szCs w:val="24"/>
        </w:rPr>
        <w:br w:type="page"/>
      </w:r>
    </w:p>
    <w:p w:rsidR="008F2E5B" w:rsidRPr="00616ED9" w:rsidRDefault="008F2E5B" w:rsidP="004C1DEE">
      <w:pPr>
        <w:spacing w:line="480" w:lineRule="auto"/>
        <w:rPr>
          <w:rFonts w:cs="Calibri"/>
          <w:sz w:val="24"/>
          <w:szCs w:val="24"/>
        </w:rPr>
      </w:pPr>
    </w:p>
    <w:p w:rsidR="008F2E5B" w:rsidRPr="00616ED9" w:rsidRDefault="008F2E5B" w:rsidP="004C1DEE">
      <w:pPr>
        <w:spacing w:line="480" w:lineRule="auto"/>
        <w:rPr>
          <w:rFonts w:cs="Calibri"/>
          <w:b/>
          <w:sz w:val="24"/>
          <w:szCs w:val="24"/>
        </w:rPr>
      </w:pPr>
      <w:r w:rsidRPr="00616ED9">
        <w:rPr>
          <w:rFonts w:cs="Calibri"/>
          <w:b/>
          <w:sz w:val="24"/>
          <w:szCs w:val="24"/>
        </w:rPr>
        <w:t xml:space="preserve">Figure Legends </w:t>
      </w:r>
    </w:p>
    <w:p w:rsidR="006C6D97" w:rsidRDefault="008F2E5B" w:rsidP="004C1DEE">
      <w:pPr>
        <w:spacing w:line="480" w:lineRule="auto"/>
        <w:rPr>
          <w:rFonts w:cs="Calibri"/>
          <w:sz w:val="24"/>
          <w:szCs w:val="24"/>
        </w:rPr>
      </w:pPr>
      <w:r w:rsidRPr="00616ED9">
        <w:rPr>
          <w:rFonts w:cs="Calibri"/>
          <w:sz w:val="24"/>
          <w:szCs w:val="24"/>
        </w:rPr>
        <w:t xml:space="preserve">Figure </w:t>
      </w:r>
      <w:r w:rsidR="006C6D97">
        <w:rPr>
          <w:rFonts w:cs="Calibri"/>
          <w:sz w:val="24"/>
          <w:szCs w:val="24"/>
        </w:rPr>
        <w:t>1</w:t>
      </w:r>
      <w:r w:rsidRPr="00616ED9">
        <w:rPr>
          <w:rFonts w:cs="Calibri"/>
          <w:sz w:val="24"/>
          <w:szCs w:val="24"/>
        </w:rPr>
        <w:t xml:space="preserve">: </w:t>
      </w:r>
      <w:r>
        <w:rPr>
          <w:rFonts w:cs="Calibri"/>
          <w:sz w:val="24"/>
          <w:szCs w:val="24"/>
        </w:rPr>
        <w:t xml:space="preserve">Kaplan-Meier Plots for the endpoint of MACE, according to </w:t>
      </w:r>
      <w:r w:rsidR="006C6D97">
        <w:rPr>
          <w:rFonts w:cs="Calibri"/>
          <w:sz w:val="24"/>
          <w:szCs w:val="24"/>
        </w:rPr>
        <w:t xml:space="preserve">GH </w:t>
      </w:r>
      <w:proofErr w:type="spellStart"/>
      <w:r w:rsidR="006C6D97">
        <w:rPr>
          <w:rFonts w:cs="Calibri"/>
          <w:sz w:val="24"/>
          <w:szCs w:val="24"/>
        </w:rPr>
        <w:t>tertiles</w:t>
      </w:r>
      <w:proofErr w:type="spellEnd"/>
      <w:r w:rsidR="006C6D97">
        <w:rPr>
          <w:rFonts w:cs="Calibri"/>
          <w:sz w:val="24"/>
          <w:szCs w:val="24"/>
        </w:rPr>
        <w:t>.  Event free survival for patients prescribed or not prescribed therapies on discharge are plotted. The upper panel refers to beta blocker therapy, and the lower panel to ACE/ARB therapy.</w:t>
      </w:r>
    </w:p>
    <w:p w:rsidR="008F2E5B" w:rsidRPr="00616ED9" w:rsidRDefault="008F2E5B" w:rsidP="004C1DEE">
      <w:pPr>
        <w:spacing w:line="480" w:lineRule="auto"/>
        <w:rPr>
          <w:rFonts w:cs="Calibri"/>
          <w:sz w:val="24"/>
          <w:szCs w:val="24"/>
        </w:rPr>
      </w:pPr>
    </w:p>
    <w:p w:rsidR="008F2E5B" w:rsidRPr="0029142D" w:rsidRDefault="008F2E5B" w:rsidP="006C6D97">
      <w:pPr>
        <w:rPr>
          <w:rFonts w:cs="Calibri"/>
          <w:sz w:val="32"/>
          <w:szCs w:val="32"/>
        </w:rPr>
      </w:pPr>
      <w:r w:rsidRPr="0029142D">
        <w:rPr>
          <w:rFonts w:cs="Calibri"/>
          <w:sz w:val="32"/>
          <w:szCs w:val="32"/>
        </w:rPr>
        <w:br w:type="page"/>
      </w:r>
    </w:p>
    <w:p w:rsidR="008F2E5B" w:rsidRPr="0029142D" w:rsidRDefault="008F2E5B">
      <w:pPr>
        <w:rPr>
          <w:rFonts w:cs="Calibri"/>
          <w:sz w:val="32"/>
          <w:szCs w:val="32"/>
        </w:rPr>
      </w:pPr>
    </w:p>
    <w:p w:rsidR="008F2E5B" w:rsidRPr="001B5163" w:rsidRDefault="008F2E5B" w:rsidP="001B5163">
      <w:pPr>
        <w:pStyle w:val="NoSpacing"/>
        <w:rPr>
          <w:sz w:val="24"/>
          <w:szCs w:val="24"/>
        </w:rPr>
      </w:pPr>
      <w:proofErr w:type="gramStart"/>
      <w:r w:rsidRPr="00794645">
        <w:rPr>
          <w:rFonts w:cs="Calibri"/>
          <w:b/>
          <w:sz w:val="24"/>
          <w:szCs w:val="24"/>
        </w:rPr>
        <w:t>Table 1:</w:t>
      </w:r>
      <w:r w:rsidRPr="00794645">
        <w:rPr>
          <w:rFonts w:cs="Calibri"/>
          <w:sz w:val="24"/>
          <w:szCs w:val="24"/>
        </w:rPr>
        <w:t xml:space="preserve"> Characteristics of the </w:t>
      </w:r>
      <w:r w:rsidR="0058514F">
        <w:rPr>
          <w:rFonts w:cs="Calibri"/>
          <w:sz w:val="24"/>
          <w:szCs w:val="24"/>
        </w:rPr>
        <w:t>953</w:t>
      </w:r>
      <w:r w:rsidRPr="00794645">
        <w:rPr>
          <w:rFonts w:cs="Calibri"/>
          <w:sz w:val="24"/>
          <w:szCs w:val="24"/>
        </w:rPr>
        <w:t xml:space="preserve"> AMI patients according to </w:t>
      </w:r>
      <w:proofErr w:type="spellStart"/>
      <w:r w:rsidR="0058514F">
        <w:rPr>
          <w:rFonts w:cs="Calibri"/>
          <w:sz w:val="24"/>
          <w:szCs w:val="24"/>
        </w:rPr>
        <w:t>hs</w:t>
      </w:r>
      <w:proofErr w:type="spellEnd"/>
      <w:r w:rsidR="0058514F">
        <w:rPr>
          <w:rFonts w:cs="Calibri"/>
          <w:sz w:val="24"/>
          <w:szCs w:val="24"/>
        </w:rPr>
        <w:t xml:space="preserve">-GH </w:t>
      </w:r>
      <w:proofErr w:type="spellStart"/>
      <w:r w:rsidR="0058514F">
        <w:rPr>
          <w:rFonts w:cs="Calibri"/>
          <w:sz w:val="24"/>
          <w:szCs w:val="24"/>
        </w:rPr>
        <w:t>tertiles</w:t>
      </w:r>
      <w:proofErr w:type="spellEnd"/>
      <w:r w:rsidRPr="00794645">
        <w:rPr>
          <w:rFonts w:cs="Calibri"/>
          <w:sz w:val="24"/>
          <w:szCs w:val="24"/>
        </w:rPr>
        <w:t xml:space="preserve"> on admission.</w:t>
      </w:r>
      <w:proofErr w:type="gramEnd"/>
      <w:r w:rsidR="00B82BE2">
        <w:rPr>
          <w:rFonts w:cs="Calibri"/>
          <w:sz w:val="24"/>
          <w:szCs w:val="24"/>
        </w:rPr>
        <w:t xml:space="preserve"> </w:t>
      </w:r>
      <w:r w:rsidRPr="001B5163">
        <w:rPr>
          <w:rFonts w:cs="Calibri"/>
          <w:sz w:val="24"/>
          <w:szCs w:val="24"/>
        </w:rPr>
        <w:t>Numerical data are presented as n (%).</w:t>
      </w:r>
      <w:r>
        <w:rPr>
          <w:rFonts w:cs="Calibri"/>
          <w:sz w:val="24"/>
          <w:szCs w:val="24"/>
        </w:rPr>
        <w:t xml:space="preserve"> </w:t>
      </w:r>
      <w:r w:rsidRPr="001B5163">
        <w:rPr>
          <w:sz w:val="24"/>
          <w:szCs w:val="24"/>
        </w:rPr>
        <w:t xml:space="preserve">P values are quoted for the </w:t>
      </w:r>
      <w:proofErr w:type="spellStart"/>
      <w:r w:rsidRPr="001B5163">
        <w:rPr>
          <w:sz w:val="24"/>
          <w:szCs w:val="24"/>
        </w:rPr>
        <w:t>Kruskal</w:t>
      </w:r>
      <w:proofErr w:type="spellEnd"/>
      <w:r w:rsidRPr="001B5163">
        <w:rPr>
          <w:sz w:val="24"/>
          <w:szCs w:val="24"/>
        </w:rPr>
        <w:t xml:space="preserve"> Wallis or Chi squared tests for continuous or categorical variables respectively. Numbers (%) or Mean</w:t>
      </w:r>
      <w:r w:rsidRPr="001B5163">
        <w:rPr>
          <w:bCs/>
          <w:sz w:val="24"/>
          <w:szCs w:val="24"/>
        </w:rPr>
        <w:t xml:space="preserve">± </w:t>
      </w:r>
      <w:r w:rsidRPr="001B5163">
        <w:rPr>
          <w:sz w:val="24"/>
          <w:szCs w:val="24"/>
        </w:rPr>
        <w:t>SD are reported.</w:t>
      </w:r>
    </w:p>
    <w:tbl>
      <w:tblPr>
        <w:tblpPr w:leftFromText="180" w:rightFromText="180" w:vertAnchor="text" w:horzAnchor="margin" w:tblpXSpec="center" w:tblpY="53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405"/>
        <w:gridCol w:w="1485"/>
        <w:gridCol w:w="1486"/>
        <w:gridCol w:w="1452"/>
        <w:gridCol w:w="1509"/>
      </w:tblGrid>
      <w:tr w:rsidR="008F2E5B" w:rsidRPr="008374A5" w:rsidTr="00123A56">
        <w:trPr>
          <w:trHeight w:val="298"/>
        </w:trPr>
        <w:tc>
          <w:tcPr>
            <w:tcW w:w="2694" w:type="dxa"/>
          </w:tcPr>
          <w:p w:rsidR="008F2E5B" w:rsidRPr="00794645" w:rsidRDefault="008F2E5B" w:rsidP="00487808">
            <w:pPr>
              <w:pStyle w:val="NoSpacing"/>
              <w:spacing w:line="480" w:lineRule="auto"/>
              <w:rPr>
                <w:rFonts w:cs="Calibri"/>
                <w:bCs/>
                <w:sz w:val="24"/>
                <w:szCs w:val="24"/>
              </w:rPr>
            </w:pPr>
          </w:p>
        </w:tc>
        <w:tc>
          <w:tcPr>
            <w:tcW w:w="1405" w:type="dxa"/>
          </w:tcPr>
          <w:p w:rsidR="008F2E5B" w:rsidRPr="00794645" w:rsidRDefault="008F2E5B" w:rsidP="00487808">
            <w:pPr>
              <w:pStyle w:val="NoSpacing"/>
              <w:spacing w:line="480" w:lineRule="auto"/>
              <w:jc w:val="center"/>
              <w:rPr>
                <w:rFonts w:cs="Calibri"/>
                <w:bCs/>
                <w:sz w:val="24"/>
                <w:szCs w:val="24"/>
              </w:rPr>
            </w:pPr>
          </w:p>
        </w:tc>
        <w:tc>
          <w:tcPr>
            <w:tcW w:w="4423" w:type="dxa"/>
            <w:gridSpan w:val="3"/>
          </w:tcPr>
          <w:p w:rsidR="008F2E5B" w:rsidRPr="00794645" w:rsidRDefault="00E619E3" w:rsidP="00487808">
            <w:pPr>
              <w:pStyle w:val="NoSpacing"/>
              <w:spacing w:line="480" w:lineRule="auto"/>
              <w:jc w:val="center"/>
              <w:rPr>
                <w:rFonts w:cs="Calibri"/>
                <w:bCs/>
                <w:sz w:val="24"/>
                <w:szCs w:val="24"/>
              </w:rPr>
            </w:pPr>
            <w:proofErr w:type="spellStart"/>
            <w:r>
              <w:rPr>
                <w:rFonts w:cs="Calibri"/>
                <w:bCs/>
                <w:sz w:val="24"/>
                <w:szCs w:val="24"/>
              </w:rPr>
              <w:t>hs</w:t>
            </w:r>
            <w:proofErr w:type="spellEnd"/>
            <w:r>
              <w:rPr>
                <w:rFonts w:cs="Calibri"/>
                <w:bCs/>
                <w:sz w:val="24"/>
                <w:szCs w:val="24"/>
              </w:rPr>
              <w:t xml:space="preserve">-GH </w:t>
            </w:r>
            <w:proofErr w:type="spellStart"/>
            <w:r>
              <w:rPr>
                <w:rFonts w:cs="Calibri"/>
                <w:bCs/>
                <w:sz w:val="24"/>
                <w:szCs w:val="24"/>
              </w:rPr>
              <w:t>tertiles</w:t>
            </w:r>
            <w:proofErr w:type="spellEnd"/>
          </w:p>
        </w:tc>
        <w:tc>
          <w:tcPr>
            <w:tcW w:w="1509" w:type="dxa"/>
          </w:tcPr>
          <w:p w:rsidR="008F2E5B" w:rsidRPr="00794645" w:rsidRDefault="008F2E5B" w:rsidP="00487808">
            <w:pPr>
              <w:pStyle w:val="NoSpacing"/>
              <w:spacing w:line="480" w:lineRule="auto"/>
              <w:jc w:val="center"/>
              <w:rPr>
                <w:rFonts w:cs="Calibri"/>
                <w:bCs/>
                <w:sz w:val="24"/>
                <w:szCs w:val="24"/>
              </w:rPr>
            </w:pPr>
          </w:p>
        </w:tc>
      </w:tr>
      <w:tr w:rsidR="005D6CB6" w:rsidRPr="008374A5" w:rsidTr="00123A56">
        <w:trPr>
          <w:trHeight w:val="450"/>
        </w:trPr>
        <w:tc>
          <w:tcPr>
            <w:tcW w:w="2694" w:type="dxa"/>
          </w:tcPr>
          <w:p w:rsidR="005D6CB6" w:rsidRPr="00794645" w:rsidRDefault="005D6CB6" w:rsidP="00487808">
            <w:pPr>
              <w:pStyle w:val="NoSpacing"/>
              <w:rPr>
                <w:rFonts w:cs="Calibri"/>
                <w:bCs/>
                <w:sz w:val="24"/>
                <w:szCs w:val="24"/>
              </w:rPr>
            </w:pPr>
          </w:p>
        </w:tc>
        <w:tc>
          <w:tcPr>
            <w:tcW w:w="1405" w:type="dxa"/>
          </w:tcPr>
          <w:p w:rsidR="005D6CB6" w:rsidRPr="00794645" w:rsidRDefault="005D6CB6" w:rsidP="00487808">
            <w:pPr>
              <w:pStyle w:val="NoSpacing"/>
              <w:jc w:val="center"/>
              <w:rPr>
                <w:rFonts w:cs="Calibri"/>
                <w:bCs/>
                <w:sz w:val="24"/>
                <w:szCs w:val="24"/>
              </w:rPr>
            </w:pPr>
            <w:r w:rsidRPr="00794645">
              <w:rPr>
                <w:rFonts w:cs="Calibri"/>
                <w:bCs/>
                <w:sz w:val="24"/>
                <w:szCs w:val="24"/>
              </w:rPr>
              <w:t>All</w:t>
            </w:r>
          </w:p>
        </w:tc>
        <w:tc>
          <w:tcPr>
            <w:tcW w:w="1485" w:type="dxa"/>
          </w:tcPr>
          <w:p w:rsidR="005D6CB6" w:rsidRPr="00794645" w:rsidRDefault="005D6CB6" w:rsidP="00487808">
            <w:pPr>
              <w:pStyle w:val="NoSpacing"/>
              <w:jc w:val="center"/>
              <w:rPr>
                <w:rFonts w:cs="Calibri"/>
                <w:bCs/>
                <w:sz w:val="24"/>
                <w:szCs w:val="24"/>
              </w:rPr>
            </w:pPr>
            <w:r w:rsidRPr="00794645">
              <w:rPr>
                <w:rFonts w:cs="Calibri"/>
                <w:bCs/>
                <w:sz w:val="24"/>
                <w:szCs w:val="24"/>
              </w:rPr>
              <w:t>1</w:t>
            </w:r>
          </w:p>
          <w:p w:rsidR="005D6CB6" w:rsidRPr="00794645" w:rsidRDefault="005D6CB6" w:rsidP="00487808">
            <w:pPr>
              <w:pStyle w:val="NoSpacing"/>
              <w:jc w:val="center"/>
              <w:rPr>
                <w:rFonts w:cs="Calibri"/>
                <w:bCs/>
                <w:sz w:val="24"/>
                <w:szCs w:val="24"/>
              </w:rPr>
            </w:pPr>
            <w:r w:rsidRPr="00794645">
              <w:rPr>
                <w:rFonts w:cs="Calibri"/>
                <w:bCs/>
                <w:sz w:val="24"/>
                <w:szCs w:val="24"/>
              </w:rPr>
              <w:t>&lt;</w:t>
            </w:r>
            <w:r>
              <w:rPr>
                <w:rFonts w:cs="Calibri"/>
                <w:bCs/>
                <w:sz w:val="24"/>
                <w:szCs w:val="24"/>
              </w:rPr>
              <w:t>0.33</w:t>
            </w:r>
          </w:p>
          <w:p w:rsidR="005D6CB6" w:rsidRPr="00794645" w:rsidRDefault="005D6CB6" w:rsidP="00487808">
            <w:pPr>
              <w:pStyle w:val="NoSpacing"/>
              <w:jc w:val="center"/>
              <w:rPr>
                <w:rFonts w:cs="Calibri"/>
                <w:bCs/>
                <w:sz w:val="24"/>
                <w:szCs w:val="24"/>
              </w:rPr>
            </w:pPr>
            <w:r>
              <w:rPr>
                <w:rFonts w:cs="Calibri"/>
                <w:bCs/>
                <w:sz w:val="24"/>
                <w:szCs w:val="24"/>
              </w:rPr>
              <w:t>µg</w:t>
            </w:r>
            <w:r w:rsidRPr="00794645">
              <w:rPr>
                <w:rFonts w:cs="Calibri"/>
                <w:bCs/>
                <w:sz w:val="24"/>
                <w:szCs w:val="24"/>
              </w:rPr>
              <w:t>/L</w:t>
            </w:r>
          </w:p>
        </w:tc>
        <w:tc>
          <w:tcPr>
            <w:tcW w:w="1486" w:type="dxa"/>
          </w:tcPr>
          <w:p w:rsidR="005D6CB6" w:rsidRPr="00794645" w:rsidRDefault="005D6CB6" w:rsidP="00487808">
            <w:pPr>
              <w:pStyle w:val="NoSpacing"/>
              <w:jc w:val="center"/>
              <w:rPr>
                <w:rFonts w:cs="Calibri"/>
                <w:bCs/>
                <w:sz w:val="24"/>
                <w:szCs w:val="24"/>
              </w:rPr>
            </w:pPr>
            <w:r w:rsidRPr="00794645">
              <w:rPr>
                <w:rFonts w:cs="Calibri"/>
                <w:bCs/>
                <w:sz w:val="24"/>
                <w:szCs w:val="24"/>
              </w:rPr>
              <w:t>2</w:t>
            </w:r>
          </w:p>
          <w:p w:rsidR="005D6CB6" w:rsidRPr="00794645" w:rsidRDefault="005D6CB6" w:rsidP="00487808">
            <w:pPr>
              <w:pStyle w:val="NoSpacing"/>
              <w:jc w:val="center"/>
              <w:rPr>
                <w:rFonts w:cs="Calibri"/>
                <w:bCs/>
                <w:sz w:val="24"/>
                <w:szCs w:val="24"/>
              </w:rPr>
            </w:pPr>
            <w:r>
              <w:rPr>
                <w:rFonts w:cs="Calibri"/>
                <w:bCs/>
                <w:sz w:val="24"/>
                <w:szCs w:val="24"/>
              </w:rPr>
              <w:t>0.33</w:t>
            </w:r>
            <w:r w:rsidRPr="00794645">
              <w:rPr>
                <w:rFonts w:cs="Calibri"/>
                <w:bCs/>
                <w:sz w:val="24"/>
                <w:szCs w:val="24"/>
              </w:rPr>
              <w:t>-</w:t>
            </w:r>
            <w:r>
              <w:rPr>
                <w:rFonts w:cs="Calibri"/>
                <w:bCs/>
                <w:sz w:val="24"/>
                <w:szCs w:val="24"/>
              </w:rPr>
              <w:t>1.37 µg</w:t>
            </w:r>
            <w:r w:rsidRPr="00794645">
              <w:rPr>
                <w:rFonts w:cs="Calibri"/>
                <w:bCs/>
                <w:sz w:val="24"/>
                <w:szCs w:val="24"/>
              </w:rPr>
              <w:t>/L</w:t>
            </w:r>
          </w:p>
        </w:tc>
        <w:tc>
          <w:tcPr>
            <w:tcW w:w="1452" w:type="dxa"/>
          </w:tcPr>
          <w:p w:rsidR="005D6CB6" w:rsidRPr="00794645" w:rsidRDefault="005D6CB6" w:rsidP="00487808">
            <w:pPr>
              <w:pStyle w:val="NoSpacing"/>
              <w:jc w:val="center"/>
              <w:rPr>
                <w:rFonts w:cs="Calibri"/>
                <w:bCs/>
                <w:sz w:val="24"/>
                <w:szCs w:val="24"/>
              </w:rPr>
            </w:pPr>
            <w:r>
              <w:rPr>
                <w:rFonts w:cs="Calibri"/>
                <w:bCs/>
                <w:sz w:val="24"/>
                <w:szCs w:val="24"/>
              </w:rPr>
              <w:t>3</w:t>
            </w:r>
          </w:p>
          <w:p w:rsidR="005D6CB6" w:rsidRPr="00794645" w:rsidRDefault="005D6CB6" w:rsidP="00487808">
            <w:pPr>
              <w:pStyle w:val="NoSpacing"/>
              <w:jc w:val="center"/>
              <w:rPr>
                <w:rFonts w:cs="Calibri"/>
                <w:bCs/>
                <w:sz w:val="24"/>
                <w:szCs w:val="24"/>
              </w:rPr>
            </w:pPr>
            <w:r w:rsidRPr="00794645">
              <w:rPr>
                <w:rFonts w:cs="Calibri"/>
                <w:bCs/>
                <w:sz w:val="24"/>
                <w:szCs w:val="24"/>
              </w:rPr>
              <w:t>&gt;</w:t>
            </w:r>
            <w:r>
              <w:rPr>
                <w:rFonts w:cs="Calibri"/>
                <w:bCs/>
                <w:sz w:val="24"/>
                <w:szCs w:val="24"/>
              </w:rPr>
              <w:t>1.37</w:t>
            </w:r>
          </w:p>
          <w:p w:rsidR="005D6CB6" w:rsidRPr="00794645" w:rsidRDefault="005D6CB6" w:rsidP="00487808">
            <w:pPr>
              <w:pStyle w:val="NoSpacing"/>
              <w:jc w:val="center"/>
              <w:rPr>
                <w:rFonts w:cs="Calibri"/>
                <w:bCs/>
                <w:sz w:val="24"/>
                <w:szCs w:val="24"/>
              </w:rPr>
            </w:pPr>
            <w:r>
              <w:rPr>
                <w:rFonts w:cs="Calibri"/>
                <w:bCs/>
                <w:sz w:val="24"/>
                <w:szCs w:val="24"/>
              </w:rPr>
              <w:t>µg</w:t>
            </w:r>
            <w:r w:rsidRPr="00794645">
              <w:rPr>
                <w:rFonts w:cs="Calibri"/>
                <w:bCs/>
                <w:sz w:val="24"/>
                <w:szCs w:val="24"/>
              </w:rPr>
              <w:t>/L</w:t>
            </w:r>
          </w:p>
        </w:tc>
        <w:tc>
          <w:tcPr>
            <w:tcW w:w="1509" w:type="dxa"/>
          </w:tcPr>
          <w:p w:rsidR="005D6CB6" w:rsidRPr="00794645" w:rsidRDefault="005D6CB6" w:rsidP="00487808">
            <w:pPr>
              <w:pStyle w:val="NoSpacing"/>
              <w:jc w:val="center"/>
              <w:rPr>
                <w:rFonts w:cs="Calibri"/>
                <w:bCs/>
                <w:sz w:val="24"/>
                <w:szCs w:val="24"/>
              </w:rPr>
            </w:pPr>
            <w:r w:rsidRPr="00794645">
              <w:rPr>
                <w:rFonts w:cs="Calibri"/>
                <w:bCs/>
                <w:sz w:val="24"/>
                <w:szCs w:val="24"/>
              </w:rPr>
              <w:t>P Value</w:t>
            </w:r>
          </w:p>
        </w:tc>
      </w:tr>
      <w:tr w:rsidR="005D6CB6" w:rsidRPr="008374A5" w:rsidTr="00123A56">
        <w:trPr>
          <w:trHeight w:val="298"/>
        </w:trPr>
        <w:tc>
          <w:tcPr>
            <w:tcW w:w="2694" w:type="dxa"/>
          </w:tcPr>
          <w:p w:rsidR="005D6CB6" w:rsidRPr="005A16BE" w:rsidRDefault="005D6CB6" w:rsidP="00487808">
            <w:pPr>
              <w:pStyle w:val="NoSpacing"/>
              <w:spacing w:line="480" w:lineRule="auto"/>
              <w:rPr>
                <w:rFonts w:cs="Calibri"/>
                <w:bCs/>
                <w:sz w:val="24"/>
                <w:szCs w:val="24"/>
              </w:rPr>
            </w:pPr>
          </w:p>
        </w:tc>
        <w:tc>
          <w:tcPr>
            <w:tcW w:w="1405" w:type="dxa"/>
          </w:tcPr>
          <w:p w:rsidR="005D6CB6" w:rsidRPr="005A16BE" w:rsidRDefault="005D6CB6" w:rsidP="00487808">
            <w:pPr>
              <w:pStyle w:val="NoSpacing"/>
              <w:spacing w:line="480" w:lineRule="auto"/>
              <w:jc w:val="center"/>
              <w:rPr>
                <w:rFonts w:cs="Calibri"/>
                <w:bCs/>
                <w:sz w:val="24"/>
                <w:szCs w:val="24"/>
              </w:rPr>
            </w:pPr>
            <w:r w:rsidRPr="005A16BE">
              <w:rPr>
                <w:rFonts w:cs="Calibri"/>
                <w:bCs/>
                <w:sz w:val="24"/>
                <w:szCs w:val="24"/>
              </w:rPr>
              <w:t>n=</w:t>
            </w:r>
            <w:r>
              <w:rPr>
                <w:rFonts w:cs="Calibri"/>
                <w:bCs/>
                <w:sz w:val="24"/>
                <w:szCs w:val="24"/>
              </w:rPr>
              <w:t>953</w:t>
            </w:r>
          </w:p>
        </w:tc>
        <w:tc>
          <w:tcPr>
            <w:tcW w:w="1485"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n=</w:t>
            </w:r>
            <w:r>
              <w:rPr>
                <w:rFonts w:cs="Calibri"/>
                <w:bCs/>
                <w:sz w:val="24"/>
                <w:szCs w:val="24"/>
              </w:rPr>
              <w:t>315</w:t>
            </w:r>
          </w:p>
        </w:tc>
        <w:tc>
          <w:tcPr>
            <w:tcW w:w="1486"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n=</w:t>
            </w:r>
            <w:r w:rsidR="00F75DAB">
              <w:rPr>
                <w:rFonts w:cs="Calibri"/>
                <w:bCs/>
                <w:sz w:val="24"/>
                <w:szCs w:val="24"/>
              </w:rPr>
              <w:t>323</w:t>
            </w:r>
          </w:p>
        </w:tc>
        <w:tc>
          <w:tcPr>
            <w:tcW w:w="1452"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n=</w:t>
            </w:r>
            <w:r w:rsidR="00F75DAB">
              <w:rPr>
                <w:rFonts w:cs="Calibri"/>
                <w:bCs/>
                <w:sz w:val="24"/>
                <w:szCs w:val="24"/>
              </w:rPr>
              <w:t>315</w:t>
            </w:r>
          </w:p>
        </w:tc>
        <w:tc>
          <w:tcPr>
            <w:tcW w:w="1509" w:type="dxa"/>
          </w:tcPr>
          <w:p w:rsidR="005D6CB6" w:rsidRPr="00794645" w:rsidRDefault="005D6CB6" w:rsidP="00487808">
            <w:pPr>
              <w:pStyle w:val="NoSpacing"/>
              <w:spacing w:line="480" w:lineRule="auto"/>
              <w:jc w:val="center"/>
              <w:rPr>
                <w:rFonts w:cs="Calibri"/>
                <w:bCs/>
                <w:sz w:val="24"/>
                <w:szCs w:val="24"/>
              </w:rPr>
            </w:pPr>
          </w:p>
        </w:tc>
      </w:tr>
      <w:tr w:rsidR="005D6CB6" w:rsidRPr="008374A5" w:rsidTr="00123A56">
        <w:trPr>
          <w:trHeight w:val="298"/>
        </w:trPr>
        <w:tc>
          <w:tcPr>
            <w:tcW w:w="2694" w:type="dxa"/>
          </w:tcPr>
          <w:p w:rsidR="005D6CB6" w:rsidRPr="00794645" w:rsidRDefault="00B41647" w:rsidP="00487808">
            <w:pPr>
              <w:pStyle w:val="NoSpacing"/>
              <w:spacing w:line="480" w:lineRule="auto"/>
              <w:rPr>
                <w:rFonts w:cs="Calibri"/>
                <w:bCs/>
                <w:sz w:val="24"/>
                <w:szCs w:val="24"/>
              </w:rPr>
            </w:pPr>
            <w:proofErr w:type="spellStart"/>
            <w:r>
              <w:rPr>
                <w:rFonts w:cs="Calibri"/>
                <w:bCs/>
                <w:sz w:val="24"/>
                <w:szCs w:val="24"/>
              </w:rPr>
              <w:t>hs</w:t>
            </w:r>
            <w:proofErr w:type="spellEnd"/>
            <w:r>
              <w:rPr>
                <w:rFonts w:cs="Calibri"/>
                <w:bCs/>
                <w:sz w:val="24"/>
                <w:szCs w:val="24"/>
              </w:rPr>
              <w:t>-GH  µg</w:t>
            </w:r>
            <w:r w:rsidR="005D6CB6" w:rsidRPr="00794645">
              <w:rPr>
                <w:rFonts w:cs="Calibri"/>
                <w:bCs/>
                <w:sz w:val="24"/>
                <w:szCs w:val="24"/>
              </w:rPr>
              <w:t>/L</w:t>
            </w:r>
          </w:p>
        </w:tc>
        <w:tc>
          <w:tcPr>
            <w:tcW w:w="1405" w:type="dxa"/>
          </w:tcPr>
          <w:p w:rsidR="005D6CB6" w:rsidRPr="00794645" w:rsidRDefault="00186D72" w:rsidP="00186D72">
            <w:pPr>
              <w:pStyle w:val="NoSpacing"/>
              <w:spacing w:line="480" w:lineRule="auto"/>
              <w:jc w:val="center"/>
              <w:rPr>
                <w:rFonts w:cs="Calibri"/>
                <w:bCs/>
                <w:sz w:val="24"/>
                <w:szCs w:val="24"/>
              </w:rPr>
            </w:pPr>
            <w:r>
              <w:rPr>
                <w:rFonts w:cs="Calibri"/>
                <w:bCs/>
                <w:sz w:val="24"/>
                <w:szCs w:val="24"/>
              </w:rPr>
              <w:t>1.70</w:t>
            </w:r>
            <w:r w:rsidR="005D6CB6" w:rsidRPr="00794645">
              <w:rPr>
                <w:rFonts w:cs="Calibri"/>
                <w:bCs/>
                <w:sz w:val="24"/>
                <w:szCs w:val="24"/>
              </w:rPr>
              <w:t xml:space="preserve"> ± </w:t>
            </w:r>
            <w:r>
              <w:rPr>
                <w:rFonts w:cs="Calibri"/>
                <w:bCs/>
                <w:sz w:val="24"/>
                <w:szCs w:val="24"/>
              </w:rPr>
              <w:t>2.85</w:t>
            </w:r>
          </w:p>
        </w:tc>
        <w:tc>
          <w:tcPr>
            <w:tcW w:w="1485" w:type="dxa"/>
          </w:tcPr>
          <w:p w:rsidR="005D6CB6" w:rsidRPr="00794645" w:rsidRDefault="00186D72" w:rsidP="00186D72">
            <w:pPr>
              <w:pStyle w:val="NoSpacing"/>
              <w:spacing w:line="480" w:lineRule="auto"/>
              <w:jc w:val="center"/>
              <w:rPr>
                <w:rFonts w:cs="Calibri"/>
                <w:bCs/>
                <w:sz w:val="24"/>
                <w:szCs w:val="24"/>
              </w:rPr>
            </w:pPr>
            <w:r>
              <w:rPr>
                <w:rFonts w:cs="Calibri"/>
                <w:bCs/>
                <w:sz w:val="24"/>
                <w:szCs w:val="24"/>
              </w:rPr>
              <w:t>0.14</w:t>
            </w:r>
            <w:r w:rsidR="005D6CB6" w:rsidRPr="00794645">
              <w:rPr>
                <w:rFonts w:cs="Calibri"/>
                <w:bCs/>
                <w:sz w:val="24"/>
                <w:szCs w:val="24"/>
              </w:rPr>
              <w:t xml:space="preserve"> ± </w:t>
            </w:r>
            <w:r>
              <w:rPr>
                <w:rFonts w:cs="Calibri"/>
                <w:bCs/>
                <w:sz w:val="24"/>
                <w:szCs w:val="24"/>
              </w:rPr>
              <w:t>0.08</w:t>
            </w:r>
          </w:p>
        </w:tc>
        <w:tc>
          <w:tcPr>
            <w:tcW w:w="1486" w:type="dxa"/>
          </w:tcPr>
          <w:p w:rsidR="005D6CB6" w:rsidRPr="00794645" w:rsidRDefault="00186D72" w:rsidP="00186D72">
            <w:pPr>
              <w:pStyle w:val="NoSpacing"/>
              <w:spacing w:line="480" w:lineRule="auto"/>
              <w:jc w:val="center"/>
              <w:rPr>
                <w:rFonts w:cs="Calibri"/>
                <w:bCs/>
                <w:sz w:val="24"/>
                <w:szCs w:val="24"/>
              </w:rPr>
            </w:pPr>
            <w:r>
              <w:rPr>
                <w:rFonts w:cs="Calibri"/>
                <w:bCs/>
                <w:sz w:val="24"/>
                <w:szCs w:val="24"/>
              </w:rPr>
              <w:t>0.75</w:t>
            </w:r>
            <w:r w:rsidR="005D6CB6" w:rsidRPr="00794645">
              <w:rPr>
                <w:rFonts w:cs="Calibri"/>
                <w:bCs/>
                <w:sz w:val="24"/>
                <w:szCs w:val="24"/>
              </w:rPr>
              <w:t xml:space="preserve"> ± </w:t>
            </w:r>
            <w:r>
              <w:rPr>
                <w:rFonts w:cs="Calibri"/>
                <w:bCs/>
                <w:sz w:val="24"/>
                <w:szCs w:val="24"/>
              </w:rPr>
              <w:t>0.31</w:t>
            </w:r>
          </w:p>
        </w:tc>
        <w:tc>
          <w:tcPr>
            <w:tcW w:w="1452" w:type="dxa"/>
          </w:tcPr>
          <w:p w:rsidR="005D6CB6" w:rsidRPr="00794645" w:rsidRDefault="00186D72" w:rsidP="00186D72">
            <w:pPr>
              <w:pStyle w:val="NoSpacing"/>
              <w:spacing w:line="480" w:lineRule="auto"/>
              <w:jc w:val="center"/>
              <w:rPr>
                <w:rFonts w:cs="Calibri"/>
                <w:bCs/>
                <w:sz w:val="24"/>
                <w:szCs w:val="24"/>
              </w:rPr>
            </w:pPr>
            <w:r>
              <w:rPr>
                <w:rFonts w:cs="Calibri"/>
                <w:bCs/>
                <w:sz w:val="24"/>
                <w:szCs w:val="24"/>
              </w:rPr>
              <w:t>4.24</w:t>
            </w:r>
            <w:r w:rsidR="005D6CB6" w:rsidRPr="00794645">
              <w:rPr>
                <w:rFonts w:cs="Calibri"/>
                <w:bCs/>
                <w:sz w:val="24"/>
                <w:szCs w:val="24"/>
              </w:rPr>
              <w:t xml:space="preserve"> ± </w:t>
            </w:r>
            <w:r>
              <w:rPr>
                <w:rFonts w:cs="Calibri"/>
                <w:bCs/>
                <w:sz w:val="24"/>
                <w:szCs w:val="24"/>
              </w:rPr>
              <w:t>3.85</w:t>
            </w:r>
          </w:p>
        </w:tc>
        <w:tc>
          <w:tcPr>
            <w:tcW w:w="1509"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&lt;0.00</w:t>
            </w:r>
            <w:r>
              <w:rPr>
                <w:rFonts w:cs="Calibri"/>
                <w:bCs/>
                <w:sz w:val="24"/>
                <w:szCs w:val="24"/>
              </w:rPr>
              <w:t>05</w:t>
            </w:r>
          </w:p>
        </w:tc>
      </w:tr>
      <w:tr w:rsidR="005D6CB6" w:rsidRPr="008374A5" w:rsidTr="00123A56">
        <w:trPr>
          <w:trHeight w:val="298"/>
        </w:trPr>
        <w:tc>
          <w:tcPr>
            <w:tcW w:w="2694" w:type="dxa"/>
          </w:tcPr>
          <w:p w:rsidR="005D6CB6" w:rsidRPr="00FF36FC" w:rsidRDefault="005D6CB6" w:rsidP="00487808">
            <w:pPr>
              <w:pStyle w:val="NoSpacing"/>
              <w:spacing w:line="480" w:lineRule="auto"/>
              <w:rPr>
                <w:rFonts w:cs="Calibri"/>
                <w:b/>
                <w:bCs/>
                <w:sz w:val="24"/>
                <w:szCs w:val="24"/>
              </w:rPr>
            </w:pPr>
            <w:r w:rsidRPr="00FF36FC">
              <w:rPr>
                <w:rFonts w:cs="Calibri"/>
                <w:b/>
                <w:bCs/>
                <w:sz w:val="24"/>
                <w:szCs w:val="24"/>
              </w:rPr>
              <w:t>Demographics</w:t>
            </w:r>
          </w:p>
        </w:tc>
        <w:tc>
          <w:tcPr>
            <w:tcW w:w="1405" w:type="dxa"/>
          </w:tcPr>
          <w:p w:rsidR="005D6CB6" w:rsidRPr="00794645" w:rsidRDefault="005D6CB6" w:rsidP="00487808">
            <w:pPr>
              <w:pStyle w:val="NoSpacing"/>
              <w:spacing w:line="480" w:lineRule="auto"/>
              <w:jc w:val="center"/>
              <w:rPr>
                <w:rFonts w:cs="Calibri"/>
                <w:bCs/>
                <w:sz w:val="24"/>
                <w:szCs w:val="24"/>
              </w:rPr>
            </w:pPr>
          </w:p>
        </w:tc>
        <w:tc>
          <w:tcPr>
            <w:tcW w:w="1485" w:type="dxa"/>
          </w:tcPr>
          <w:p w:rsidR="005D6CB6" w:rsidRPr="00794645" w:rsidRDefault="005D6CB6" w:rsidP="00487808">
            <w:pPr>
              <w:pStyle w:val="NoSpacing"/>
              <w:spacing w:line="480" w:lineRule="auto"/>
              <w:jc w:val="center"/>
              <w:rPr>
                <w:rFonts w:cs="Calibri"/>
                <w:bCs/>
                <w:sz w:val="24"/>
                <w:szCs w:val="24"/>
              </w:rPr>
            </w:pPr>
          </w:p>
        </w:tc>
        <w:tc>
          <w:tcPr>
            <w:tcW w:w="1486" w:type="dxa"/>
          </w:tcPr>
          <w:p w:rsidR="005D6CB6" w:rsidRPr="00794645" w:rsidRDefault="005D6CB6" w:rsidP="00487808">
            <w:pPr>
              <w:pStyle w:val="NoSpacing"/>
              <w:spacing w:line="480" w:lineRule="auto"/>
              <w:jc w:val="center"/>
              <w:rPr>
                <w:rFonts w:cs="Calibri"/>
                <w:bCs/>
                <w:sz w:val="24"/>
                <w:szCs w:val="24"/>
              </w:rPr>
            </w:pPr>
          </w:p>
        </w:tc>
        <w:tc>
          <w:tcPr>
            <w:tcW w:w="1452" w:type="dxa"/>
          </w:tcPr>
          <w:p w:rsidR="005D6CB6" w:rsidRPr="00794645" w:rsidRDefault="005D6CB6" w:rsidP="00487808">
            <w:pPr>
              <w:pStyle w:val="NoSpacing"/>
              <w:spacing w:line="480" w:lineRule="auto"/>
              <w:jc w:val="center"/>
              <w:rPr>
                <w:rFonts w:cs="Calibri"/>
                <w:bCs/>
                <w:sz w:val="24"/>
                <w:szCs w:val="24"/>
              </w:rPr>
            </w:pPr>
          </w:p>
        </w:tc>
        <w:tc>
          <w:tcPr>
            <w:tcW w:w="1509" w:type="dxa"/>
          </w:tcPr>
          <w:p w:rsidR="005D6CB6" w:rsidRPr="00794645" w:rsidRDefault="005D6CB6" w:rsidP="00487808">
            <w:pPr>
              <w:pStyle w:val="NoSpacing"/>
              <w:spacing w:line="480" w:lineRule="auto"/>
              <w:jc w:val="center"/>
              <w:rPr>
                <w:rFonts w:cs="Calibri"/>
                <w:bCs/>
                <w:sz w:val="24"/>
                <w:szCs w:val="24"/>
              </w:rPr>
            </w:pPr>
          </w:p>
        </w:tc>
      </w:tr>
      <w:tr w:rsidR="005D6CB6" w:rsidRPr="008374A5" w:rsidTr="00123A56">
        <w:trPr>
          <w:trHeight w:val="298"/>
        </w:trPr>
        <w:tc>
          <w:tcPr>
            <w:tcW w:w="2694" w:type="dxa"/>
          </w:tcPr>
          <w:p w:rsidR="005D6CB6" w:rsidRPr="00794645" w:rsidRDefault="005D6CB6" w:rsidP="00487808">
            <w:pPr>
              <w:pStyle w:val="NoSpacing"/>
              <w:spacing w:line="480" w:lineRule="auto"/>
              <w:rPr>
                <w:rFonts w:cs="Calibri"/>
                <w:bCs/>
                <w:sz w:val="24"/>
                <w:szCs w:val="24"/>
              </w:rPr>
            </w:pPr>
            <w:r w:rsidRPr="00794645">
              <w:rPr>
                <w:rFonts w:cs="Calibri"/>
                <w:bCs/>
                <w:sz w:val="24"/>
                <w:szCs w:val="24"/>
              </w:rPr>
              <w:t xml:space="preserve">   Age (years)</w:t>
            </w:r>
          </w:p>
        </w:tc>
        <w:tc>
          <w:tcPr>
            <w:tcW w:w="1405"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66.</w:t>
            </w:r>
            <w:r w:rsidR="008B631C">
              <w:rPr>
                <w:rFonts w:cs="Calibri"/>
                <w:bCs/>
                <w:sz w:val="24"/>
                <w:szCs w:val="24"/>
              </w:rPr>
              <w:t>1</w:t>
            </w:r>
            <w:r w:rsidRPr="00794645">
              <w:rPr>
                <w:rFonts w:cs="Calibri"/>
                <w:bCs/>
                <w:sz w:val="24"/>
                <w:szCs w:val="24"/>
              </w:rPr>
              <w:t xml:space="preserve"> ± 12.8</w:t>
            </w:r>
          </w:p>
        </w:tc>
        <w:tc>
          <w:tcPr>
            <w:tcW w:w="1485" w:type="dxa"/>
          </w:tcPr>
          <w:p w:rsidR="005D6CB6" w:rsidRPr="00794645" w:rsidRDefault="008B631C" w:rsidP="00487808">
            <w:pPr>
              <w:pStyle w:val="NoSpacing"/>
              <w:spacing w:line="480" w:lineRule="auto"/>
              <w:jc w:val="center"/>
              <w:rPr>
                <w:rFonts w:cs="Calibri"/>
                <w:bCs/>
                <w:sz w:val="24"/>
                <w:szCs w:val="24"/>
              </w:rPr>
            </w:pPr>
            <w:r>
              <w:rPr>
                <w:rFonts w:cs="Calibri"/>
                <w:bCs/>
                <w:sz w:val="24"/>
                <w:szCs w:val="24"/>
              </w:rPr>
              <w:t>61.9</w:t>
            </w:r>
            <w:r w:rsidR="005D6CB6">
              <w:rPr>
                <w:rFonts w:cs="Calibri"/>
                <w:bCs/>
                <w:sz w:val="24"/>
                <w:szCs w:val="24"/>
              </w:rPr>
              <w:t xml:space="preserve"> ± 11.</w:t>
            </w:r>
            <w:r>
              <w:rPr>
                <w:rFonts w:cs="Calibri"/>
                <w:bCs/>
                <w:sz w:val="24"/>
                <w:szCs w:val="24"/>
              </w:rPr>
              <w:t>9</w:t>
            </w:r>
          </w:p>
        </w:tc>
        <w:tc>
          <w:tcPr>
            <w:tcW w:w="1486"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6</w:t>
            </w:r>
            <w:r w:rsidR="008B631C">
              <w:rPr>
                <w:rFonts w:cs="Calibri"/>
                <w:bCs/>
                <w:sz w:val="24"/>
                <w:szCs w:val="24"/>
              </w:rPr>
              <w:t>7.3</w:t>
            </w:r>
            <w:r w:rsidRPr="00794645">
              <w:rPr>
                <w:rFonts w:cs="Calibri"/>
                <w:bCs/>
                <w:sz w:val="24"/>
                <w:szCs w:val="24"/>
              </w:rPr>
              <w:t xml:space="preserve"> ± 1</w:t>
            </w:r>
            <w:r w:rsidR="008B631C">
              <w:rPr>
                <w:rFonts w:cs="Calibri"/>
                <w:bCs/>
                <w:sz w:val="24"/>
                <w:szCs w:val="24"/>
              </w:rPr>
              <w:t>2.6</w:t>
            </w:r>
          </w:p>
        </w:tc>
        <w:tc>
          <w:tcPr>
            <w:tcW w:w="1452" w:type="dxa"/>
          </w:tcPr>
          <w:p w:rsidR="005D6CB6" w:rsidRPr="00794645" w:rsidRDefault="008B631C" w:rsidP="00487808">
            <w:pPr>
              <w:pStyle w:val="NoSpacing"/>
              <w:spacing w:line="480" w:lineRule="auto"/>
              <w:jc w:val="center"/>
              <w:rPr>
                <w:rFonts w:cs="Calibri"/>
                <w:bCs/>
                <w:sz w:val="24"/>
                <w:szCs w:val="24"/>
              </w:rPr>
            </w:pPr>
            <w:r>
              <w:rPr>
                <w:rFonts w:cs="Calibri"/>
                <w:bCs/>
                <w:sz w:val="24"/>
                <w:szCs w:val="24"/>
              </w:rPr>
              <w:t>69</w:t>
            </w:r>
            <w:r w:rsidR="005D6CB6" w:rsidRPr="00794645">
              <w:rPr>
                <w:rFonts w:cs="Calibri"/>
                <w:bCs/>
                <w:sz w:val="24"/>
                <w:szCs w:val="24"/>
              </w:rPr>
              <w:t>.</w:t>
            </w:r>
            <w:r>
              <w:rPr>
                <w:rFonts w:cs="Calibri"/>
                <w:bCs/>
                <w:sz w:val="24"/>
                <w:szCs w:val="24"/>
              </w:rPr>
              <w:t>0</w:t>
            </w:r>
            <w:r w:rsidR="005D6CB6" w:rsidRPr="00794645">
              <w:rPr>
                <w:rFonts w:cs="Calibri"/>
                <w:bCs/>
                <w:sz w:val="24"/>
                <w:szCs w:val="24"/>
              </w:rPr>
              <w:t xml:space="preserve"> ± 1</w:t>
            </w:r>
            <w:r>
              <w:rPr>
                <w:rFonts w:cs="Calibri"/>
                <w:bCs/>
                <w:sz w:val="24"/>
                <w:szCs w:val="24"/>
              </w:rPr>
              <w:t>2.9</w:t>
            </w:r>
          </w:p>
        </w:tc>
        <w:tc>
          <w:tcPr>
            <w:tcW w:w="1509"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&lt;0.00</w:t>
            </w:r>
            <w:r>
              <w:rPr>
                <w:rFonts w:cs="Calibri"/>
                <w:bCs/>
                <w:sz w:val="24"/>
                <w:szCs w:val="24"/>
              </w:rPr>
              <w:t>05</w:t>
            </w:r>
          </w:p>
        </w:tc>
      </w:tr>
      <w:tr w:rsidR="005D6CB6" w:rsidRPr="008374A5" w:rsidTr="00123A56">
        <w:trPr>
          <w:trHeight w:val="303"/>
        </w:trPr>
        <w:tc>
          <w:tcPr>
            <w:tcW w:w="2694" w:type="dxa"/>
          </w:tcPr>
          <w:p w:rsidR="005D6CB6" w:rsidRPr="00794645" w:rsidRDefault="005D6CB6" w:rsidP="00487808">
            <w:pPr>
              <w:pStyle w:val="NoSpacing"/>
              <w:tabs>
                <w:tab w:val="left" w:pos="2096"/>
              </w:tabs>
              <w:spacing w:line="480" w:lineRule="auto"/>
              <w:rPr>
                <w:rFonts w:cs="Calibri"/>
                <w:bCs/>
                <w:sz w:val="24"/>
                <w:szCs w:val="24"/>
              </w:rPr>
            </w:pPr>
            <w:r w:rsidRPr="00794645">
              <w:rPr>
                <w:rFonts w:cs="Calibri"/>
                <w:bCs/>
                <w:sz w:val="24"/>
                <w:szCs w:val="24"/>
              </w:rPr>
              <w:t xml:space="preserve">   Male (%)</w:t>
            </w:r>
          </w:p>
        </w:tc>
        <w:tc>
          <w:tcPr>
            <w:tcW w:w="1405" w:type="dxa"/>
          </w:tcPr>
          <w:p w:rsidR="005D6CB6" w:rsidRPr="00794645" w:rsidRDefault="00C017AB" w:rsidP="00487808">
            <w:pPr>
              <w:pStyle w:val="NoSpacing"/>
              <w:spacing w:line="480" w:lineRule="auto"/>
              <w:jc w:val="center"/>
              <w:rPr>
                <w:rFonts w:cs="Calibri"/>
                <w:bCs/>
                <w:sz w:val="24"/>
                <w:szCs w:val="24"/>
              </w:rPr>
            </w:pPr>
            <w:r>
              <w:rPr>
                <w:rFonts w:cs="Calibri"/>
                <w:bCs/>
                <w:sz w:val="24"/>
                <w:szCs w:val="24"/>
              </w:rPr>
              <w:t>68</w:t>
            </w:r>
            <w:r w:rsidR="00BF30CD">
              <w:rPr>
                <w:rFonts w:cs="Calibri"/>
                <w:bCs/>
                <w:sz w:val="24"/>
                <w:szCs w:val="24"/>
              </w:rPr>
              <w:t>7</w:t>
            </w:r>
            <w:r w:rsidR="005D6CB6" w:rsidRPr="00794645">
              <w:rPr>
                <w:rFonts w:cs="Calibri"/>
                <w:bCs/>
                <w:sz w:val="24"/>
                <w:szCs w:val="24"/>
              </w:rPr>
              <w:t xml:space="preserve"> (72)</w:t>
            </w:r>
          </w:p>
        </w:tc>
        <w:tc>
          <w:tcPr>
            <w:tcW w:w="1485"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2</w:t>
            </w:r>
            <w:r w:rsidR="00250B01">
              <w:rPr>
                <w:rFonts w:cs="Calibri"/>
                <w:bCs/>
                <w:sz w:val="24"/>
                <w:szCs w:val="24"/>
              </w:rPr>
              <w:t>6</w:t>
            </w:r>
            <w:r w:rsidR="00BF30CD">
              <w:rPr>
                <w:rFonts w:cs="Calibri"/>
                <w:bCs/>
                <w:sz w:val="24"/>
                <w:szCs w:val="24"/>
              </w:rPr>
              <w:t>2</w:t>
            </w:r>
            <w:r w:rsidRPr="00794645">
              <w:rPr>
                <w:rFonts w:cs="Calibri"/>
                <w:bCs/>
                <w:sz w:val="24"/>
                <w:szCs w:val="24"/>
              </w:rPr>
              <w:t xml:space="preserve"> (</w:t>
            </w:r>
            <w:r w:rsidR="00250B01">
              <w:rPr>
                <w:rFonts w:cs="Calibri"/>
                <w:bCs/>
                <w:sz w:val="24"/>
                <w:szCs w:val="24"/>
              </w:rPr>
              <w:t>83</w:t>
            </w:r>
            <w:r w:rsidRPr="00794645">
              <w:rPr>
                <w:rFonts w:cs="Calibri"/>
                <w:bCs/>
                <w:sz w:val="24"/>
                <w:szCs w:val="24"/>
              </w:rPr>
              <w:t>)</w:t>
            </w:r>
          </w:p>
        </w:tc>
        <w:tc>
          <w:tcPr>
            <w:tcW w:w="1486"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2</w:t>
            </w:r>
            <w:r w:rsidR="00250B01">
              <w:rPr>
                <w:rFonts w:cs="Calibri"/>
                <w:bCs/>
                <w:sz w:val="24"/>
                <w:szCs w:val="24"/>
              </w:rPr>
              <w:t>2</w:t>
            </w:r>
            <w:r w:rsidR="00BF30CD">
              <w:rPr>
                <w:rFonts w:cs="Calibri"/>
                <w:bCs/>
                <w:sz w:val="24"/>
                <w:szCs w:val="24"/>
              </w:rPr>
              <w:t>1</w:t>
            </w:r>
            <w:r w:rsidRPr="00794645">
              <w:rPr>
                <w:rFonts w:cs="Calibri"/>
                <w:bCs/>
                <w:sz w:val="24"/>
                <w:szCs w:val="24"/>
              </w:rPr>
              <w:t xml:space="preserve"> (</w:t>
            </w:r>
            <w:r w:rsidR="00C853B7">
              <w:rPr>
                <w:rFonts w:cs="Calibri"/>
                <w:bCs/>
                <w:sz w:val="24"/>
                <w:szCs w:val="24"/>
              </w:rPr>
              <w:t>6</w:t>
            </w:r>
            <w:r w:rsidR="00250B01">
              <w:rPr>
                <w:rFonts w:cs="Calibri"/>
                <w:bCs/>
                <w:sz w:val="24"/>
                <w:szCs w:val="24"/>
              </w:rPr>
              <w:t>8</w:t>
            </w:r>
            <w:r w:rsidRPr="00794645">
              <w:rPr>
                <w:rFonts w:cs="Calibri"/>
                <w:bCs/>
                <w:sz w:val="24"/>
                <w:szCs w:val="24"/>
              </w:rPr>
              <w:t>)</w:t>
            </w:r>
          </w:p>
        </w:tc>
        <w:tc>
          <w:tcPr>
            <w:tcW w:w="1452" w:type="dxa"/>
          </w:tcPr>
          <w:p w:rsidR="005D6CB6" w:rsidRPr="00794645" w:rsidRDefault="00250B01" w:rsidP="00487808">
            <w:pPr>
              <w:pStyle w:val="NoSpacing"/>
              <w:spacing w:line="480" w:lineRule="auto"/>
              <w:jc w:val="center"/>
              <w:rPr>
                <w:rFonts w:cs="Calibri"/>
                <w:bCs/>
                <w:sz w:val="24"/>
                <w:szCs w:val="24"/>
              </w:rPr>
            </w:pPr>
            <w:r>
              <w:rPr>
                <w:rFonts w:cs="Calibri"/>
                <w:bCs/>
                <w:sz w:val="24"/>
                <w:szCs w:val="24"/>
              </w:rPr>
              <w:t>20</w:t>
            </w:r>
            <w:r w:rsidR="00BF30CD">
              <w:rPr>
                <w:rFonts w:cs="Calibri"/>
                <w:bCs/>
                <w:sz w:val="24"/>
                <w:szCs w:val="24"/>
              </w:rPr>
              <w:t>4</w:t>
            </w:r>
            <w:r w:rsidR="005D6CB6" w:rsidRPr="00794645">
              <w:rPr>
                <w:rFonts w:cs="Calibri"/>
                <w:bCs/>
                <w:sz w:val="24"/>
                <w:szCs w:val="24"/>
              </w:rPr>
              <w:t xml:space="preserve"> (</w:t>
            </w:r>
            <w:r>
              <w:rPr>
                <w:rFonts w:cs="Calibri"/>
                <w:bCs/>
                <w:sz w:val="24"/>
                <w:szCs w:val="24"/>
              </w:rPr>
              <w:t>65</w:t>
            </w:r>
            <w:r w:rsidR="005D6CB6" w:rsidRPr="00794645">
              <w:rPr>
                <w:rFonts w:cs="Calibri"/>
                <w:bCs/>
                <w:sz w:val="24"/>
                <w:szCs w:val="24"/>
              </w:rPr>
              <w:t>)</w:t>
            </w:r>
          </w:p>
        </w:tc>
        <w:tc>
          <w:tcPr>
            <w:tcW w:w="1509"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&lt;0.00</w:t>
            </w:r>
            <w:r>
              <w:rPr>
                <w:rFonts w:cs="Calibri"/>
                <w:bCs/>
                <w:sz w:val="24"/>
                <w:szCs w:val="24"/>
              </w:rPr>
              <w:t>05</w:t>
            </w:r>
          </w:p>
        </w:tc>
      </w:tr>
      <w:tr w:rsidR="005D6CB6" w:rsidRPr="008374A5" w:rsidTr="00123A56">
        <w:trPr>
          <w:trHeight w:val="298"/>
        </w:trPr>
        <w:tc>
          <w:tcPr>
            <w:tcW w:w="2694" w:type="dxa"/>
          </w:tcPr>
          <w:p w:rsidR="005D6CB6" w:rsidRPr="00794645" w:rsidRDefault="005D6CB6" w:rsidP="00487808">
            <w:pPr>
              <w:pStyle w:val="NoSpacing"/>
              <w:rPr>
                <w:rFonts w:cs="Calibri"/>
                <w:bCs/>
                <w:sz w:val="24"/>
                <w:szCs w:val="24"/>
              </w:rPr>
            </w:pPr>
            <w:r w:rsidRPr="00794645">
              <w:rPr>
                <w:rFonts w:cs="Calibri"/>
                <w:bCs/>
                <w:sz w:val="24"/>
                <w:szCs w:val="24"/>
              </w:rPr>
              <w:t xml:space="preserve">   ST elevation </w:t>
            </w:r>
            <w:r>
              <w:rPr>
                <w:rFonts w:cs="Calibri"/>
                <w:bCs/>
                <w:sz w:val="24"/>
                <w:szCs w:val="24"/>
              </w:rPr>
              <w:t>A</w:t>
            </w:r>
            <w:r w:rsidRPr="00794645">
              <w:rPr>
                <w:rFonts w:cs="Calibri"/>
                <w:bCs/>
                <w:sz w:val="24"/>
                <w:szCs w:val="24"/>
              </w:rPr>
              <w:t>MI</w:t>
            </w:r>
          </w:p>
        </w:tc>
        <w:tc>
          <w:tcPr>
            <w:tcW w:w="1405" w:type="dxa"/>
          </w:tcPr>
          <w:p w:rsidR="005D6CB6" w:rsidRPr="00794645" w:rsidRDefault="00D75708" w:rsidP="00487808">
            <w:pPr>
              <w:pStyle w:val="NoSpacing"/>
              <w:spacing w:line="480" w:lineRule="auto"/>
              <w:jc w:val="center"/>
              <w:rPr>
                <w:rFonts w:cs="Calibri"/>
                <w:bCs/>
                <w:sz w:val="24"/>
                <w:szCs w:val="24"/>
              </w:rPr>
            </w:pPr>
            <w:r>
              <w:rPr>
                <w:rFonts w:cs="Calibri"/>
                <w:bCs/>
                <w:sz w:val="24"/>
                <w:szCs w:val="24"/>
              </w:rPr>
              <w:t>4</w:t>
            </w:r>
            <w:r w:rsidR="004451CC">
              <w:rPr>
                <w:rFonts w:cs="Calibri"/>
                <w:bCs/>
                <w:sz w:val="24"/>
                <w:szCs w:val="24"/>
              </w:rPr>
              <w:t>59</w:t>
            </w:r>
            <w:r w:rsidR="005D6CB6" w:rsidRPr="00794645">
              <w:rPr>
                <w:rFonts w:cs="Calibri"/>
                <w:bCs/>
                <w:sz w:val="24"/>
                <w:szCs w:val="24"/>
              </w:rPr>
              <w:t xml:space="preserve"> (4</w:t>
            </w:r>
            <w:r>
              <w:rPr>
                <w:rFonts w:cs="Calibri"/>
                <w:bCs/>
                <w:sz w:val="24"/>
                <w:szCs w:val="24"/>
              </w:rPr>
              <w:t>8</w:t>
            </w:r>
            <w:r w:rsidR="005D6CB6" w:rsidRPr="00794645">
              <w:rPr>
                <w:rFonts w:cs="Calibri"/>
                <w:bCs/>
                <w:sz w:val="24"/>
                <w:szCs w:val="24"/>
              </w:rPr>
              <w:t>)</w:t>
            </w:r>
          </w:p>
        </w:tc>
        <w:tc>
          <w:tcPr>
            <w:tcW w:w="1485"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1</w:t>
            </w:r>
            <w:r w:rsidR="00D75708">
              <w:rPr>
                <w:rFonts w:cs="Calibri"/>
                <w:bCs/>
                <w:sz w:val="24"/>
                <w:szCs w:val="24"/>
              </w:rPr>
              <w:t>39</w:t>
            </w:r>
            <w:r w:rsidRPr="00794645">
              <w:rPr>
                <w:rFonts w:cs="Calibri"/>
                <w:bCs/>
                <w:sz w:val="24"/>
                <w:szCs w:val="24"/>
              </w:rPr>
              <w:t xml:space="preserve"> (</w:t>
            </w:r>
            <w:r w:rsidR="00015FCE">
              <w:rPr>
                <w:rFonts w:cs="Calibri"/>
                <w:bCs/>
                <w:sz w:val="24"/>
                <w:szCs w:val="24"/>
              </w:rPr>
              <w:t>44</w:t>
            </w:r>
            <w:r w:rsidRPr="00794645">
              <w:rPr>
                <w:rFonts w:cs="Calibri"/>
                <w:bCs/>
                <w:sz w:val="24"/>
                <w:szCs w:val="24"/>
              </w:rPr>
              <w:t>)</w:t>
            </w:r>
          </w:p>
        </w:tc>
        <w:tc>
          <w:tcPr>
            <w:tcW w:w="1486"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1</w:t>
            </w:r>
            <w:r w:rsidR="00D75708">
              <w:rPr>
                <w:rFonts w:cs="Calibri"/>
                <w:bCs/>
                <w:sz w:val="24"/>
                <w:szCs w:val="24"/>
              </w:rPr>
              <w:t>5</w:t>
            </w:r>
            <w:r w:rsidR="004451CC">
              <w:rPr>
                <w:rFonts w:cs="Calibri"/>
                <w:bCs/>
                <w:sz w:val="24"/>
                <w:szCs w:val="24"/>
              </w:rPr>
              <w:t>4</w:t>
            </w:r>
            <w:r w:rsidRPr="00794645">
              <w:rPr>
                <w:rFonts w:cs="Calibri"/>
                <w:bCs/>
                <w:sz w:val="24"/>
                <w:szCs w:val="24"/>
              </w:rPr>
              <w:t xml:space="preserve"> (</w:t>
            </w:r>
            <w:r w:rsidR="00015FCE">
              <w:rPr>
                <w:rFonts w:cs="Calibri"/>
                <w:bCs/>
                <w:sz w:val="24"/>
                <w:szCs w:val="24"/>
              </w:rPr>
              <w:t>48</w:t>
            </w:r>
            <w:r w:rsidR="00D75708">
              <w:rPr>
                <w:rFonts w:cs="Calibri"/>
                <w:bCs/>
                <w:sz w:val="24"/>
                <w:szCs w:val="24"/>
              </w:rPr>
              <w:t>)</w:t>
            </w:r>
          </w:p>
        </w:tc>
        <w:tc>
          <w:tcPr>
            <w:tcW w:w="1452"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1</w:t>
            </w:r>
            <w:r w:rsidR="00D75708">
              <w:rPr>
                <w:rFonts w:cs="Calibri"/>
                <w:bCs/>
                <w:sz w:val="24"/>
                <w:szCs w:val="24"/>
              </w:rPr>
              <w:t>6</w:t>
            </w:r>
            <w:r w:rsidR="004451CC">
              <w:rPr>
                <w:rFonts w:cs="Calibri"/>
                <w:bCs/>
                <w:sz w:val="24"/>
                <w:szCs w:val="24"/>
              </w:rPr>
              <w:t>6</w:t>
            </w:r>
            <w:r w:rsidRPr="00794645">
              <w:rPr>
                <w:rFonts w:cs="Calibri"/>
                <w:bCs/>
                <w:sz w:val="24"/>
                <w:szCs w:val="24"/>
              </w:rPr>
              <w:t xml:space="preserve"> (</w:t>
            </w:r>
            <w:r w:rsidR="00015FCE">
              <w:rPr>
                <w:rFonts w:cs="Calibri"/>
                <w:bCs/>
                <w:sz w:val="24"/>
                <w:szCs w:val="24"/>
              </w:rPr>
              <w:t>53</w:t>
            </w:r>
            <w:r w:rsidRPr="00794645">
              <w:rPr>
                <w:rFonts w:cs="Calibri"/>
                <w:bCs/>
                <w:sz w:val="24"/>
                <w:szCs w:val="24"/>
              </w:rPr>
              <w:t>)</w:t>
            </w:r>
          </w:p>
        </w:tc>
        <w:tc>
          <w:tcPr>
            <w:tcW w:w="1509"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NS</w:t>
            </w:r>
          </w:p>
        </w:tc>
      </w:tr>
      <w:tr w:rsidR="005D6CB6" w:rsidRPr="008374A5" w:rsidTr="00123A56">
        <w:trPr>
          <w:trHeight w:val="298"/>
        </w:trPr>
        <w:tc>
          <w:tcPr>
            <w:tcW w:w="2694" w:type="dxa"/>
          </w:tcPr>
          <w:p w:rsidR="005D6CB6" w:rsidRPr="00794645" w:rsidRDefault="005D6CB6" w:rsidP="00487808">
            <w:pPr>
              <w:pStyle w:val="NoSpacing"/>
              <w:spacing w:line="480" w:lineRule="auto"/>
              <w:rPr>
                <w:rFonts w:cs="Calibri"/>
                <w:bCs/>
                <w:sz w:val="24"/>
                <w:szCs w:val="24"/>
              </w:rPr>
            </w:pPr>
            <w:r w:rsidRPr="00794645">
              <w:rPr>
                <w:rFonts w:cs="Calibri"/>
                <w:bCs/>
                <w:sz w:val="24"/>
                <w:szCs w:val="24"/>
              </w:rPr>
              <w:t xml:space="preserve">Previous History </w:t>
            </w:r>
          </w:p>
        </w:tc>
        <w:tc>
          <w:tcPr>
            <w:tcW w:w="1405" w:type="dxa"/>
          </w:tcPr>
          <w:p w:rsidR="005D6CB6" w:rsidRPr="00794645" w:rsidRDefault="005D6CB6" w:rsidP="00487808">
            <w:pPr>
              <w:pStyle w:val="NoSpacing"/>
              <w:spacing w:line="480" w:lineRule="auto"/>
              <w:jc w:val="center"/>
              <w:rPr>
                <w:rFonts w:cs="Calibri"/>
                <w:bCs/>
                <w:sz w:val="24"/>
                <w:szCs w:val="24"/>
              </w:rPr>
            </w:pPr>
          </w:p>
        </w:tc>
        <w:tc>
          <w:tcPr>
            <w:tcW w:w="1485" w:type="dxa"/>
          </w:tcPr>
          <w:p w:rsidR="005D6CB6" w:rsidRPr="00794645" w:rsidRDefault="005D6CB6" w:rsidP="00487808">
            <w:pPr>
              <w:pStyle w:val="NoSpacing"/>
              <w:spacing w:line="480" w:lineRule="auto"/>
              <w:jc w:val="center"/>
              <w:rPr>
                <w:rFonts w:cs="Calibri"/>
                <w:bCs/>
                <w:sz w:val="24"/>
                <w:szCs w:val="24"/>
              </w:rPr>
            </w:pPr>
          </w:p>
        </w:tc>
        <w:tc>
          <w:tcPr>
            <w:tcW w:w="1486" w:type="dxa"/>
          </w:tcPr>
          <w:p w:rsidR="005D6CB6" w:rsidRPr="00794645" w:rsidRDefault="005D6CB6" w:rsidP="00487808">
            <w:pPr>
              <w:pStyle w:val="NoSpacing"/>
              <w:spacing w:line="480" w:lineRule="auto"/>
              <w:jc w:val="center"/>
              <w:rPr>
                <w:rFonts w:cs="Calibri"/>
                <w:bCs/>
                <w:sz w:val="24"/>
                <w:szCs w:val="24"/>
              </w:rPr>
            </w:pPr>
          </w:p>
        </w:tc>
        <w:tc>
          <w:tcPr>
            <w:tcW w:w="1452" w:type="dxa"/>
          </w:tcPr>
          <w:p w:rsidR="005D6CB6" w:rsidRPr="00794645" w:rsidRDefault="005D6CB6" w:rsidP="00487808">
            <w:pPr>
              <w:pStyle w:val="NoSpacing"/>
              <w:spacing w:line="480" w:lineRule="auto"/>
              <w:jc w:val="center"/>
              <w:rPr>
                <w:rFonts w:cs="Calibri"/>
                <w:bCs/>
                <w:sz w:val="24"/>
                <w:szCs w:val="24"/>
              </w:rPr>
            </w:pPr>
          </w:p>
        </w:tc>
        <w:tc>
          <w:tcPr>
            <w:tcW w:w="1509" w:type="dxa"/>
          </w:tcPr>
          <w:p w:rsidR="005D6CB6" w:rsidRPr="00794645" w:rsidRDefault="005D6CB6" w:rsidP="00487808">
            <w:pPr>
              <w:pStyle w:val="NoSpacing"/>
              <w:spacing w:line="480" w:lineRule="auto"/>
              <w:jc w:val="center"/>
              <w:rPr>
                <w:rFonts w:cs="Calibri"/>
                <w:bCs/>
                <w:sz w:val="24"/>
                <w:szCs w:val="24"/>
              </w:rPr>
            </w:pPr>
          </w:p>
        </w:tc>
      </w:tr>
      <w:tr w:rsidR="005D6CB6" w:rsidRPr="008374A5" w:rsidTr="00123A56">
        <w:trPr>
          <w:trHeight w:val="298"/>
        </w:trPr>
        <w:tc>
          <w:tcPr>
            <w:tcW w:w="2694" w:type="dxa"/>
          </w:tcPr>
          <w:p w:rsidR="005D6CB6" w:rsidRPr="007E42FA" w:rsidRDefault="005D6CB6" w:rsidP="00487808">
            <w:pPr>
              <w:pStyle w:val="NoSpacing"/>
              <w:tabs>
                <w:tab w:val="left" w:pos="142"/>
              </w:tabs>
              <w:ind w:left="142"/>
              <w:rPr>
                <w:rFonts w:cs="Calibri"/>
                <w:bCs/>
                <w:sz w:val="24"/>
                <w:szCs w:val="24"/>
              </w:rPr>
            </w:pPr>
            <w:r w:rsidRPr="007E42FA">
              <w:rPr>
                <w:rFonts w:cs="Calibri"/>
                <w:bCs/>
                <w:sz w:val="24"/>
                <w:szCs w:val="24"/>
              </w:rPr>
              <w:t>IHD</w:t>
            </w:r>
          </w:p>
        </w:tc>
        <w:tc>
          <w:tcPr>
            <w:tcW w:w="1405" w:type="dxa"/>
          </w:tcPr>
          <w:p w:rsidR="005D6CB6" w:rsidRPr="00794645" w:rsidRDefault="005D6CB6" w:rsidP="00487808">
            <w:pPr>
              <w:pStyle w:val="NoSpacing"/>
              <w:spacing w:line="480" w:lineRule="auto"/>
              <w:jc w:val="center"/>
              <w:rPr>
                <w:rFonts w:cs="Calibri"/>
                <w:bCs/>
                <w:sz w:val="24"/>
                <w:szCs w:val="24"/>
              </w:rPr>
            </w:pPr>
            <w:r>
              <w:rPr>
                <w:rFonts w:cs="Calibri"/>
                <w:bCs/>
                <w:sz w:val="24"/>
                <w:szCs w:val="24"/>
              </w:rPr>
              <w:t>3</w:t>
            </w:r>
            <w:r w:rsidR="004451CC">
              <w:rPr>
                <w:rFonts w:cs="Calibri"/>
                <w:bCs/>
                <w:sz w:val="24"/>
                <w:szCs w:val="24"/>
              </w:rPr>
              <w:t>20</w:t>
            </w:r>
            <w:r w:rsidRPr="00794645">
              <w:rPr>
                <w:rFonts w:cs="Calibri"/>
                <w:bCs/>
                <w:sz w:val="24"/>
                <w:szCs w:val="24"/>
              </w:rPr>
              <w:t xml:space="preserve"> (</w:t>
            </w:r>
            <w:r>
              <w:rPr>
                <w:rFonts w:cs="Calibri"/>
                <w:bCs/>
                <w:sz w:val="24"/>
                <w:szCs w:val="24"/>
              </w:rPr>
              <w:t>3</w:t>
            </w:r>
            <w:r w:rsidR="004451CC">
              <w:rPr>
                <w:rFonts w:cs="Calibri"/>
                <w:bCs/>
                <w:sz w:val="24"/>
                <w:szCs w:val="24"/>
              </w:rPr>
              <w:t>4</w:t>
            </w:r>
            <w:r w:rsidRPr="00794645">
              <w:rPr>
                <w:rFonts w:cs="Calibri"/>
                <w:bCs/>
                <w:sz w:val="24"/>
                <w:szCs w:val="24"/>
              </w:rPr>
              <w:t>)</w:t>
            </w:r>
          </w:p>
        </w:tc>
        <w:tc>
          <w:tcPr>
            <w:tcW w:w="1485" w:type="dxa"/>
          </w:tcPr>
          <w:p w:rsidR="005D6CB6" w:rsidRPr="00794645" w:rsidRDefault="004451CC" w:rsidP="00487808">
            <w:pPr>
              <w:pStyle w:val="NoSpacing"/>
              <w:spacing w:line="480" w:lineRule="auto"/>
              <w:jc w:val="center"/>
              <w:rPr>
                <w:rFonts w:cs="Calibri"/>
                <w:bCs/>
                <w:sz w:val="24"/>
                <w:szCs w:val="24"/>
              </w:rPr>
            </w:pPr>
            <w:r>
              <w:rPr>
                <w:rFonts w:cs="Calibri"/>
                <w:bCs/>
                <w:sz w:val="24"/>
                <w:szCs w:val="24"/>
              </w:rPr>
              <w:t>103</w:t>
            </w:r>
            <w:r w:rsidR="005D6CB6" w:rsidRPr="00794645">
              <w:rPr>
                <w:rFonts w:cs="Calibri"/>
                <w:bCs/>
                <w:sz w:val="24"/>
                <w:szCs w:val="24"/>
              </w:rPr>
              <w:t xml:space="preserve"> (</w:t>
            </w:r>
            <w:r>
              <w:rPr>
                <w:rFonts w:cs="Calibri"/>
                <w:bCs/>
                <w:sz w:val="24"/>
                <w:szCs w:val="24"/>
              </w:rPr>
              <w:t>3</w:t>
            </w:r>
            <w:r w:rsidR="005D6CB6">
              <w:rPr>
                <w:rFonts w:cs="Calibri"/>
                <w:bCs/>
                <w:sz w:val="24"/>
                <w:szCs w:val="24"/>
              </w:rPr>
              <w:t>3</w:t>
            </w:r>
            <w:r w:rsidR="005D6CB6" w:rsidRPr="00794645">
              <w:rPr>
                <w:rFonts w:cs="Calibri"/>
                <w:bCs/>
                <w:sz w:val="24"/>
                <w:szCs w:val="24"/>
              </w:rPr>
              <w:t>)</w:t>
            </w:r>
          </w:p>
        </w:tc>
        <w:tc>
          <w:tcPr>
            <w:tcW w:w="1486" w:type="dxa"/>
          </w:tcPr>
          <w:p w:rsidR="005D6CB6" w:rsidRPr="00794645" w:rsidRDefault="004451CC" w:rsidP="00487808">
            <w:pPr>
              <w:pStyle w:val="NoSpacing"/>
              <w:spacing w:line="480" w:lineRule="auto"/>
              <w:jc w:val="center"/>
              <w:rPr>
                <w:rFonts w:cs="Calibri"/>
                <w:bCs/>
                <w:sz w:val="24"/>
                <w:szCs w:val="24"/>
              </w:rPr>
            </w:pPr>
            <w:r>
              <w:rPr>
                <w:rFonts w:cs="Calibri"/>
                <w:bCs/>
                <w:sz w:val="24"/>
                <w:szCs w:val="24"/>
              </w:rPr>
              <w:t>117</w:t>
            </w:r>
            <w:r w:rsidR="005D6CB6" w:rsidRPr="00794645">
              <w:rPr>
                <w:rFonts w:cs="Calibri"/>
                <w:bCs/>
                <w:sz w:val="24"/>
                <w:szCs w:val="24"/>
              </w:rPr>
              <w:t xml:space="preserve"> (</w:t>
            </w:r>
            <w:r>
              <w:rPr>
                <w:rFonts w:cs="Calibri"/>
                <w:bCs/>
                <w:sz w:val="24"/>
                <w:szCs w:val="24"/>
              </w:rPr>
              <w:t>36</w:t>
            </w:r>
            <w:r w:rsidR="005D6CB6" w:rsidRPr="00794645">
              <w:rPr>
                <w:rFonts w:cs="Calibri"/>
                <w:bCs/>
                <w:sz w:val="24"/>
                <w:szCs w:val="24"/>
              </w:rPr>
              <w:t>)</w:t>
            </w:r>
          </w:p>
        </w:tc>
        <w:tc>
          <w:tcPr>
            <w:tcW w:w="1452" w:type="dxa"/>
          </w:tcPr>
          <w:p w:rsidR="005D6CB6" w:rsidRPr="00794645" w:rsidRDefault="005D6CB6" w:rsidP="00487808">
            <w:pPr>
              <w:pStyle w:val="NoSpacing"/>
              <w:spacing w:line="480" w:lineRule="auto"/>
              <w:jc w:val="center"/>
              <w:rPr>
                <w:rFonts w:cs="Calibri"/>
                <w:bCs/>
                <w:sz w:val="24"/>
                <w:szCs w:val="24"/>
              </w:rPr>
            </w:pPr>
            <w:r>
              <w:rPr>
                <w:rFonts w:cs="Calibri"/>
                <w:bCs/>
                <w:sz w:val="24"/>
                <w:szCs w:val="24"/>
              </w:rPr>
              <w:t>1</w:t>
            </w:r>
            <w:r w:rsidR="004451CC">
              <w:rPr>
                <w:rFonts w:cs="Calibri"/>
                <w:bCs/>
                <w:sz w:val="24"/>
                <w:szCs w:val="24"/>
              </w:rPr>
              <w:t>00</w:t>
            </w:r>
            <w:r w:rsidRPr="00794645">
              <w:rPr>
                <w:rFonts w:cs="Calibri"/>
                <w:bCs/>
                <w:sz w:val="24"/>
                <w:szCs w:val="24"/>
              </w:rPr>
              <w:t xml:space="preserve"> (</w:t>
            </w:r>
            <w:r w:rsidR="004451CC">
              <w:rPr>
                <w:rFonts w:cs="Calibri"/>
                <w:bCs/>
                <w:sz w:val="24"/>
                <w:szCs w:val="24"/>
              </w:rPr>
              <w:t>32</w:t>
            </w:r>
            <w:r w:rsidRPr="00794645">
              <w:rPr>
                <w:rFonts w:cs="Calibri"/>
                <w:bCs/>
                <w:sz w:val="24"/>
                <w:szCs w:val="24"/>
              </w:rPr>
              <w:t>)</w:t>
            </w:r>
          </w:p>
        </w:tc>
        <w:tc>
          <w:tcPr>
            <w:tcW w:w="1509" w:type="dxa"/>
          </w:tcPr>
          <w:p w:rsidR="005D6CB6" w:rsidRPr="00794645" w:rsidRDefault="009B0CE7" w:rsidP="00487808">
            <w:pPr>
              <w:pStyle w:val="NoSpacing"/>
              <w:spacing w:line="480" w:lineRule="auto"/>
              <w:jc w:val="center"/>
              <w:rPr>
                <w:rFonts w:cs="Calibri"/>
                <w:bCs/>
                <w:sz w:val="24"/>
                <w:szCs w:val="24"/>
              </w:rPr>
            </w:pPr>
            <w:r w:rsidRPr="00794645">
              <w:rPr>
                <w:rFonts w:cs="Calibri"/>
                <w:bCs/>
                <w:sz w:val="24"/>
                <w:szCs w:val="24"/>
              </w:rPr>
              <w:t>NS</w:t>
            </w:r>
          </w:p>
        </w:tc>
      </w:tr>
      <w:tr w:rsidR="005D6CB6" w:rsidRPr="008374A5" w:rsidTr="00123A56">
        <w:trPr>
          <w:trHeight w:val="298"/>
        </w:trPr>
        <w:tc>
          <w:tcPr>
            <w:tcW w:w="2694" w:type="dxa"/>
          </w:tcPr>
          <w:p w:rsidR="005D6CB6" w:rsidRPr="007E42FA" w:rsidRDefault="005D6CB6" w:rsidP="00487808">
            <w:pPr>
              <w:pStyle w:val="NoSpacing"/>
              <w:spacing w:line="480" w:lineRule="auto"/>
              <w:rPr>
                <w:rFonts w:cs="Calibri"/>
                <w:bCs/>
                <w:sz w:val="24"/>
                <w:szCs w:val="24"/>
              </w:rPr>
            </w:pPr>
            <w:r w:rsidRPr="007E42FA">
              <w:rPr>
                <w:rFonts w:cs="Calibri"/>
                <w:bCs/>
                <w:sz w:val="24"/>
                <w:szCs w:val="24"/>
              </w:rPr>
              <w:t xml:space="preserve">   Heart Failure</w:t>
            </w:r>
          </w:p>
        </w:tc>
        <w:tc>
          <w:tcPr>
            <w:tcW w:w="1405" w:type="dxa"/>
          </w:tcPr>
          <w:p w:rsidR="005D6CB6" w:rsidRPr="00794645" w:rsidRDefault="00303BCE" w:rsidP="00487808">
            <w:pPr>
              <w:pStyle w:val="NoSpacing"/>
              <w:spacing w:line="480" w:lineRule="auto"/>
              <w:jc w:val="center"/>
              <w:rPr>
                <w:rFonts w:cs="Calibri"/>
                <w:bCs/>
                <w:sz w:val="24"/>
                <w:szCs w:val="24"/>
              </w:rPr>
            </w:pPr>
            <w:r>
              <w:rPr>
                <w:rFonts w:cs="Calibri"/>
                <w:bCs/>
                <w:sz w:val="24"/>
                <w:szCs w:val="24"/>
              </w:rPr>
              <w:t>37</w:t>
            </w:r>
            <w:r w:rsidR="005D6CB6" w:rsidRPr="00794645">
              <w:rPr>
                <w:rFonts w:cs="Calibri"/>
                <w:bCs/>
                <w:sz w:val="24"/>
                <w:szCs w:val="24"/>
              </w:rPr>
              <w:t xml:space="preserve"> (4)</w:t>
            </w:r>
          </w:p>
        </w:tc>
        <w:tc>
          <w:tcPr>
            <w:tcW w:w="1485" w:type="dxa"/>
          </w:tcPr>
          <w:p w:rsidR="005D6CB6" w:rsidRPr="00794645" w:rsidRDefault="00303BCE" w:rsidP="00487808">
            <w:pPr>
              <w:pStyle w:val="NoSpacing"/>
              <w:spacing w:line="480" w:lineRule="auto"/>
              <w:jc w:val="center"/>
              <w:rPr>
                <w:rFonts w:cs="Calibri"/>
                <w:bCs/>
                <w:sz w:val="24"/>
                <w:szCs w:val="24"/>
              </w:rPr>
            </w:pPr>
            <w:r>
              <w:rPr>
                <w:rFonts w:cs="Calibri"/>
                <w:bCs/>
                <w:sz w:val="24"/>
                <w:szCs w:val="24"/>
              </w:rPr>
              <w:t>9</w:t>
            </w:r>
            <w:r w:rsidR="005D6CB6" w:rsidRPr="00794645">
              <w:rPr>
                <w:rFonts w:cs="Calibri"/>
                <w:bCs/>
                <w:sz w:val="24"/>
                <w:szCs w:val="24"/>
              </w:rPr>
              <w:t xml:space="preserve"> (</w:t>
            </w:r>
            <w:r>
              <w:rPr>
                <w:rFonts w:cs="Calibri"/>
                <w:bCs/>
                <w:sz w:val="24"/>
                <w:szCs w:val="24"/>
              </w:rPr>
              <w:t>3</w:t>
            </w:r>
            <w:r w:rsidR="005D6CB6" w:rsidRPr="00794645">
              <w:rPr>
                <w:rFonts w:cs="Calibri"/>
                <w:bCs/>
                <w:sz w:val="24"/>
                <w:szCs w:val="24"/>
              </w:rPr>
              <w:t>)</w:t>
            </w:r>
          </w:p>
        </w:tc>
        <w:tc>
          <w:tcPr>
            <w:tcW w:w="1486" w:type="dxa"/>
          </w:tcPr>
          <w:p w:rsidR="005D6CB6" w:rsidRPr="00794645" w:rsidRDefault="00303BCE" w:rsidP="00487808">
            <w:pPr>
              <w:pStyle w:val="NoSpacing"/>
              <w:spacing w:line="480" w:lineRule="auto"/>
              <w:jc w:val="center"/>
              <w:rPr>
                <w:rFonts w:cs="Calibri"/>
                <w:bCs/>
                <w:sz w:val="24"/>
                <w:szCs w:val="24"/>
              </w:rPr>
            </w:pPr>
            <w:r>
              <w:rPr>
                <w:rFonts w:cs="Calibri"/>
                <w:bCs/>
                <w:sz w:val="24"/>
                <w:szCs w:val="24"/>
              </w:rPr>
              <w:t>12</w:t>
            </w:r>
            <w:r w:rsidR="005D6CB6" w:rsidRPr="00794645">
              <w:rPr>
                <w:rFonts w:cs="Calibri"/>
                <w:bCs/>
                <w:sz w:val="24"/>
                <w:szCs w:val="24"/>
              </w:rPr>
              <w:t xml:space="preserve"> (</w:t>
            </w:r>
            <w:r>
              <w:rPr>
                <w:rFonts w:cs="Calibri"/>
                <w:bCs/>
                <w:sz w:val="24"/>
                <w:szCs w:val="24"/>
              </w:rPr>
              <w:t>4</w:t>
            </w:r>
            <w:r w:rsidR="005D6CB6" w:rsidRPr="00794645">
              <w:rPr>
                <w:rFonts w:cs="Calibri"/>
                <w:bCs/>
                <w:sz w:val="24"/>
                <w:szCs w:val="24"/>
              </w:rPr>
              <w:t>)</w:t>
            </w:r>
          </w:p>
        </w:tc>
        <w:tc>
          <w:tcPr>
            <w:tcW w:w="1452" w:type="dxa"/>
          </w:tcPr>
          <w:p w:rsidR="005D6CB6" w:rsidRPr="00794645" w:rsidRDefault="005D6CB6" w:rsidP="00487808">
            <w:pPr>
              <w:pStyle w:val="NoSpacing"/>
              <w:spacing w:line="480" w:lineRule="auto"/>
              <w:jc w:val="center"/>
              <w:rPr>
                <w:rFonts w:cs="Calibri"/>
                <w:bCs/>
                <w:sz w:val="24"/>
                <w:szCs w:val="24"/>
              </w:rPr>
            </w:pPr>
            <w:r>
              <w:rPr>
                <w:rFonts w:cs="Calibri"/>
                <w:bCs/>
                <w:sz w:val="24"/>
                <w:szCs w:val="24"/>
              </w:rPr>
              <w:t>1</w:t>
            </w:r>
            <w:r w:rsidR="00303BCE">
              <w:rPr>
                <w:rFonts w:cs="Calibri"/>
                <w:bCs/>
                <w:sz w:val="24"/>
                <w:szCs w:val="24"/>
              </w:rPr>
              <w:t>6</w:t>
            </w:r>
            <w:r w:rsidRPr="00794645">
              <w:rPr>
                <w:rFonts w:cs="Calibri"/>
                <w:bCs/>
                <w:sz w:val="24"/>
                <w:szCs w:val="24"/>
              </w:rPr>
              <w:t xml:space="preserve"> (</w:t>
            </w:r>
            <w:r w:rsidR="00303BCE">
              <w:rPr>
                <w:rFonts w:cs="Calibri"/>
                <w:bCs/>
                <w:sz w:val="24"/>
                <w:szCs w:val="24"/>
              </w:rPr>
              <w:t>5</w:t>
            </w:r>
            <w:r w:rsidRPr="00794645">
              <w:rPr>
                <w:rFonts w:cs="Calibri"/>
                <w:bCs/>
                <w:sz w:val="24"/>
                <w:szCs w:val="24"/>
              </w:rPr>
              <w:t>)</w:t>
            </w:r>
          </w:p>
        </w:tc>
        <w:tc>
          <w:tcPr>
            <w:tcW w:w="1509" w:type="dxa"/>
          </w:tcPr>
          <w:p w:rsidR="005D6CB6" w:rsidRPr="00794645" w:rsidRDefault="009B0CE7" w:rsidP="00487808">
            <w:pPr>
              <w:pStyle w:val="NoSpacing"/>
              <w:spacing w:line="480" w:lineRule="auto"/>
              <w:jc w:val="center"/>
              <w:rPr>
                <w:rFonts w:cs="Calibri"/>
                <w:bCs/>
                <w:sz w:val="24"/>
                <w:szCs w:val="24"/>
              </w:rPr>
            </w:pPr>
            <w:r w:rsidRPr="00794645">
              <w:rPr>
                <w:rFonts w:cs="Calibri"/>
                <w:bCs/>
                <w:sz w:val="24"/>
                <w:szCs w:val="24"/>
              </w:rPr>
              <w:t>NS</w:t>
            </w:r>
          </w:p>
        </w:tc>
      </w:tr>
      <w:tr w:rsidR="005D6CB6" w:rsidRPr="008374A5" w:rsidTr="00123A56">
        <w:trPr>
          <w:trHeight w:val="298"/>
        </w:trPr>
        <w:tc>
          <w:tcPr>
            <w:tcW w:w="2694" w:type="dxa"/>
          </w:tcPr>
          <w:p w:rsidR="005D6CB6" w:rsidRPr="00794645" w:rsidRDefault="005D6CB6" w:rsidP="00487808">
            <w:pPr>
              <w:pStyle w:val="NoSpacing"/>
              <w:spacing w:line="480" w:lineRule="auto"/>
              <w:rPr>
                <w:rFonts w:cs="Calibri"/>
                <w:bCs/>
                <w:sz w:val="24"/>
                <w:szCs w:val="24"/>
              </w:rPr>
            </w:pPr>
            <w:r w:rsidRPr="00794645">
              <w:rPr>
                <w:rFonts w:cs="Calibri"/>
                <w:bCs/>
                <w:sz w:val="24"/>
                <w:szCs w:val="24"/>
              </w:rPr>
              <w:t xml:space="preserve">   Hypertension</w:t>
            </w:r>
          </w:p>
        </w:tc>
        <w:tc>
          <w:tcPr>
            <w:tcW w:w="1405" w:type="dxa"/>
          </w:tcPr>
          <w:p w:rsidR="005D6CB6" w:rsidRPr="00794645" w:rsidRDefault="004451CC" w:rsidP="00487808">
            <w:pPr>
              <w:pStyle w:val="NoSpacing"/>
              <w:spacing w:line="480" w:lineRule="auto"/>
              <w:jc w:val="center"/>
              <w:rPr>
                <w:rFonts w:cs="Calibri"/>
                <w:bCs/>
                <w:sz w:val="24"/>
                <w:szCs w:val="24"/>
              </w:rPr>
            </w:pPr>
            <w:r>
              <w:rPr>
                <w:rFonts w:cs="Calibri"/>
                <w:bCs/>
                <w:sz w:val="24"/>
                <w:szCs w:val="24"/>
              </w:rPr>
              <w:t>493</w:t>
            </w:r>
            <w:r w:rsidR="005D6CB6" w:rsidRPr="00794645">
              <w:rPr>
                <w:rFonts w:cs="Calibri"/>
                <w:bCs/>
                <w:sz w:val="24"/>
                <w:szCs w:val="24"/>
              </w:rPr>
              <w:t xml:space="preserve"> (5</w:t>
            </w:r>
            <w:r w:rsidR="00B229BF">
              <w:rPr>
                <w:rFonts w:cs="Calibri"/>
                <w:bCs/>
                <w:sz w:val="24"/>
                <w:szCs w:val="24"/>
              </w:rPr>
              <w:t>2</w:t>
            </w:r>
            <w:r w:rsidR="005D6CB6" w:rsidRPr="00794645">
              <w:rPr>
                <w:rFonts w:cs="Calibri"/>
                <w:bCs/>
                <w:sz w:val="24"/>
                <w:szCs w:val="24"/>
              </w:rPr>
              <w:t>)</w:t>
            </w:r>
          </w:p>
        </w:tc>
        <w:tc>
          <w:tcPr>
            <w:tcW w:w="1485"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1</w:t>
            </w:r>
            <w:r w:rsidR="004451CC">
              <w:rPr>
                <w:rFonts w:cs="Calibri"/>
                <w:bCs/>
                <w:sz w:val="24"/>
                <w:szCs w:val="24"/>
              </w:rPr>
              <w:t>49</w:t>
            </w:r>
            <w:r w:rsidRPr="00794645">
              <w:rPr>
                <w:rFonts w:cs="Calibri"/>
                <w:bCs/>
                <w:sz w:val="24"/>
                <w:szCs w:val="24"/>
              </w:rPr>
              <w:t xml:space="preserve"> (</w:t>
            </w:r>
            <w:r w:rsidR="00B229BF">
              <w:rPr>
                <w:rFonts w:cs="Calibri"/>
                <w:bCs/>
                <w:sz w:val="24"/>
                <w:szCs w:val="24"/>
              </w:rPr>
              <w:t>47</w:t>
            </w:r>
            <w:r w:rsidRPr="00794645">
              <w:rPr>
                <w:rFonts w:cs="Calibri"/>
                <w:bCs/>
                <w:sz w:val="24"/>
                <w:szCs w:val="24"/>
              </w:rPr>
              <w:t>)</w:t>
            </w:r>
          </w:p>
        </w:tc>
        <w:tc>
          <w:tcPr>
            <w:tcW w:w="1486"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1</w:t>
            </w:r>
            <w:r w:rsidR="004451CC">
              <w:rPr>
                <w:rFonts w:cs="Calibri"/>
                <w:bCs/>
                <w:sz w:val="24"/>
                <w:szCs w:val="24"/>
              </w:rPr>
              <w:t>66</w:t>
            </w:r>
            <w:r w:rsidRPr="00794645">
              <w:rPr>
                <w:rFonts w:cs="Calibri"/>
                <w:bCs/>
                <w:sz w:val="24"/>
                <w:szCs w:val="24"/>
              </w:rPr>
              <w:t xml:space="preserve"> (</w:t>
            </w:r>
            <w:r w:rsidR="00B229BF">
              <w:rPr>
                <w:rFonts w:cs="Calibri"/>
                <w:bCs/>
                <w:sz w:val="24"/>
                <w:szCs w:val="24"/>
              </w:rPr>
              <w:t>52</w:t>
            </w:r>
            <w:r w:rsidRPr="00794645">
              <w:rPr>
                <w:rFonts w:cs="Calibri"/>
                <w:bCs/>
                <w:sz w:val="24"/>
                <w:szCs w:val="24"/>
              </w:rPr>
              <w:t>)</w:t>
            </w:r>
          </w:p>
        </w:tc>
        <w:tc>
          <w:tcPr>
            <w:tcW w:w="1452"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1</w:t>
            </w:r>
            <w:r w:rsidR="004451CC">
              <w:rPr>
                <w:rFonts w:cs="Calibri"/>
                <w:bCs/>
                <w:sz w:val="24"/>
                <w:szCs w:val="24"/>
              </w:rPr>
              <w:t>78</w:t>
            </w:r>
            <w:r w:rsidRPr="00794645">
              <w:rPr>
                <w:rFonts w:cs="Calibri"/>
                <w:bCs/>
                <w:sz w:val="24"/>
                <w:szCs w:val="24"/>
              </w:rPr>
              <w:t xml:space="preserve"> (</w:t>
            </w:r>
            <w:r w:rsidR="00B229BF">
              <w:rPr>
                <w:rFonts w:cs="Calibri"/>
                <w:bCs/>
                <w:sz w:val="24"/>
                <w:szCs w:val="24"/>
              </w:rPr>
              <w:t>57</w:t>
            </w:r>
            <w:r w:rsidRPr="00794645">
              <w:rPr>
                <w:rFonts w:cs="Calibri"/>
                <w:bCs/>
                <w:sz w:val="24"/>
                <w:szCs w:val="24"/>
              </w:rPr>
              <w:t>)</w:t>
            </w:r>
          </w:p>
        </w:tc>
        <w:tc>
          <w:tcPr>
            <w:tcW w:w="1509" w:type="dxa"/>
          </w:tcPr>
          <w:p w:rsidR="005D6CB6" w:rsidRPr="00794645" w:rsidRDefault="009B0CE7" w:rsidP="00487808">
            <w:pPr>
              <w:pStyle w:val="NoSpacing"/>
              <w:spacing w:line="480" w:lineRule="auto"/>
              <w:jc w:val="center"/>
              <w:rPr>
                <w:rFonts w:cs="Calibri"/>
                <w:bCs/>
                <w:sz w:val="24"/>
                <w:szCs w:val="24"/>
              </w:rPr>
            </w:pPr>
            <w:r w:rsidRPr="00794645">
              <w:rPr>
                <w:rFonts w:cs="Calibri"/>
                <w:bCs/>
                <w:sz w:val="24"/>
                <w:szCs w:val="24"/>
              </w:rPr>
              <w:t>NS</w:t>
            </w:r>
          </w:p>
        </w:tc>
      </w:tr>
      <w:tr w:rsidR="005D6CB6" w:rsidRPr="008374A5" w:rsidTr="00123A56">
        <w:trPr>
          <w:trHeight w:val="303"/>
        </w:trPr>
        <w:tc>
          <w:tcPr>
            <w:tcW w:w="2694" w:type="dxa"/>
          </w:tcPr>
          <w:p w:rsidR="005D6CB6" w:rsidRPr="00794645" w:rsidRDefault="005D6CB6" w:rsidP="00487808">
            <w:pPr>
              <w:pStyle w:val="NoSpacing"/>
              <w:spacing w:line="480" w:lineRule="auto"/>
              <w:rPr>
                <w:rFonts w:cs="Calibri"/>
                <w:bCs/>
                <w:sz w:val="24"/>
                <w:szCs w:val="24"/>
              </w:rPr>
            </w:pPr>
            <w:r w:rsidRPr="00794645">
              <w:rPr>
                <w:rFonts w:cs="Calibri"/>
                <w:bCs/>
                <w:sz w:val="24"/>
                <w:szCs w:val="24"/>
              </w:rPr>
              <w:t xml:space="preserve">   Diabetes Mellitus</w:t>
            </w:r>
          </w:p>
        </w:tc>
        <w:tc>
          <w:tcPr>
            <w:tcW w:w="1405"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2</w:t>
            </w:r>
            <w:r w:rsidR="004451CC">
              <w:rPr>
                <w:rFonts w:cs="Calibri"/>
                <w:bCs/>
                <w:sz w:val="24"/>
                <w:szCs w:val="24"/>
              </w:rPr>
              <w:t>27</w:t>
            </w:r>
            <w:r w:rsidRPr="00794645">
              <w:rPr>
                <w:rFonts w:cs="Calibri"/>
                <w:bCs/>
                <w:sz w:val="24"/>
                <w:szCs w:val="24"/>
              </w:rPr>
              <w:t xml:space="preserve"> (2</w:t>
            </w:r>
            <w:r w:rsidR="004451CC">
              <w:rPr>
                <w:rFonts w:cs="Calibri"/>
                <w:bCs/>
                <w:sz w:val="24"/>
                <w:szCs w:val="24"/>
              </w:rPr>
              <w:t>4</w:t>
            </w:r>
            <w:r w:rsidRPr="00794645">
              <w:rPr>
                <w:rFonts w:cs="Calibri"/>
                <w:bCs/>
                <w:sz w:val="24"/>
                <w:szCs w:val="24"/>
              </w:rPr>
              <w:t>)</w:t>
            </w:r>
          </w:p>
        </w:tc>
        <w:tc>
          <w:tcPr>
            <w:tcW w:w="1485" w:type="dxa"/>
          </w:tcPr>
          <w:p w:rsidR="005D6CB6" w:rsidRPr="00794645" w:rsidRDefault="004451CC" w:rsidP="00487808">
            <w:pPr>
              <w:pStyle w:val="NoSpacing"/>
              <w:spacing w:line="480" w:lineRule="auto"/>
              <w:jc w:val="center"/>
              <w:rPr>
                <w:rFonts w:cs="Calibri"/>
                <w:bCs/>
                <w:sz w:val="24"/>
                <w:szCs w:val="24"/>
              </w:rPr>
            </w:pPr>
            <w:r>
              <w:rPr>
                <w:rFonts w:cs="Calibri"/>
                <w:bCs/>
                <w:sz w:val="24"/>
                <w:szCs w:val="24"/>
              </w:rPr>
              <w:t>74</w:t>
            </w:r>
            <w:r w:rsidR="005D6CB6" w:rsidRPr="00794645">
              <w:rPr>
                <w:rFonts w:cs="Calibri"/>
                <w:bCs/>
                <w:sz w:val="24"/>
                <w:szCs w:val="24"/>
              </w:rPr>
              <w:t xml:space="preserve"> (</w:t>
            </w:r>
            <w:r>
              <w:rPr>
                <w:rFonts w:cs="Calibri"/>
                <w:bCs/>
                <w:sz w:val="24"/>
                <w:szCs w:val="24"/>
              </w:rPr>
              <w:t>23</w:t>
            </w:r>
            <w:r w:rsidR="005D6CB6" w:rsidRPr="00794645">
              <w:rPr>
                <w:rFonts w:cs="Calibri"/>
                <w:bCs/>
                <w:sz w:val="24"/>
                <w:szCs w:val="24"/>
              </w:rPr>
              <w:t>)</w:t>
            </w:r>
          </w:p>
        </w:tc>
        <w:tc>
          <w:tcPr>
            <w:tcW w:w="1486" w:type="dxa"/>
          </w:tcPr>
          <w:p w:rsidR="005D6CB6" w:rsidRPr="00794645" w:rsidRDefault="005D6CB6" w:rsidP="00487808">
            <w:pPr>
              <w:pStyle w:val="NoSpacing"/>
              <w:spacing w:line="480" w:lineRule="auto"/>
              <w:jc w:val="center"/>
              <w:rPr>
                <w:rFonts w:cs="Calibri"/>
                <w:bCs/>
                <w:sz w:val="24"/>
                <w:szCs w:val="24"/>
              </w:rPr>
            </w:pPr>
            <w:r>
              <w:rPr>
                <w:rFonts w:cs="Calibri"/>
                <w:bCs/>
                <w:sz w:val="24"/>
                <w:szCs w:val="24"/>
              </w:rPr>
              <w:t>7</w:t>
            </w:r>
            <w:r w:rsidR="004451CC">
              <w:rPr>
                <w:rFonts w:cs="Calibri"/>
                <w:bCs/>
                <w:sz w:val="24"/>
                <w:szCs w:val="24"/>
              </w:rPr>
              <w:t>6</w:t>
            </w:r>
            <w:r w:rsidRPr="00794645">
              <w:rPr>
                <w:rFonts w:cs="Calibri"/>
                <w:bCs/>
                <w:sz w:val="24"/>
                <w:szCs w:val="24"/>
              </w:rPr>
              <w:t xml:space="preserve"> (2</w:t>
            </w:r>
            <w:r w:rsidR="004451CC">
              <w:rPr>
                <w:rFonts w:cs="Calibri"/>
                <w:bCs/>
                <w:sz w:val="24"/>
                <w:szCs w:val="24"/>
              </w:rPr>
              <w:t>4</w:t>
            </w:r>
            <w:r w:rsidRPr="00794645">
              <w:rPr>
                <w:rFonts w:cs="Calibri"/>
                <w:bCs/>
                <w:sz w:val="24"/>
                <w:szCs w:val="24"/>
              </w:rPr>
              <w:t>)</w:t>
            </w:r>
          </w:p>
        </w:tc>
        <w:tc>
          <w:tcPr>
            <w:tcW w:w="1452" w:type="dxa"/>
          </w:tcPr>
          <w:p w:rsidR="005D6CB6" w:rsidRPr="00794645" w:rsidRDefault="004451CC" w:rsidP="00487808">
            <w:pPr>
              <w:pStyle w:val="NoSpacing"/>
              <w:spacing w:line="480" w:lineRule="auto"/>
              <w:jc w:val="center"/>
              <w:rPr>
                <w:rFonts w:cs="Calibri"/>
                <w:bCs/>
                <w:sz w:val="24"/>
                <w:szCs w:val="24"/>
              </w:rPr>
            </w:pPr>
            <w:r>
              <w:rPr>
                <w:rFonts w:cs="Calibri"/>
                <w:bCs/>
                <w:sz w:val="24"/>
                <w:szCs w:val="24"/>
              </w:rPr>
              <w:t>77</w:t>
            </w:r>
            <w:r w:rsidR="005D6CB6" w:rsidRPr="00794645">
              <w:rPr>
                <w:rFonts w:cs="Calibri"/>
                <w:bCs/>
                <w:sz w:val="24"/>
                <w:szCs w:val="24"/>
              </w:rPr>
              <w:t xml:space="preserve"> (</w:t>
            </w:r>
            <w:r w:rsidR="005D6CB6">
              <w:rPr>
                <w:rFonts w:cs="Calibri"/>
                <w:bCs/>
                <w:sz w:val="24"/>
                <w:szCs w:val="24"/>
              </w:rPr>
              <w:t>2</w:t>
            </w:r>
            <w:r>
              <w:rPr>
                <w:rFonts w:cs="Calibri"/>
                <w:bCs/>
                <w:sz w:val="24"/>
                <w:szCs w:val="24"/>
              </w:rPr>
              <w:t>4</w:t>
            </w:r>
            <w:r w:rsidR="005D6CB6" w:rsidRPr="00794645">
              <w:rPr>
                <w:rFonts w:cs="Calibri"/>
                <w:bCs/>
                <w:sz w:val="24"/>
                <w:szCs w:val="24"/>
              </w:rPr>
              <w:t>)</w:t>
            </w:r>
          </w:p>
        </w:tc>
        <w:tc>
          <w:tcPr>
            <w:tcW w:w="1509" w:type="dxa"/>
          </w:tcPr>
          <w:p w:rsidR="005D6CB6" w:rsidRPr="00794645" w:rsidRDefault="009B0CE7" w:rsidP="00487808">
            <w:pPr>
              <w:pStyle w:val="NoSpacing"/>
              <w:spacing w:line="480" w:lineRule="auto"/>
              <w:jc w:val="center"/>
              <w:rPr>
                <w:rFonts w:cs="Calibri"/>
                <w:bCs/>
                <w:sz w:val="24"/>
                <w:szCs w:val="24"/>
              </w:rPr>
            </w:pPr>
            <w:r w:rsidRPr="00794645">
              <w:rPr>
                <w:rFonts w:cs="Calibri"/>
                <w:bCs/>
                <w:sz w:val="24"/>
                <w:szCs w:val="24"/>
              </w:rPr>
              <w:t>NS</w:t>
            </w:r>
          </w:p>
        </w:tc>
      </w:tr>
      <w:tr w:rsidR="005D6CB6" w:rsidRPr="008374A5" w:rsidTr="00123A56">
        <w:trPr>
          <w:trHeight w:val="298"/>
        </w:trPr>
        <w:tc>
          <w:tcPr>
            <w:tcW w:w="2694" w:type="dxa"/>
          </w:tcPr>
          <w:p w:rsidR="005D6CB6" w:rsidRPr="00794645" w:rsidRDefault="005D6CB6" w:rsidP="00487808">
            <w:pPr>
              <w:pStyle w:val="NoSpacing"/>
              <w:spacing w:line="480" w:lineRule="auto"/>
              <w:ind w:left="142"/>
              <w:rPr>
                <w:rFonts w:cs="Calibri"/>
                <w:bCs/>
                <w:sz w:val="24"/>
                <w:szCs w:val="24"/>
              </w:rPr>
            </w:pPr>
            <w:proofErr w:type="spellStart"/>
            <w:r w:rsidRPr="00794645">
              <w:rPr>
                <w:rFonts w:cs="Calibri"/>
                <w:bCs/>
                <w:sz w:val="24"/>
                <w:szCs w:val="24"/>
              </w:rPr>
              <w:t>Killip</w:t>
            </w:r>
            <w:proofErr w:type="spellEnd"/>
            <w:r w:rsidRPr="00794645">
              <w:rPr>
                <w:rFonts w:cs="Calibri"/>
                <w:bCs/>
                <w:sz w:val="24"/>
                <w:szCs w:val="24"/>
              </w:rPr>
              <w:t xml:space="preserve"> Class&gt;1</w:t>
            </w:r>
          </w:p>
        </w:tc>
        <w:tc>
          <w:tcPr>
            <w:tcW w:w="1405" w:type="dxa"/>
          </w:tcPr>
          <w:p w:rsidR="005D6CB6" w:rsidRPr="00794645" w:rsidRDefault="00D01E80" w:rsidP="00487808">
            <w:pPr>
              <w:pStyle w:val="NoSpacing"/>
              <w:spacing w:line="480" w:lineRule="auto"/>
              <w:jc w:val="center"/>
              <w:rPr>
                <w:rFonts w:cs="Calibri"/>
                <w:bCs/>
                <w:sz w:val="24"/>
                <w:szCs w:val="24"/>
              </w:rPr>
            </w:pPr>
            <w:r>
              <w:rPr>
                <w:rFonts w:cs="Calibri"/>
                <w:bCs/>
                <w:sz w:val="24"/>
                <w:szCs w:val="24"/>
              </w:rPr>
              <w:t>390</w:t>
            </w:r>
            <w:r w:rsidR="005D6CB6" w:rsidRPr="00794645">
              <w:rPr>
                <w:rFonts w:cs="Calibri"/>
                <w:bCs/>
                <w:sz w:val="24"/>
                <w:szCs w:val="24"/>
              </w:rPr>
              <w:t xml:space="preserve"> (4</w:t>
            </w:r>
            <w:r>
              <w:rPr>
                <w:rFonts w:cs="Calibri"/>
                <w:bCs/>
                <w:sz w:val="24"/>
                <w:szCs w:val="24"/>
              </w:rPr>
              <w:t>1</w:t>
            </w:r>
            <w:r w:rsidR="005D6CB6" w:rsidRPr="00794645">
              <w:rPr>
                <w:rFonts w:cs="Calibri"/>
                <w:bCs/>
                <w:sz w:val="24"/>
                <w:szCs w:val="24"/>
              </w:rPr>
              <w:t>)</w:t>
            </w:r>
          </w:p>
        </w:tc>
        <w:tc>
          <w:tcPr>
            <w:tcW w:w="1485" w:type="dxa"/>
          </w:tcPr>
          <w:p w:rsidR="005D6CB6" w:rsidRPr="00794645" w:rsidRDefault="00D01E80" w:rsidP="00487808">
            <w:pPr>
              <w:pStyle w:val="NoSpacing"/>
              <w:spacing w:line="480" w:lineRule="auto"/>
              <w:jc w:val="center"/>
              <w:rPr>
                <w:rFonts w:cs="Calibri"/>
                <w:bCs/>
                <w:sz w:val="24"/>
                <w:szCs w:val="24"/>
              </w:rPr>
            </w:pPr>
            <w:r>
              <w:rPr>
                <w:rFonts w:cs="Calibri"/>
                <w:bCs/>
                <w:sz w:val="24"/>
                <w:szCs w:val="24"/>
              </w:rPr>
              <w:t>112</w:t>
            </w:r>
            <w:r w:rsidR="005D6CB6" w:rsidRPr="00794645">
              <w:rPr>
                <w:rFonts w:cs="Calibri"/>
                <w:bCs/>
                <w:sz w:val="24"/>
                <w:szCs w:val="24"/>
              </w:rPr>
              <w:t xml:space="preserve"> (</w:t>
            </w:r>
            <w:r>
              <w:rPr>
                <w:rFonts w:cs="Calibri"/>
                <w:bCs/>
                <w:sz w:val="24"/>
                <w:szCs w:val="24"/>
              </w:rPr>
              <w:t>36</w:t>
            </w:r>
            <w:r w:rsidR="005D6CB6" w:rsidRPr="00794645">
              <w:rPr>
                <w:rFonts w:cs="Calibri"/>
                <w:bCs/>
                <w:sz w:val="24"/>
                <w:szCs w:val="24"/>
              </w:rPr>
              <w:t>)</w:t>
            </w:r>
          </w:p>
        </w:tc>
        <w:tc>
          <w:tcPr>
            <w:tcW w:w="1486" w:type="dxa"/>
          </w:tcPr>
          <w:p w:rsidR="005D6CB6" w:rsidRPr="00794645" w:rsidRDefault="00D01E80" w:rsidP="00487808">
            <w:pPr>
              <w:pStyle w:val="NoSpacing"/>
              <w:spacing w:line="480" w:lineRule="auto"/>
              <w:jc w:val="center"/>
              <w:rPr>
                <w:rFonts w:cs="Calibri"/>
                <w:bCs/>
                <w:sz w:val="24"/>
                <w:szCs w:val="24"/>
              </w:rPr>
            </w:pPr>
            <w:r>
              <w:rPr>
                <w:rFonts w:cs="Calibri"/>
                <w:bCs/>
                <w:sz w:val="24"/>
                <w:szCs w:val="24"/>
              </w:rPr>
              <w:t>138</w:t>
            </w:r>
            <w:r w:rsidR="005D6CB6" w:rsidRPr="00794645">
              <w:rPr>
                <w:rFonts w:cs="Calibri"/>
                <w:bCs/>
                <w:sz w:val="24"/>
                <w:szCs w:val="24"/>
              </w:rPr>
              <w:t xml:space="preserve"> (</w:t>
            </w:r>
            <w:r>
              <w:rPr>
                <w:rFonts w:cs="Calibri"/>
                <w:bCs/>
                <w:sz w:val="24"/>
                <w:szCs w:val="24"/>
              </w:rPr>
              <w:t>43</w:t>
            </w:r>
            <w:r w:rsidR="005D6CB6" w:rsidRPr="00794645">
              <w:rPr>
                <w:rFonts w:cs="Calibri"/>
                <w:bCs/>
                <w:sz w:val="24"/>
                <w:szCs w:val="24"/>
              </w:rPr>
              <w:t>)</w:t>
            </w:r>
          </w:p>
        </w:tc>
        <w:tc>
          <w:tcPr>
            <w:tcW w:w="1452"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1</w:t>
            </w:r>
            <w:r w:rsidR="00D01E80">
              <w:rPr>
                <w:rFonts w:cs="Calibri"/>
                <w:bCs/>
                <w:sz w:val="24"/>
                <w:szCs w:val="24"/>
              </w:rPr>
              <w:t>40</w:t>
            </w:r>
            <w:r w:rsidRPr="00794645">
              <w:rPr>
                <w:rFonts w:cs="Calibri"/>
                <w:bCs/>
                <w:sz w:val="24"/>
                <w:szCs w:val="24"/>
              </w:rPr>
              <w:t xml:space="preserve"> (</w:t>
            </w:r>
            <w:r w:rsidR="00D01E80">
              <w:rPr>
                <w:rFonts w:cs="Calibri"/>
                <w:bCs/>
                <w:sz w:val="24"/>
                <w:szCs w:val="24"/>
              </w:rPr>
              <w:t>45</w:t>
            </w:r>
            <w:r w:rsidRPr="00794645">
              <w:rPr>
                <w:rFonts w:cs="Calibri"/>
                <w:bCs/>
                <w:sz w:val="24"/>
                <w:szCs w:val="24"/>
              </w:rPr>
              <w:t>)</w:t>
            </w:r>
          </w:p>
        </w:tc>
        <w:tc>
          <w:tcPr>
            <w:tcW w:w="1509" w:type="dxa"/>
          </w:tcPr>
          <w:p w:rsidR="005D6CB6" w:rsidRPr="00794645" w:rsidRDefault="005D6CB6" w:rsidP="009B0CE7">
            <w:pPr>
              <w:pStyle w:val="NoSpacing"/>
              <w:spacing w:line="480" w:lineRule="auto"/>
              <w:jc w:val="center"/>
              <w:rPr>
                <w:rFonts w:cs="Calibri"/>
                <w:bCs/>
                <w:sz w:val="24"/>
                <w:szCs w:val="24"/>
              </w:rPr>
            </w:pPr>
            <w:r w:rsidRPr="00794645">
              <w:rPr>
                <w:rFonts w:cs="Calibri"/>
                <w:bCs/>
                <w:sz w:val="24"/>
                <w:szCs w:val="24"/>
              </w:rPr>
              <w:t>&lt;0.0</w:t>
            </w:r>
            <w:r>
              <w:rPr>
                <w:rFonts w:cs="Calibri"/>
                <w:bCs/>
                <w:sz w:val="24"/>
                <w:szCs w:val="24"/>
              </w:rPr>
              <w:t>5</w:t>
            </w:r>
          </w:p>
        </w:tc>
      </w:tr>
      <w:tr w:rsidR="005D6CB6" w:rsidRPr="008374A5" w:rsidTr="00123A56">
        <w:trPr>
          <w:trHeight w:val="298"/>
        </w:trPr>
        <w:tc>
          <w:tcPr>
            <w:tcW w:w="2694" w:type="dxa"/>
          </w:tcPr>
          <w:p w:rsidR="005D6CB6" w:rsidRPr="00794645" w:rsidRDefault="005D6CB6" w:rsidP="00487808">
            <w:pPr>
              <w:pStyle w:val="NoSpacing"/>
              <w:spacing w:line="480" w:lineRule="auto"/>
              <w:rPr>
                <w:rFonts w:cs="Calibri"/>
                <w:bCs/>
                <w:sz w:val="24"/>
                <w:szCs w:val="24"/>
              </w:rPr>
            </w:pPr>
            <w:r w:rsidRPr="00794645">
              <w:rPr>
                <w:rFonts w:cs="Calibri"/>
                <w:bCs/>
                <w:sz w:val="24"/>
                <w:szCs w:val="24"/>
              </w:rPr>
              <w:t xml:space="preserve">   Glucose (</w:t>
            </w:r>
            <w:proofErr w:type="spellStart"/>
            <w:r w:rsidRPr="00794645">
              <w:rPr>
                <w:rFonts w:cs="Calibri"/>
                <w:bCs/>
                <w:sz w:val="24"/>
                <w:szCs w:val="24"/>
              </w:rPr>
              <w:t>mmol</w:t>
            </w:r>
            <w:proofErr w:type="spellEnd"/>
            <w:r w:rsidRPr="00794645">
              <w:rPr>
                <w:rFonts w:cs="Calibri"/>
                <w:bCs/>
                <w:sz w:val="24"/>
                <w:szCs w:val="24"/>
              </w:rPr>
              <w:t xml:space="preserve">/L) </w:t>
            </w:r>
          </w:p>
        </w:tc>
        <w:tc>
          <w:tcPr>
            <w:tcW w:w="1405"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8.</w:t>
            </w:r>
            <w:r w:rsidR="00D864E2">
              <w:rPr>
                <w:rFonts w:cs="Calibri"/>
                <w:bCs/>
                <w:sz w:val="24"/>
                <w:szCs w:val="24"/>
              </w:rPr>
              <w:t>8</w:t>
            </w:r>
            <w:r w:rsidRPr="00794645">
              <w:rPr>
                <w:rFonts w:cs="Calibri"/>
                <w:bCs/>
                <w:sz w:val="24"/>
                <w:szCs w:val="24"/>
              </w:rPr>
              <w:t xml:space="preserve"> ± 4.2</w:t>
            </w:r>
          </w:p>
        </w:tc>
        <w:tc>
          <w:tcPr>
            <w:tcW w:w="1485"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8.</w:t>
            </w:r>
            <w:r w:rsidR="00D864E2">
              <w:rPr>
                <w:rFonts w:cs="Calibri"/>
                <w:bCs/>
                <w:sz w:val="24"/>
                <w:szCs w:val="24"/>
              </w:rPr>
              <w:t>3</w:t>
            </w:r>
            <w:r w:rsidRPr="00794645">
              <w:rPr>
                <w:rFonts w:cs="Calibri"/>
                <w:bCs/>
                <w:sz w:val="24"/>
                <w:szCs w:val="24"/>
              </w:rPr>
              <w:t xml:space="preserve"> ± 3.</w:t>
            </w:r>
            <w:r w:rsidR="00D864E2">
              <w:rPr>
                <w:rFonts w:cs="Calibri"/>
                <w:bCs/>
                <w:sz w:val="24"/>
                <w:szCs w:val="24"/>
              </w:rPr>
              <w:t>4</w:t>
            </w:r>
          </w:p>
        </w:tc>
        <w:tc>
          <w:tcPr>
            <w:tcW w:w="1486" w:type="dxa"/>
          </w:tcPr>
          <w:p w:rsidR="005D6CB6" w:rsidRPr="00794645" w:rsidRDefault="005D6CB6" w:rsidP="00487808">
            <w:pPr>
              <w:pStyle w:val="NoSpacing"/>
              <w:spacing w:line="480" w:lineRule="auto"/>
              <w:jc w:val="center"/>
              <w:rPr>
                <w:rFonts w:cs="Calibri"/>
                <w:bCs/>
                <w:sz w:val="24"/>
                <w:szCs w:val="24"/>
              </w:rPr>
            </w:pPr>
            <w:r w:rsidRPr="00794645">
              <w:rPr>
                <w:rFonts w:cs="Calibri"/>
                <w:bCs/>
                <w:sz w:val="24"/>
                <w:szCs w:val="24"/>
              </w:rPr>
              <w:t>8.</w:t>
            </w:r>
            <w:r w:rsidR="00D864E2">
              <w:rPr>
                <w:rFonts w:cs="Calibri"/>
                <w:bCs/>
                <w:sz w:val="24"/>
                <w:szCs w:val="24"/>
              </w:rPr>
              <w:t>8</w:t>
            </w:r>
            <w:r w:rsidRPr="00794645">
              <w:rPr>
                <w:rFonts w:cs="Calibri"/>
                <w:bCs/>
                <w:sz w:val="24"/>
                <w:szCs w:val="24"/>
              </w:rPr>
              <w:t xml:space="preserve"> ± 3.</w:t>
            </w:r>
            <w:r w:rsidR="00D864E2">
              <w:rPr>
                <w:rFonts w:cs="Calibri"/>
                <w:bCs/>
                <w:sz w:val="24"/>
                <w:szCs w:val="24"/>
              </w:rPr>
              <w:t>8</w:t>
            </w:r>
          </w:p>
        </w:tc>
        <w:tc>
          <w:tcPr>
            <w:tcW w:w="1452" w:type="dxa"/>
          </w:tcPr>
          <w:p w:rsidR="005D6CB6" w:rsidRPr="00794645" w:rsidRDefault="005D6CB6" w:rsidP="00487808">
            <w:pPr>
              <w:pStyle w:val="NoSpacing"/>
              <w:spacing w:line="480" w:lineRule="auto"/>
              <w:jc w:val="center"/>
              <w:rPr>
                <w:rFonts w:cs="Calibri"/>
                <w:bCs/>
                <w:sz w:val="24"/>
                <w:szCs w:val="24"/>
              </w:rPr>
            </w:pPr>
            <w:r>
              <w:rPr>
                <w:rFonts w:cs="Calibri"/>
                <w:bCs/>
                <w:sz w:val="24"/>
                <w:szCs w:val="24"/>
              </w:rPr>
              <w:t>9.</w:t>
            </w:r>
            <w:r w:rsidR="00D864E2">
              <w:rPr>
                <w:rFonts w:cs="Calibri"/>
                <w:bCs/>
                <w:sz w:val="24"/>
                <w:szCs w:val="24"/>
              </w:rPr>
              <w:t>5</w:t>
            </w:r>
            <w:r w:rsidRPr="00794645">
              <w:rPr>
                <w:rFonts w:cs="Calibri"/>
                <w:bCs/>
                <w:sz w:val="24"/>
                <w:szCs w:val="24"/>
              </w:rPr>
              <w:t xml:space="preserve"> ± </w:t>
            </w:r>
            <w:r w:rsidR="00D864E2">
              <w:rPr>
                <w:rFonts w:cs="Calibri"/>
                <w:bCs/>
                <w:sz w:val="24"/>
                <w:szCs w:val="24"/>
              </w:rPr>
              <w:t>4.9</w:t>
            </w:r>
          </w:p>
        </w:tc>
        <w:tc>
          <w:tcPr>
            <w:tcW w:w="1509" w:type="dxa"/>
          </w:tcPr>
          <w:p w:rsidR="005D6CB6" w:rsidRPr="00794645" w:rsidRDefault="005D6CB6" w:rsidP="00DF65EA">
            <w:pPr>
              <w:pStyle w:val="NoSpacing"/>
              <w:spacing w:line="480" w:lineRule="auto"/>
              <w:jc w:val="center"/>
              <w:rPr>
                <w:rFonts w:cs="Calibri"/>
                <w:bCs/>
                <w:sz w:val="24"/>
                <w:szCs w:val="24"/>
              </w:rPr>
            </w:pPr>
            <w:r w:rsidRPr="00794645">
              <w:rPr>
                <w:rFonts w:cs="Calibri"/>
                <w:bCs/>
                <w:sz w:val="24"/>
                <w:szCs w:val="24"/>
              </w:rPr>
              <w:t>&lt;0.0</w:t>
            </w:r>
            <w:r w:rsidR="00DF65EA">
              <w:rPr>
                <w:rFonts w:cs="Calibri"/>
                <w:bCs/>
                <w:sz w:val="24"/>
                <w:szCs w:val="24"/>
              </w:rPr>
              <w:t>21</w:t>
            </w:r>
          </w:p>
        </w:tc>
      </w:tr>
      <w:tr w:rsidR="009B0CE7" w:rsidRPr="008374A5" w:rsidTr="00123A56">
        <w:trPr>
          <w:trHeight w:val="298"/>
        </w:trPr>
        <w:tc>
          <w:tcPr>
            <w:tcW w:w="2694" w:type="dxa"/>
          </w:tcPr>
          <w:p w:rsidR="009B0CE7" w:rsidRPr="00794645" w:rsidRDefault="009B0CE7" w:rsidP="009B0CE7">
            <w:pPr>
              <w:pStyle w:val="NoSpacing"/>
              <w:spacing w:line="480" w:lineRule="auto"/>
              <w:rPr>
                <w:rFonts w:cs="Calibri"/>
                <w:bCs/>
                <w:sz w:val="24"/>
                <w:szCs w:val="24"/>
              </w:rPr>
            </w:pPr>
            <w:r w:rsidRPr="00794645">
              <w:rPr>
                <w:rFonts w:cs="Calibri"/>
                <w:bCs/>
                <w:sz w:val="24"/>
                <w:szCs w:val="24"/>
              </w:rPr>
              <w:t xml:space="preserve">   Troponin I (</w:t>
            </w:r>
            <w:proofErr w:type="spellStart"/>
            <w:r w:rsidR="004A53F8" w:rsidRPr="008374A5">
              <w:rPr>
                <w:rFonts w:ascii="Times New Roman" w:hAnsi="Times New Roman"/>
                <w:sz w:val="24"/>
                <w:szCs w:val="24"/>
                <w:lang w:eastAsia="en-GB"/>
              </w:rPr>
              <w:t>μg</w:t>
            </w:r>
            <w:proofErr w:type="spellEnd"/>
            <w:r w:rsidR="004A53F8" w:rsidRPr="008374A5">
              <w:rPr>
                <w:rFonts w:ascii="Times New Roman" w:hAnsi="Times New Roman"/>
                <w:sz w:val="24"/>
                <w:szCs w:val="24"/>
                <w:lang w:eastAsia="en-GB"/>
              </w:rPr>
              <w:t>/L</w:t>
            </w:r>
            <w:r w:rsidRPr="00794645">
              <w:rPr>
                <w:rFonts w:cs="Calibri"/>
                <w:bCs/>
                <w:sz w:val="24"/>
                <w:szCs w:val="24"/>
              </w:rPr>
              <w:t>)</w:t>
            </w:r>
          </w:p>
        </w:tc>
        <w:tc>
          <w:tcPr>
            <w:tcW w:w="1405"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1</w:t>
            </w:r>
            <w:r>
              <w:rPr>
                <w:rFonts w:cs="Calibri"/>
                <w:bCs/>
                <w:sz w:val="24"/>
                <w:szCs w:val="24"/>
              </w:rPr>
              <w:t>2.5</w:t>
            </w:r>
            <w:r w:rsidRPr="00794645">
              <w:rPr>
                <w:rFonts w:cs="Calibri"/>
                <w:bCs/>
                <w:sz w:val="24"/>
                <w:szCs w:val="24"/>
              </w:rPr>
              <w:t xml:space="preserve"> ± 2</w:t>
            </w:r>
            <w:r>
              <w:rPr>
                <w:rFonts w:cs="Calibri"/>
                <w:bCs/>
                <w:sz w:val="24"/>
                <w:szCs w:val="24"/>
              </w:rPr>
              <w:t>4.6</w:t>
            </w:r>
          </w:p>
        </w:tc>
        <w:tc>
          <w:tcPr>
            <w:tcW w:w="1485"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9.2</w:t>
            </w:r>
            <w:r w:rsidRPr="00794645">
              <w:rPr>
                <w:rFonts w:cs="Calibri"/>
                <w:bCs/>
                <w:sz w:val="24"/>
                <w:szCs w:val="24"/>
              </w:rPr>
              <w:t xml:space="preserve"> ± 2</w:t>
            </w:r>
            <w:r>
              <w:rPr>
                <w:rFonts w:cs="Calibri"/>
                <w:bCs/>
                <w:sz w:val="24"/>
                <w:szCs w:val="24"/>
              </w:rPr>
              <w:t>0.3</w:t>
            </w:r>
          </w:p>
        </w:tc>
        <w:tc>
          <w:tcPr>
            <w:tcW w:w="1486"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1</w:t>
            </w:r>
            <w:r>
              <w:rPr>
                <w:rFonts w:cs="Calibri"/>
                <w:bCs/>
                <w:sz w:val="24"/>
                <w:szCs w:val="24"/>
              </w:rPr>
              <w:t>4.0</w:t>
            </w:r>
            <w:r w:rsidRPr="00794645">
              <w:rPr>
                <w:rFonts w:cs="Calibri"/>
                <w:bCs/>
                <w:sz w:val="24"/>
                <w:szCs w:val="24"/>
              </w:rPr>
              <w:t xml:space="preserve"> ± 2</w:t>
            </w:r>
            <w:r>
              <w:rPr>
                <w:rFonts w:cs="Calibri"/>
                <w:bCs/>
                <w:sz w:val="24"/>
                <w:szCs w:val="24"/>
              </w:rPr>
              <w:t>5.6</w:t>
            </w:r>
          </w:p>
        </w:tc>
        <w:tc>
          <w:tcPr>
            <w:tcW w:w="1452"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1</w:t>
            </w:r>
            <w:r>
              <w:rPr>
                <w:rFonts w:cs="Calibri"/>
                <w:bCs/>
                <w:sz w:val="24"/>
                <w:szCs w:val="24"/>
              </w:rPr>
              <w:t>4.4</w:t>
            </w:r>
            <w:r w:rsidRPr="00794645">
              <w:rPr>
                <w:rFonts w:cs="Calibri"/>
                <w:bCs/>
                <w:sz w:val="24"/>
                <w:szCs w:val="24"/>
              </w:rPr>
              <w:t xml:space="preserve"> ± 2</w:t>
            </w:r>
            <w:r>
              <w:rPr>
                <w:rFonts w:cs="Calibri"/>
                <w:bCs/>
                <w:sz w:val="24"/>
                <w:szCs w:val="24"/>
              </w:rPr>
              <w:t>7.2</w:t>
            </w:r>
          </w:p>
        </w:tc>
        <w:tc>
          <w:tcPr>
            <w:tcW w:w="1509"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&lt;0.00</w:t>
            </w:r>
            <w:r>
              <w:rPr>
                <w:rFonts w:cs="Calibri"/>
                <w:bCs/>
                <w:sz w:val="24"/>
                <w:szCs w:val="24"/>
              </w:rPr>
              <w:t>05</w:t>
            </w:r>
          </w:p>
        </w:tc>
      </w:tr>
      <w:tr w:rsidR="009B0CE7" w:rsidRPr="008374A5" w:rsidTr="00123A56">
        <w:trPr>
          <w:trHeight w:val="257"/>
        </w:trPr>
        <w:tc>
          <w:tcPr>
            <w:tcW w:w="2694" w:type="dxa"/>
            <w:tcFitText/>
          </w:tcPr>
          <w:p w:rsidR="009B0CE7" w:rsidRPr="00794645" w:rsidRDefault="009B0CE7" w:rsidP="009B0CE7">
            <w:pPr>
              <w:pStyle w:val="NoSpacing"/>
              <w:spacing w:line="480" w:lineRule="auto"/>
              <w:rPr>
                <w:rFonts w:cs="Calibri"/>
                <w:bCs/>
                <w:sz w:val="24"/>
                <w:szCs w:val="24"/>
              </w:rPr>
            </w:pPr>
            <w:r w:rsidRPr="00C2453D">
              <w:rPr>
                <w:rFonts w:cs="Calibri"/>
                <w:bCs/>
                <w:sz w:val="24"/>
                <w:szCs w:val="24"/>
                <w:lang w:val="de-DE"/>
              </w:rPr>
              <w:t xml:space="preserve">   eGFR (ml/min/1.73m</w:t>
            </w:r>
            <w:r w:rsidRPr="00C2453D">
              <w:rPr>
                <w:rFonts w:cs="Calibri"/>
                <w:bCs/>
                <w:sz w:val="24"/>
                <w:szCs w:val="24"/>
                <w:vertAlign w:val="superscript"/>
                <w:lang w:val="de-DE"/>
              </w:rPr>
              <w:t>2</w:t>
            </w:r>
            <w:r w:rsidRPr="00C2453D">
              <w:rPr>
                <w:rFonts w:cs="Calibri"/>
                <w:bCs/>
                <w:spacing w:val="45"/>
                <w:sz w:val="24"/>
                <w:szCs w:val="24"/>
                <w:lang w:val="de-DE"/>
              </w:rPr>
              <w:t>)</w:t>
            </w:r>
          </w:p>
        </w:tc>
        <w:tc>
          <w:tcPr>
            <w:tcW w:w="1405"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6</w:t>
            </w:r>
            <w:r>
              <w:rPr>
                <w:rFonts w:cs="Calibri"/>
                <w:bCs/>
                <w:sz w:val="24"/>
                <w:szCs w:val="24"/>
              </w:rPr>
              <w:t>6.2</w:t>
            </w:r>
            <w:r w:rsidRPr="00794645">
              <w:rPr>
                <w:rFonts w:cs="Calibri"/>
                <w:bCs/>
                <w:sz w:val="24"/>
                <w:szCs w:val="24"/>
              </w:rPr>
              <w:t xml:space="preserve"> ± </w:t>
            </w:r>
            <w:r>
              <w:rPr>
                <w:rFonts w:cs="Calibri"/>
                <w:bCs/>
                <w:sz w:val="24"/>
                <w:szCs w:val="24"/>
              </w:rPr>
              <w:t>19.9</w:t>
            </w:r>
          </w:p>
        </w:tc>
        <w:tc>
          <w:tcPr>
            <w:tcW w:w="1485"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7</w:t>
            </w:r>
            <w:r>
              <w:rPr>
                <w:rFonts w:cs="Calibri"/>
                <w:bCs/>
                <w:sz w:val="24"/>
                <w:szCs w:val="24"/>
              </w:rPr>
              <w:t>1.1</w:t>
            </w:r>
            <w:r w:rsidRPr="00794645">
              <w:rPr>
                <w:rFonts w:cs="Calibri"/>
                <w:bCs/>
                <w:sz w:val="24"/>
                <w:szCs w:val="24"/>
              </w:rPr>
              <w:t xml:space="preserve"> ± 1</w:t>
            </w:r>
            <w:r>
              <w:rPr>
                <w:rFonts w:cs="Calibri"/>
                <w:bCs/>
                <w:sz w:val="24"/>
                <w:szCs w:val="24"/>
              </w:rPr>
              <w:t>6.9</w:t>
            </w:r>
          </w:p>
        </w:tc>
        <w:tc>
          <w:tcPr>
            <w:tcW w:w="1486"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64.1</w:t>
            </w:r>
            <w:r w:rsidRPr="00794645">
              <w:rPr>
                <w:rFonts w:cs="Calibri"/>
                <w:bCs/>
                <w:sz w:val="24"/>
                <w:szCs w:val="24"/>
              </w:rPr>
              <w:t xml:space="preserve"> ± 1</w:t>
            </w:r>
            <w:r>
              <w:rPr>
                <w:rFonts w:cs="Calibri"/>
                <w:bCs/>
                <w:sz w:val="24"/>
                <w:szCs w:val="24"/>
              </w:rPr>
              <w:t>9.0</w:t>
            </w:r>
          </w:p>
        </w:tc>
        <w:tc>
          <w:tcPr>
            <w:tcW w:w="1452"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63.5 ± 22.4</w:t>
            </w:r>
          </w:p>
        </w:tc>
        <w:tc>
          <w:tcPr>
            <w:tcW w:w="1509"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&lt;0.00</w:t>
            </w:r>
            <w:r>
              <w:rPr>
                <w:rFonts w:cs="Calibri"/>
                <w:bCs/>
                <w:sz w:val="24"/>
                <w:szCs w:val="24"/>
              </w:rPr>
              <w:t>05</w:t>
            </w:r>
          </w:p>
        </w:tc>
      </w:tr>
      <w:tr w:rsidR="006F0BA4" w:rsidRPr="008374A5" w:rsidTr="00123A56">
        <w:trPr>
          <w:trHeight w:val="269"/>
        </w:trPr>
        <w:tc>
          <w:tcPr>
            <w:tcW w:w="2694" w:type="dxa"/>
          </w:tcPr>
          <w:p w:rsidR="006F0BA4" w:rsidRDefault="006F0BA4" w:rsidP="009B0CE7">
            <w:pPr>
              <w:pStyle w:val="NoSpacing"/>
              <w:rPr>
                <w:rFonts w:cs="Calibri"/>
                <w:b/>
                <w:bCs/>
                <w:sz w:val="24"/>
                <w:szCs w:val="24"/>
              </w:rPr>
            </w:pPr>
          </w:p>
        </w:tc>
        <w:tc>
          <w:tcPr>
            <w:tcW w:w="1405" w:type="dxa"/>
          </w:tcPr>
          <w:p w:rsidR="006F0BA4" w:rsidRPr="00794645" w:rsidRDefault="006F0BA4" w:rsidP="009B0CE7">
            <w:pPr>
              <w:pStyle w:val="NoSpacing"/>
              <w:spacing w:line="480" w:lineRule="auto"/>
              <w:jc w:val="center"/>
              <w:rPr>
                <w:rFonts w:cs="Calibri"/>
                <w:bCs/>
                <w:sz w:val="24"/>
                <w:szCs w:val="24"/>
              </w:rPr>
            </w:pPr>
          </w:p>
        </w:tc>
        <w:tc>
          <w:tcPr>
            <w:tcW w:w="1485" w:type="dxa"/>
          </w:tcPr>
          <w:p w:rsidR="006F0BA4" w:rsidRPr="00794645" w:rsidRDefault="006F0BA4" w:rsidP="009B0CE7">
            <w:pPr>
              <w:pStyle w:val="NoSpacing"/>
              <w:spacing w:line="480" w:lineRule="auto"/>
              <w:jc w:val="center"/>
              <w:rPr>
                <w:rFonts w:cs="Calibri"/>
                <w:bCs/>
                <w:sz w:val="24"/>
                <w:szCs w:val="24"/>
              </w:rPr>
            </w:pPr>
          </w:p>
        </w:tc>
        <w:tc>
          <w:tcPr>
            <w:tcW w:w="1486" w:type="dxa"/>
          </w:tcPr>
          <w:p w:rsidR="006F0BA4" w:rsidRPr="00794645" w:rsidRDefault="006F0BA4" w:rsidP="009B0CE7">
            <w:pPr>
              <w:pStyle w:val="NoSpacing"/>
              <w:spacing w:line="480" w:lineRule="auto"/>
              <w:jc w:val="center"/>
              <w:rPr>
                <w:rFonts w:cs="Calibri"/>
                <w:bCs/>
                <w:sz w:val="24"/>
                <w:szCs w:val="24"/>
              </w:rPr>
            </w:pPr>
          </w:p>
        </w:tc>
        <w:tc>
          <w:tcPr>
            <w:tcW w:w="1452" w:type="dxa"/>
          </w:tcPr>
          <w:p w:rsidR="006F0BA4" w:rsidRPr="00794645" w:rsidRDefault="006F0BA4" w:rsidP="009B0CE7">
            <w:pPr>
              <w:pStyle w:val="NoSpacing"/>
              <w:spacing w:line="480" w:lineRule="auto"/>
              <w:jc w:val="center"/>
              <w:rPr>
                <w:rFonts w:cs="Calibri"/>
                <w:bCs/>
                <w:sz w:val="24"/>
                <w:szCs w:val="24"/>
              </w:rPr>
            </w:pPr>
          </w:p>
        </w:tc>
        <w:tc>
          <w:tcPr>
            <w:tcW w:w="1509" w:type="dxa"/>
          </w:tcPr>
          <w:p w:rsidR="006F0BA4" w:rsidRPr="00794645" w:rsidRDefault="006F0BA4" w:rsidP="009B0CE7">
            <w:pPr>
              <w:pStyle w:val="NoSpacing"/>
              <w:spacing w:line="480" w:lineRule="auto"/>
              <w:jc w:val="center"/>
              <w:rPr>
                <w:rFonts w:cs="Calibri"/>
                <w:bCs/>
                <w:sz w:val="24"/>
                <w:szCs w:val="24"/>
              </w:rPr>
            </w:pPr>
          </w:p>
        </w:tc>
      </w:tr>
      <w:tr w:rsidR="009B0CE7" w:rsidRPr="008374A5" w:rsidTr="00123A56">
        <w:trPr>
          <w:trHeight w:val="269"/>
        </w:trPr>
        <w:tc>
          <w:tcPr>
            <w:tcW w:w="2694" w:type="dxa"/>
          </w:tcPr>
          <w:p w:rsidR="009B0CE7" w:rsidRPr="00794645" w:rsidRDefault="009B0CE7" w:rsidP="009B0CE7">
            <w:pPr>
              <w:pStyle w:val="NoSpacing"/>
              <w:rPr>
                <w:rFonts w:cs="Calibri"/>
                <w:b/>
                <w:bCs/>
                <w:sz w:val="24"/>
                <w:szCs w:val="24"/>
              </w:rPr>
            </w:pPr>
            <w:r>
              <w:rPr>
                <w:rFonts w:cs="Calibri"/>
                <w:b/>
                <w:bCs/>
                <w:sz w:val="24"/>
                <w:szCs w:val="24"/>
              </w:rPr>
              <w:lastRenderedPageBreak/>
              <w:t>Treatment</w:t>
            </w:r>
          </w:p>
        </w:tc>
        <w:tc>
          <w:tcPr>
            <w:tcW w:w="1405" w:type="dxa"/>
          </w:tcPr>
          <w:p w:rsidR="009B0CE7" w:rsidRPr="00794645" w:rsidRDefault="009B0CE7" w:rsidP="009B0CE7">
            <w:pPr>
              <w:pStyle w:val="NoSpacing"/>
              <w:spacing w:line="480" w:lineRule="auto"/>
              <w:jc w:val="center"/>
              <w:rPr>
                <w:rFonts w:cs="Calibri"/>
                <w:bCs/>
                <w:sz w:val="24"/>
                <w:szCs w:val="24"/>
              </w:rPr>
            </w:pPr>
          </w:p>
        </w:tc>
        <w:tc>
          <w:tcPr>
            <w:tcW w:w="1485" w:type="dxa"/>
          </w:tcPr>
          <w:p w:rsidR="009B0CE7" w:rsidRPr="00794645" w:rsidRDefault="009B0CE7" w:rsidP="009B0CE7">
            <w:pPr>
              <w:pStyle w:val="NoSpacing"/>
              <w:spacing w:line="480" w:lineRule="auto"/>
              <w:jc w:val="center"/>
              <w:rPr>
                <w:rFonts w:cs="Calibri"/>
                <w:bCs/>
                <w:sz w:val="24"/>
                <w:szCs w:val="24"/>
              </w:rPr>
            </w:pPr>
          </w:p>
        </w:tc>
        <w:tc>
          <w:tcPr>
            <w:tcW w:w="1486" w:type="dxa"/>
          </w:tcPr>
          <w:p w:rsidR="009B0CE7" w:rsidRPr="00794645" w:rsidRDefault="009B0CE7" w:rsidP="009B0CE7">
            <w:pPr>
              <w:pStyle w:val="NoSpacing"/>
              <w:spacing w:line="480" w:lineRule="auto"/>
              <w:jc w:val="center"/>
              <w:rPr>
                <w:rFonts w:cs="Calibri"/>
                <w:bCs/>
                <w:sz w:val="24"/>
                <w:szCs w:val="24"/>
              </w:rPr>
            </w:pPr>
          </w:p>
        </w:tc>
        <w:tc>
          <w:tcPr>
            <w:tcW w:w="1452" w:type="dxa"/>
          </w:tcPr>
          <w:p w:rsidR="009B0CE7" w:rsidRPr="00794645" w:rsidRDefault="009B0CE7" w:rsidP="009B0CE7">
            <w:pPr>
              <w:pStyle w:val="NoSpacing"/>
              <w:spacing w:line="480" w:lineRule="auto"/>
              <w:jc w:val="center"/>
              <w:rPr>
                <w:rFonts w:cs="Calibri"/>
                <w:bCs/>
                <w:sz w:val="24"/>
                <w:szCs w:val="24"/>
              </w:rPr>
            </w:pPr>
          </w:p>
        </w:tc>
        <w:tc>
          <w:tcPr>
            <w:tcW w:w="1509" w:type="dxa"/>
          </w:tcPr>
          <w:p w:rsidR="009B0CE7" w:rsidRPr="00794645" w:rsidRDefault="009B0CE7" w:rsidP="009B0CE7">
            <w:pPr>
              <w:pStyle w:val="NoSpacing"/>
              <w:spacing w:line="480" w:lineRule="auto"/>
              <w:jc w:val="center"/>
              <w:rPr>
                <w:rFonts w:cs="Calibri"/>
                <w:bCs/>
                <w:sz w:val="24"/>
                <w:szCs w:val="24"/>
              </w:rPr>
            </w:pPr>
          </w:p>
        </w:tc>
      </w:tr>
      <w:tr w:rsidR="009B0CE7" w:rsidRPr="008374A5" w:rsidTr="00123A56">
        <w:trPr>
          <w:trHeight w:val="293"/>
        </w:trPr>
        <w:tc>
          <w:tcPr>
            <w:tcW w:w="2694" w:type="dxa"/>
          </w:tcPr>
          <w:p w:rsidR="009B0CE7" w:rsidRPr="00794645" w:rsidRDefault="009B0CE7" w:rsidP="009B0CE7">
            <w:pPr>
              <w:pStyle w:val="NoSpacing"/>
              <w:rPr>
                <w:rFonts w:cs="Calibri"/>
                <w:bCs/>
                <w:sz w:val="24"/>
                <w:szCs w:val="24"/>
                <w:highlight w:val="yellow"/>
              </w:rPr>
            </w:pPr>
            <w:r w:rsidRPr="00794645">
              <w:rPr>
                <w:rFonts w:cs="Calibri"/>
                <w:bCs/>
                <w:sz w:val="24"/>
                <w:szCs w:val="24"/>
              </w:rPr>
              <w:t xml:space="preserve">   Aspirin</w:t>
            </w:r>
          </w:p>
        </w:tc>
        <w:tc>
          <w:tcPr>
            <w:tcW w:w="1405"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794</w:t>
            </w:r>
            <w:r w:rsidRPr="00794645">
              <w:rPr>
                <w:rFonts w:cs="Calibri"/>
                <w:bCs/>
                <w:sz w:val="24"/>
                <w:szCs w:val="24"/>
              </w:rPr>
              <w:t xml:space="preserve"> (8</w:t>
            </w:r>
            <w:r>
              <w:rPr>
                <w:rFonts w:cs="Calibri"/>
                <w:bCs/>
                <w:sz w:val="24"/>
                <w:szCs w:val="24"/>
              </w:rPr>
              <w:t>3</w:t>
            </w:r>
            <w:r w:rsidRPr="00794645">
              <w:rPr>
                <w:rFonts w:cs="Calibri"/>
                <w:bCs/>
                <w:sz w:val="24"/>
                <w:szCs w:val="24"/>
              </w:rPr>
              <w:t>)</w:t>
            </w:r>
          </w:p>
        </w:tc>
        <w:tc>
          <w:tcPr>
            <w:tcW w:w="1485"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8</w:t>
            </w:r>
            <w:r w:rsidRPr="00794645">
              <w:rPr>
                <w:rFonts w:cs="Calibri"/>
                <w:bCs/>
                <w:sz w:val="24"/>
                <w:szCs w:val="24"/>
              </w:rPr>
              <w:t>5 (</w:t>
            </w:r>
            <w:r>
              <w:rPr>
                <w:rFonts w:cs="Calibri"/>
                <w:bCs/>
                <w:sz w:val="24"/>
                <w:szCs w:val="24"/>
              </w:rPr>
              <w:t>90</w:t>
            </w:r>
            <w:r w:rsidRPr="00794645">
              <w:rPr>
                <w:rFonts w:cs="Calibri"/>
                <w:bCs/>
                <w:sz w:val="24"/>
                <w:szCs w:val="24"/>
              </w:rPr>
              <w:t>)</w:t>
            </w:r>
          </w:p>
        </w:tc>
        <w:tc>
          <w:tcPr>
            <w:tcW w:w="1486"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60</w:t>
            </w:r>
            <w:r w:rsidRPr="00794645">
              <w:rPr>
                <w:rFonts w:cs="Calibri"/>
                <w:bCs/>
                <w:sz w:val="24"/>
                <w:szCs w:val="24"/>
              </w:rPr>
              <w:t>(</w:t>
            </w:r>
            <w:r>
              <w:rPr>
                <w:rFonts w:cs="Calibri"/>
                <w:bCs/>
                <w:sz w:val="24"/>
                <w:szCs w:val="24"/>
              </w:rPr>
              <w:t>80</w:t>
            </w:r>
            <w:r w:rsidRPr="00794645">
              <w:rPr>
                <w:rFonts w:cs="Calibri"/>
                <w:bCs/>
                <w:sz w:val="24"/>
                <w:szCs w:val="24"/>
              </w:rPr>
              <w:t>)</w:t>
            </w:r>
          </w:p>
        </w:tc>
        <w:tc>
          <w:tcPr>
            <w:tcW w:w="1452"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49</w:t>
            </w:r>
            <w:r w:rsidRPr="00794645">
              <w:rPr>
                <w:rFonts w:cs="Calibri"/>
                <w:bCs/>
                <w:sz w:val="24"/>
                <w:szCs w:val="24"/>
              </w:rPr>
              <w:t xml:space="preserve"> (</w:t>
            </w:r>
            <w:r>
              <w:rPr>
                <w:rFonts w:cs="Calibri"/>
                <w:bCs/>
                <w:sz w:val="24"/>
                <w:szCs w:val="24"/>
              </w:rPr>
              <w:t>79</w:t>
            </w:r>
            <w:r w:rsidRPr="00794645">
              <w:rPr>
                <w:rFonts w:cs="Calibri"/>
                <w:bCs/>
                <w:sz w:val="24"/>
                <w:szCs w:val="24"/>
              </w:rPr>
              <w:t>)</w:t>
            </w:r>
          </w:p>
        </w:tc>
        <w:tc>
          <w:tcPr>
            <w:tcW w:w="1509"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&lt;0.00</w:t>
            </w:r>
            <w:r>
              <w:rPr>
                <w:rFonts w:cs="Calibri"/>
                <w:bCs/>
                <w:sz w:val="24"/>
                <w:szCs w:val="24"/>
              </w:rPr>
              <w:t>05</w:t>
            </w:r>
          </w:p>
        </w:tc>
      </w:tr>
      <w:tr w:rsidR="009B0CE7" w:rsidRPr="008374A5" w:rsidTr="00123A56">
        <w:trPr>
          <w:trHeight w:val="271"/>
        </w:trPr>
        <w:tc>
          <w:tcPr>
            <w:tcW w:w="2694" w:type="dxa"/>
          </w:tcPr>
          <w:p w:rsidR="009B0CE7" w:rsidRPr="00794645" w:rsidRDefault="009B0CE7" w:rsidP="009B0CE7">
            <w:pPr>
              <w:pStyle w:val="NoSpacing"/>
              <w:rPr>
                <w:rFonts w:cs="Calibri"/>
                <w:bCs/>
                <w:sz w:val="24"/>
                <w:szCs w:val="24"/>
              </w:rPr>
            </w:pPr>
            <w:r w:rsidRPr="00794645">
              <w:rPr>
                <w:rFonts w:cs="Calibri"/>
                <w:bCs/>
                <w:sz w:val="24"/>
                <w:szCs w:val="24"/>
              </w:rPr>
              <w:t xml:space="preserve">   Beta-blocker</w:t>
            </w:r>
          </w:p>
        </w:tc>
        <w:tc>
          <w:tcPr>
            <w:tcW w:w="1405"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755</w:t>
            </w:r>
            <w:r w:rsidRPr="00794645">
              <w:rPr>
                <w:rFonts w:cs="Calibri"/>
                <w:bCs/>
                <w:sz w:val="24"/>
                <w:szCs w:val="24"/>
              </w:rPr>
              <w:t xml:space="preserve"> (</w:t>
            </w:r>
            <w:r>
              <w:rPr>
                <w:rFonts w:cs="Calibri"/>
                <w:bCs/>
                <w:sz w:val="24"/>
                <w:szCs w:val="24"/>
              </w:rPr>
              <w:t>79</w:t>
            </w:r>
            <w:r w:rsidRPr="00794645">
              <w:rPr>
                <w:rFonts w:cs="Calibri"/>
                <w:bCs/>
                <w:sz w:val="24"/>
                <w:szCs w:val="24"/>
              </w:rPr>
              <w:t>)</w:t>
            </w:r>
          </w:p>
        </w:tc>
        <w:tc>
          <w:tcPr>
            <w:tcW w:w="1485"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69</w:t>
            </w:r>
            <w:r w:rsidRPr="00794645">
              <w:rPr>
                <w:rFonts w:cs="Calibri"/>
                <w:bCs/>
                <w:sz w:val="24"/>
                <w:szCs w:val="24"/>
              </w:rPr>
              <w:t xml:space="preserve"> (8</w:t>
            </w:r>
            <w:r>
              <w:rPr>
                <w:rFonts w:cs="Calibri"/>
                <w:bCs/>
                <w:sz w:val="24"/>
                <w:szCs w:val="24"/>
              </w:rPr>
              <w:t>5</w:t>
            </w:r>
            <w:r w:rsidRPr="00794645">
              <w:rPr>
                <w:rFonts w:cs="Calibri"/>
                <w:bCs/>
                <w:sz w:val="24"/>
                <w:szCs w:val="24"/>
              </w:rPr>
              <w:t>)</w:t>
            </w:r>
          </w:p>
        </w:tc>
        <w:tc>
          <w:tcPr>
            <w:tcW w:w="1486"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42</w:t>
            </w:r>
            <w:r w:rsidRPr="00794645">
              <w:rPr>
                <w:rFonts w:cs="Calibri"/>
                <w:bCs/>
                <w:sz w:val="24"/>
                <w:szCs w:val="24"/>
              </w:rPr>
              <w:t xml:space="preserve"> (</w:t>
            </w:r>
            <w:r>
              <w:rPr>
                <w:rFonts w:cs="Calibri"/>
                <w:bCs/>
                <w:sz w:val="24"/>
                <w:szCs w:val="24"/>
              </w:rPr>
              <w:t>75</w:t>
            </w:r>
            <w:r w:rsidRPr="00794645">
              <w:rPr>
                <w:rFonts w:cs="Calibri"/>
                <w:bCs/>
                <w:sz w:val="24"/>
                <w:szCs w:val="24"/>
              </w:rPr>
              <w:t>)</w:t>
            </w:r>
          </w:p>
        </w:tc>
        <w:tc>
          <w:tcPr>
            <w:tcW w:w="1452"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244</w:t>
            </w:r>
            <w:r w:rsidRPr="00794645">
              <w:rPr>
                <w:rFonts w:cs="Calibri"/>
                <w:bCs/>
                <w:sz w:val="24"/>
                <w:szCs w:val="24"/>
              </w:rPr>
              <w:t xml:space="preserve"> (</w:t>
            </w:r>
            <w:r>
              <w:rPr>
                <w:rFonts w:cs="Calibri"/>
                <w:bCs/>
                <w:sz w:val="24"/>
                <w:szCs w:val="24"/>
              </w:rPr>
              <w:t>77</w:t>
            </w:r>
            <w:r w:rsidRPr="00794645">
              <w:rPr>
                <w:rFonts w:cs="Calibri"/>
                <w:bCs/>
                <w:sz w:val="24"/>
                <w:szCs w:val="24"/>
              </w:rPr>
              <w:t>)</w:t>
            </w:r>
          </w:p>
        </w:tc>
        <w:tc>
          <w:tcPr>
            <w:tcW w:w="1509"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0.00</w:t>
            </w:r>
            <w:r>
              <w:rPr>
                <w:rFonts w:cs="Calibri"/>
                <w:bCs/>
                <w:sz w:val="24"/>
                <w:szCs w:val="24"/>
              </w:rPr>
              <w:t>4</w:t>
            </w:r>
          </w:p>
        </w:tc>
      </w:tr>
      <w:tr w:rsidR="009B0CE7" w:rsidRPr="008374A5" w:rsidTr="00123A56">
        <w:trPr>
          <w:trHeight w:val="336"/>
        </w:trPr>
        <w:tc>
          <w:tcPr>
            <w:tcW w:w="2694" w:type="dxa"/>
          </w:tcPr>
          <w:p w:rsidR="009B0CE7" w:rsidRPr="00794645" w:rsidRDefault="009B0CE7" w:rsidP="009B0CE7">
            <w:pPr>
              <w:pStyle w:val="NoSpacing"/>
              <w:ind w:left="142" w:hanging="142"/>
              <w:rPr>
                <w:rFonts w:cs="Calibri"/>
                <w:bCs/>
                <w:sz w:val="24"/>
                <w:szCs w:val="24"/>
              </w:rPr>
            </w:pPr>
            <w:r w:rsidRPr="00794645">
              <w:rPr>
                <w:rFonts w:cs="Calibri"/>
                <w:bCs/>
                <w:sz w:val="24"/>
                <w:szCs w:val="24"/>
              </w:rPr>
              <w:t xml:space="preserve">   ACE inhibitor or ARB*</w:t>
            </w:r>
          </w:p>
        </w:tc>
        <w:tc>
          <w:tcPr>
            <w:tcW w:w="1405"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774</w:t>
            </w:r>
            <w:r w:rsidRPr="00794645">
              <w:rPr>
                <w:rFonts w:cs="Calibri"/>
                <w:bCs/>
                <w:sz w:val="24"/>
                <w:szCs w:val="24"/>
              </w:rPr>
              <w:t xml:space="preserve"> (8</w:t>
            </w:r>
            <w:r>
              <w:rPr>
                <w:rFonts w:cs="Calibri"/>
                <w:bCs/>
                <w:sz w:val="24"/>
                <w:szCs w:val="24"/>
              </w:rPr>
              <w:t>1</w:t>
            </w:r>
            <w:r w:rsidRPr="00794645">
              <w:rPr>
                <w:rFonts w:cs="Calibri"/>
                <w:bCs/>
                <w:sz w:val="24"/>
                <w:szCs w:val="24"/>
              </w:rPr>
              <w:t>)</w:t>
            </w:r>
          </w:p>
        </w:tc>
        <w:tc>
          <w:tcPr>
            <w:tcW w:w="1485"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70</w:t>
            </w:r>
            <w:r w:rsidRPr="00794645">
              <w:rPr>
                <w:rFonts w:cs="Calibri"/>
                <w:bCs/>
                <w:sz w:val="24"/>
                <w:szCs w:val="24"/>
              </w:rPr>
              <w:t xml:space="preserve"> (8</w:t>
            </w:r>
            <w:r>
              <w:rPr>
                <w:rFonts w:cs="Calibri"/>
                <w:bCs/>
                <w:sz w:val="24"/>
                <w:szCs w:val="24"/>
              </w:rPr>
              <w:t>6</w:t>
            </w:r>
            <w:r w:rsidRPr="00794645">
              <w:rPr>
                <w:rFonts w:cs="Calibri"/>
                <w:bCs/>
                <w:sz w:val="24"/>
                <w:szCs w:val="24"/>
              </w:rPr>
              <w:t>)</w:t>
            </w:r>
          </w:p>
        </w:tc>
        <w:tc>
          <w:tcPr>
            <w:tcW w:w="1486"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57</w:t>
            </w:r>
            <w:r w:rsidRPr="00794645">
              <w:rPr>
                <w:rFonts w:cs="Calibri"/>
                <w:bCs/>
                <w:sz w:val="24"/>
                <w:szCs w:val="24"/>
              </w:rPr>
              <w:t xml:space="preserve"> (8</w:t>
            </w:r>
            <w:r>
              <w:rPr>
                <w:rFonts w:cs="Calibri"/>
                <w:bCs/>
                <w:sz w:val="24"/>
                <w:szCs w:val="24"/>
              </w:rPr>
              <w:t>0</w:t>
            </w:r>
            <w:r w:rsidRPr="00794645">
              <w:rPr>
                <w:rFonts w:cs="Calibri"/>
                <w:bCs/>
                <w:sz w:val="24"/>
                <w:szCs w:val="24"/>
              </w:rPr>
              <w:t>)</w:t>
            </w:r>
          </w:p>
        </w:tc>
        <w:tc>
          <w:tcPr>
            <w:tcW w:w="1452"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47</w:t>
            </w:r>
            <w:r w:rsidRPr="00794645">
              <w:rPr>
                <w:rFonts w:cs="Calibri"/>
                <w:bCs/>
                <w:sz w:val="24"/>
                <w:szCs w:val="24"/>
              </w:rPr>
              <w:t xml:space="preserve"> (7</w:t>
            </w:r>
            <w:r>
              <w:rPr>
                <w:rFonts w:cs="Calibri"/>
                <w:bCs/>
                <w:sz w:val="24"/>
                <w:szCs w:val="24"/>
              </w:rPr>
              <w:t>8</w:t>
            </w:r>
            <w:r w:rsidRPr="00794645">
              <w:rPr>
                <w:rFonts w:cs="Calibri"/>
                <w:bCs/>
                <w:sz w:val="24"/>
                <w:szCs w:val="24"/>
              </w:rPr>
              <w:t>)</w:t>
            </w:r>
          </w:p>
        </w:tc>
        <w:tc>
          <w:tcPr>
            <w:tcW w:w="1509"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0.0</w:t>
            </w:r>
            <w:r>
              <w:rPr>
                <w:rFonts w:cs="Calibri"/>
                <w:bCs/>
                <w:sz w:val="24"/>
                <w:szCs w:val="24"/>
              </w:rPr>
              <w:t>41</w:t>
            </w:r>
          </w:p>
        </w:tc>
      </w:tr>
      <w:tr w:rsidR="009B0CE7" w:rsidRPr="008374A5" w:rsidTr="00123A56">
        <w:trPr>
          <w:trHeight w:val="337"/>
        </w:trPr>
        <w:tc>
          <w:tcPr>
            <w:tcW w:w="2694" w:type="dxa"/>
          </w:tcPr>
          <w:p w:rsidR="009B0CE7" w:rsidRPr="00794645" w:rsidRDefault="009B0CE7" w:rsidP="009B0CE7">
            <w:pPr>
              <w:pStyle w:val="NoSpacing"/>
              <w:rPr>
                <w:rFonts w:cs="Calibri"/>
                <w:bCs/>
                <w:sz w:val="24"/>
                <w:szCs w:val="24"/>
              </w:rPr>
            </w:pPr>
            <w:r w:rsidRPr="00794645">
              <w:rPr>
                <w:rFonts w:cs="Calibri"/>
                <w:bCs/>
                <w:sz w:val="24"/>
                <w:szCs w:val="24"/>
              </w:rPr>
              <w:t xml:space="preserve">   Statin</w:t>
            </w:r>
          </w:p>
        </w:tc>
        <w:tc>
          <w:tcPr>
            <w:tcW w:w="1405"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824</w:t>
            </w:r>
            <w:r w:rsidRPr="00794645">
              <w:rPr>
                <w:rFonts w:cs="Calibri"/>
                <w:bCs/>
                <w:sz w:val="24"/>
                <w:szCs w:val="24"/>
              </w:rPr>
              <w:t xml:space="preserve"> (8</w:t>
            </w:r>
            <w:r>
              <w:rPr>
                <w:rFonts w:cs="Calibri"/>
                <w:bCs/>
                <w:sz w:val="24"/>
                <w:szCs w:val="24"/>
              </w:rPr>
              <w:t>6</w:t>
            </w:r>
            <w:r w:rsidRPr="00794645">
              <w:rPr>
                <w:rFonts w:cs="Calibri"/>
                <w:bCs/>
                <w:sz w:val="24"/>
                <w:szCs w:val="24"/>
              </w:rPr>
              <w:t>)</w:t>
            </w:r>
          </w:p>
        </w:tc>
        <w:tc>
          <w:tcPr>
            <w:tcW w:w="1485"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 xml:space="preserve">87 </w:t>
            </w:r>
            <w:r w:rsidRPr="00794645">
              <w:rPr>
                <w:rFonts w:cs="Calibri"/>
                <w:bCs/>
                <w:sz w:val="24"/>
                <w:szCs w:val="24"/>
              </w:rPr>
              <w:t>(9</w:t>
            </w:r>
            <w:r>
              <w:rPr>
                <w:rFonts w:cs="Calibri"/>
                <w:bCs/>
                <w:sz w:val="24"/>
                <w:szCs w:val="24"/>
              </w:rPr>
              <w:t>1</w:t>
            </w:r>
            <w:r w:rsidRPr="00794645">
              <w:rPr>
                <w:rFonts w:cs="Calibri"/>
                <w:bCs/>
                <w:sz w:val="24"/>
                <w:szCs w:val="24"/>
              </w:rPr>
              <w:t>)</w:t>
            </w:r>
          </w:p>
        </w:tc>
        <w:tc>
          <w:tcPr>
            <w:tcW w:w="1486"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78</w:t>
            </w:r>
            <w:r w:rsidRPr="00794645">
              <w:rPr>
                <w:rFonts w:cs="Calibri"/>
                <w:bCs/>
                <w:sz w:val="24"/>
                <w:szCs w:val="24"/>
              </w:rPr>
              <w:t xml:space="preserve"> (</w:t>
            </w:r>
            <w:r>
              <w:rPr>
                <w:rFonts w:cs="Calibri"/>
                <w:bCs/>
                <w:sz w:val="24"/>
                <w:szCs w:val="24"/>
              </w:rPr>
              <w:t>86</w:t>
            </w:r>
            <w:r w:rsidRPr="00794645">
              <w:rPr>
                <w:rFonts w:cs="Calibri"/>
                <w:bCs/>
                <w:sz w:val="24"/>
                <w:szCs w:val="24"/>
              </w:rPr>
              <w:t>)</w:t>
            </w:r>
          </w:p>
        </w:tc>
        <w:tc>
          <w:tcPr>
            <w:tcW w:w="1452"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2</w:t>
            </w:r>
            <w:r>
              <w:rPr>
                <w:rFonts w:cs="Calibri"/>
                <w:bCs/>
                <w:sz w:val="24"/>
                <w:szCs w:val="24"/>
              </w:rPr>
              <w:t>59</w:t>
            </w:r>
            <w:r w:rsidRPr="00794645">
              <w:rPr>
                <w:rFonts w:cs="Calibri"/>
                <w:bCs/>
                <w:sz w:val="24"/>
                <w:szCs w:val="24"/>
              </w:rPr>
              <w:t>(</w:t>
            </w:r>
            <w:r>
              <w:rPr>
                <w:rFonts w:cs="Calibri"/>
                <w:bCs/>
                <w:sz w:val="24"/>
                <w:szCs w:val="24"/>
              </w:rPr>
              <w:t>82</w:t>
            </w:r>
            <w:r w:rsidRPr="00794645">
              <w:rPr>
                <w:rFonts w:cs="Calibri"/>
                <w:bCs/>
                <w:sz w:val="24"/>
                <w:szCs w:val="24"/>
              </w:rPr>
              <w:t>)</w:t>
            </w:r>
          </w:p>
        </w:tc>
        <w:tc>
          <w:tcPr>
            <w:tcW w:w="1509"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0.00</w:t>
            </w:r>
            <w:r>
              <w:rPr>
                <w:rFonts w:cs="Calibri"/>
                <w:bCs/>
                <w:sz w:val="24"/>
                <w:szCs w:val="24"/>
              </w:rPr>
              <w:t>5</w:t>
            </w:r>
          </w:p>
        </w:tc>
      </w:tr>
      <w:tr w:rsidR="009B0CE7" w:rsidRPr="008374A5" w:rsidTr="00123A56">
        <w:trPr>
          <w:trHeight w:val="305"/>
        </w:trPr>
        <w:tc>
          <w:tcPr>
            <w:tcW w:w="2694" w:type="dxa"/>
          </w:tcPr>
          <w:p w:rsidR="009B0CE7" w:rsidRPr="00794645" w:rsidRDefault="009B0CE7" w:rsidP="009B0CE7">
            <w:pPr>
              <w:pStyle w:val="NoSpacing"/>
              <w:rPr>
                <w:rFonts w:cs="Calibri"/>
                <w:bCs/>
                <w:sz w:val="24"/>
                <w:szCs w:val="24"/>
              </w:rPr>
            </w:pPr>
            <w:r>
              <w:rPr>
                <w:rFonts w:cs="Calibri"/>
                <w:bCs/>
                <w:sz w:val="24"/>
                <w:szCs w:val="24"/>
              </w:rPr>
              <w:t xml:space="preserve">   Loop Diuretic</w:t>
            </w:r>
          </w:p>
        </w:tc>
        <w:tc>
          <w:tcPr>
            <w:tcW w:w="1405"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242</w:t>
            </w:r>
            <w:r w:rsidRPr="00794645">
              <w:rPr>
                <w:rFonts w:cs="Calibri"/>
                <w:bCs/>
                <w:sz w:val="24"/>
                <w:szCs w:val="24"/>
              </w:rPr>
              <w:t xml:space="preserve"> (</w:t>
            </w:r>
            <w:r>
              <w:rPr>
                <w:rFonts w:cs="Calibri"/>
                <w:bCs/>
                <w:sz w:val="24"/>
                <w:szCs w:val="24"/>
              </w:rPr>
              <w:t>25</w:t>
            </w:r>
            <w:r w:rsidRPr="00794645">
              <w:rPr>
                <w:rFonts w:cs="Calibri"/>
                <w:bCs/>
                <w:sz w:val="24"/>
                <w:szCs w:val="24"/>
              </w:rPr>
              <w:t>)</w:t>
            </w:r>
          </w:p>
        </w:tc>
        <w:tc>
          <w:tcPr>
            <w:tcW w:w="1485"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57</w:t>
            </w:r>
            <w:r w:rsidRPr="00794645">
              <w:rPr>
                <w:rFonts w:cs="Calibri"/>
                <w:bCs/>
                <w:sz w:val="24"/>
                <w:szCs w:val="24"/>
              </w:rPr>
              <w:t xml:space="preserve"> (</w:t>
            </w:r>
            <w:r>
              <w:rPr>
                <w:rFonts w:cs="Calibri"/>
                <w:bCs/>
                <w:sz w:val="24"/>
                <w:szCs w:val="24"/>
              </w:rPr>
              <w:t>18</w:t>
            </w:r>
            <w:r w:rsidRPr="00794645">
              <w:rPr>
                <w:rFonts w:cs="Calibri"/>
                <w:bCs/>
                <w:sz w:val="24"/>
                <w:szCs w:val="24"/>
              </w:rPr>
              <w:t>)</w:t>
            </w:r>
          </w:p>
        </w:tc>
        <w:tc>
          <w:tcPr>
            <w:tcW w:w="1486"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92</w:t>
            </w:r>
            <w:r w:rsidRPr="00794645">
              <w:rPr>
                <w:rFonts w:cs="Calibri"/>
                <w:bCs/>
                <w:sz w:val="24"/>
                <w:szCs w:val="24"/>
              </w:rPr>
              <w:t xml:space="preserve"> (</w:t>
            </w:r>
            <w:r>
              <w:rPr>
                <w:rFonts w:cs="Calibri"/>
                <w:bCs/>
                <w:sz w:val="24"/>
                <w:szCs w:val="24"/>
              </w:rPr>
              <w:t>29</w:t>
            </w:r>
            <w:r w:rsidRPr="00794645">
              <w:rPr>
                <w:rFonts w:cs="Calibri"/>
                <w:bCs/>
                <w:sz w:val="24"/>
                <w:szCs w:val="24"/>
              </w:rPr>
              <w:t>)</w:t>
            </w:r>
          </w:p>
        </w:tc>
        <w:tc>
          <w:tcPr>
            <w:tcW w:w="1452"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 xml:space="preserve">93 </w:t>
            </w:r>
            <w:r w:rsidRPr="00794645">
              <w:rPr>
                <w:rFonts w:cs="Calibri"/>
                <w:bCs/>
                <w:sz w:val="24"/>
                <w:szCs w:val="24"/>
              </w:rPr>
              <w:t>(</w:t>
            </w:r>
            <w:r>
              <w:rPr>
                <w:rFonts w:cs="Calibri"/>
                <w:bCs/>
                <w:sz w:val="24"/>
                <w:szCs w:val="24"/>
              </w:rPr>
              <w:t>30</w:t>
            </w:r>
            <w:r w:rsidRPr="00794645">
              <w:rPr>
                <w:rFonts w:cs="Calibri"/>
                <w:bCs/>
                <w:sz w:val="24"/>
                <w:szCs w:val="24"/>
              </w:rPr>
              <w:t>)</w:t>
            </w:r>
          </w:p>
        </w:tc>
        <w:tc>
          <w:tcPr>
            <w:tcW w:w="1509"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0.00</w:t>
            </w:r>
            <w:r>
              <w:rPr>
                <w:rFonts w:cs="Calibri"/>
                <w:bCs/>
                <w:sz w:val="24"/>
                <w:szCs w:val="24"/>
              </w:rPr>
              <w:t>1</w:t>
            </w:r>
          </w:p>
        </w:tc>
      </w:tr>
      <w:tr w:rsidR="009B0CE7" w:rsidRPr="008374A5" w:rsidTr="00123A56">
        <w:trPr>
          <w:trHeight w:val="298"/>
        </w:trPr>
        <w:tc>
          <w:tcPr>
            <w:tcW w:w="2694" w:type="dxa"/>
          </w:tcPr>
          <w:p w:rsidR="009B0CE7" w:rsidRPr="003309F8" w:rsidRDefault="009B0CE7" w:rsidP="009B0CE7">
            <w:pPr>
              <w:pStyle w:val="NoSpacing"/>
              <w:rPr>
                <w:bCs/>
                <w:sz w:val="24"/>
                <w:szCs w:val="24"/>
              </w:rPr>
            </w:pPr>
            <w:r w:rsidRPr="003309F8">
              <w:rPr>
                <w:bCs/>
                <w:sz w:val="24"/>
                <w:szCs w:val="24"/>
              </w:rPr>
              <w:t xml:space="preserve">   Revascularisation</w:t>
            </w:r>
          </w:p>
        </w:tc>
        <w:tc>
          <w:tcPr>
            <w:tcW w:w="1405" w:type="dxa"/>
          </w:tcPr>
          <w:p w:rsidR="009B0CE7" w:rsidRPr="003309F8" w:rsidRDefault="009B0CE7" w:rsidP="009B0CE7">
            <w:pPr>
              <w:pStyle w:val="NoSpacing"/>
              <w:spacing w:line="480" w:lineRule="auto"/>
              <w:jc w:val="center"/>
              <w:rPr>
                <w:bCs/>
                <w:sz w:val="24"/>
                <w:szCs w:val="24"/>
              </w:rPr>
            </w:pPr>
            <w:r>
              <w:rPr>
                <w:bCs/>
                <w:sz w:val="24"/>
                <w:szCs w:val="24"/>
              </w:rPr>
              <w:t>241</w:t>
            </w:r>
            <w:r w:rsidRPr="003309F8">
              <w:rPr>
                <w:bCs/>
                <w:sz w:val="24"/>
                <w:szCs w:val="24"/>
              </w:rPr>
              <w:t xml:space="preserve"> (</w:t>
            </w:r>
            <w:r>
              <w:rPr>
                <w:bCs/>
                <w:sz w:val="24"/>
                <w:szCs w:val="24"/>
              </w:rPr>
              <w:t>25</w:t>
            </w:r>
            <w:r w:rsidRPr="003309F8">
              <w:rPr>
                <w:bCs/>
                <w:sz w:val="24"/>
                <w:szCs w:val="24"/>
              </w:rPr>
              <w:t>)</w:t>
            </w:r>
          </w:p>
        </w:tc>
        <w:tc>
          <w:tcPr>
            <w:tcW w:w="1485" w:type="dxa"/>
          </w:tcPr>
          <w:p w:rsidR="009B0CE7" w:rsidRPr="003309F8" w:rsidRDefault="009B0CE7" w:rsidP="009B0CE7">
            <w:pPr>
              <w:pStyle w:val="NoSpacing"/>
              <w:spacing w:line="480" w:lineRule="auto"/>
              <w:jc w:val="center"/>
              <w:rPr>
                <w:bCs/>
                <w:sz w:val="24"/>
                <w:szCs w:val="24"/>
              </w:rPr>
            </w:pPr>
            <w:r w:rsidRPr="003309F8">
              <w:rPr>
                <w:bCs/>
                <w:sz w:val="24"/>
                <w:szCs w:val="24"/>
              </w:rPr>
              <w:t>95 (3</w:t>
            </w:r>
            <w:r>
              <w:rPr>
                <w:bCs/>
                <w:sz w:val="24"/>
                <w:szCs w:val="24"/>
              </w:rPr>
              <w:t>0</w:t>
            </w:r>
            <w:r w:rsidRPr="003309F8">
              <w:rPr>
                <w:bCs/>
                <w:sz w:val="24"/>
                <w:szCs w:val="24"/>
              </w:rPr>
              <w:t>)</w:t>
            </w:r>
          </w:p>
        </w:tc>
        <w:tc>
          <w:tcPr>
            <w:tcW w:w="1486" w:type="dxa"/>
          </w:tcPr>
          <w:p w:rsidR="009B0CE7" w:rsidRPr="003309F8" w:rsidRDefault="009B0CE7" w:rsidP="009B0CE7">
            <w:pPr>
              <w:pStyle w:val="NoSpacing"/>
              <w:spacing w:line="480" w:lineRule="auto"/>
              <w:jc w:val="center"/>
              <w:rPr>
                <w:bCs/>
                <w:sz w:val="24"/>
                <w:szCs w:val="24"/>
              </w:rPr>
            </w:pPr>
            <w:r>
              <w:rPr>
                <w:bCs/>
                <w:sz w:val="24"/>
                <w:szCs w:val="24"/>
              </w:rPr>
              <w:t>76</w:t>
            </w:r>
            <w:r w:rsidRPr="003309F8">
              <w:rPr>
                <w:bCs/>
                <w:sz w:val="24"/>
                <w:szCs w:val="24"/>
              </w:rPr>
              <w:t xml:space="preserve"> (</w:t>
            </w:r>
            <w:r>
              <w:rPr>
                <w:bCs/>
                <w:sz w:val="24"/>
                <w:szCs w:val="24"/>
              </w:rPr>
              <w:t>24</w:t>
            </w:r>
            <w:r w:rsidRPr="003309F8">
              <w:rPr>
                <w:bCs/>
                <w:sz w:val="24"/>
                <w:szCs w:val="24"/>
              </w:rPr>
              <w:t>)</w:t>
            </w:r>
          </w:p>
        </w:tc>
        <w:tc>
          <w:tcPr>
            <w:tcW w:w="1452" w:type="dxa"/>
          </w:tcPr>
          <w:p w:rsidR="009B0CE7" w:rsidRPr="003309F8" w:rsidRDefault="009B0CE7" w:rsidP="009B0CE7">
            <w:pPr>
              <w:pStyle w:val="NoSpacing"/>
              <w:spacing w:line="480" w:lineRule="auto"/>
              <w:jc w:val="center"/>
              <w:rPr>
                <w:bCs/>
                <w:sz w:val="24"/>
                <w:szCs w:val="24"/>
              </w:rPr>
            </w:pPr>
            <w:r w:rsidRPr="003309F8">
              <w:rPr>
                <w:bCs/>
                <w:sz w:val="24"/>
                <w:szCs w:val="24"/>
              </w:rPr>
              <w:t>70 (2</w:t>
            </w:r>
            <w:r>
              <w:rPr>
                <w:bCs/>
                <w:sz w:val="24"/>
                <w:szCs w:val="24"/>
              </w:rPr>
              <w:t>2</w:t>
            </w:r>
            <w:r w:rsidRPr="003309F8">
              <w:rPr>
                <w:bCs/>
                <w:sz w:val="24"/>
                <w:szCs w:val="24"/>
              </w:rPr>
              <w:t>)</w:t>
            </w:r>
          </w:p>
        </w:tc>
        <w:tc>
          <w:tcPr>
            <w:tcW w:w="1509" w:type="dxa"/>
          </w:tcPr>
          <w:p w:rsidR="009B0CE7" w:rsidRPr="003309F8" w:rsidRDefault="009B0CE7" w:rsidP="009B0CE7">
            <w:pPr>
              <w:pStyle w:val="NoSpacing"/>
              <w:spacing w:line="480" w:lineRule="auto"/>
              <w:jc w:val="center"/>
              <w:rPr>
                <w:bCs/>
                <w:sz w:val="24"/>
                <w:szCs w:val="24"/>
              </w:rPr>
            </w:pPr>
            <w:r w:rsidRPr="00794645">
              <w:rPr>
                <w:rFonts w:cs="Calibri"/>
                <w:bCs/>
                <w:sz w:val="24"/>
                <w:szCs w:val="24"/>
              </w:rPr>
              <w:t>NS</w:t>
            </w:r>
          </w:p>
        </w:tc>
      </w:tr>
      <w:tr w:rsidR="009B0CE7" w:rsidRPr="008374A5" w:rsidTr="00123A56">
        <w:trPr>
          <w:trHeight w:val="298"/>
        </w:trPr>
        <w:tc>
          <w:tcPr>
            <w:tcW w:w="2694" w:type="dxa"/>
          </w:tcPr>
          <w:p w:rsidR="009B0CE7" w:rsidRPr="00794645" w:rsidRDefault="009B0CE7" w:rsidP="009B0CE7">
            <w:pPr>
              <w:pStyle w:val="NoSpacing"/>
              <w:rPr>
                <w:rFonts w:cs="Calibri"/>
                <w:bCs/>
                <w:sz w:val="24"/>
                <w:szCs w:val="24"/>
              </w:rPr>
            </w:pPr>
            <w:r w:rsidRPr="008F38AA">
              <w:rPr>
                <w:rFonts w:cs="Calibri"/>
                <w:b/>
                <w:bCs/>
                <w:sz w:val="24"/>
                <w:szCs w:val="24"/>
              </w:rPr>
              <w:t>End Points (2 years)</w:t>
            </w:r>
          </w:p>
        </w:tc>
        <w:tc>
          <w:tcPr>
            <w:tcW w:w="1405" w:type="dxa"/>
          </w:tcPr>
          <w:p w:rsidR="009B0CE7" w:rsidRPr="00794645" w:rsidRDefault="009B0CE7" w:rsidP="009B0CE7">
            <w:pPr>
              <w:pStyle w:val="NoSpacing"/>
              <w:spacing w:line="480" w:lineRule="auto"/>
              <w:jc w:val="center"/>
              <w:rPr>
                <w:rFonts w:cs="Calibri"/>
                <w:bCs/>
                <w:sz w:val="24"/>
                <w:szCs w:val="24"/>
              </w:rPr>
            </w:pPr>
          </w:p>
        </w:tc>
        <w:tc>
          <w:tcPr>
            <w:tcW w:w="1485" w:type="dxa"/>
          </w:tcPr>
          <w:p w:rsidR="009B0CE7" w:rsidRPr="00794645" w:rsidRDefault="009B0CE7" w:rsidP="009B0CE7">
            <w:pPr>
              <w:pStyle w:val="NoSpacing"/>
              <w:spacing w:line="480" w:lineRule="auto"/>
              <w:jc w:val="center"/>
              <w:rPr>
                <w:rFonts w:cs="Calibri"/>
                <w:bCs/>
                <w:sz w:val="24"/>
                <w:szCs w:val="24"/>
              </w:rPr>
            </w:pPr>
          </w:p>
        </w:tc>
        <w:tc>
          <w:tcPr>
            <w:tcW w:w="1486" w:type="dxa"/>
          </w:tcPr>
          <w:p w:rsidR="009B0CE7" w:rsidRPr="00794645" w:rsidRDefault="009B0CE7" w:rsidP="009B0CE7">
            <w:pPr>
              <w:pStyle w:val="NoSpacing"/>
              <w:spacing w:line="480" w:lineRule="auto"/>
              <w:jc w:val="center"/>
              <w:rPr>
                <w:rFonts w:cs="Calibri"/>
                <w:bCs/>
                <w:sz w:val="24"/>
                <w:szCs w:val="24"/>
              </w:rPr>
            </w:pPr>
          </w:p>
        </w:tc>
        <w:tc>
          <w:tcPr>
            <w:tcW w:w="1452" w:type="dxa"/>
          </w:tcPr>
          <w:p w:rsidR="009B0CE7" w:rsidRPr="00794645" w:rsidRDefault="009B0CE7" w:rsidP="009B0CE7">
            <w:pPr>
              <w:pStyle w:val="NoSpacing"/>
              <w:spacing w:line="480" w:lineRule="auto"/>
              <w:jc w:val="center"/>
              <w:rPr>
                <w:rFonts w:cs="Calibri"/>
                <w:bCs/>
                <w:sz w:val="24"/>
                <w:szCs w:val="24"/>
              </w:rPr>
            </w:pPr>
          </w:p>
        </w:tc>
        <w:tc>
          <w:tcPr>
            <w:tcW w:w="1509" w:type="dxa"/>
          </w:tcPr>
          <w:p w:rsidR="009B0CE7" w:rsidRPr="00794645" w:rsidRDefault="009B0CE7" w:rsidP="009B0CE7">
            <w:pPr>
              <w:pStyle w:val="NoSpacing"/>
              <w:spacing w:line="480" w:lineRule="auto"/>
              <w:jc w:val="center"/>
              <w:rPr>
                <w:rFonts w:cs="Calibri"/>
                <w:bCs/>
                <w:sz w:val="24"/>
                <w:szCs w:val="24"/>
              </w:rPr>
            </w:pPr>
          </w:p>
        </w:tc>
      </w:tr>
      <w:tr w:rsidR="009B0CE7" w:rsidRPr="008374A5" w:rsidTr="00123A56">
        <w:trPr>
          <w:trHeight w:val="298"/>
        </w:trPr>
        <w:tc>
          <w:tcPr>
            <w:tcW w:w="2694" w:type="dxa"/>
          </w:tcPr>
          <w:p w:rsidR="009B0CE7" w:rsidRPr="00794645" w:rsidRDefault="009B0CE7" w:rsidP="009B0CE7">
            <w:pPr>
              <w:pStyle w:val="NoSpacing"/>
              <w:ind w:left="142" w:hanging="142"/>
              <w:rPr>
                <w:rFonts w:cs="Calibri"/>
                <w:bCs/>
                <w:sz w:val="24"/>
                <w:szCs w:val="24"/>
              </w:rPr>
            </w:pPr>
            <w:r w:rsidRPr="00794645">
              <w:rPr>
                <w:rFonts w:cs="Calibri"/>
                <w:bCs/>
                <w:sz w:val="24"/>
                <w:szCs w:val="24"/>
              </w:rPr>
              <w:t>Major Adverse Cardiac Events</w:t>
            </w:r>
          </w:p>
        </w:tc>
        <w:tc>
          <w:tcPr>
            <w:tcW w:w="1405"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281</w:t>
            </w:r>
            <w:r w:rsidRPr="00794645">
              <w:rPr>
                <w:rFonts w:cs="Calibri"/>
                <w:bCs/>
                <w:sz w:val="24"/>
                <w:szCs w:val="24"/>
              </w:rPr>
              <w:t xml:space="preserve"> (2</w:t>
            </w:r>
            <w:r>
              <w:rPr>
                <w:rFonts w:cs="Calibri"/>
                <w:bCs/>
                <w:sz w:val="24"/>
                <w:szCs w:val="24"/>
              </w:rPr>
              <w:t>9</w:t>
            </w:r>
            <w:r w:rsidRPr="00794645">
              <w:rPr>
                <w:rFonts w:cs="Calibri"/>
                <w:bCs/>
                <w:sz w:val="24"/>
                <w:szCs w:val="24"/>
              </w:rPr>
              <w:t>)</w:t>
            </w:r>
          </w:p>
        </w:tc>
        <w:tc>
          <w:tcPr>
            <w:tcW w:w="1485"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70</w:t>
            </w:r>
            <w:r w:rsidRPr="00794645">
              <w:rPr>
                <w:rFonts w:cs="Calibri"/>
                <w:bCs/>
                <w:sz w:val="24"/>
                <w:szCs w:val="24"/>
              </w:rPr>
              <w:t xml:space="preserve"> (</w:t>
            </w:r>
            <w:r>
              <w:rPr>
                <w:rFonts w:cs="Calibri"/>
                <w:bCs/>
                <w:sz w:val="24"/>
                <w:szCs w:val="24"/>
              </w:rPr>
              <w:t>22</w:t>
            </w:r>
            <w:r w:rsidRPr="00794645">
              <w:rPr>
                <w:rFonts w:cs="Calibri"/>
                <w:bCs/>
                <w:sz w:val="24"/>
                <w:szCs w:val="24"/>
              </w:rPr>
              <w:t>)</w:t>
            </w:r>
          </w:p>
        </w:tc>
        <w:tc>
          <w:tcPr>
            <w:tcW w:w="1486" w:type="dxa"/>
          </w:tcPr>
          <w:p w:rsidR="009B0CE7" w:rsidRPr="00794645" w:rsidRDefault="009B0CE7" w:rsidP="009B0CE7">
            <w:pPr>
              <w:pStyle w:val="NoSpacing"/>
              <w:spacing w:line="480" w:lineRule="auto"/>
              <w:jc w:val="center"/>
              <w:rPr>
                <w:rFonts w:cs="Calibri"/>
                <w:bCs/>
                <w:sz w:val="24"/>
                <w:szCs w:val="24"/>
              </w:rPr>
            </w:pPr>
            <w:r>
              <w:rPr>
                <w:rFonts w:cs="Calibri"/>
                <w:bCs/>
                <w:sz w:val="24"/>
                <w:szCs w:val="24"/>
              </w:rPr>
              <w:t>99</w:t>
            </w:r>
            <w:r w:rsidRPr="00794645">
              <w:rPr>
                <w:rFonts w:cs="Calibri"/>
                <w:bCs/>
                <w:sz w:val="24"/>
                <w:szCs w:val="24"/>
              </w:rPr>
              <w:t xml:space="preserve"> (</w:t>
            </w:r>
            <w:r>
              <w:rPr>
                <w:rFonts w:cs="Calibri"/>
                <w:bCs/>
                <w:sz w:val="24"/>
                <w:szCs w:val="24"/>
              </w:rPr>
              <w:t>31</w:t>
            </w:r>
            <w:r w:rsidRPr="00794645">
              <w:rPr>
                <w:rFonts w:cs="Calibri"/>
                <w:bCs/>
                <w:sz w:val="24"/>
                <w:szCs w:val="24"/>
              </w:rPr>
              <w:t>)</w:t>
            </w:r>
          </w:p>
        </w:tc>
        <w:tc>
          <w:tcPr>
            <w:tcW w:w="1452"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1</w:t>
            </w:r>
            <w:r>
              <w:rPr>
                <w:rFonts w:cs="Calibri"/>
                <w:bCs/>
                <w:sz w:val="24"/>
                <w:szCs w:val="24"/>
              </w:rPr>
              <w:t>12</w:t>
            </w:r>
            <w:r w:rsidRPr="00794645">
              <w:rPr>
                <w:rFonts w:cs="Calibri"/>
                <w:bCs/>
                <w:sz w:val="24"/>
                <w:szCs w:val="24"/>
              </w:rPr>
              <w:t xml:space="preserve"> (</w:t>
            </w:r>
            <w:r>
              <w:rPr>
                <w:rFonts w:cs="Calibri"/>
                <w:bCs/>
                <w:sz w:val="24"/>
                <w:szCs w:val="24"/>
              </w:rPr>
              <w:t>36</w:t>
            </w:r>
            <w:r w:rsidRPr="00794645">
              <w:rPr>
                <w:rFonts w:cs="Calibri"/>
                <w:bCs/>
                <w:sz w:val="24"/>
                <w:szCs w:val="24"/>
              </w:rPr>
              <w:t>)</w:t>
            </w:r>
          </w:p>
        </w:tc>
        <w:tc>
          <w:tcPr>
            <w:tcW w:w="1509" w:type="dxa"/>
          </w:tcPr>
          <w:p w:rsidR="009B0CE7" w:rsidRPr="00794645" w:rsidRDefault="009B0CE7" w:rsidP="009B0CE7">
            <w:pPr>
              <w:pStyle w:val="NoSpacing"/>
              <w:spacing w:line="480" w:lineRule="auto"/>
              <w:jc w:val="center"/>
              <w:rPr>
                <w:rFonts w:cs="Calibri"/>
                <w:bCs/>
                <w:sz w:val="24"/>
                <w:szCs w:val="24"/>
              </w:rPr>
            </w:pPr>
            <w:r w:rsidRPr="00794645">
              <w:rPr>
                <w:rFonts w:cs="Calibri"/>
                <w:bCs/>
                <w:sz w:val="24"/>
                <w:szCs w:val="24"/>
              </w:rPr>
              <w:t>0.00</w:t>
            </w:r>
            <w:r>
              <w:rPr>
                <w:rFonts w:cs="Calibri"/>
                <w:bCs/>
                <w:sz w:val="24"/>
                <w:szCs w:val="24"/>
              </w:rPr>
              <w:t>1</w:t>
            </w:r>
          </w:p>
        </w:tc>
      </w:tr>
    </w:tbl>
    <w:p w:rsidR="008F2E5B" w:rsidRPr="00794645" w:rsidRDefault="008F2E5B" w:rsidP="00616ED9">
      <w:pPr>
        <w:pStyle w:val="NoSpacing"/>
        <w:rPr>
          <w:rFonts w:cs="Calibri"/>
          <w:sz w:val="24"/>
          <w:szCs w:val="24"/>
        </w:rPr>
      </w:pPr>
      <w:r w:rsidRPr="00794645">
        <w:rPr>
          <w:rFonts w:cs="Calibri"/>
          <w:sz w:val="24"/>
          <w:szCs w:val="24"/>
        </w:rPr>
        <w:t>*ARB = Angiotensin 2 receptor blocker</w:t>
      </w:r>
    </w:p>
    <w:p w:rsidR="008F2E5B" w:rsidRPr="00794645" w:rsidRDefault="008F2E5B" w:rsidP="00616ED9">
      <w:pPr>
        <w:pStyle w:val="NoSpacing"/>
        <w:rPr>
          <w:rFonts w:cs="Calibri"/>
          <w:sz w:val="24"/>
          <w:szCs w:val="24"/>
        </w:rPr>
      </w:pPr>
    </w:p>
    <w:p w:rsidR="008F2E5B" w:rsidRPr="00646B2B" w:rsidRDefault="008F2E5B" w:rsidP="00A47A88">
      <w:pPr>
        <w:rPr>
          <w:rFonts w:ascii="Times New Roman" w:hAnsi="Times New Roman"/>
          <w:b/>
          <w:sz w:val="24"/>
          <w:szCs w:val="24"/>
          <w:lang w:eastAsia="en-GB"/>
        </w:rPr>
      </w:pPr>
      <w:r w:rsidRPr="00794645">
        <w:rPr>
          <w:rFonts w:cs="Calibri"/>
          <w:b/>
          <w:sz w:val="24"/>
          <w:szCs w:val="24"/>
          <w:lang w:eastAsia="en-GB"/>
        </w:rPr>
        <w:br w:type="page"/>
      </w:r>
    </w:p>
    <w:tbl>
      <w:tblPr>
        <w:tblpPr w:leftFromText="180" w:rightFromText="180" w:vertAnchor="page" w:horzAnchor="margin" w:tblpXSpec="center" w:tblpY="3262"/>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1843"/>
        <w:gridCol w:w="850"/>
        <w:gridCol w:w="1843"/>
        <w:gridCol w:w="992"/>
        <w:gridCol w:w="1985"/>
        <w:gridCol w:w="992"/>
      </w:tblGrid>
      <w:tr w:rsidR="008F2E5B" w:rsidRPr="008374A5" w:rsidTr="00B66C39">
        <w:tc>
          <w:tcPr>
            <w:tcW w:w="2660" w:type="dxa"/>
          </w:tcPr>
          <w:p w:rsidR="008F2E5B" w:rsidRPr="008374A5" w:rsidRDefault="008F2E5B" w:rsidP="008374A5">
            <w:pPr>
              <w:keepNext/>
              <w:spacing w:after="0" w:line="240" w:lineRule="auto"/>
              <w:contextualSpacing/>
              <w:rPr>
                <w:rFonts w:ascii="Times New Roman" w:hAnsi="Times New Roman"/>
                <w:sz w:val="24"/>
                <w:szCs w:val="24"/>
                <w:lang w:eastAsia="en-GB"/>
              </w:rPr>
            </w:pPr>
          </w:p>
        </w:tc>
        <w:tc>
          <w:tcPr>
            <w:tcW w:w="1843" w:type="dxa"/>
          </w:tcPr>
          <w:p w:rsidR="008F2E5B" w:rsidRPr="008374A5" w:rsidRDefault="008F2E5B" w:rsidP="008374A5">
            <w:pPr>
              <w:spacing w:after="0" w:line="240" w:lineRule="auto"/>
              <w:contextualSpacing/>
              <w:jc w:val="center"/>
              <w:rPr>
                <w:rFonts w:ascii="Times New Roman" w:hAnsi="Times New Roman"/>
                <w:b/>
                <w:sz w:val="24"/>
                <w:szCs w:val="24"/>
                <w:lang w:eastAsia="en-GB"/>
              </w:rPr>
            </w:pPr>
            <w:proofErr w:type="spellStart"/>
            <w:r w:rsidRPr="008374A5">
              <w:rPr>
                <w:rFonts w:ascii="Times New Roman" w:hAnsi="Times New Roman"/>
                <w:b/>
                <w:sz w:val="24"/>
                <w:szCs w:val="24"/>
                <w:lang w:eastAsia="en-GB"/>
              </w:rPr>
              <w:t>Univariable</w:t>
            </w:r>
            <w:proofErr w:type="spellEnd"/>
          </w:p>
          <w:p w:rsidR="008F2E5B" w:rsidRPr="008374A5" w:rsidRDefault="008F2E5B" w:rsidP="008374A5">
            <w:pPr>
              <w:spacing w:after="0" w:line="240" w:lineRule="auto"/>
              <w:contextualSpacing/>
              <w:jc w:val="center"/>
              <w:rPr>
                <w:rFonts w:ascii="Times New Roman" w:hAnsi="Times New Roman"/>
                <w:b/>
                <w:sz w:val="24"/>
                <w:szCs w:val="24"/>
                <w:lang w:eastAsia="en-GB"/>
              </w:rPr>
            </w:pPr>
            <w:r w:rsidRPr="008374A5">
              <w:rPr>
                <w:rFonts w:ascii="Times New Roman" w:hAnsi="Times New Roman"/>
                <w:b/>
                <w:sz w:val="24"/>
                <w:szCs w:val="24"/>
                <w:lang w:eastAsia="en-GB"/>
              </w:rPr>
              <w:t>HR (95% CI)</w:t>
            </w:r>
          </w:p>
        </w:tc>
        <w:tc>
          <w:tcPr>
            <w:tcW w:w="850" w:type="dxa"/>
          </w:tcPr>
          <w:p w:rsidR="008F2E5B" w:rsidRPr="008374A5" w:rsidRDefault="008F2E5B" w:rsidP="008374A5">
            <w:pPr>
              <w:spacing w:after="0" w:line="240" w:lineRule="auto"/>
              <w:contextualSpacing/>
              <w:jc w:val="center"/>
              <w:rPr>
                <w:rFonts w:ascii="Times New Roman" w:hAnsi="Times New Roman"/>
                <w:b/>
                <w:sz w:val="24"/>
                <w:szCs w:val="24"/>
                <w:lang w:eastAsia="en-GB"/>
              </w:rPr>
            </w:pPr>
            <w:r w:rsidRPr="008374A5">
              <w:rPr>
                <w:rFonts w:ascii="Times New Roman" w:hAnsi="Times New Roman"/>
                <w:b/>
                <w:sz w:val="24"/>
                <w:szCs w:val="24"/>
                <w:lang w:eastAsia="en-GB"/>
              </w:rPr>
              <w:t>P</w:t>
            </w:r>
          </w:p>
        </w:tc>
        <w:tc>
          <w:tcPr>
            <w:tcW w:w="1843" w:type="dxa"/>
          </w:tcPr>
          <w:p w:rsidR="008F2E5B" w:rsidRPr="008374A5" w:rsidRDefault="008F2E5B" w:rsidP="008374A5">
            <w:pPr>
              <w:spacing w:after="0" w:line="240" w:lineRule="auto"/>
              <w:contextualSpacing/>
              <w:jc w:val="center"/>
              <w:rPr>
                <w:rFonts w:ascii="Times New Roman" w:hAnsi="Times New Roman"/>
                <w:b/>
                <w:sz w:val="24"/>
                <w:szCs w:val="24"/>
                <w:lang w:eastAsia="en-GB"/>
              </w:rPr>
            </w:pPr>
            <w:r w:rsidRPr="008374A5">
              <w:rPr>
                <w:rFonts w:ascii="Times New Roman" w:hAnsi="Times New Roman"/>
                <w:b/>
                <w:sz w:val="24"/>
                <w:szCs w:val="24"/>
                <w:lang w:eastAsia="en-GB"/>
              </w:rPr>
              <w:t>Multivariable Model 1 HR (95% CI)</w:t>
            </w:r>
          </w:p>
        </w:tc>
        <w:tc>
          <w:tcPr>
            <w:tcW w:w="992" w:type="dxa"/>
          </w:tcPr>
          <w:p w:rsidR="008F2E5B" w:rsidRPr="008374A5" w:rsidRDefault="008F2E5B" w:rsidP="008374A5">
            <w:pPr>
              <w:spacing w:after="0" w:line="240" w:lineRule="auto"/>
              <w:contextualSpacing/>
              <w:jc w:val="center"/>
              <w:rPr>
                <w:rFonts w:ascii="Times New Roman" w:hAnsi="Times New Roman"/>
                <w:b/>
                <w:sz w:val="24"/>
                <w:szCs w:val="24"/>
                <w:lang w:eastAsia="en-GB"/>
              </w:rPr>
            </w:pPr>
            <w:r w:rsidRPr="008374A5">
              <w:rPr>
                <w:rFonts w:ascii="Times New Roman" w:hAnsi="Times New Roman"/>
                <w:b/>
                <w:sz w:val="24"/>
                <w:szCs w:val="24"/>
                <w:lang w:eastAsia="en-GB"/>
              </w:rPr>
              <w:t>P</w:t>
            </w:r>
          </w:p>
        </w:tc>
        <w:tc>
          <w:tcPr>
            <w:tcW w:w="1985" w:type="dxa"/>
          </w:tcPr>
          <w:p w:rsidR="008F2E5B" w:rsidRPr="008374A5" w:rsidRDefault="008F2E5B" w:rsidP="008374A5">
            <w:pPr>
              <w:tabs>
                <w:tab w:val="left" w:pos="1757"/>
              </w:tabs>
              <w:spacing w:after="0" w:line="240" w:lineRule="auto"/>
              <w:contextualSpacing/>
              <w:jc w:val="center"/>
              <w:rPr>
                <w:rFonts w:ascii="Times New Roman" w:hAnsi="Times New Roman"/>
                <w:b/>
                <w:sz w:val="24"/>
                <w:szCs w:val="24"/>
                <w:lang w:eastAsia="en-GB"/>
              </w:rPr>
            </w:pPr>
            <w:r w:rsidRPr="008374A5">
              <w:rPr>
                <w:rFonts w:ascii="Times New Roman" w:hAnsi="Times New Roman"/>
                <w:b/>
                <w:sz w:val="24"/>
                <w:szCs w:val="24"/>
                <w:lang w:eastAsia="en-GB"/>
              </w:rPr>
              <w:t>Multivariable Model 2 HR (95% CI)</w:t>
            </w:r>
          </w:p>
        </w:tc>
        <w:tc>
          <w:tcPr>
            <w:tcW w:w="992" w:type="dxa"/>
          </w:tcPr>
          <w:p w:rsidR="008F2E5B" w:rsidRPr="008374A5" w:rsidRDefault="008F2E5B" w:rsidP="008374A5">
            <w:pPr>
              <w:tabs>
                <w:tab w:val="left" w:pos="1757"/>
              </w:tabs>
              <w:spacing w:after="0" w:line="240" w:lineRule="auto"/>
              <w:ind w:left="-227"/>
              <w:contextualSpacing/>
              <w:jc w:val="center"/>
              <w:rPr>
                <w:rFonts w:ascii="Times New Roman" w:hAnsi="Times New Roman"/>
                <w:b/>
                <w:sz w:val="24"/>
                <w:szCs w:val="24"/>
                <w:lang w:eastAsia="en-GB"/>
              </w:rPr>
            </w:pPr>
            <w:r w:rsidRPr="008374A5">
              <w:rPr>
                <w:rFonts w:ascii="Times New Roman" w:hAnsi="Times New Roman"/>
                <w:b/>
                <w:sz w:val="24"/>
                <w:szCs w:val="24"/>
                <w:lang w:eastAsia="en-GB"/>
              </w:rPr>
              <w:t>P</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sidRPr="008374A5">
              <w:rPr>
                <w:rFonts w:ascii="Times New Roman" w:hAnsi="Times New Roman"/>
                <w:sz w:val="24"/>
                <w:szCs w:val="24"/>
                <w:lang w:eastAsia="en-GB"/>
              </w:rPr>
              <w:t>Age (years)</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1.05 (1.04-1.06)</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1.03 (1.01-1.04)</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w:t>
            </w:r>
            <w:r>
              <w:rPr>
                <w:rFonts w:ascii="Times New Roman" w:hAnsi="Times New Roman"/>
                <w:sz w:val="24"/>
                <w:szCs w:val="24"/>
                <w:lang w:eastAsia="en-GB"/>
              </w:rPr>
              <w:t>1</w:t>
            </w:r>
          </w:p>
        </w:tc>
        <w:tc>
          <w:tcPr>
            <w:tcW w:w="1985" w:type="dxa"/>
            <w:vAlign w:val="bottom"/>
          </w:tcPr>
          <w:p w:rsidR="001C1094" w:rsidRPr="008374A5" w:rsidRDefault="001C1094" w:rsidP="00536160">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1.03 (1.0</w:t>
            </w:r>
            <w:r w:rsidR="00536160">
              <w:rPr>
                <w:rFonts w:ascii="Times New Roman" w:hAnsi="Times New Roman"/>
                <w:sz w:val="24"/>
                <w:szCs w:val="24"/>
                <w:lang w:eastAsia="en-GB"/>
              </w:rPr>
              <w:t>2</w:t>
            </w:r>
            <w:r w:rsidRPr="008374A5">
              <w:rPr>
                <w:rFonts w:ascii="Times New Roman" w:hAnsi="Times New Roman"/>
                <w:sz w:val="24"/>
                <w:szCs w:val="24"/>
                <w:lang w:eastAsia="en-GB"/>
              </w:rPr>
              <w:t>-1.04)</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w:t>
            </w:r>
            <w:r>
              <w:rPr>
                <w:rFonts w:ascii="Times New Roman" w:hAnsi="Times New Roman"/>
                <w:sz w:val="24"/>
                <w:szCs w:val="24"/>
                <w:lang w:eastAsia="en-GB"/>
              </w:rPr>
              <w:t>1</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sidRPr="008374A5">
              <w:rPr>
                <w:rFonts w:ascii="Times New Roman" w:hAnsi="Times New Roman"/>
                <w:sz w:val="24"/>
                <w:szCs w:val="24"/>
                <w:lang w:eastAsia="en-GB"/>
              </w:rPr>
              <w:t>Male Sex</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w:t>
            </w:r>
            <w:r>
              <w:rPr>
                <w:rFonts w:ascii="Times New Roman" w:hAnsi="Times New Roman"/>
                <w:sz w:val="24"/>
                <w:szCs w:val="24"/>
                <w:lang w:eastAsia="en-GB"/>
              </w:rPr>
              <w:t>59</w:t>
            </w:r>
            <w:r w:rsidRPr="008374A5">
              <w:rPr>
                <w:rFonts w:ascii="Times New Roman" w:hAnsi="Times New Roman"/>
                <w:sz w:val="24"/>
                <w:szCs w:val="24"/>
                <w:lang w:eastAsia="en-GB"/>
              </w:rPr>
              <w:t xml:space="preserve"> (0.</w:t>
            </w:r>
            <w:r>
              <w:rPr>
                <w:rFonts w:ascii="Times New Roman" w:hAnsi="Times New Roman"/>
                <w:sz w:val="24"/>
                <w:szCs w:val="24"/>
                <w:lang w:eastAsia="en-GB"/>
              </w:rPr>
              <w:t>46</w:t>
            </w:r>
            <w:r w:rsidRPr="008374A5">
              <w:rPr>
                <w:rFonts w:ascii="Times New Roman" w:hAnsi="Times New Roman"/>
                <w:sz w:val="24"/>
                <w:szCs w:val="24"/>
                <w:lang w:eastAsia="en-GB"/>
              </w:rPr>
              <w:t>-0.</w:t>
            </w:r>
            <w:r>
              <w:rPr>
                <w:rFonts w:ascii="Times New Roman" w:hAnsi="Times New Roman"/>
                <w:sz w:val="24"/>
                <w:szCs w:val="24"/>
                <w:lang w:eastAsia="en-GB"/>
              </w:rPr>
              <w:t>7</w:t>
            </w:r>
            <w:r w:rsidRPr="008374A5">
              <w:rPr>
                <w:rFonts w:ascii="Times New Roman" w:hAnsi="Times New Roman"/>
                <w:sz w:val="24"/>
                <w:szCs w:val="24"/>
                <w:lang w:eastAsia="en-GB"/>
              </w:rPr>
              <w:t>5)</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1.1</w:t>
            </w:r>
            <w:r>
              <w:rPr>
                <w:rFonts w:ascii="Times New Roman" w:hAnsi="Times New Roman"/>
                <w:sz w:val="24"/>
                <w:szCs w:val="24"/>
                <w:lang w:eastAsia="en-GB"/>
              </w:rPr>
              <w:t>3</w:t>
            </w:r>
            <w:r w:rsidRPr="008374A5">
              <w:rPr>
                <w:rFonts w:ascii="Times New Roman" w:hAnsi="Times New Roman"/>
                <w:sz w:val="24"/>
                <w:szCs w:val="24"/>
                <w:lang w:eastAsia="en-GB"/>
              </w:rPr>
              <w:t xml:space="preserve"> (0.8</w:t>
            </w:r>
            <w:r>
              <w:rPr>
                <w:rFonts w:ascii="Times New Roman" w:hAnsi="Times New Roman"/>
                <w:sz w:val="24"/>
                <w:szCs w:val="24"/>
                <w:lang w:eastAsia="en-GB"/>
              </w:rPr>
              <w:t>4</w:t>
            </w:r>
            <w:r w:rsidRPr="008374A5">
              <w:rPr>
                <w:rFonts w:ascii="Times New Roman" w:hAnsi="Times New Roman"/>
                <w:sz w:val="24"/>
                <w:szCs w:val="24"/>
                <w:lang w:eastAsia="en-GB"/>
              </w:rPr>
              <w:t>-1.5</w:t>
            </w:r>
            <w:r>
              <w:rPr>
                <w:rFonts w:ascii="Times New Roman" w:hAnsi="Times New Roman"/>
                <w:sz w:val="24"/>
                <w:szCs w:val="24"/>
                <w:lang w:eastAsia="en-GB"/>
              </w:rPr>
              <w:t>1</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c>
          <w:tcPr>
            <w:tcW w:w="1985" w:type="dxa"/>
            <w:vAlign w:val="bottom"/>
          </w:tcPr>
          <w:p w:rsidR="001C1094" w:rsidRPr="008374A5" w:rsidRDefault="001C1094" w:rsidP="00536160">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1.1</w:t>
            </w:r>
            <w:r w:rsidR="00536160">
              <w:rPr>
                <w:rFonts w:ascii="Times New Roman" w:hAnsi="Times New Roman"/>
                <w:sz w:val="24"/>
                <w:szCs w:val="24"/>
                <w:lang w:eastAsia="en-GB"/>
              </w:rPr>
              <w:t>0</w:t>
            </w:r>
            <w:r w:rsidRPr="008374A5">
              <w:rPr>
                <w:rFonts w:ascii="Times New Roman" w:hAnsi="Times New Roman"/>
                <w:sz w:val="24"/>
                <w:szCs w:val="24"/>
                <w:lang w:eastAsia="en-GB"/>
              </w:rPr>
              <w:t xml:space="preserve"> (0.8</w:t>
            </w:r>
            <w:r w:rsidR="00536160">
              <w:rPr>
                <w:rFonts w:ascii="Times New Roman" w:hAnsi="Times New Roman"/>
                <w:sz w:val="24"/>
                <w:szCs w:val="24"/>
                <w:lang w:eastAsia="en-GB"/>
              </w:rPr>
              <w:t>3</w:t>
            </w:r>
            <w:r w:rsidRPr="008374A5">
              <w:rPr>
                <w:rFonts w:ascii="Times New Roman" w:hAnsi="Times New Roman"/>
                <w:sz w:val="24"/>
                <w:szCs w:val="24"/>
                <w:lang w:eastAsia="en-GB"/>
              </w:rPr>
              <w:t>-1.</w:t>
            </w:r>
            <w:r w:rsidR="00536160">
              <w:rPr>
                <w:rFonts w:ascii="Times New Roman" w:hAnsi="Times New Roman"/>
                <w:sz w:val="24"/>
                <w:szCs w:val="24"/>
                <w:lang w:eastAsia="en-GB"/>
              </w:rPr>
              <w:t>47</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sidRPr="008374A5">
              <w:rPr>
                <w:rFonts w:ascii="Times New Roman" w:hAnsi="Times New Roman"/>
                <w:sz w:val="24"/>
                <w:szCs w:val="24"/>
                <w:lang w:eastAsia="en-GB"/>
              </w:rPr>
              <w:t>ST elevation</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0.97</w:t>
            </w:r>
            <w:r w:rsidRPr="008374A5">
              <w:rPr>
                <w:rFonts w:ascii="Times New Roman" w:hAnsi="Times New Roman"/>
                <w:sz w:val="24"/>
                <w:szCs w:val="24"/>
                <w:lang w:eastAsia="en-GB"/>
              </w:rPr>
              <w:t xml:space="preserve"> (0.</w:t>
            </w:r>
            <w:r>
              <w:rPr>
                <w:rFonts w:ascii="Times New Roman" w:hAnsi="Times New Roman"/>
                <w:sz w:val="24"/>
                <w:szCs w:val="24"/>
                <w:lang w:eastAsia="en-GB"/>
              </w:rPr>
              <w:t>77</w:t>
            </w:r>
            <w:r w:rsidRPr="008374A5">
              <w:rPr>
                <w:rFonts w:ascii="Times New Roman" w:hAnsi="Times New Roman"/>
                <w:sz w:val="24"/>
                <w:szCs w:val="24"/>
                <w:lang w:eastAsia="en-GB"/>
              </w:rPr>
              <w:t>-1.</w:t>
            </w:r>
            <w:r>
              <w:rPr>
                <w:rFonts w:ascii="Times New Roman" w:hAnsi="Times New Roman"/>
                <w:sz w:val="24"/>
                <w:szCs w:val="24"/>
                <w:lang w:eastAsia="en-GB"/>
              </w:rPr>
              <w:t>23</w:t>
            </w:r>
            <w:r w:rsidRPr="008374A5">
              <w:rPr>
                <w:rFonts w:ascii="Times New Roman" w:hAnsi="Times New Roman"/>
                <w:sz w:val="24"/>
                <w:szCs w:val="24"/>
                <w:lang w:eastAsia="en-GB"/>
              </w:rPr>
              <w:t>)</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1.2</w:t>
            </w:r>
            <w:r>
              <w:rPr>
                <w:rFonts w:ascii="Times New Roman" w:hAnsi="Times New Roman"/>
                <w:sz w:val="24"/>
                <w:szCs w:val="24"/>
                <w:lang w:eastAsia="en-GB"/>
              </w:rPr>
              <w:t>7</w:t>
            </w:r>
            <w:r w:rsidRPr="008374A5">
              <w:rPr>
                <w:rFonts w:ascii="Times New Roman" w:hAnsi="Times New Roman"/>
                <w:sz w:val="24"/>
                <w:szCs w:val="24"/>
                <w:lang w:eastAsia="en-GB"/>
              </w:rPr>
              <w:t xml:space="preserve"> (0.</w:t>
            </w:r>
            <w:r>
              <w:rPr>
                <w:rFonts w:ascii="Times New Roman" w:hAnsi="Times New Roman"/>
                <w:sz w:val="24"/>
                <w:szCs w:val="24"/>
                <w:lang w:eastAsia="en-GB"/>
              </w:rPr>
              <w:t>92</w:t>
            </w:r>
            <w:r w:rsidRPr="008374A5">
              <w:rPr>
                <w:rFonts w:ascii="Times New Roman" w:hAnsi="Times New Roman"/>
                <w:sz w:val="24"/>
                <w:szCs w:val="24"/>
                <w:lang w:eastAsia="en-GB"/>
              </w:rPr>
              <w:t>-1.7</w:t>
            </w:r>
            <w:r>
              <w:rPr>
                <w:rFonts w:ascii="Times New Roman" w:hAnsi="Times New Roman"/>
                <w:sz w:val="24"/>
                <w:szCs w:val="24"/>
                <w:lang w:eastAsia="en-GB"/>
              </w:rPr>
              <w:t>6</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c>
          <w:tcPr>
            <w:tcW w:w="1985" w:type="dxa"/>
            <w:vAlign w:val="bottom"/>
          </w:tcPr>
          <w:p w:rsidR="001C1094" w:rsidRPr="008374A5" w:rsidRDefault="001C1094" w:rsidP="00F1113B">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sidR="00F1113B">
              <w:rPr>
                <w:rFonts w:ascii="Times New Roman" w:hAnsi="Times New Roman"/>
                <w:sz w:val="24"/>
                <w:szCs w:val="24"/>
                <w:lang w:eastAsia="en-GB"/>
              </w:rPr>
              <w:t>31</w:t>
            </w:r>
            <w:r w:rsidRPr="008374A5">
              <w:rPr>
                <w:rFonts w:ascii="Times New Roman" w:hAnsi="Times New Roman"/>
                <w:sz w:val="24"/>
                <w:szCs w:val="24"/>
                <w:lang w:eastAsia="en-GB"/>
              </w:rPr>
              <w:t xml:space="preserve"> (0.</w:t>
            </w:r>
            <w:r>
              <w:rPr>
                <w:rFonts w:ascii="Times New Roman" w:hAnsi="Times New Roman"/>
                <w:sz w:val="24"/>
                <w:szCs w:val="24"/>
                <w:lang w:eastAsia="en-GB"/>
              </w:rPr>
              <w:t>9</w:t>
            </w:r>
            <w:r w:rsidR="00F1113B">
              <w:rPr>
                <w:rFonts w:ascii="Times New Roman" w:hAnsi="Times New Roman"/>
                <w:sz w:val="24"/>
                <w:szCs w:val="24"/>
                <w:lang w:eastAsia="en-GB"/>
              </w:rPr>
              <w:t>5</w:t>
            </w:r>
            <w:r w:rsidRPr="008374A5">
              <w:rPr>
                <w:rFonts w:ascii="Times New Roman" w:hAnsi="Times New Roman"/>
                <w:sz w:val="24"/>
                <w:szCs w:val="24"/>
                <w:lang w:eastAsia="en-GB"/>
              </w:rPr>
              <w:t>-1.</w:t>
            </w:r>
            <w:r w:rsidR="00F1113B">
              <w:rPr>
                <w:rFonts w:ascii="Times New Roman" w:hAnsi="Times New Roman"/>
                <w:sz w:val="24"/>
                <w:szCs w:val="24"/>
                <w:lang w:eastAsia="en-GB"/>
              </w:rPr>
              <w:t>81</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proofErr w:type="spellStart"/>
            <w:r w:rsidRPr="008374A5">
              <w:rPr>
                <w:rFonts w:ascii="Times New Roman" w:hAnsi="Times New Roman"/>
                <w:sz w:val="24"/>
                <w:szCs w:val="24"/>
                <w:lang w:eastAsia="en-GB"/>
              </w:rPr>
              <w:t>Killip</w:t>
            </w:r>
            <w:proofErr w:type="spellEnd"/>
            <w:r w:rsidRPr="008374A5">
              <w:rPr>
                <w:rFonts w:ascii="Times New Roman" w:hAnsi="Times New Roman"/>
                <w:sz w:val="24"/>
                <w:szCs w:val="24"/>
                <w:lang w:eastAsia="en-GB"/>
              </w:rPr>
              <w:t xml:space="preserve"> class&gt;1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2.</w:t>
            </w:r>
            <w:r>
              <w:rPr>
                <w:rFonts w:ascii="Times New Roman" w:hAnsi="Times New Roman"/>
                <w:sz w:val="24"/>
                <w:szCs w:val="24"/>
                <w:lang w:eastAsia="en-GB"/>
              </w:rPr>
              <w:t>62</w:t>
            </w:r>
            <w:r w:rsidRPr="008374A5">
              <w:rPr>
                <w:rFonts w:ascii="Times New Roman" w:hAnsi="Times New Roman"/>
                <w:sz w:val="24"/>
                <w:szCs w:val="24"/>
                <w:lang w:eastAsia="en-GB"/>
              </w:rPr>
              <w:t xml:space="preserve"> (</w:t>
            </w:r>
            <w:r>
              <w:rPr>
                <w:rFonts w:ascii="Times New Roman" w:hAnsi="Times New Roman"/>
                <w:sz w:val="24"/>
                <w:szCs w:val="24"/>
                <w:lang w:eastAsia="en-GB"/>
              </w:rPr>
              <w:t>2.06</w:t>
            </w:r>
            <w:r w:rsidRPr="008374A5">
              <w:rPr>
                <w:rFonts w:ascii="Times New Roman" w:hAnsi="Times New Roman"/>
                <w:sz w:val="24"/>
                <w:szCs w:val="24"/>
                <w:lang w:eastAsia="en-GB"/>
              </w:rPr>
              <w:t>-</w:t>
            </w:r>
            <w:r>
              <w:rPr>
                <w:rFonts w:ascii="Times New Roman" w:hAnsi="Times New Roman"/>
                <w:sz w:val="24"/>
                <w:szCs w:val="24"/>
                <w:lang w:eastAsia="en-GB"/>
              </w:rPr>
              <w:t>3.33</w:t>
            </w:r>
            <w:r w:rsidRPr="008374A5">
              <w:rPr>
                <w:rFonts w:ascii="Times New Roman" w:hAnsi="Times New Roman"/>
                <w:sz w:val="24"/>
                <w:szCs w:val="24"/>
                <w:lang w:eastAsia="en-GB"/>
              </w:rPr>
              <w:t>)</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66</w:t>
            </w:r>
            <w:r w:rsidRPr="008374A5">
              <w:rPr>
                <w:rFonts w:ascii="Times New Roman" w:hAnsi="Times New Roman"/>
                <w:sz w:val="24"/>
                <w:szCs w:val="24"/>
                <w:lang w:eastAsia="en-GB"/>
              </w:rPr>
              <w:t xml:space="preserve"> (</w:t>
            </w:r>
            <w:r>
              <w:rPr>
                <w:rFonts w:ascii="Times New Roman" w:hAnsi="Times New Roman"/>
                <w:sz w:val="24"/>
                <w:szCs w:val="24"/>
                <w:lang w:eastAsia="en-GB"/>
              </w:rPr>
              <w:t>1.26</w:t>
            </w:r>
            <w:r w:rsidRPr="008374A5">
              <w:rPr>
                <w:rFonts w:ascii="Times New Roman" w:hAnsi="Times New Roman"/>
                <w:sz w:val="24"/>
                <w:szCs w:val="24"/>
                <w:lang w:eastAsia="en-GB"/>
              </w:rPr>
              <w:t>-</w:t>
            </w:r>
            <w:r>
              <w:rPr>
                <w:rFonts w:ascii="Times New Roman" w:hAnsi="Times New Roman"/>
                <w:sz w:val="24"/>
                <w:szCs w:val="24"/>
                <w:lang w:eastAsia="en-GB"/>
              </w:rPr>
              <w:t>2.19</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w:t>
            </w:r>
            <w:r>
              <w:rPr>
                <w:rFonts w:ascii="Times New Roman" w:hAnsi="Times New Roman"/>
                <w:sz w:val="24"/>
                <w:szCs w:val="24"/>
                <w:lang w:eastAsia="en-GB"/>
              </w:rPr>
              <w:t>1</w:t>
            </w:r>
          </w:p>
        </w:tc>
        <w:tc>
          <w:tcPr>
            <w:tcW w:w="1985" w:type="dxa"/>
            <w:vAlign w:val="bottom"/>
          </w:tcPr>
          <w:p w:rsidR="001C1094" w:rsidRPr="008374A5" w:rsidRDefault="001C1094" w:rsidP="000A4BFC">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6</w:t>
            </w:r>
            <w:r w:rsidR="000A4BFC">
              <w:rPr>
                <w:rFonts w:ascii="Times New Roman" w:hAnsi="Times New Roman"/>
                <w:sz w:val="24"/>
                <w:szCs w:val="24"/>
                <w:lang w:eastAsia="en-GB"/>
              </w:rPr>
              <w:t>7</w:t>
            </w:r>
            <w:r w:rsidRPr="008374A5">
              <w:rPr>
                <w:rFonts w:ascii="Times New Roman" w:hAnsi="Times New Roman"/>
                <w:sz w:val="24"/>
                <w:szCs w:val="24"/>
                <w:lang w:eastAsia="en-GB"/>
              </w:rPr>
              <w:t xml:space="preserve"> (</w:t>
            </w:r>
            <w:r>
              <w:rPr>
                <w:rFonts w:ascii="Times New Roman" w:hAnsi="Times New Roman"/>
                <w:sz w:val="24"/>
                <w:szCs w:val="24"/>
                <w:lang w:eastAsia="en-GB"/>
              </w:rPr>
              <w:t>1.26</w:t>
            </w:r>
            <w:r w:rsidRPr="008374A5">
              <w:rPr>
                <w:rFonts w:ascii="Times New Roman" w:hAnsi="Times New Roman"/>
                <w:sz w:val="24"/>
                <w:szCs w:val="24"/>
                <w:lang w:eastAsia="en-GB"/>
              </w:rPr>
              <w:t>-</w:t>
            </w:r>
            <w:r>
              <w:rPr>
                <w:rFonts w:ascii="Times New Roman" w:hAnsi="Times New Roman"/>
                <w:sz w:val="24"/>
                <w:szCs w:val="24"/>
                <w:lang w:eastAsia="en-GB"/>
              </w:rPr>
              <w:t>2.</w:t>
            </w:r>
            <w:r w:rsidR="000A4BFC">
              <w:rPr>
                <w:rFonts w:ascii="Times New Roman" w:hAnsi="Times New Roman"/>
                <w:sz w:val="24"/>
                <w:szCs w:val="24"/>
                <w:lang w:eastAsia="en-GB"/>
              </w:rPr>
              <w:t>20</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w:t>
            </w:r>
            <w:r>
              <w:rPr>
                <w:rFonts w:ascii="Times New Roman" w:hAnsi="Times New Roman"/>
                <w:sz w:val="24"/>
                <w:szCs w:val="24"/>
                <w:lang w:eastAsia="en-GB"/>
              </w:rPr>
              <w:t>1</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sidRPr="008374A5">
              <w:rPr>
                <w:rFonts w:ascii="Times New Roman" w:hAnsi="Times New Roman"/>
                <w:sz w:val="24"/>
                <w:szCs w:val="24"/>
                <w:lang w:eastAsia="en-GB"/>
              </w:rPr>
              <w:t>eGFR (ml min</w:t>
            </w:r>
            <w:r w:rsidRPr="008374A5">
              <w:rPr>
                <w:rFonts w:ascii="Times New Roman" w:hAnsi="Times New Roman"/>
                <w:sz w:val="24"/>
                <w:szCs w:val="24"/>
                <w:vertAlign w:val="superscript"/>
                <w:lang w:eastAsia="en-GB"/>
              </w:rPr>
              <w:t>-1</w:t>
            </w:r>
            <w:r w:rsidRPr="008374A5">
              <w:rPr>
                <w:rFonts w:ascii="Times New Roman" w:hAnsi="Times New Roman"/>
                <w:sz w:val="24"/>
                <w:szCs w:val="24"/>
                <w:lang w:eastAsia="en-GB"/>
              </w:rPr>
              <w:t xml:space="preserve"> /1.73m</w:t>
            </w:r>
            <w:r w:rsidRPr="008374A5">
              <w:rPr>
                <w:rFonts w:ascii="Times New Roman" w:hAnsi="Times New Roman"/>
                <w:sz w:val="24"/>
                <w:szCs w:val="24"/>
                <w:vertAlign w:val="superscript"/>
                <w:lang w:eastAsia="en-GB"/>
              </w:rPr>
              <w:t>2</w:t>
            </w:r>
            <w:r w:rsidRPr="008374A5">
              <w:rPr>
                <w:rFonts w:ascii="Times New Roman" w:hAnsi="Times New Roman"/>
                <w:sz w:val="24"/>
                <w:szCs w:val="24"/>
                <w:lang w:eastAsia="en-GB"/>
              </w:rPr>
              <w:t>)</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0.9</w:t>
            </w:r>
            <w:r>
              <w:rPr>
                <w:rFonts w:ascii="Times New Roman" w:hAnsi="Times New Roman"/>
                <w:sz w:val="24"/>
                <w:szCs w:val="24"/>
                <w:lang w:eastAsia="en-GB"/>
              </w:rPr>
              <w:t>7</w:t>
            </w:r>
            <w:r w:rsidRPr="008374A5">
              <w:rPr>
                <w:rFonts w:ascii="Times New Roman" w:hAnsi="Times New Roman"/>
                <w:sz w:val="24"/>
                <w:szCs w:val="24"/>
                <w:lang w:eastAsia="en-GB"/>
              </w:rPr>
              <w:t xml:space="preserve"> (0.96-0.9</w:t>
            </w:r>
            <w:r>
              <w:rPr>
                <w:rFonts w:ascii="Times New Roman" w:hAnsi="Times New Roman"/>
                <w:sz w:val="24"/>
                <w:szCs w:val="24"/>
                <w:lang w:eastAsia="en-GB"/>
              </w:rPr>
              <w:t>7</w:t>
            </w:r>
            <w:r w:rsidRPr="008374A5">
              <w:rPr>
                <w:rFonts w:ascii="Times New Roman" w:hAnsi="Times New Roman"/>
                <w:sz w:val="24"/>
                <w:szCs w:val="24"/>
                <w:lang w:eastAsia="en-GB"/>
              </w:rPr>
              <w:t>)</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0.99 (0.98-0.99)</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0.006</w:t>
            </w:r>
          </w:p>
        </w:tc>
        <w:tc>
          <w:tcPr>
            <w:tcW w:w="1985" w:type="dxa"/>
            <w:vAlign w:val="bottom"/>
          </w:tcPr>
          <w:p w:rsidR="001C1094" w:rsidRPr="008374A5" w:rsidRDefault="001C1094" w:rsidP="000A4BFC">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0.9</w:t>
            </w:r>
            <w:r w:rsidR="000A4BFC">
              <w:rPr>
                <w:rFonts w:ascii="Times New Roman" w:hAnsi="Times New Roman"/>
                <w:sz w:val="24"/>
                <w:szCs w:val="24"/>
                <w:lang w:eastAsia="en-GB"/>
              </w:rPr>
              <w:t>8</w:t>
            </w:r>
            <w:r w:rsidRPr="008374A5">
              <w:rPr>
                <w:rFonts w:ascii="Times New Roman" w:hAnsi="Times New Roman"/>
                <w:sz w:val="24"/>
                <w:szCs w:val="24"/>
                <w:lang w:eastAsia="en-GB"/>
              </w:rPr>
              <w:t xml:space="preserve"> (0.9</w:t>
            </w:r>
            <w:r w:rsidR="000A4BFC">
              <w:rPr>
                <w:rFonts w:ascii="Times New Roman" w:hAnsi="Times New Roman"/>
                <w:sz w:val="24"/>
                <w:szCs w:val="24"/>
                <w:lang w:eastAsia="en-GB"/>
              </w:rPr>
              <w:t>7</w:t>
            </w:r>
            <w:r w:rsidRPr="008374A5">
              <w:rPr>
                <w:rFonts w:ascii="Times New Roman" w:hAnsi="Times New Roman"/>
                <w:sz w:val="24"/>
                <w:szCs w:val="24"/>
                <w:lang w:eastAsia="en-GB"/>
              </w:rPr>
              <w:t>-0.99)</w:t>
            </w:r>
          </w:p>
        </w:tc>
        <w:tc>
          <w:tcPr>
            <w:tcW w:w="992" w:type="dxa"/>
            <w:vAlign w:val="bottom"/>
          </w:tcPr>
          <w:p w:rsidR="001C1094" w:rsidRPr="008374A5" w:rsidRDefault="00DD0890"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w:t>
            </w:r>
            <w:r>
              <w:rPr>
                <w:rFonts w:ascii="Times New Roman" w:hAnsi="Times New Roman"/>
                <w:sz w:val="24"/>
                <w:szCs w:val="24"/>
                <w:lang w:eastAsia="en-GB"/>
              </w:rPr>
              <w:t>1</w:t>
            </w:r>
          </w:p>
        </w:tc>
      </w:tr>
      <w:tr w:rsidR="008F2E5B" w:rsidRPr="008374A5" w:rsidTr="00B66C39">
        <w:tc>
          <w:tcPr>
            <w:tcW w:w="2660" w:type="dxa"/>
            <w:vAlign w:val="bottom"/>
          </w:tcPr>
          <w:p w:rsidR="008F2E5B" w:rsidRPr="008374A5" w:rsidRDefault="008F2E5B" w:rsidP="008374A5">
            <w:pPr>
              <w:spacing w:after="0" w:line="240" w:lineRule="auto"/>
              <w:rPr>
                <w:rFonts w:ascii="Times New Roman" w:hAnsi="Times New Roman"/>
                <w:sz w:val="24"/>
                <w:szCs w:val="24"/>
                <w:lang w:eastAsia="en-GB"/>
              </w:rPr>
            </w:pPr>
          </w:p>
        </w:tc>
        <w:tc>
          <w:tcPr>
            <w:tcW w:w="1843" w:type="dxa"/>
            <w:vAlign w:val="bottom"/>
          </w:tcPr>
          <w:p w:rsidR="008F2E5B" w:rsidRPr="008374A5" w:rsidRDefault="008F2E5B" w:rsidP="008374A5">
            <w:pPr>
              <w:spacing w:after="0" w:line="240" w:lineRule="auto"/>
              <w:jc w:val="center"/>
              <w:rPr>
                <w:rFonts w:ascii="Times New Roman" w:hAnsi="Times New Roman"/>
                <w:sz w:val="24"/>
                <w:szCs w:val="24"/>
                <w:lang w:eastAsia="en-GB"/>
              </w:rPr>
            </w:pPr>
          </w:p>
        </w:tc>
        <w:tc>
          <w:tcPr>
            <w:tcW w:w="850" w:type="dxa"/>
            <w:vAlign w:val="bottom"/>
          </w:tcPr>
          <w:p w:rsidR="008F2E5B" w:rsidRPr="008374A5" w:rsidRDefault="008F2E5B" w:rsidP="008374A5">
            <w:pPr>
              <w:spacing w:after="0" w:line="240" w:lineRule="auto"/>
              <w:jc w:val="center"/>
              <w:rPr>
                <w:rFonts w:ascii="Times New Roman" w:hAnsi="Times New Roman"/>
                <w:sz w:val="24"/>
                <w:szCs w:val="24"/>
                <w:lang w:eastAsia="en-GB"/>
              </w:rPr>
            </w:pPr>
          </w:p>
        </w:tc>
        <w:tc>
          <w:tcPr>
            <w:tcW w:w="1843" w:type="dxa"/>
            <w:vAlign w:val="bottom"/>
          </w:tcPr>
          <w:p w:rsidR="008F2E5B" w:rsidRPr="008374A5" w:rsidRDefault="008F2E5B" w:rsidP="008374A5">
            <w:pPr>
              <w:spacing w:after="0" w:line="240" w:lineRule="auto"/>
              <w:jc w:val="center"/>
              <w:rPr>
                <w:rFonts w:ascii="Times New Roman" w:hAnsi="Times New Roman"/>
                <w:sz w:val="24"/>
                <w:szCs w:val="24"/>
                <w:lang w:eastAsia="en-GB"/>
              </w:rPr>
            </w:pPr>
          </w:p>
        </w:tc>
        <w:tc>
          <w:tcPr>
            <w:tcW w:w="992" w:type="dxa"/>
            <w:vAlign w:val="bottom"/>
          </w:tcPr>
          <w:p w:rsidR="008F2E5B" w:rsidRPr="008374A5" w:rsidRDefault="008F2E5B" w:rsidP="008374A5">
            <w:pPr>
              <w:spacing w:after="0" w:line="240" w:lineRule="auto"/>
              <w:jc w:val="center"/>
              <w:rPr>
                <w:rFonts w:ascii="Times New Roman" w:hAnsi="Times New Roman"/>
                <w:sz w:val="24"/>
                <w:szCs w:val="24"/>
                <w:lang w:eastAsia="en-GB"/>
              </w:rPr>
            </w:pPr>
          </w:p>
        </w:tc>
        <w:tc>
          <w:tcPr>
            <w:tcW w:w="1985" w:type="dxa"/>
            <w:vAlign w:val="bottom"/>
          </w:tcPr>
          <w:p w:rsidR="008F2E5B" w:rsidRPr="008374A5" w:rsidRDefault="008F2E5B" w:rsidP="008374A5">
            <w:pPr>
              <w:spacing w:after="0" w:line="240" w:lineRule="auto"/>
              <w:jc w:val="center"/>
              <w:rPr>
                <w:rFonts w:ascii="Times New Roman" w:hAnsi="Times New Roman"/>
                <w:sz w:val="24"/>
                <w:szCs w:val="24"/>
                <w:lang w:eastAsia="en-GB"/>
              </w:rPr>
            </w:pPr>
          </w:p>
        </w:tc>
        <w:tc>
          <w:tcPr>
            <w:tcW w:w="992" w:type="dxa"/>
            <w:vAlign w:val="bottom"/>
          </w:tcPr>
          <w:p w:rsidR="008F2E5B" w:rsidRPr="008374A5" w:rsidRDefault="008F2E5B" w:rsidP="008374A5">
            <w:pPr>
              <w:spacing w:after="0" w:line="240" w:lineRule="auto"/>
              <w:ind w:right="-196"/>
              <w:jc w:val="center"/>
              <w:rPr>
                <w:rFonts w:ascii="Times New Roman" w:hAnsi="Times New Roman"/>
                <w:sz w:val="24"/>
                <w:szCs w:val="24"/>
                <w:lang w:eastAsia="en-GB"/>
              </w:rPr>
            </w:pPr>
          </w:p>
        </w:tc>
      </w:tr>
      <w:tr w:rsidR="008F2E5B" w:rsidRPr="008374A5" w:rsidTr="00B66C39">
        <w:tc>
          <w:tcPr>
            <w:tcW w:w="11165" w:type="dxa"/>
            <w:gridSpan w:val="7"/>
            <w:vAlign w:val="bottom"/>
          </w:tcPr>
          <w:p w:rsidR="008F2E5B" w:rsidRPr="008374A5" w:rsidRDefault="008F2E5B" w:rsidP="008374A5">
            <w:pPr>
              <w:tabs>
                <w:tab w:val="left" w:pos="2201"/>
              </w:tabs>
              <w:spacing w:after="0" w:line="240" w:lineRule="auto"/>
              <w:ind w:right="-196"/>
              <w:contextualSpacing/>
              <w:rPr>
                <w:rFonts w:ascii="Times New Roman" w:hAnsi="Times New Roman"/>
                <w:sz w:val="24"/>
                <w:szCs w:val="24"/>
                <w:lang w:eastAsia="en-GB"/>
              </w:rPr>
            </w:pPr>
            <w:r w:rsidRPr="008374A5">
              <w:rPr>
                <w:rFonts w:ascii="Times New Roman" w:hAnsi="Times New Roman"/>
                <w:b/>
                <w:sz w:val="24"/>
                <w:szCs w:val="24"/>
                <w:lang w:eastAsia="en-GB"/>
              </w:rPr>
              <w:t>Past history</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sidRPr="008374A5">
              <w:rPr>
                <w:rFonts w:ascii="Times New Roman" w:hAnsi="Times New Roman"/>
                <w:sz w:val="24"/>
                <w:szCs w:val="24"/>
                <w:lang w:eastAsia="en-GB"/>
              </w:rPr>
              <w:t>Ischemic heart disease</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1.6</w:t>
            </w:r>
            <w:r>
              <w:rPr>
                <w:rFonts w:ascii="Times New Roman" w:hAnsi="Times New Roman"/>
                <w:sz w:val="24"/>
                <w:szCs w:val="24"/>
                <w:lang w:eastAsia="en-GB"/>
              </w:rPr>
              <w:t>7</w:t>
            </w:r>
            <w:r w:rsidRPr="008374A5">
              <w:rPr>
                <w:rFonts w:ascii="Times New Roman" w:hAnsi="Times New Roman"/>
                <w:sz w:val="24"/>
                <w:szCs w:val="24"/>
                <w:lang w:eastAsia="en-GB"/>
              </w:rPr>
              <w:t xml:space="preserve"> (1.</w:t>
            </w:r>
            <w:r>
              <w:rPr>
                <w:rFonts w:ascii="Times New Roman" w:hAnsi="Times New Roman"/>
                <w:sz w:val="24"/>
                <w:szCs w:val="24"/>
                <w:lang w:eastAsia="en-GB"/>
              </w:rPr>
              <w:t>32</w:t>
            </w:r>
            <w:r w:rsidRPr="008374A5">
              <w:rPr>
                <w:rFonts w:ascii="Times New Roman" w:hAnsi="Times New Roman"/>
                <w:sz w:val="24"/>
                <w:szCs w:val="24"/>
                <w:lang w:eastAsia="en-GB"/>
              </w:rPr>
              <w:t>-2.</w:t>
            </w:r>
            <w:r>
              <w:rPr>
                <w:rFonts w:ascii="Times New Roman" w:hAnsi="Times New Roman"/>
                <w:sz w:val="24"/>
                <w:szCs w:val="24"/>
                <w:lang w:eastAsia="en-GB"/>
              </w:rPr>
              <w:t>11</w:t>
            </w:r>
            <w:r w:rsidRPr="008374A5">
              <w:rPr>
                <w:rFonts w:ascii="Times New Roman" w:hAnsi="Times New Roman"/>
                <w:sz w:val="24"/>
                <w:szCs w:val="24"/>
                <w:lang w:eastAsia="en-GB"/>
              </w:rPr>
              <w:t>)</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06</w:t>
            </w:r>
            <w:r w:rsidRPr="008374A5">
              <w:rPr>
                <w:rFonts w:ascii="Times New Roman" w:hAnsi="Times New Roman"/>
                <w:sz w:val="24"/>
                <w:szCs w:val="24"/>
                <w:lang w:eastAsia="en-GB"/>
              </w:rPr>
              <w:t xml:space="preserve"> (0.8</w:t>
            </w:r>
            <w:r>
              <w:rPr>
                <w:rFonts w:ascii="Times New Roman" w:hAnsi="Times New Roman"/>
                <w:sz w:val="24"/>
                <w:szCs w:val="24"/>
                <w:lang w:eastAsia="en-GB"/>
              </w:rPr>
              <w:t>0</w:t>
            </w:r>
            <w:r w:rsidRPr="008374A5">
              <w:rPr>
                <w:rFonts w:ascii="Times New Roman" w:hAnsi="Times New Roman"/>
                <w:sz w:val="24"/>
                <w:szCs w:val="24"/>
                <w:lang w:eastAsia="en-GB"/>
              </w:rPr>
              <w:t>-1.</w:t>
            </w:r>
            <w:r>
              <w:rPr>
                <w:rFonts w:ascii="Times New Roman" w:hAnsi="Times New Roman"/>
                <w:sz w:val="24"/>
                <w:szCs w:val="24"/>
                <w:lang w:eastAsia="en-GB"/>
              </w:rPr>
              <w:t>42</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c>
          <w:tcPr>
            <w:tcW w:w="1985" w:type="dxa"/>
            <w:vAlign w:val="bottom"/>
          </w:tcPr>
          <w:p w:rsidR="001C1094" w:rsidRPr="008374A5" w:rsidRDefault="001C1094" w:rsidP="00536160">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0</w:t>
            </w:r>
            <w:r w:rsidR="00536160">
              <w:rPr>
                <w:rFonts w:ascii="Times New Roman" w:hAnsi="Times New Roman"/>
                <w:sz w:val="24"/>
                <w:szCs w:val="24"/>
                <w:lang w:eastAsia="en-GB"/>
              </w:rPr>
              <w:t>3</w:t>
            </w:r>
            <w:r w:rsidRPr="008374A5">
              <w:rPr>
                <w:rFonts w:ascii="Times New Roman" w:hAnsi="Times New Roman"/>
                <w:sz w:val="24"/>
                <w:szCs w:val="24"/>
                <w:lang w:eastAsia="en-GB"/>
              </w:rPr>
              <w:t xml:space="preserve"> (0.</w:t>
            </w:r>
            <w:r w:rsidR="00536160">
              <w:rPr>
                <w:rFonts w:ascii="Times New Roman" w:hAnsi="Times New Roman"/>
                <w:sz w:val="24"/>
                <w:szCs w:val="24"/>
                <w:lang w:eastAsia="en-GB"/>
              </w:rPr>
              <w:t>76</w:t>
            </w:r>
            <w:r w:rsidRPr="008374A5">
              <w:rPr>
                <w:rFonts w:ascii="Times New Roman" w:hAnsi="Times New Roman"/>
                <w:sz w:val="24"/>
                <w:szCs w:val="24"/>
                <w:lang w:eastAsia="en-GB"/>
              </w:rPr>
              <w:t>-1.</w:t>
            </w:r>
            <w:r w:rsidR="00536160">
              <w:rPr>
                <w:rFonts w:ascii="Times New Roman" w:hAnsi="Times New Roman"/>
                <w:sz w:val="24"/>
                <w:szCs w:val="24"/>
                <w:lang w:eastAsia="en-GB"/>
              </w:rPr>
              <w:t>38</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sidRPr="008374A5">
              <w:rPr>
                <w:rFonts w:ascii="Times New Roman" w:hAnsi="Times New Roman"/>
                <w:sz w:val="24"/>
                <w:szCs w:val="24"/>
                <w:lang w:eastAsia="en-GB"/>
              </w:rPr>
              <w:t>Hypertension</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69</w:t>
            </w:r>
            <w:r w:rsidRPr="008374A5">
              <w:rPr>
                <w:rFonts w:ascii="Times New Roman" w:hAnsi="Times New Roman"/>
                <w:sz w:val="24"/>
                <w:szCs w:val="24"/>
                <w:lang w:eastAsia="en-GB"/>
              </w:rPr>
              <w:t xml:space="preserve"> (1.</w:t>
            </w:r>
            <w:r>
              <w:rPr>
                <w:rFonts w:ascii="Times New Roman" w:hAnsi="Times New Roman"/>
                <w:sz w:val="24"/>
                <w:szCs w:val="24"/>
                <w:lang w:eastAsia="en-GB"/>
              </w:rPr>
              <w:t>32</w:t>
            </w:r>
            <w:r w:rsidRPr="008374A5">
              <w:rPr>
                <w:rFonts w:ascii="Times New Roman" w:hAnsi="Times New Roman"/>
                <w:sz w:val="24"/>
                <w:szCs w:val="24"/>
                <w:lang w:eastAsia="en-GB"/>
              </w:rPr>
              <w:t>-</w:t>
            </w:r>
            <w:r>
              <w:rPr>
                <w:rFonts w:ascii="Times New Roman" w:hAnsi="Times New Roman"/>
                <w:sz w:val="24"/>
                <w:szCs w:val="24"/>
                <w:lang w:eastAsia="en-GB"/>
              </w:rPr>
              <w:t>2.15</w:t>
            </w:r>
            <w:r w:rsidRPr="008374A5">
              <w:rPr>
                <w:rFonts w:ascii="Times New Roman" w:hAnsi="Times New Roman"/>
                <w:sz w:val="24"/>
                <w:szCs w:val="24"/>
                <w:lang w:eastAsia="en-GB"/>
              </w:rPr>
              <w:t>)</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13</w:t>
            </w:r>
            <w:r w:rsidRPr="008374A5">
              <w:rPr>
                <w:rFonts w:ascii="Times New Roman" w:hAnsi="Times New Roman"/>
                <w:sz w:val="24"/>
                <w:szCs w:val="24"/>
                <w:lang w:eastAsia="en-GB"/>
              </w:rPr>
              <w:t xml:space="preserve"> (0.</w:t>
            </w:r>
            <w:r>
              <w:rPr>
                <w:rFonts w:ascii="Times New Roman" w:hAnsi="Times New Roman"/>
                <w:sz w:val="24"/>
                <w:szCs w:val="24"/>
                <w:lang w:eastAsia="en-GB"/>
              </w:rPr>
              <w:t>85</w:t>
            </w:r>
            <w:r w:rsidRPr="008374A5">
              <w:rPr>
                <w:rFonts w:ascii="Times New Roman" w:hAnsi="Times New Roman"/>
                <w:sz w:val="24"/>
                <w:szCs w:val="24"/>
                <w:lang w:eastAsia="en-GB"/>
              </w:rPr>
              <w:t>-1.</w:t>
            </w:r>
            <w:r>
              <w:rPr>
                <w:rFonts w:ascii="Times New Roman" w:hAnsi="Times New Roman"/>
                <w:sz w:val="24"/>
                <w:szCs w:val="24"/>
                <w:lang w:eastAsia="en-GB"/>
              </w:rPr>
              <w:t>50</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c>
          <w:tcPr>
            <w:tcW w:w="1985" w:type="dxa"/>
            <w:vAlign w:val="bottom"/>
          </w:tcPr>
          <w:p w:rsidR="001C1094" w:rsidRPr="008374A5" w:rsidRDefault="001C1094" w:rsidP="00536160">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1</w:t>
            </w:r>
            <w:r w:rsidR="00536160">
              <w:rPr>
                <w:rFonts w:ascii="Times New Roman" w:hAnsi="Times New Roman"/>
                <w:sz w:val="24"/>
                <w:szCs w:val="24"/>
                <w:lang w:eastAsia="en-GB"/>
              </w:rPr>
              <w:t>8</w:t>
            </w:r>
            <w:r w:rsidRPr="008374A5">
              <w:rPr>
                <w:rFonts w:ascii="Times New Roman" w:hAnsi="Times New Roman"/>
                <w:sz w:val="24"/>
                <w:szCs w:val="24"/>
                <w:lang w:eastAsia="en-GB"/>
              </w:rPr>
              <w:t xml:space="preserve"> (0.</w:t>
            </w:r>
            <w:r>
              <w:rPr>
                <w:rFonts w:ascii="Times New Roman" w:hAnsi="Times New Roman"/>
                <w:sz w:val="24"/>
                <w:szCs w:val="24"/>
                <w:lang w:eastAsia="en-GB"/>
              </w:rPr>
              <w:t>8</w:t>
            </w:r>
            <w:r w:rsidR="00536160">
              <w:rPr>
                <w:rFonts w:ascii="Times New Roman" w:hAnsi="Times New Roman"/>
                <w:sz w:val="24"/>
                <w:szCs w:val="24"/>
                <w:lang w:eastAsia="en-GB"/>
              </w:rPr>
              <w:t>8</w:t>
            </w:r>
            <w:r w:rsidRPr="008374A5">
              <w:rPr>
                <w:rFonts w:ascii="Times New Roman" w:hAnsi="Times New Roman"/>
                <w:sz w:val="24"/>
                <w:szCs w:val="24"/>
                <w:lang w:eastAsia="en-GB"/>
              </w:rPr>
              <w:t>-1.</w:t>
            </w:r>
            <w:r>
              <w:rPr>
                <w:rFonts w:ascii="Times New Roman" w:hAnsi="Times New Roman"/>
                <w:sz w:val="24"/>
                <w:szCs w:val="24"/>
                <w:lang w:eastAsia="en-GB"/>
              </w:rPr>
              <w:t>5</w:t>
            </w:r>
            <w:r w:rsidR="00536160">
              <w:rPr>
                <w:rFonts w:ascii="Times New Roman" w:hAnsi="Times New Roman"/>
                <w:sz w:val="24"/>
                <w:szCs w:val="24"/>
                <w:lang w:eastAsia="en-GB"/>
              </w:rPr>
              <w:t>7</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sidRPr="008374A5">
              <w:rPr>
                <w:rFonts w:ascii="Times New Roman" w:hAnsi="Times New Roman"/>
                <w:sz w:val="24"/>
                <w:szCs w:val="24"/>
                <w:lang w:eastAsia="en-GB"/>
              </w:rPr>
              <w:t>Diabetes</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1.5</w:t>
            </w:r>
            <w:r>
              <w:rPr>
                <w:rFonts w:ascii="Times New Roman" w:hAnsi="Times New Roman"/>
                <w:sz w:val="24"/>
                <w:szCs w:val="24"/>
                <w:lang w:eastAsia="en-GB"/>
              </w:rPr>
              <w:t>9</w:t>
            </w:r>
            <w:r w:rsidRPr="008374A5">
              <w:rPr>
                <w:rFonts w:ascii="Times New Roman" w:hAnsi="Times New Roman"/>
                <w:sz w:val="24"/>
                <w:szCs w:val="24"/>
                <w:lang w:eastAsia="en-GB"/>
              </w:rPr>
              <w:t xml:space="preserve"> (1.</w:t>
            </w:r>
            <w:r>
              <w:rPr>
                <w:rFonts w:ascii="Times New Roman" w:hAnsi="Times New Roman"/>
                <w:sz w:val="24"/>
                <w:szCs w:val="24"/>
                <w:lang w:eastAsia="en-GB"/>
              </w:rPr>
              <w:t>23</w:t>
            </w:r>
            <w:r w:rsidRPr="008374A5">
              <w:rPr>
                <w:rFonts w:ascii="Times New Roman" w:hAnsi="Times New Roman"/>
                <w:sz w:val="24"/>
                <w:szCs w:val="24"/>
                <w:lang w:eastAsia="en-GB"/>
              </w:rPr>
              <w:t>-2.0</w:t>
            </w:r>
            <w:r>
              <w:rPr>
                <w:rFonts w:ascii="Times New Roman" w:hAnsi="Times New Roman"/>
                <w:sz w:val="24"/>
                <w:szCs w:val="24"/>
                <w:lang w:eastAsia="en-GB"/>
              </w:rPr>
              <w:t>4</w:t>
            </w:r>
            <w:r w:rsidRPr="008374A5">
              <w:rPr>
                <w:rFonts w:ascii="Times New Roman" w:hAnsi="Times New Roman"/>
                <w:sz w:val="24"/>
                <w:szCs w:val="24"/>
                <w:lang w:eastAsia="en-GB"/>
              </w:rPr>
              <w:t>)</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1.2</w:t>
            </w:r>
            <w:r>
              <w:rPr>
                <w:rFonts w:ascii="Times New Roman" w:hAnsi="Times New Roman"/>
                <w:sz w:val="24"/>
                <w:szCs w:val="24"/>
                <w:lang w:eastAsia="en-GB"/>
              </w:rPr>
              <w:t>6</w:t>
            </w:r>
            <w:r w:rsidRPr="008374A5">
              <w:rPr>
                <w:rFonts w:ascii="Times New Roman" w:hAnsi="Times New Roman"/>
                <w:sz w:val="24"/>
                <w:szCs w:val="24"/>
                <w:lang w:eastAsia="en-GB"/>
              </w:rPr>
              <w:t xml:space="preserve"> (0.9</w:t>
            </w:r>
            <w:r>
              <w:rPr>
                <w:rFonts w:ascii="Times New Roman" w:hAnsi="Times New Roman"/>
                <w:sz w:val="24"/>
                <w:szCs w:val="24"/>
                <w:lang w:eastAsia="en-GB"/>
              </w:rPr>
              <w:t>4</w:t>
            </w:r>
            <w:r w:rsidRPr="008374A5">
              <w:rPr>
                <w:rFonts w:ascii="Times New Roman" w:hAnsi="Times New Roman"/>
                <w:sz w:val="24"/>
                <w:szCs w:val="24"/>
                <w:lang w:eastAsia="en-GB"/>
              </w:rPr>
              <w:t>-1.</w:t>
            </w:r>
            <w:r>
              <w:rPr>
                <w:rFonts w:ascii="Times New Roman" w:hAnsi="Times New Roman"/>
                <w:sz w:val="24"/>
                <w:szCs w:val="24"/>
                <w:lang w:eastAsia="en-GB"/>
              </w:rPr>
              <w:t>69</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c>
          <w:tcPr>
            <w:tcW w:w="1985" w:type="dxa"/>
            <w:vAlign w:val="bottom"/>
          </w:tcPr>
          <w:p w:rsidR="001C1094" w:rsidRPr="008374A5" w:rsidRDefault="001C1094" w:rsidP="00536160">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1.2</w:t>
            </w:r>
            <w:r w:rsidR="00536160">
              <w:rPr>
                <w:rFonts w:ascii="Times New Roman" w:hAnsi="Times New Roman"/>
                <w:sz w:val="24"/>
                <w:szCs w:val="24"/>
                <w:lang w:eastAsia="en-GB"/>
              </w:rPr>
              <w:t>7</w:t>
            </w:r>
            <w:r w:rsidRPr="008374A5">
              <w:rPr>
                <w:rFonts w:ascii="Times New Roman" w:hAnsi="Times New Roman"/>
                <w:sz w:val="24"/>
                <w:szCs w:val="24"/>
                <w:lang w:eastAsia="en-GB"/>
              </w:rPr>
              <w:t xml:space="preserve"> (0.9</w:t>
            </w:r>
            <w:r w:rsidR="00536160">
              <w:rPr>
                <w:rFonts w:ascii="Times New Roman" w:hAnsi="Times New Roman"/>
                <w:sz w:val="24"/>
                <w:szCs w:val="24"/>
                <w:lang w:eastAsia="en-GB"/>
              </w:rPr>
              <w:t>5</w:t>
            </w:r>
            <w:r w:rsidRPr="008374A5">
              <w:rPr>
                <w:rFonts w:ascii="Times New Roman" w:hAnsi="Times New Roman"/>
                <w:sz w:val="24"/>
                <w:szCs w:val="24"/>
                <w:lang w:eastAsia="en-GB"/>
              </w:rPr>
              <w:t>-1.</w:t>
            </w:r>
            <w:r>
              <w:rPr>
                <w:rFonts w:ascii="Times New Roman" w:hAnsi="Times New Roman"/>
                <w:sz w:val="24"/>
                <w:szCs w:val="24"/>
                <w:lang w:eastAsia="en-GB"/>
              </w:rPr>
              <w:t>69</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r>
      <w:tr w:rsidR="00B66C39" w:rsidRPr="008374A5" w:rsidTr="00B66C39">
        <w:tc>
          <w:tcPr>
            <w:tcW w:w="2660" w:type="dxa"/>
            <w:vAlign w:val="bottom"/>
          </w:tcPr>
          <w:p w:rsidR="00B66C39" w:rsidRPr="008374A5" w:rsidRDefault="00B66C39" w:rsidP="008374A5">
            <w:pPr>
              <w:spacing w:after="0" w:line="240" w:lineRule="auto"/>
              <w:rPr>
                <w:rFonts w:ascii="Times New Roman" w:hAnsi="Times New Roman"/>
                <w:sz w:val="24"/>
                <w:szCs w:val="24"/>
                <w:lang w:eastAsia="en-GB"/>
              </w:rPr>
            </w:pPr>
          </w:p>
        </w:tc>
        <w:tc>
          <w:tcPr>
            <w:tcW w:w="1843"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850"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1843"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992"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1985"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992" w:type="dxa"/>
            <w:vAlign w:val="bottom"/>
          </w:tcPr>
          <w:p w:rsidR="00B66C39" w:rsidRPr="008374A5" w:rsidRDefault="00B66C39" w:rsidP="008374A5">
            <w:pPr>
              <w:spacing w:after="0" w:line="240" w:lineRule="auto"/>
              <w:ind w:right="-196"/>
              <w:jc w:val="center"/>
              <w:rPr>
                <w:rFonts w:ascii="Times New Roman" w:hAnsi="Times New Roman"/>
                <w:sz w:val="24"/>
                <w:szCs w:val="24"/>
                <w:lang w:eastAsia="en-GB"/>
              </w:rPr>
            </w:pPr>
          </w:p>
        </w:tc>
      </w:tr>
      <w:tr w:rsidR="00B66C39" w:rsidRPr="008374A5" w:rsidTr="00B66C39">
        <w:tc>
          <w:tcPr>
            <w:tcW w:w="2660" w:type="dxa"/>
            <w:vAlign w:val="bottom"/>
          </w:tcPr>
          <w:p w:rsidR="00B66C39" w:rsidRPr="008374A5" w:rsidRDefault="00B66C39" w:rsidP="008374A5">
            <w:pPr>
              <w:spacing w:after="0" w:line="240" w:lineRule="auto"/>
              <w:rPr>
                <w:rFonts w:ascii="Times New Roman" w:hAnsi="Times New Roman"/>
                <w:sz w:val="24"/>
                <w:szCs w:val="24"/>
                <w:lang w:eastAsia="en-GB"/>
              </w:rPr>
            </w:pPr>
            <w:r>
              <w:rPr>
                <w:rFonts w:ascii="Times New Roman" w:hAnsi="Times New Roman"/>
                <w:b/>
                <w:sz w:val="24"/>
                <w:szCs w:val="24"/>
                <w:lang w:eastAsia="en-GB"/>
              </w:rPr>
              <w:t>Treatment</w:t>
            </w:r>
          </w:p>
        </w:tc>
        <w:tc>
          <w:tcPr>
            <w:tcW w:w="1843"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850"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1843"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992"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1985" w:type="dxa"/>
            <w:vAlign w:val="bottom"/>
          </w:tcPr>
          <w:p w:rsidR="00B66C39" w:rsidRPr="008374A5" w:rsidRDefault="00B66C39" w:rsidP="008374A5">
            <w:pPr>
              <w:spacing w:after="0" w:line="240" w:lineRule="auto"/>
              <w:jc w:val="center"/>
              <w:rPr>
                <w:rFonts w:ascii="Times New Roman" w:hAnsi="Times New Roman"/>
                <w:sz w:val="24"/>
                <w:szCs w:val="24"/>
                <w:lang w:eastAsia="en-GB"/>
              </w:rPr>
            </w:pPr>
          </w:p>
        </w:tc>
        <w:tc>
          <w:tcPr>
            <w:tcW w:w="992" w:type="dxa"/>
            <w:vAlign w:val="bottom"/>
          </w:tcPr>
          <w:p w:rsidR="00B66C39" w:rsidRPr="008374A5" w:rsidRDefault="00B66C39" w:rsidP="008374A5">
            <w:pPr>
              <w:spacing w:after="0" w:line="240" w:lineRule="auto"/>
              <w:ind w:right="-196"/>
              <w:jc w:val="center"/>
              <w:rPr>
                <w:rFonts w:ascii="Times New Roman" w:hAnsi="Times New Roman"/>
                <w:sz w:val="24"/>
                <w:szCs w:val="24"/>
                <w:lang w:eastAsia="en-GB"/>
              </w:rPr>
            </w:pPr>
          </w:p>
        </w:tc>
      </w:tr>
      <w:tr w:rsidR="00B71FB0" w:rsidRPr="008374A5" w:rsidTr="00B66C39">
        <w:tc>
          <w:tcPr>
            <w:tcW w:w="2660" w:type="dxa"/>
            <w:vAlign w:val="bottom"/>
          </w:tcPr>
          <w:p w:rsidR="00B71FB0" w:rsidRPr="008374A5" w:rsidRDefault="00B71FB0" w:rsidP="00B71FB0">
            <w:pPr>
              <w:spacing w:after="0" w:line="240" w:lineRule="auto"/>
              <w:rPr>
                <w:rFonts w:ascii="Times New Roman" w:hAnsi="Times New Roman"/>
                <w:sz w:val="24"/>
                <w:szCs w:val="24"/>
                <w:lang w:eastAsia="en-GB"/>
              </w:rPr>
            </w:pPr>
            <w:r>
              <w:rPr>
                <w:rFonts w:ascii="Times New Roman" w:hAnsi="Times New Roman"/>
                <w:sz w:val="24"/>
                <w:szCs w:val="24"/>
                <w:lang w:eastAsia="en-GB"/>
              </w:rPr>
              <w:t>Aspirin</w:t>
            </w:r>
          </w:p>
        </w:tc>
        <w:tc>
          <w:tcPr>
            <w:tcW w:w="1843" w:type="dxa"/>
            <w:vAlign w:val="bottom"/>
          </w:tcPr>
          <w:p w:rsidR="00B71FB0" w:rsidRPr="008374A5" w:rsidRDefault="00B71FB0" w:rsidP="00B71FB0">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0.54</w:t>
            </w:r>
            <w:r w:rsidRPr="008374A5">
              <w:rPr>
                <w:rFonts w:ascii="Times New Roman" w:hAnsi="Times New Roman"/>
                <w:sz w:val="24"/>
                <w:szCs w:val="24"/>
                <w:lang w:eastAsia="en-GB"/>
              </w:rPr>
              <w:t xml:space="preserve"> (</w:t>
            </w:r>
            <w:r>
              <w:rPr>
                <w:rFonts w:ascii="Times New Roman" w:hAnsi="Times New Roman"/>
                <w:sz w:val="24"/>
                <w:szCs w:val="24"/>
                <w:lang w:eastAsia="en-GB"/>
              </w:rPr>
              <w:t>0.41</w:t>
            </w:r>
            <w:r w:rsidRPr="008374A5">
              <w:rPr>
                <w:rFonts w:ascii="Times New Roman" w:hAnsi="Times New Roman"/>
                <w:sz w:val="24"/>
                <w:szCs w:val="24"/>
                <w:lang w:eastAsia="en-GB"/>
              </w:rPr>
              <w:t>-</w:t>
            </w:r>
            <w:r>
              <w:rPr>
                <w:rFonts w:ascii="Times New Roman" w:hAnsi="Times New Roman"/>
                <w:sz w:val="24"/>
                <w:szCs w:val="24"/>
                <w:lang w:eastAsia="en-GB"/>
              </w:rPr>
              <w:t>0.72</w:t>
            </w:r>
            <w:r w:rsidRPr="008374A5">
              <w:rPr>
                <w:rFonts w:ascii="Times New Roman" w:hAnsi="Times New Roman"/>
                <w:sz w:val="24"/>
                <w:szCs w:val="24"/>
                <w:lang w:eastAsia="en-GB"/>
              </w:rPr>
              <w:t>)</w:t>
            </w:r>
          </w:p>
        </w:tc>
        <w:tc>
          <w:tcPr>
            <w:tcW w:w="850" w:type="dxa"/>
            <w:vAlign w:val="bottom"/>
          </w:tcPr>
          <w:p w:rsidR="00B71FB0" w:rsidRPr="008374A5" w:rsidRDefault="00B71FB0" w:rsidP="00B71FB0">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B71FB0" w:rsidRPr="008374A5" w:rsidRDefault="0031012F" w:rsidP="00B71FB0">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excluded</w:t>
            </w:r>
          </w:p>
        </w:tc>
        <w:tc>
          <w:tcPr>
            <w:tcW w:w="992" w:type="dxa"/>
            <w:vAlign w:val="bottom"/>
          </w:tcPr>
          <w:p w:rsidR="00B71FB0" w:rsidRPr="008374A5" w:rsidRDefault="00B71FB0" w:rsidP="00B71FB0">
            <w:pPr>
              <w:spacing w:after="0" w:line="240" w:lineRule="auto"/>
              <w:jc w:val="center"/>
              <w:rPr>
                <w:rFonts w:ascii="Times New Roman" w:hAnsi="Times New Roman"/>
                <w:sz w:val="24"/>
                <w:szCs w:val="24"/>
                <w:lang w:eastAsia="en-GB"/>
              </w:rPr>
            </w:pPr>
          </w:p>
        </w:tc>
        <w:tc>
          <w:tcPr>
            <w:tcW w:w="1985" w:type="dxa"/>
            <w:vAlign w:val="bottom"/>
          </w:tcPr>
          <w:p w:rsidR="00B71FB0" w:rsidRPr="008374A5" w:rsidRDefault="0031012F" w:rsidP="00B71FB0">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excluded</w:t>
            </w:r>
          </w:p>
        </w:tc>
        <w:tc>
          <w:tcPr>
            <w:tcW w:w="992" w:type="dxa"/>
            <w:vAlign w:val="bottom"/>
          </w:tcPr>
          <w:p w:rsidR="00B71FB0" w:rsidRPr="008374A5" w:rsidRDefault="00B71FB0" w:rsidP="00B71FB0">
            <w:pPr>
              <w:spacing w:after="0" w:line="240" w:lineRule="auto"/>
              <w:ind w:right="-196"/>
              <w:jc w:val="center"/>
              <w:rPr>
                <w:rFonts w:ascii="Times New Roman" w:hAnsi="Times New Roman"/>
                <w:sz w:val="24"/>
                <w:szCs w:val="24"/>
                <w:lang w:eastAsia="en-GB"/>
              </w:rPr>
            </w:pPr>
          </w:p>
        </w:tc>
      </w:tr>
      <w:tr w:rsidR="00B51B11" w:rsidRPr="008374A5" w:rsidTr="00B66C39">
        <w:tc>
          <w:tcPr>
            <w:tcW w:w="2660" w:type="dxa"/>
            <w:vAlign w:val="bottom"/>
          </w:tcPr>
          <w:p w:rsidR="00B51B11" w:rsidRPr="008374A5" w:rsidRDefault="00B51B11" w:rsidP="00B51B11">
            <w:pPr>
              <w:spacing w:after="0" w:line="240" w:lineRule="auto"/>
              <w:rPr>
                <w:rFonts w:ascii="Times New Roman" w:hAnsi="Times New Roman"/>
                <w:sz w:val="24"/>
                <w:szCs w:val="24"/>
                <w:lang w:eastAsia="en-GB"/>
              </w:rPr>
            </w:pPr>
            <w:r>
              <w:rPr>
                <w:rFonts w:ascii="Times New Roman" w:hAnsi="Times New Roman"/>
                <w:sz w:val="24"/>
                <w:szCs w:val="24"/>
                <w:lang w:eastAsia="en-GB"/>
              </w:rPr>
              <w:t>Statin</w:t>
            </w:r>
          </w:p>
        </w:tc>
        <w:tc>
          <w:tcPr>
            <w:tcW w:w="1843" w:type="dxa"/>
            <w:vAlign w:val="bottom"/>
          </w:tcPr>
          <w:p w:rsidR="00B51B11" w:rsidRPr="008374A5" w:rsidRDefault="00B71FB0" w:rsidP="00B71FB0">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0.38</w:t>
            </w:r>
            <w:r w:rsidR="00B51B11" w:rsidRPr="008374A5">
              <w:rPr>
                <w:rFonts w:ascii="Times New Roman" w:hAnsi="Times New Roman"/>
                <w:sz w:val="24"/>
                <w:szCs w:val="24"/>
                <w:lang w:eastAsia="en-GB"/>
              </w:rPr>
              <w:t xml:space="preserve"> (</w:t>
            </w:r>
            <w:r>
              <w:rPr>
                <w:rFonts w:ascii="Times New Roman" w:hAnsi="Times New Roman"/>
                <w:sz w:val="24"/>
                <w:szCs w:val="24"/>
                <w:lang w:eastAsia="en-GB"/>
              </w:rPr>
              <w:t>0.29</w:t>
            </w:r>
            <w:r w:rsidR="00B51B11" w:rsidRPr="008374A5">
              <w:rPr>
                <w:rFonts w:ascii="Times New Roman" w:hAnsi="Times New Roman"/>
                <w:sz w:val="24"/>
                <w:szCs w:val="24"/>
                <w:lang w:eastAsia="en-GB"/>
              </w:rPr>
              <w:t>-</w:t>
            </w:r>
            <w:r>
              <w:rPr>
                <w:rFonts w:ascii="Times New Roman" w:hAnsi="Times New Roman"/>
                <w:sz w:val="24"/>
                <w:szCs w:val="24"/>
                <w:lang w:eastAsia="en-GB"/>
              </w:rPr>
              <w:t>0.51</w:t>
            </w:r>
            <w:r w:rsidR="00B51B11" w:rsidRPr="008374A5">
              <w:rPr>
                <w:rFonts w:ascii="Times New Roman" w:hAnsi="Times New Roman"/>
                <w:sz w:val="24"/>
                <w:szCs w:val="24"/>
                <w:lang w:eastAsia="en-GB"/>
              </w:rPr>
              <w:t>)</w:t>
            </w:r>
          </w:p>
        </w:tc>
        <w:tc>
          <w:tcPr>
            <w:tcW w:w="850" w:type="dxa"/>
            <w:vAlign w:val="bottom"/>
          </w:tcPr>
          <w:p w:rsidR="00B51B11" w:rsidRPr="008374A5" w:rsidRDefault="00B71FB0" w:rsidP="00B51B11">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B51B11" w:rsidRPr="008374A5" w:rsidRDefault="0031012F" w:rsidP="00B51B11">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excluded</w:t>
            </w:r>
          </w:p>
        </w:tc>
        <w:tc>
          <w:tcPr>
            <w:tcW w:w="992" w:type="dxa"/>
            <w:vAlign w:val="bottom"/>
          </w:tcPr>
          <w:p w:rsidR="00B51B11" w:rsidRPr="008374A5" w:rsidRDefault="00B51B11" w:rsidP="00B51B11">
            <w:pPr>
              <w:spacing w:after="0" w:line="240" w:lineRule="auto"/>
              <w:jc w:val="center"/>
              <w:rPr>
                <w:rFonts w:ascii="Times New Roman" w:hAnsi="Times New Roman"/>
                <w:sz w:val="24"/>
                <w:szCs w:val="24"/>
                <w:lang w:eastAsia="en-GB"/>
              </w:rPr>
            </w:pPr>
          </w:p>
        </w:tc>
        <w:tc>
          <w:tcPr>
            <w:tcW w:w="1985" w:type="dxa"/>
            <w:vAlign w:val="bottom"/>
          </w:tcPr>
          <w:p w:rsidR="00B51B11" w:rsidRPr="008374A5" w:rsidRDefault="0031012F" w:rsidP="00B51B11">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excluded</w:t>
            </w:r>
          </w:p>
        </w:tc>
        <w:tc>
          <w:tcPr>
            <w:tcW w:w="992" w:type="dxa"/>
            <w:vAlign w:val="bottom"/>
          </w:tcPr>
          <w:p w:rsidR="00B51B11" w:rsidRPr="008374A5" w:rsidRDefault="00B51B11" w:rsidP="00B51B11">
            <w:pPr>
              <w:spacing w:after="0" w:line="240" w:lineRule="auto"/>
              <w:ind w:right="-196"/>
              <w:jc w:val="center"/>
              <w:rPr>
                <w:rFonts w:ascii="Times New Roman" w:hAnsi="Times New Roman"/>
                <w:sz w:val="24"/>
                <w:szCs w:val="24"/>
                <w:lang w:eastAsia="en-GB"/>
              </w:rPr>
            </w:pPr>
          </w:p>
        </w:tc>
      </w:tr>
      <w:tr w:rsidR="00B51B11" w:rsidRPr="008374A5" w:rsidTr="00B66C39">
        <w:tc>
          <w:tcPr>
            <w:tcW w:w="2660" w:type="dxa"/>
            <w:vAlign w:val="bottom"/>
          </w:tcPr>
          <w:p w:rsidR="00B51B11" w:rsidRPr="008374A5" w:rsidRDefault="00B51B11" w:rsidP="00B51B11">
            <w:pPr>
              <w:spacing w:after="0" w:line="240" w:lineRule="auto"/>
              <w:rPr>
                <w:rFonts w:ascii="Times New Roman" w:hAnsi="Times New Roman"/>
                <w:sz w:val="24"/>
                <w:szCs w:val="24"/>
                <w:lang w:eastAsia="en-GB"/>
              </w:rPr>
            </w:pPr>
            <w:r>
              <w:rPr>
                <w:rFonts w:ascii="Times New Roman" w:hAnsi="Times New Roman"/>
                <w:sz w:val="24"/>
                <w:szCs w:val="24"/>
                <w:lang w:eastAsia="en-GB"/>
              </w:rPr>
              <w:t>Loop Diuretic</w:t>
            </w:r>
          </w:p>
        </w:tc>
        <w:tc>
          <w:tcPr>
            <w:tcW w:w="1843" w:type="dxa"/>
            <w:vAlign w:val="bottom"/>
          </w:tcPr>
          <w:p w:rsidR="00B51B11" w:rsidRPr="008374A5" w:rsidRDefault="00B71FB0" w:rsidP="00B71FB0">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2.30</w:t>
            </w:r>
            <w:r w:rsidR="00B51B11" w:rsidRPr="008374A5">
              <w:rPr>
                <w:rFonts w:ascii="Times New Roman" w:hAnsi="Times New Roman"/>
                <w:sz w:val="24"/>
                <w:szCs w:val="24"/>
                <w:lang w:eastAsia="en-GB"/>
              </w:rPr>
              <w:t xml:space="preserve"> (1.</w:t>
            </w:r>
            <w:r>
              <w:rPr>
                <w:rFonts w:ascii="Times New Roman" w:hAnsi="Times New Roman"/>
                <w:sz w:val="24"/>
                <w:szCs w:val="24"/>
                <w:lang w:eastAsia="en-GB"/>
              </w:rPr>
              <w:t>81</w:t>
            </w:r>
            <w:r w:rsidR="00B51B11" w:rsidRPr="008374A5">
              <w:rPr>
                <w:rFonts w:ascii="Times New Roman" w:hAnsi="Times New Roman"/>
                <w:sz w:val="24"/>
                <w:szCs w:val="24"/>
                <w:lang w:eastAsia="en-GB"/>
              </w:rPr>
              <w:t>-2.</w:t>
            </w:r>
            <w:r>
              <w:rPr>
                <w:rFonts w:ascii="Times New Roman" w:hAnsi="Times New Roman"/>
                <w:sz w:val="24"/>
                <w:szCs w:val="24"/>
                <w:lang w:eastAsia="en-GB"/>
              </w:rPr>
              <w:t>92</w:t>
            </w:r>
            <w:r w:rsidR="00B51B11" w:rsidRPr="008374A5">
              <w:rPr>
                <w:rFonts w:ascii="Times New Roman" w:hAnsi="Times New Roman"/>
                <w:sz w:val="24"/>
                <w:szCs w:val="24"/>
                <w:lang w:eastAsia="en-GB"/>
              </w:rPr>
              <w:t>)</w:t>
            </w:r>
          </w:p>
        </w:tc>
        <w:tc>
          <w:tcPr>
            <w:tcW w:w="850" w:type="dxa"/>
            <w:vAlign w:val="bottom"/>
          </w:tcPr>
          <w:p w:rsidR="00B51B11" w:rsidRPr="008374A5" w:rsidRDefault="00B71FB0" w:rsidP="00B51B11">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B51B11" w:rsidRPr="008374A5" w:rsidRDefault="0031012F" w:rsidP="00B51B11">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excluded</w:t>
            </w:r>
          </w:p>
        </w:tc>
        <w:tc>
          <w:tcPr>
            <w:tcW w:w="992" w:type="dxa"/>
            <w:vAlign w:val="bottom"/>
          </w:tcPr>
          <w:p w:rsidR="00B51B11" w:rsidRPr="008374A5" w:rsidRDefault="00B51B11" w:rsidP="00B51B11">
            <w:pPr>
              <w:spacing w:after="0" w:line="240" w:lineRule="auto"/>
              <w:jc w:val="center"/>
              <w:rPr>
                <w:rFonts w:ascii="Times New Roman" w:hAnsi="Times New Roman"/>
                <w:sz w:val="24"/>
                <w:szCs w:val="24"/>
                <w:lang w:eastAsia="en-GB"/>
              </w:rPr>
            </w:pPr>
          </w:p>
        </w:tc>
        <w:tc>
          <w:tcPr>
            <w:tcW w:w="1985" w:type="dxa"/>
            <w:vAlign w:val="bottom"/>
          </w:tcPr>
          <w:p w:rsidR="00B51B11" w:rsidRPr="008374A5" w:rsidRDefault="0031012F" w:rsidP="00B51B11">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excluded</w:t>
            </w:r>
          </w:p>
        </w:tc>
        <w:tc>
          <w:tcPr>
            <w:tcW w:w="992" w:type="dxa"/>
            <w:vAlign w:val="bottom"/>
          </w:tcPr>
          <w:p w:rsidR="00B51B11" w:rsidRPr="008374A5" w:rsidRDefault="00B51B11" w:rsidP="00B51B11">
            <w:pPr>
              <w:spacing w:after="0" w:line="240" w:lineRule="auto"/>
              <w:ind w:right="-196"/>
              <w:jc w:val="center"/>
              <w:rPr>
                <w:rFonts w:ascii="Times New Roman" w:hAnsi="Times New Roman"/>
                <w:sz w:val="24"/>
                <w:szCs w:val="24"/>
                <w:lang w:eastAsia="en-GB"/>
              </w:rPr>
            </w:pP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Pr>
                <w:rFonts w:ascii="Times New Roman" w:hAnsi="Times New Roman"/>
                <w:sz w:val="24"/>
                <w:szCs w:val="24"/>
                <w:lang w:eastAsia="en-GB"/>
              </w:rPr>
              <w:t>ACE/ARB</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0.51</w:t>
            </w:r>
            <w:r w:rsidRPr="008374A5">
              <w:rPr>
                <w:rFonts w:ascii="Times New Roman" w:hAnsi="Times New Roman"/>
                <w:sz w:val="24"/>
                <w:szCs w:val="24"/>
                <w:lang w:eastAsia="en-GB"/>
              </w:rPr>
              <w:t xml:space="preserve"> (</w:t>
            </w:r>
            <w:r>
              <w:rPr>
                <w:rFonts w:ascii="Times New Roman" w:hAnsi="Times New Roman"/>
                <w:sz w:val="24"/>
                <w:szCs w:val="24"/>
                <w:lang w:eastAsia="en-GB"/>
              </w:rPr>
              <w:t>0.39</w:t>
            </w:r>
            <w:r w:rsidRPr="008374A5">
              <w:rPr>
                <w:rFonts w:ascii="Times New Roman" w:hAnsi="Times New Roman"/>
                <w:sz w:val="24"/>
                <w:szCs w:val="24"/>
                <w:lang w:eastAsia="en-GB"/>
              </w:rPr>
              <w:t>-</w:t>
            </w:r>
            <w:r>
              <w:rPr>
                <w:rFonts w:ascii="Times New Roman" w:hAnsi="Times New Roman"/>
                <w:sz w:val="24"/>
                <w:szCs w:val="24"/>
                <w:lang w:eastAsia="en-GB"/>
              </w:rPr>
              <w:t>0.66</w:t>
            </w:r>
            <w:r w:rsidRPr="008374A5">
              <w:rPr>
                <w:rFonts w:ascii="Times New Roman" w:hAnsi="Times New Roman"/>
                <w:sz w:val="24"/>
                <w:szCs w:val="24"/>
                <w:lang w:eastAsia="en-GB"/>
              </w:rPr>
              <w:t>)</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excluded</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985" w:type="dxa"/>
            <w:vAlign w:val="bottom"/>
          </w:tcPr>
          <w:p w:rsidR="001C1094" w:rsidRPr="008374A5" w:rsidRDefault="001C1094" w:rsidP="00F1113B">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0.7</w:t>
            </w:r>
            <w:r w:rsidR="00F1113B">
              <w:rPr>
                <w:rFonts w:ascii="Times New Roman" w:hAnsi="Times New Roman"/>
                <w:sz w:val="24"/>
                <w:szCs w:val="24"/>
                <w:lang w:eastAsia="en-GB"/>
              </w:rPr>
              <w:t>4</w:t>
            </w:r>
            <w:r w:rsidRPr="008374A5">
              <w:rPr>
                <w:rFonts w:ascii="Times New Roman" w:hAnsi="Times New Roman"/>
                <w:sz w:val="24"/>
                <w:szCs w:val="24"/>
                <w:lang w:eastAsia="en-GB"/>
              </w:rPr>
              <w:t xml:space="preserve"> (</w:t>
            </w:r>
            <w:r>
              <w:rPr>
                <w:rFonts w:ascii="Times New Roman" w:hAnsi="Times New Roman"/>
                <w:sz w:val="24"/>
                <w:szCs w:val="24"/>
                <w:lang w:eastAsia="en-GB"/>
              </w:rPr>
              <w:t>0.5</w:t>
            </w:r>
            <w:r w:rsidR="00F1113B">
              <w:rPr>
                <w:rFonts w:ascii="Times New Roman" w:hAnsi="Times New Roman"/>
                <w:sz w:val="24"/>
                <w:szCs w:val="24"/>
                <w:lang w:eastAsia="en-GB"/>
              </w:rPr>
              <w:t>3</w:t>
            </w:r>
            <w:r w:rsidRPr="008374A5">
              <w:rPr>
                <w:rFonts w:ascii="Times New Roman" w:hAnsi="Times New Roman"/>
                <w:sz w:val="24"/>
                <w:szCs w:val="24"/>
                <w:lang w:eastAsia="en-GB"/>
              </w:rPr>
              <w:t>-</w:t>
            </w:r>
            <w:r w:rsidR="00F1113B">
              <w:rPr>
                <w:rFonts w:ascii="Times New Roman" w:hAnsi="Times New Roman"/>
                <w:sz w:val="24"/>
                <w:szCs w:val="24"/>
                <w:lang w:eastAsia="en-GB"/>
              </w:rPr>
              <w:t>1.04</w:t>
            </w:r>
            <w:r w:rsidRPr="008374A5">
              <w:rPr>
                <w:rFonts w:ascii="Times New Roman" w:hAnsi="Times New Roman"/>
                <w:sz w:val="24"/>
                <w:szCs w:val="24"/>
                <w:lang w:eastAsia="en-GB"/>
              </w:rPr>
              <w:t>)</w:t>
            </w:r>
          </w:p>
        </w:tc>
        <w:tc>
          <w:tcPr>
            <w:tcW w:w="992" w:type="dxa"/>
            <w:vAlign w:val="bottom"/>
          </w:tcPr>
          <w:p w:rsidR="001C1094" w:rsidRPr="008374A5" w:rsidRDefault="00F1113B" w:rsidP="001C1094">
            <w:pPr>
              <w:spacing w:after="0" w:line="240" w:lineRule="auto"/>
              <w:ind w:right="-196"/>
              <w:jc w:val="center"/>
              <w:rPr>
                <w:rFonts w:ascii="Times New Roman" w:hAnsi="Times New Roman"/>
                <w:sz w:val="24"/>
                <w:szCs w:val="24"/>
                <w:lang w:eastAsia="en-GB"/>
              </w:rPr>
            </w:pPr>
            <w:r w:rsidRPr="008374A5">
              <w:rPr>
                <w:rFonts w:ascii="Times New Roman" w:hAnsi="Times New Roman"/>
                <w:sz w:val="24"/>
                <w:szCs w:val="24"/>
                <w:lang w:eastAsia="en-GB"/>
              </w:rPr>
              <w:t>NS</w:t>
            </w:r>
          </w:p>
        </w:tc>
      </w:tr>
      <w:tr w:rsidR="001C1094" w:rsidRPr="008374A5" w:rsidTr="00B66C39">
        <w:tc>
          <w:tcPr>
            <w:tcW w:w="2660" w:type="dxa"/>
            <w:vAlign w:val="bottom"/>
          </w:tcPr>
          <w:p w:rsidR="001C1094" w:rsidRPr="008374A5" w:rsidRDefault="00CC1AC1" w:rsidP="001C1094">
            <w:pPr>
              <w:spacing w:after="0" w:line="240" w:lineRule="auto"/>
              <w:rPr>
                <w:rFonts w:ascii="Times New Roman" w:hAnsi="Times New Roman"/>
                <w:sz w:val="24"/>
                <w:szCs w:val="24"/>
                <w:lang w:eastAsia="en-GB"/>
              </w:rPr>
            </w:pPr>
            <w:r>
              <w:rPr>
                <w:rFonts w:ascii="Times New Roman" w:hAnsi="Times New Roman"/>
                <w:sz w:val="24"/>
                <w:szCs w:val="24"/>
                <w:lang w:eastAsia="en-GB"/>
              </w:rPr>
              <w:t>β</w:t>
            </w:r>
            <w:r w:rsidR="001C1094">
              <w:rPr>
                <w:rFonts w:ascii="Times New Roman" w:hAnsi="Times New Roman"/>
                <w:sz w:val="24"/>
                <w:szCs w:val="24"/>
                <w:lang w:eastAsia="en-GB"/>
              </w:rPr>
              <w:t xml:space="preserve"> blocker</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0.51</w:t>
            </w:r>
            <w:r w:rsidRPr="008374A5">
              <w:rPr>
                <w:rFonts w:ascii="Times New Roman" w:hAnsi="Times New Roman"/>
                <w:sz w:val="24"/>
                <w:szCs w:val="24"/>
                <w:lang w:eastAsia="en-GB"/>
              </w:rPr>
              <w:t xml:space="preserve"> (</w:t>
            </w:r>
            <w:r>
              <w:rPr>
                <w:rFonts w:ascii="Times New Roman" w:hAnsi="Times New Roman"/>
                <w:sz w:val="24"/>
                <w:szCs w:val="24"/>
                <w:lang w:eastAsia="en-GB"/>
              </w:rPr>
              <w:t>0.39</w:t>
            </w:r>
            <w:r w:rsidRPr="008374A5">
              <w:rPr>
                <w:rFonts w:ascii="Times New Roman" w:hAnsi="Times New Roman"/>
                <w:sz w:val="24"/>
                <w:szCs w:val="24"/>
                <w:lang w:eastAsia="en-GB"/>
              </w:rPr>
              <w:t>-</w:t>
            </w:r>
            <w:r>
              <w:rPr>
                <w:rFonts w:ascii="Times New Roman" w:hAnsi="Times New Roman"/>
                <w:sz w:val="24"/>
                <w:szCs w:val="24"/>
                <w:lang w:eastAsia="en-GB"/>
              </w:rPr>
              <w:t>0.65</w:t>
            </w:r>
            <w:r w:rsidRPr="008374A5">
              <w:rPr>
                <w:rFonts w:ascii="Times New Roman" w:hAnsi="Times New Roman"/>
                <w:sz w:val="24"/>
                <w:szCs w:val="24"/>
                <w:lang w:eastAsia="en-GB"/>
              </w:rPr>
              <w:t>)</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0.70</w:t>
            </w:r>
            <w:r w:rsidRPr="008374A5">
              <w:rPr>
                <w:rFonts w:ascii="Times New Roman" w:hAnsi="Times New Roman"/>
                <w:sz w:val="24"/>
                <w:szCs w:val="24"/>
                <w:lang w:eastAsia="en-GB"/>
              </w:rPr>
              <w:t xml:space="preserve"> (</w:t>
            </w:r>
            <w:r>
              <w:rPr>
                <w:rFonts w:ascii="Times New Roman" w:hAnsi="Times New Roman"/>
                <w:sz w:val="24"/>
                <w:szCs w:val="24"/>
                <w:lang w:eastAsia="en-GB"/>
              </w:rPr>
              <w:t>0.52</w:t>
            </w:r>
            <w:r w:rsidRPr="008374A5">
              <w:rPr>
                <w:rFonts w:ascii="Times New Roman" w:hAnsi="Times New Roman"/>
                <w:sz w:val="24"/>
                <w:szCs w:val="24"/>
                <w:lang w:eastAsia="en-GB"/>
              </w:rPr>
              <w:t>-</w:t>
            </w:r>
            <w:r>
              <w:rPr>
                <w:rFonts w:ascii="Times New Roman" w:hAnsi="Times New Roman"/>
                <w:sz w:val="24"/>
                <w:szCs w:val="24"/>
                <w:lang w:eastAsia="en-GB"/>
              </w:rPr>
              <w:t>0.97</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ind w:right="-196"/>
              <w:jc w:val="center"/>
              <w:rPr>
                <w:rFonts w:ascii="Times New Roman" w:hAnsi="Times New Roman"/>
                <w:sz w:val="24"/>
                <w:szCs w:val="24"/>
                <w:lang w:eastAsia="en-GB"/>
              </w:rPr>
            </w:pPr>
            <w:r w:rsidRPr="008374A5">
              <w:rPr>
                <w:rFonts w:ascii="Times New Roman" w:hAnsi="Times New Roman"/>
                <w:sz w:val="24"/>
                <w:szCs w:val="24"/>
                <w:lang w:eastAsia="en-GB"/>
              </w:rPr>
              <w:t>0.0</w:t>
            </w:r>
            <w:r>
              <w:rPr>
                <w:rFonts w:ascii="Times New Roman" w:hAnsi="Times New Roman"/>
                <w:sz w:val="24"/>
                <w:szCs w:val="24"/>
                <w:lang w:eastAsia="en-GB"/>
              </w:rPr>
              <w:t>3</w:t>
            </w:r>
          </w:p>
        </w:tc>
        <w:tc>
          <w:tcPr>
            <w:tcW w:w="1985"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excluded</w:t>
            </w:r>
          </w:p>
        </w:tc>
        <w:tc>
          <w:tcPr>
            <w:tcW w:w="992" w:type="dxa"/>
            <w:vAlign w:val="bottom"/>
          </w:tcPr>
          <w:p w:rsidR="001C1094" w:rsidRPr="008374A5" w:rsidRDefault="001C1094" w:rsidP="001C1094">
            <w:pPr>
              <w:spacing w:after="0" w:line="240" w:lineRule="auto"/>
              <w:ind w:right="-196"/>
              <w:jc w:val="center"/>
              <w:rPr>
                <w:rFonts w:ascii="Times New Roman" w:hAnsi="Times New Roman"/>
                <w:sz w:val="24"/>
                <w:szCs w:val="24"/>
                <w:lang w:eastAsia="en-GB"/>
              </w:rPr>
            </w:pPr>
          </w:p>
        </w:tc>
      </w:tr>
      <w:tr w:rsidR="001C1094" w:rsidRPr="008374A5" w:rsidTr="00B66C39">
        <w:tc>
          <w:tcPr>
            <w:tcW w:w="11165" w:type="dxa"/>
            <w:gridSpan w:val="7"/>
            <w:vAlign w:val="bottom"/>
          </w:tcPr>
          <w:p w:rsidR="001C1094" w:rsidRPr="00B66C39" w:rsidRDefault="001C1094" w:rsidP="001C1094">
            <w:pPr>
              <w:keepNext/>
              <w:tabs>
                <w:tab w:val="left" w:pos="2201"/>
              </w:tabs>
              <w:spacing w:after="0" w:line="240" w:lineRule="auto"/>
              <w:ind w:left="-227" w:right="-196" w:firstLine="227"/>
              <w:contextualSpacing/>
              <w:rPr>
                <w:rFonts w:ascii="Times New Roman" w:hAnsi="Times New Roman"/>
                <w:sz w:val="24"/>
                <w:szCs w:val="24"/>
                <w:lang w:eastAsia="en-GB"/>
              </w:rPr>
            </w:pPr>
          </w:p>
        </w:tc>
      </w:tr>
      <w:tr w:rsidR="001C1094" w:rsidRPr="008374A5" w:rsidTr="00B66C39">
        <w:tc>
          <w:tcPr>
            <w:tcW w:w="11165" w:type="dxa"/>
            <w:gridSpan w:val="7"/>
            <w:vAlign w:val="bottom"/>
          </w:tcPr>
          <w:p w:rsidR="001C1094" w:rsidRPr="008374A5" w:rsidRDefault="001C1094" w:rsidP="001C1094">
            <w:pPr>
              <w:spacing w:after="0" w:line="240" w:lineRule="auto"/>
              <w:ind w:right="-196"/>
              <w:contextualSpacing/>
              <w:rPr>
                <w:rFonts w:ascii="Times New Roman" w:hAnsi="Times New Roman"/>
                <w:b/>
                <w:sz w:val="24"/>
                <w:szCs w:val="24"/>
                <w:lang w:eastAsia="en-GB"/>
              </w:rPr>
            </w:pPr>
            <w:r w:rsidRPr="008374A5">
              <w:rPr>
                <w:rFonts w:ascii="Times New Roman" w:hAnsi="Times New Roman"/>
                <w:b/>
                <w:sz w:val="24"/>
                <w:szCs w:val="24"/>
                <w:lang w:eastAsia="en-GB"/>
              </w:rPr>
              <w:t>Biomarkers</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sidRPr="008374A5">
              <w:rPr>
                <w:rFonts w:ascii="Times New Roman" w:hAnsi="Times New Roman"/>
                <w:sz w:val="24"/>
                <w:szCs w:val="24"/>
                <w:lang w:eastAsia="en-GB"/>
              </w:rPr>
              <w:t>Log Troponin (</w:t>
            </w:r>
            <w:proofErr w:type="spellStart"/>
            <w:r w:rsidRPr="008374A5">
              <w:rPr>
                <w:rFonts w:ascii="Times New Roman" w:hAnsi="Times New Roman"/>
                <w:sz w:val="24"/>
                <w:szCs w:val="24"/>
                <w:lang w:eastAsia="en-GB"/>
              </w:rPr>
              <w:t>μg</w:t>
            </w:r>
            <w:proofErr w:type="spellEnd"/>
            <w:r w:rsidRPr="008374A5">
              <w:rPr>
                <w:rFonts w:ascii="Times New Roman" w:hAnsi="Times New Roman"/>
                <w:sz w:val="24"/>
                <w:szCs w:val="24"/>
                <w:lang w:eastAsia="en-GB"/>
              </w:rPr>
              <w:t>/L)</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10</w:t>
            </w:r>
            <w:r w:rsidRPr="008374A5">
              <w:rPr>
                <w:rFonts w:ascii="Times New Roman" w:hAnsi="Times New Roman"/>
                <w:sz w:val="24"/>
                <w:szCs w:val="24"/>
                <w:lang w:eastAsia="en-GB"/>
              </w:rPr>
              <w:t xml:space="preserve"> (0.9</w:t>
            </w:r>
            <w:r>
              <w:rPr>
                <w:rFonts w:ascii="Times New Roman" w:hAnsi="Times New Roman"/>
                <w:sz w:val="24"/>
                <w:szCs w:val="24"/>
                <w:lang w:eastAsia="en-GB"/>
              </w:rPr>
              <w:t>7</w:t>
            </w:r>
            <w:r w:rsidRPr="008374A5">
              <w:rPr>
                <w:rFonts w:ascii="Times New Roman" w:hAnsi="Times New Roman"/>
                <w:sz w:val="24"/>
                <w:szCs w:val="24"/>
                <w:lang w:eastAsia="en-GB"/>
              </w:rPr>
              <w:t>-1.2</w:t>
            </w:r>
            <w:r>
              <w:rPr>
                <w:rFonts w:ascii="Times New Roman" w:hAnsi="Times New Roman"/>
                <w:sz w:val="24"/>
                <w:szCs w:val="24"/>
                <w:lang w:eastAsia="en-GB"/>
              </w:rPr>
              <w:t>6</w:t>
            </w:r>
            <w:r w:rsidRPr="008374A5">
              <w:rPr>
                <w:rFonts w:ascii="Times New Roman" w:hAnsi="Times New Roman"/>
                <w:sz w:val="24"/>
                <w:szCs w:val="24"/>
                <w:lang w:eastAsia="en-GB"/>
              </w:rPr>
              <w:t>)</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13</w:t>
            </w:r>
            <w:r w:rsidRPr="008374A5">
              <w:rPr>
                <w:rFonts w:ascii="Times New Roman" w:hAnsi="Times New Roman"/>
                <w:sz w:val="24"/>
                <w:szCs w:val="24"/>
                <w:lang w:eastAsia="en-GB"/>
              </w:rPr>
              <w:t xml:space="preserve"> (0.</w:t>
            </w:r>
            <w:r>
              <w:rPr>
                <w:rFonts w:ascii="Times New Roman" w:hAnsi="Times New Roman"/>
                <w:sz w:val="24"/>
                <w:szCs w:val="24"/>
                <w:lang w:eastAsia="en-GB"/>
              </w:rPr>
              <w:t>93</w:t>
            </w:r>
            <w:r w:rsidRPr="008374A5">
              <w:rPr>
                <w:rFonts w:ascii="Times New Roman" w:hAnsi="Times New Roman"/>
                <w:sz w:val="24"/>
                <w:szCs w:val="24"/>
                <w:lang w:eastAsia="en-GB"/>
              </w:rPr>
              <w:t>-1.</w:t>
            </w:r>
            <w:r>
              <w:rPr>
                <w:rFonts w:ascii="Times New Roman" w:hAnsi="Times New Roman"/>
                <w:sz w:val="24"/>
                <w:szCs w:val="24"/>
                <w:lang w:eastAsia="en-GB"/>
              </w:rPr>
              <w:t>3</w:t>
            </w:r>
            <w:r w:rsidRPr="008374A5">
              <w:rPr>
                <w:rFonts w:ascii="Times New Roman" w:hAnsi="Times New Roman"/>
                <w:sz w:val="24"/>
                <w:szCs w:val="24"/>
                <w:lang w:eastAsia="en-GB"/>
              </w:rPr>
              <w:t>6)</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c>
          <w:tcPr>
            <w:tcW w:w="1985" w:type="dxa"/>
            <w:vAlign w:val="bottom"/>
          </w:tcPr>
          <w:p w:rsidR="001C1094" w:rsidRPr="008374A5" w:rsidRDefault="001C1094" w:rsidP="00F1113B">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w:t>
            </w:r>
            <w:r>
              <w:rPr>
                <w:rFonts w:ascii="Times New Roman" w:hAnsi="Times New Roman"/>
                <w:sz w:val="24"/>
                <w:szCs w:val="24"/>
                <w:lang w:eastAsia="en-GB"/>
              </w:rPr>
              <w:t>13</w:t>
            </w:r>
            <w:r w:rsidRPr="008374A5">
              <w:rPr>
                <w:rFonts w:ascii="Times New Roman" w:hAnsi="Times New Roman"/>
                <w:sz w:val="24"/>
                <w:szCs w:val="24"/>
                <w:lang w:eastAsia="en-GB"/>
              </w:rPr>
              <w:t xml:space="preserve"> (0.</w:t>
            </w:r>
            <w:r>
              <w:rPr>
                <w:rFonts w:ascii="Times New Roman" w:hAnsi="Times New Roman"/>
                <w:sz w:val="24"/>
                <w:szCs w:val="24"/>
                <w:lang w:eastAsia="en-GB"/>
              </w:rPr>
              <w:t>93</w:t>
            </w:r>
            <w:r w:rsidRPr="008374A5">
              <w:rPr>
                <w:rFonts w:ascii="Times New Roman" w:hAnsi="Times New Roman"/>
                <w:sz w:val="24"/>
                <w:szCs w:val="24"/>
                <w:lang w:eastAsia="en-GB"/>
              </w:rPr>
              <w:t>-1.</w:t>
            </w:r>
            <w:r>
              <w:rPr>
                <w:rFonts w:ascii="Times New Roman" w:hAnsi="Times New Roman"/>
                <w:sz w:val="24"/>
                <w:szCs w:val="24"/>
                <w:lang w:eastAsia="en-GB"/>
              </w:rPr>
              <w:t>3</w:t>
            </w:r>
            <w:r w:rsidR="00F1113B">
              <w:rPr>
                <w:rFonts w:ascii="Times New Roman" w:hAnsi="Times New Roman"/>
                <w:sz w:val="24"/>
                <w:szCs w:val="24"/>
                <w:lang w:eastAsia="en-GB"/>
              </w:rPr>
              <w:t>7</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NS</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sidRPr="008374A5">
              <w:rPr>
                <w:rFonts w:ascii="Times New Roman" w:hAnsi="Times New Roman"/>
                <w:sz w:val="24"/>
                <w:szCs w:val="24"/>
                <w:lang w:eastAsia="en-GB"/>
              </w:rPr>
              <w:t xml:space="preserve">Log </w:t>
            </w:r>
            <w:proofErr w:type="spellStart"/>
            <w:r>
              <w:rPr>
                <w:rFonts w:ascii="Times New Roman" w:hAnsi="Times New Roman"/>
                <w:sz w:val="24"/>
                <w:szCs w:val="24"/>
                <w:lang w:eastAsia="en-GB"/>
              </w:rPr>
              <w:t>hs</w:t>
            </w:r>
            <w:proofErr w:type="spellEnd"/>
            <w:r>
              <w:rPr>
                <w:rFonts w:ascii="Times New Roman" w:hAnsi="Times New Roman"/>
                <w:sz w:val="24"/>
                <w:szCs w:val="24"/>
                <w:lang w:eastAsia="en-GB"/>
              </w:rPr>
              <w:t>-GH</w:t>
            </w:r>
            <w:r w:rsidRPr="008374A5">
              <w:rPr>
                <w:rFonts w:ascii="Times New Roman" w:hAnsi="Times New Roman"/>
                <w:sz w:val="24"/>
                <w:szCs w:val="24"/>
                <w:lang w:eastAsia="en-GB"/>
              </w:rPr>
              <w:t xml:space="preserve"> (</w:t>
            </w:r>
            <w:proofErr w:type="spellStart"/>
            <w:r w:rsidRPr="008374A5">
              <w:rPr>
                <w:rFonts w:ascii="Times New Roman" w:hAnsi="Times New Roman"/>
                <w:sz w:val="24"/>
                <w:szCs w:val="24"/>
                <w:lang w:eastAsia="en-GB"/>
              </w:rPr>
              <w:t>μg</w:t>
            </w:r>
            <w:proofErr w:type="spellEnd"/>
            <w:r w:rsidRPr="008374A5">
              <w:rPr>
                <w:rFonts w:ascii="Times New Roman" w:hAnsi="Times New Roman"/>
                <w:sz w:val="24"/>
                <w:szCs w:val="24"/>
                <w:lang w:eastAsia="en-GB"/>
              </w:rPr>
              <w:t>/L)</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1.76 (1.60-1.94)</w:t>
            </w: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0.001</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1.4</w:t>
            </w:r>
            <w:r>
              <w:rPr>
                <w:rFonts w:ascii="Times New Roman" w:hAnsi="Times New Roman"/>
                <w:sz w:val="24"/>
                <w:szCs w:val="24"/>
                <w:lang w:eastAsia="en-GB"/>
              </w:rPr>
              <w:t>3</w:t>
            </w:r>
            <w:r w:rsidRPr="008374A5">
              <w:rPr>
                <w:rFonts w:ascii="Times New Roman" w:hAnsi="Times New Roman"/>
                <w:sz w:val="24"/>
                <w:szCs w:val="24"/>
                <w:lang w:eastAsia="en-GB"/>
              </w:rPr>
              <w:t xml:space="preserve"> (1.</w:t>
            </w:r>
            <w:r>
              <w:rPr>
                <w:rFonts w:ascii="Times New Roman" w:hAnsi="Times New Roman"/>
                <w:sz w:val="24"/>
                <w:szCs w:val="24"/>
                <w:lang w:eastAsia="en-GB"/>
              </w:rPr>
              <w:t>05</w:t>
            </w:r>
            <w:r w:rsidRPr="008374A5">
              <w:rPr>
                <w:rFonts w:ascii="Times New Roman" w:hAnsi="Times New Roman"/>
                <w:sz w:val="24"/>
                <w:szCs w:val="24"/>
                <w:lang w:eastAsia="en-GB"/>
              </w:rPr>
              <w:t>-1.</w:t>
            </w:r>
            <w:r>
              <w:rPr>
                <w:rFonts w:ascii="Times New Roman" w:hAnsi="Times New Roman"/>
                <w:sz w:val="24"/>
                <w:szCs w:val="24"/>
                <w:lang w:eastAsia="en-GB"/>
              </w:rPr>
              <w:t>95</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ind w:right="-196"/>
              <w:jc w:val="center"/>
              <w:rPr>
                <w:rFonts w:ascii="Times New Roman" w:hAnsi="Times New Roman"/>
                <w:sz w:val="24"/>
                <w:szCs w:val="24"/>
                <w:lang w:eastAsia="en-GB"/>
              </w:rPr>
            </w:pPr>
            <w:r w:rsidRPr="008374A5">
              <w:rPr>
                <w:rFonts w:ascii="Times New Roman" w:hAnsi="Times New Roman"/>
                <w:sz w:val="24"/>
                <w:szCs w:val="24"/>
                <w:lang w:eastAsia="en-GB"/>
              </w:rPr>
              <w:t>0.0</w:t>
            </w:r>
            <w:r>
              <w:rPr>
                <w:rFonts w:ascii="Times New Roman" w:hAnsi="Times New Roman"/>
                <w:sz w:val="24"/>
                <w:szCs w:val="24"/>
                <w:lang w:eastAsia="en-GB"/>
              </w:rPr>
              <w:t>26</w:t>
            </w:r>
          </w:p>
        </w:tc>
        <w:tc>
          <w:tcPr>
            <w:tcW w:w="1985" w:type="dxa"/>
            <w:vAlign w:val="bottom"/>
          </w:tcPr>
          <w:p w:rsidR="001C1094" w:rsidRPr="008374A5" w:rsidRDefault="001C1094" w:rsidP="00F1113B">
            <w:pPr>
              <w:spacing w:after="0" w:line="240" w:lineRule="auto"/>
              <w:jc w:val="center"/>
              <w:rPr>
                <w:rFonts w:ascii="Times New Roman" w:hAnsi="Times New Roman"/>
                <w:sz w:val="24"/>
                <w:szCs w:val="24"/>
                <w:lang w:eastAsia="en-GB"/>
              </w:rPr>
            </w:pPr>
            <w:r w:rsidRPr="008374A5">
              <w:rPr>
                <w:rFonts w:ascii="Times New Roman" w:hAnsi="Times New Roman"/>
                <w:sz w:val="24"/>
                <w:szCs w:val="24"/>
                <w:lang w:eastAsia="en-GB"/>
              </w:rPr>
              <w:t>1.4</w:t>
            </w:r>
            <w:r w:rsidR="00F1113B">
              <w:rPr>
                <w:rFonts w:ascii="Times New Roman" w:hAnsi="Times New Roman"/>
                <w:sz w:val="24"/>
                <w:szCs w:val="24"/>
                <w:lang w:eastAsia="en-GB"/>
              </w:rPr>
              <w:t>9</w:t>
            </w:r>
            <w:r w:rsidRPr="008374A5">
              <w:rPr>
                <w:rFonts w:ascii="Times New Roman" w:hAnsi="Times New Roman"/>
                <w:sz w:val="24"/>
                <w:szCs w:val="24"/>
                <w:lang w:eastAsia="en-GB"/>
              </w:rPr>
              <w:t xml:space="preserve"> (1.</w:t>
            </w:r>
            <w:r w:rsidR="00F1113B">
              <w:rPr>
                <w:rFonts w:ascii="Times New Roman" w:hAnsi="Times New Roman"/>
                <w:sz w:val="24"/>
                <w:szCs w:val="24"/>
                <w:lang w:eastAsia="en-GB"/>
              </w:rPr>
              <w:t>10</w:t>
            </w:r>
            <w:r w:rsidRPr="008374A5">
              <w:rPr>
                <w:rFonts w:ascii="Times New Roman" w:hAnsi="Times New Roman"/>
                <w:sz w:val="24"/>
                <w:szCs w:val="24"/>
                <w:lang w:eastAsia="en-GB"/>
              </w:rPr>
              <w:t>-</w:t>
            </w:r>
            <w:r w:rsidR="00F1113B">
              <w:rPr>
                <w:rFonts w:ascii="Times New Roman" w:hAnsi="Times New Roman"/>
                <w:sz w:val="24"/>
                <w:szCs w:val="24"/>
                <w:lang w:eastAsia="en-GB"/>
              </w:rPr>
              <w:t>2.02</w:t>
            </w:r>
            <w:r w:rsidRPr="008374A5">
              <w:rPr>
                <w:rFonts w:ascii="Times New Roman" w:hAnsi="Times New Roman"/>
                <w:sz w:val="24"/>
                <w:szCs w:val="24"/>
                <w:lang w:eastAsia="en-GB"/>
              </w:rPr>
              <w:t>)</w:t>
            </w:r>
          </w:p>
        </w:tc>
        <w:tc>
          <w:tcPr>
            <w:tcW w:w="992" w:type="dxa"/>
            <w:vAlign w:val="bottom"/>
          </w:tcPr>
          <w:p w:rsidR="001C1094" w:rsidRPr="008374A5" w:rsidRDefault="001C1094" w:rsidP="00F1113B">
            <w:pPr>
              <w:spacing w:after="0" w:line="240" w:lineRule="auto"/>
              <w:ind w:right="-196"/>
              <w:jc w:val="center"/>
              <w:rPr>
                <w:rFonts w:ascii="Times New Roman" w:hAnsi="Times New Roman"/>
                <w:sz w:val="24"/>
                <w:szCs w:val="24"/>
                <w:lang w:eastAsia="en-GB"/>
              </w:rPr>
            </w:pPr>
            <w:r w:rsidRPr="008374A5">
              <w:rPr>
                <w:rFonts w:ascii="Times New Roman" w:hAnsi="Times New Roman"/>
                <w:sz w:val="24"/>
                <w:szCs w:val="24"/>
                <w:lang w:eastAsia="en-GB"/>
              </w:rPr>
              <w:t>0.0</w:t>
            </w:r>
            <w:r w:rsidR="00F1113B">
              <w:rPr>
                <w:rFonts w:ascii="Times New Roman" w:hAnsi="Times New Roman"/>
                <w:sz w:val="24"/>
                <w:szCs w:val="24"/>
                <w:lang w:eastAsia="en-GB"/>
              </w:rPr>
              <w:t>1</w:t>
            </w:r>
          </w:p>
        </w:tc>
      </w:tr>
      <w:tr w:rsidR="001C1094" w:rsidRPr="008374A5" w:rsidTr="00B66C39">
        <w:tc>
          <w:tcPr>
            <w:tcW w:w="2660" w:type="dxa"/>
            <w:vAlign w:val="bottom"/>
          </w:tcPr>
          <w:p w:rsidR="001C1094" w:rsidRPr="008374A5" w:rsidRDefault="00CC1AC1" w:rsidP="00CC1AC1">
            <w:pPr>
              <w:spacing w:after="0" w:line="240" w:lineRule="auto"/>
              <w:rPr>
                <w:rFonts w:ascii="Times New Roman" w:hAnsi="Times New Roman"/>
                <w:sz w:val="24"/>
                <w:szCs w:val="24"/>
                <w:lang w:eastAsia="en-GB"/>
              </w:rPr>
            </w:pPr>
            <w:r>
              <w:rPr>
                <w:rFonts w:ascii="Times New Roman" w:hAnsi="Times New Roman"/>
                <w:sz w:val="24"/>
                <w:szCs w:val="24"/>
                <w:lang w:eastAsia="en-GB"/>
              </w:rPr>
              <w:t xml:space="preserve">β </w:t>
            </w:r>
            <w:r w:rsidR="001C1094">
              <w:rPr>
                <w:rFonts w:ascii="Times New Roman" w:hAnsi="Times New Roman"/>
                <w:sz w:val="24"/>
                <w:szCs w:val="24"/>
                <w:lang w:eastAsia="en-GB"/>
              </w:rPr>
              <w:t xml:space="preserve">blocker * </w:t>
            </w:r>
            <w:proofErr w:type="spellStart"/>
            <w:r w:rsidR="001C1094">
              <w:rPr>
                <w:rFonts w:ascii="Times New Roman" w:hAnsi="Times New Roman"/>
                <w:sz w:val="24"/>
                <w:szCs w:val="24"/>
                <w:lang w:eastAsia="en-GB"/>
              </w:rPr>
              <w:t>hs</w:t>
            </w:r>
            <w:proofErr w:type="spellEnd"/>
            <w:r w:rsidR="001C1094">
              <w:rPr>
                <w:rFonts w:ascii="Times New Roman" w:hAnsi="Times New Roman"/>
                <w:sz w:val="24"/>
                <w:szCs w:val="24"/>
                <w:lang w:eastAsia="en-GB"/>
              </w:rPr>
              <w:t>-GH</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0.70</w:t>
            </w:r>
            <w:r w:rsidRPr="008374A5">
              <w:rPr>
                <w:rFonts w:ascii="Times New Roman" w:hAnsi="Times New Roman"/>
                <w:sz w:val="24"/>
                <w:szCs w:val="24"/>
                <w:lang w:eastAsia="en-GB"/>
              </w:rPr>
              <w:t xml:space="preserve"> (</w:t>
            </w:r>
            <w:r>
              <w:rPr>
                <w:rFonts w:ascii="Times New Roman" w:hAnsi="Times New Roman"/>
                <w:sz w:val="24"/>
                <w:szCs w:val="24"/>
                <w:lang w:eastAsia="en-GB"/>
              </w:rPr>
              <w:t>0.49</w:t>
            </w:r>
            <w:r w:rsidRPr="008374A5">
              <w:rPr>
                <w:rFonts w:ascii="Times New Roman" w:hAnsi="Times New Roman"/>
                <w:sz w:val="24"/>
                <w:szCs w:val="24"/>
                <w:lang w:eastAsia="en-GB"/>
              </w:rPr>
              <w:t>-</w:t>
            </w:r>
            <w:r>
              <w:rPr>
                <w:rFonts w:ascii="Times New Roman" w:hAnsi="Times New Roman"/>
                <w:sz w:val="24"/>
                <w:szCs w:val="24"/>
                <w:lang w:eastAsia="en-GB"/>
              </w:rPr>
              <w:t>0.99</w:t>
            </w:r>
            <w:r w:rsidRPr="008374A5">
              <w:rPr>
                <w:rFonts w:ascii="Times New Roman" w:hAnsi="Times New Roman"/>
                <w:sz w:val="24"/>
                <w:szCs w:val="24"/>
                <w:lang w:eastAsia="en-GB"/>
              </w:rPr>
              <w:t>)</w:t>
            </w:r>
          </w:p>
        </w:tc>
        <w:tc>
          <w:tcPr>
            <w:tcW w:w="992" w:type="dxa"/>
            <w:vAlign w:val="bottom"/>
          </w:tcPr>
          <w:p w:rsidR="001C1094" w:rsidRPr="008374A5" w:rsidRDefault="001C1094" w:rsidP="001C1094">
            <w:pPr>
              <w:spacing w:after="0" w:line="240" w:lineRule="auto"/>
              <w:ind w:right="-196"/>
              <w:jc w:val="center"/>
              <w:rPr>
                <w:rFonts w:ascii="Times New Roman" w:hAnsi="Times New Roman"/>
                <w:sz w:val="24"/>
                <w:szCs w:val="24"/>
                <w:lang w:eastAsia="en-GB"/>
              </w:rPr>
            </w:pPr>
            <w:r w:rsidRPr="008374A5">
              <w:rPr>
                <w:rFonts w:ascii="Times New Roman" w:hAnsi="Times New Roman"/>
                <w:sz w:val="24"/>
                <w:szCs w:val="24"/>
                <w:lang w:eastAsia="en-GB"/>
              </w:rPr>
              <w:t>0.0</w:t>
            </w:r>
            <w:r>
              <w:rPr>
                <w:rFonts w:ascii="Times New Roman" w:hAnsi="Times New Roman"/>
                <w:sz w:val="24"/>
                <w:szCs w:val="24"/>
                <w:lang w:eastAsia="en-GB"/>
              </w:rPr>
              <w:t>47</w:t>
            </w:r>
          </w:p>
        </w:tc>
        <w:tc>
          <w:tcPr>
            <w:tcW w:w="1985"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ind w:right="-196"/>
              <w:jc w:val="center"/>
              <w:rPr>
                <w:rFonts w:ascii="Times New Roman" w:hAnsi="Times New Roman"/>
                <w:sz w:val="24"/>
                <w:szCs w:val="24"/>
                <w:lang w:eastAsia="en-GB"/>
              </w:rPr>
            </w:pP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r>
              <w:rPr>
                <w:rFonts w:ascii="Times New Roman" w:hAnsi="Times New Roman"/>
                <w:sz w:val="24"/>
                <w:szCs w:val="24"/>
                <w:lang w:eastAsia="en-GB"/>
              </w:rPr>
              <w:t xml:space="preserve">ACE/ARB * </w:t>
            </w:r>
            <w:proofErr w:type="spellStart"/>
            <w:r>
              <w:rPr>
                <w:rFonts w:ascii="Times New Roman" w:hAnsi="Times New Roman"/>
                <w:sz w:val="24"/>
                <w:szCs w:val="24"/>
                <w:lang w:eastAsia="en-GB"/>
              </w:rPr>
              <w:t>hs</w:t>
            </w:r>
            <w:proofErr w:type="spellEnd"/>
            <w:r>
              <w:rPr>
                <w:rFonts w:ascii="Times New Roman" w:hAnsi="Times New Roman"/>
                <w:sz w:val="24"/>
                <w:szCs w:val="24"/>
                <w:lang w:eastAsia="en-GB"/>
              </w:rPr>
              <w:t>-GH</w:t>
            </w: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985" w:type="dxa"/>
            <w:vAlign w:val="bottom"/>
          </w:tcPr>
          <w:p w:rsidR="001C1094" w:rsidRPr="008374A5" w:rsidRDefault="001C1094" w:rsidP="00F1113B">
            <w:pPr>
              <w:spacing w:after="0" w:line="240" w:lineRule="auto"/>
              <w:jc w:val="center"/>
              <w:rPr>
                <w:rFonts w:ascii="Times New Roman" w:hAnsi="Times New Roman"/>
                <w:sz w:val="24"/>
                <w:szCs w:val="24"/>
                <w:lang w:eastAsia="en-GB"/>
              </w:rPr>
            </w:pPr>
            <w:r>
              <w:rPr>
                <w:rFonts w:ascii="Times New Roman" w:hAnsi="Times New Roman"/>
                <w:sz w:val="24"/>
                <w:szCs w:val="24"/>
                <w:lang w:eastAsia="en-GB"/>
              </w:rPr>
              <w:t>0.</w:t>
            </w:r>
            <w:r w:rsidR="00F1113B">
              <w:rPr>
                <w:rFonts w:ascii="Times New Roman" w:hAnsi="Times New Roman"/>
                <w:sz w:val="24"/>
                <w:szCs w:val="24"/>
                <w:lang w:eastAsia="en-GB"/>
              </w:rPr>
              <w:t>65</w:t>
            </w:r>
            <w:r w:rsidRPr="008374A5">
              <w:rPr>
                <w:rFonts w:ascii="Times New Roman" w:hAnsi="Times New Roman"/>
                <w:sz w:val="24"/>
                <w:szCs w:val="24"/>
                <w:lang w:eastAsia="en-GB"/>
              </w:rPr>
              <w:t xml:space="preserve"> (</w:t>
            </w:r>
            <w:r>
              <w:rPr>
                <w:rFonts w:ascii="Times New Roman" w:hAnsi="Times New Roman"/>
                <w:sz w:val="24"/>
                <w:szCs w:val="24"/>
                <w:lang w:eastAsia="en-GB"/>
              </w:rPr>
              <w:t>0.4</w:t>
            </w:r>
            <w:r w:rsidR="00F1113B">
              <w:rPr>
                <w:rFonts w:ascii="Times New Roman" w:hAnsi="Times New Roman"/>
                <w:sz w:val="24"/>
                <w:szCs w:val="24"/>
                <w:lang w:eastAsia="en-GB"/>
              </w:rPr>
              <w:t>7</w:t>
            </w:r>
            <w:r w:rsidRPr="008374A5">
              <w:rPr>
                <w:rFonts w:ascii="Times New Roman" w:hAnsi="Times New Roman"/>
                <w:sz w:val="24"/>
                <w:szCs w:val="24"/>
                <w:lang w:eastAsia="en-GB"/>
              </w:rPr>
              <w:t>-</w:t>
            </w:r>
            <w:r>
              <w:rPr>
                <w:rFonts w:ascii="Times New Roman" w:hAnsi="Times New Roman"/>
                <w:sz w:val="24"/>
                <w:szCs w:val="24"/>
                <w:lang w:eastAsia="en-GB"/>
              </w:rPr>
              <w:t>0.9</w:t>
            </w:r>
            <w:r w:rsidR="00F1113B">
              <w:rPr>
                <w:rFonts w:ascii="Times New Roman" w:hAnsi="Times New Roman"/>
                <w:sz w:val="24"/>
                <w:szCs w:val="24"/>
                <w:lang w:eastAsia="en-GB"/>
              </w:rPr>
              <w:t>3</w:t>
            </w:r>
            <w:r w:rsidRPr="008374A5">
              <w:rPr>
                <w:rFonts w:ascii="Times New Roman" w:hAnsi="Times New Roman"/>
                <w:sz w:val="24"/>
                <w:szCs w:val="24"/>
                <w:lang w:eastAsia="en-GB"/>
              </w:rPr>
              <w:t>)</w:t>
            </w:r>
          </w:p>
        </w:tc>
        <w:tc>
          <w:tcPr>
            <w:tcW w:w="992" w:type="dxa"/>
            <w:vAlign w:val="bottom"/>
          </w:tcPr>
          <w:p w:rsidR="001C1094" w:rsidRPr="008374A5" w:rsidRDefault="001C1094" w:rsidP="00F1113B">
            <w:pPr>
              <w:spacing w:after="0" w:line="240" w:lineRule="auto"/>
              <w:ind w:right="-196"/>
              <w:jc w:val="center"/>
              <w:rPr>
                <w:rFonts w:ascii="Times New Roman" w:hAnsi="Times New Roman"/>
                <w:sz w:val="24"/>
                <w:szCs w:val="24"/>
                <w:lang w:eastAsia="en-GB"/>
              </w:rPr>
            </w:pPr>
            <w:r w:rsidRPr="008374A5">
              <w:rPr>
                <w:rFonts w:ascii="Times New Roman" w:hAnsi="Times New Roman"/>
                <w:sz w:val="24"/>
                <w:szCs w:val="24"/>
                <w:lang w:eastAsia="en-GB"/>
              </w:rPr>
              <w:t>0.0</w:t>
            </w:r>
            <w:r w:rsidR="00F1113B">
              <w:rPr>
                <w:rFonts w:ascii="Times New Roman" w:hAnsi="Times New Roman"/>
                <w:sz w:val="24"/>
                <w:szCs w:val="24"/>
                <w:lang w:eastAsia="en-GB"/>
              </w:rPr>
              <w:t>16</w:t>
            </w: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985"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985"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985"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985"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r>
      <w:tr w:rsidR="001C1094" w:rsidRPr="008374A5" w:rsidTr="00B66C39">
        <w:tc>
          <w:tcPr>
            <w:tcW w:w="2660" w:type="dxa"/>
            <w:vAlign w:val="bottom"/>
          </w:tcPr>
          <w:p w:rsidR="001C1094" w:rsidRPr="008374A5" w:rsidRDefault="001C1094" w:rsidP="001C1094">
            <w:pPr>
              <w:spacing w:after="0" w:line="240" w:lineRule="auto"/>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850"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843"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1985"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c>
          <w:tcPr>
            <w:tcW w:w="992" w:type="dxa"/>
            <w:vAlign w:val="bottom"/>
          </w:tcPr>
          <w:p w:rsidR="001C1094" w:rsidRPr="008374A5" w:rsidRDefault="001C1094" w:rsidP="001C1094">
            <w:pPr>
              <w:spacing w:after="0" w:line="240" w:lineRule="auto"/>
              <w:jc w:val="center"/>
              <w:rPr>
                <w:rFonts w:ascii="Times New Roman" w:hAnsi="Times New Roman"/>
                <w:sz w:val="24"/>
                <w:szCs w:val="24"/>
                <w:lang w:eastAsia="en-GB"/>
              </w:rPr>
            </w:pPr>
          </w:p>
        </w:tc>
      </w:tr>
    </w:tbl>
    <w:p w:rsidR="008F2E5B" w:rsidRPr="00646B2B" w:rsidRDefault="008F2E5B" w:rsidP="00A47A88">
      <w:pPr>
        <w:ind w:left="-567"/>
        <w:rPr>
          <w:rFonts w:ascii="Times New Roman" w:hAnsi="Times New Roman"/>
          <w:sz w:val="24"/>
          <w:szCs w:val="24"/>
          <w:lang w:eastAsia="en-GB"/>
        </w:rPr>
      </w:pPr>
      <w:proofErr w:type="gramStart"/>
      <w:r w:rsidRPr="00646B2B">
        <w:rPr>
          <w:rFonts w:ascii="Times New Roman" w:hAnsi="Times New Roman"/>
          <w:b/>
          <w:sz w:val="24"/>
          <w:szCs w:val="24"/>
          <w:lang w:eastAsia="en-GB"/>
        </w:rPr>
        <w:t xml:space="preserve">Table </w:t>
      </w:r>
      <w:r w:rsidR="006F79CF">
        <w:rPr>
          <w:rFonts w:ascii="Times New Roman" w:hAnsi="Times New Roman"/>
          <w:b/>
          <w:sz w:val="24"/>
          <w:szCs w:val="24"/>
          <w:lang w:eastAsia="en-GB"/>
        </w:rPr>
        <w:t>2</w:t>
      </w:r>
      <w:r w:rsidRPr="00646B2B">
        <w:rPr>
          <w:rFonts w:ascii="Times New Roman" w:hAnsi="Times New Roman"/>
          <w:sz w:val="24"/>
          <w:szCs w:val="24"/>
          <w:lang w:eastAsia="en-GB"/>
        </w:rPr>
        <w:t>.</w:t>
      </w:r>
      <w:proofErr w:type="gramEnd"/>
      <w:r w:rsidR="00B82BE2">
        <w:rPr>
          <w:rFonts w:ascii="Times New Roman" w:hAnsi="Times New Roman"/>
          <w:sz w:val="24"/>
          <w:szCs w:val="24"/>
          <w:lang w:eastAsia="en-GB"/>
        </w:rPr>
        <w:t xml:space="preserve"> </w:t>
      </w:r>
      <w:proofErr w:type="gramStart"/>
      <w:r w:rsidRPr="00646B2B">
        <w:rPr>
          <w:rFonts w:ascii="Times New Roman" w:hAnsi="Times New Roman"/>
          <w:sz w:val="24"/>
          <w:szCs w:val="24"/>
          <w:lang w:eastAsia="en-GB"/>
        </w:rPr>
        <w:t xml:space="preserve">Cox regression analysis for </w:t>
      </w:r>
      <w:r w:rsidR="006F79CF">
        <w:rPr>
          <w:rFonts w:ascii="Times New Roman" w:hAnsi="Times New Roman"/>
          <w:sz w:val="24"/>
          <w:szCs w:val="24"/>
          <w:lang w:eastAsia="en-GB"/>
        </w:rPr>
        <w:t>MACE</w:t>
      </w:r>
      <w:r w:rsidRPr="00646B2B">
        <w:rPr>
          <w:rFonts w:ascii="Times New Roman" w:hAnsi="Times New Roman"/>
          <w:sz w:val="24"/>
          <w:szCs w:val="24"/>
          <w:lang w:eastAsia="en-GB"/>
        </w:rPr>
        <w:t xml:space="preserve"> at 2 years post-AMI.</w:t>
      </w:r>
      <w:proofErr w:type="gramEnd"/>
      <w:r w:rsidRPr="00646B2B">
        <w:rPr>
          <w:rFonts w:ascii="Times New Roman" w:hAnsi="Times New Roman"/>
          <w:sz w:val="24"/>
          <w:szCs w:val="24"/>
          <w:lang w:eastAsia="en-GB"/>
        </w:rPr>
        <w:t xml:space="preserve">  Multivariable analysis results are reported for model 1 </w:t>
      </w:r>
      <w:r w:rsidR="006F79CF">
        <w:rPr>
          <w:rFonts w:ascii="Times New Roman" w:hAnsi="Times New Roman"/>
          <w:sz w:val="24"/>
          <w:szCs w:val="24"/>
          <w:lang w:eastAsia="en-GB"/>
        </w:rPr>
        <w:t xml:space="preserve">and 2 </w:t>
      </w:r>
      <w:r w:rsidRPr="00646B2B">
        <w:rPr>
          <w:rFonts w:ascii="Times New Roman" w:hAnsi="Times New Roman"/>
          <w:sz w:val="24"/>
          <w:szCs w:val="24"/>
          <w:lang w:eastAsia="en-GB"/>
        </w:rPr>
        <w:t xml:space="preserve">which included </w:t>
      </w:r>
      <w:r w:rsidR="006F79CF">
        <w:rPr>
          <w:rFonts w:ascii="Times New Roman" w:hAnsi="Times New Roman"/>
          <w:sz w:val="24"/>
          <w:szCs w:val="24"/>
          <w:lang w:eastAsia="en-GB"/>
        </w:rPr>
        <w:t xml:space="preserve">clinical </w:t>
      </w:r>
      <w:r w:rsidRPr="00646B2B">
        <w:rPr>
          <w:rFonts w:ascii="Times New Roman" w:hAnsi="Times New Roman"/>
          <w:sz w:val="24"/>
          <w:szCs w:val="24"/>
          <w:lang w:eastAsia="en-GB"/>
        </w:rPr>
        <w:t>variables</w:t>
      </w:r>
      <w:r w:rsidR="006F79CF">
        <w:rPr>
          <w:rFonts w:ascii="Times New Roman" w:hAnsi="Times New Roman"/>
          <w:sz w:val="24"/>
          <w:szCs w:val="24"/>
          <w:lang w:eastAsia="en-GB"/>
        </w:rPr>
        <w:t xml:space="preserve"> an</w:t>
      </w:r>
      <w:r w:rsidRPr="00646B2B">
        <w:rPr>
          <w:rFonts w:ascii="Times New Roman" w:hAnsi="Times New Roman"/>
          <w:sz w:val="24"/>
          <w:szCs w:val="24"/>
          <w:lang w:eastAsia="en-GB"/>
        </w:rPr>
        <w:t xml:space="preserve">d </w:t>
      </w:r>
      <w:proofErr w:type="spellStart"/>
      <w:r w:rsidR="006F79CF">
        <w:rPr>
          <w:rFonts w:ascii="Times New Roman" w:hAnsi="Times New Roman"/>
          <w:sz w:val="24"/>
          <w:szCs w:val="24"/>
          <w:lang w:eastAsia="en-GB"/>
        </w:rPr>
        <w:t>hs</w:t>
      </w:r>
      <w:proofErr w:type="spellEnd"/>
      <w:r w:rsidR="006F79CF">
        <w:rPr>
          <w:rFonts w:ascii="Times New Roman" w:hAnsi="Times New Roman"/>
          <w:sz w:val="24"/>
          <w:szCs w:val="24"/>
          <w:lang w:eastAsia="en-GB"/>
        </w:rPr>
        <w:t xml:space="preserve">-GH, with interaction terms </w:t>
      </w:r>
      <w:proofErr w:type="spellStart"/>
      <w:r w:rsidR="006F79CF">
        <w:rPr>
          <w:rFonts w:ascii="Times New Roman" w:hAnsi="Times New Roman"/>
          <w:sz w:val="24"/>
          <w:szCs w:val="24"/>
          <w:lang w:eastAsia="en-GB"/>
        </w:rPr>
        <w:t>hs</w:t>
      </w:r>
      <w:proofErr w:type="spellEnd"/>
      <w:r w:rsidR="006F79CF">
        <w:rPr>
          <w:rFonts w:ascii="Times New Roman" w:hAnsi="Times New Roman"/>
          <w:sz w:val="24"/>
          <w:szCs w:val="24"/>
          <w:lang w:eastAsia="en-GB"/>
        </w:rPr>
        <w:t>-GH with beta blockers (model 1) or ACE/ARB (model 2).</w:t>
      </w:r>
      <w:r w:rsidRPr="00646B2B">
        <w:rPr>
          <w:rFonts w:ascii="Times New Roman" w:hAnsi="Times New Roman"/>
          <w:sz w:val="24"/>
          <w:szCs w:val="24"/>
          <w:lang w:eastAsia="en-GB"/>
        </w:rPr>
        <w:t xml:space="preserve"> </w:t>
      </w:r>
    </w:p>
    <w:p w:rsidR="00A4194E" w:rsidRDefault="00A4194E">
      <w:pPr>
        <w:spacing w:after="0" w:line="240" w:lineRule="auto"/>
        <w:rPr>
          <w:rFonts w:ascii="Times New Roman" w:hAnsi="Times New Roman"/>
          <w:b/>
          <w:sz w:val="24"/>
          <w:szCs w:val="24"/>
          <w:lang w:eastAsia="en-GB"/>
        </w:rPr>
      </w:pPr>
      <w:r>
        <w:rPr>
          <w:rFonts w:ascii="Times New Roman" w:hAnsi="Times New Roman"/>
          <w:b/>
          <w:sz w:val="24"/>
          <w:szCs w:val="24"/>
          <w:lang w:eastAsia="en-GB"/>
        </w:rPr>
        <w:br w:type="page"/>
      </w:r>
    </w:p>
    <w:p w:rsidR="008F2E5B" w:rsidRDefault="00085217" w:rsidP="00A47A88">
      <w:pPr>
        <w:rPr>
          <w:rFonts w:ascii="Times New Roman" w:hAnsi="Times New Roman"/>
          <w:b/>
          <w:sz w:val="24"/>
          <w:szCs w:val="24"/>
          <w:lang w:eastAsia="en-GB"/>
        </w:rPr>
      </w:pPr>
      <w:r>
        <w:rPr>
          <w:rFonts w:ascii="Times New Roman" w:hAnsi="Times New Roman"/>
          <w:b/>
          <w:sz w:val="24"/>
          <w:szCs w:val="24"/>
          <w:lang w:eastAsia="en-GB"/>
        </w:rPr>
        <w:lastRenderedPageBreak/>
        <w:t>Figure 1</w:t>
      </w:r>
    </w:p>
    <w:p w:rsidR="00085217" w:rsidRPr="00646B2B" w:rsidRDefault="00085217" w:rsidP="00A47A88">
      <w:pPr>
        <w:rPr>
          <w:rFonts w:ascii="Times New Roman" w:hAnsi="Times New Roman"/>
          <w:b/>
          <w:sz w:val="24"/>
          <w:szCs w:val="24"/>
          <w:lang w:eastAsia="en-GB"/>
        </w:rPr>
      </w:pPr>
      <w:r>
        <w:rPr>
          <w:rFonts w:ascii="Times New Roman" w:hAnsi="Times New Roman"/>
          <w:b/>
          <w:noProof/>
          <w:sz w:val="24"/>
          <w:szCs w:val="24"/>
          <w:lang w:eastAsia="en-GB"/>
        </w:rPr>
        <w:drawing>
          <wp:anchor distT="0" distB="0" distL="114300" distR="114300" simplePos="0" relativeHeight="251658240" behindDoc="1" locked="0" layoutInCell="1" allowOverlap="1" wp14:anchorId="29B358EA" wp14:editId="6066D941">
            <wp:simplePos x="0" y="0"/>
            <wp:positionH relativeFrom="column">
              <wp:posOffset>-748030</wp:posOffset>
            </wp:positionH>
            <wp:positionV relativeFrom="paragraph">
              <wp:posOffset>520700</wp:posOffset>
            </wp:positionV>
            <wp:extent cx="7331075" cy="4958715"/>
            <wp:effectExtent l="19050" t="0" r="3175" b="0"/>
            <wp:wrapTight wrapText="bothSides">
              <wp:wrapPolygon edited="0">
                <wp:start x="-56" y="0"/>
                <wp:lineTo x="-56" y="21492"/>
                <wp:lineTo x="21609" y="21492"/>
                <wp:lineTo x="21609" y="0"/>
                <wp:lineTo x="-5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14912" t="9526" r="20030" b="12252"/>
                    <a:stretch>
                      <a:fillRect/>
                    </a:stretch>
                  </pic:blipFill>
                  <pic:spPr bwMode="auto">
                    <a:xfrm>
                      <a:off x="0" y="0"/>
                      <a:ext cx="7331075" cy="4958715"/>
                    </a:xfrm>
                    <a:prstGeom prst="rect">
                      <a:avLst/>
                    </a:prstGeom>
                    <a:noFill/>
                    <a:ln w="9525">
                      <a:noFill/>
                      <a:miter lim="800000"/>
                      <a:headEnd/>
                      <a:tailEnd/>
                    </a:ln>
                  </pic:spPr>
                </pic:pic>
              </a:graphicData>
            </a:graphic>
          </wp:anchor>
        </w:drawing>
      </w:r>
    </w:p>
    <w:sectPr w:rsidR="00085217" w:rsidRPr="00646B2B" w:rsidSect="00C2453D">
      <w:footerReference w:type="default" r:id="rId10"/>
      <w:pgSz w:w="11906" w:h="16838"/>
      <w:pgMar w:top="1276" w:right="1440" w:bottom="113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4EF8" w:rsidRDefault="000D4EF8" w:rsidP="0009040A">
      <w:pPr>
        <w:spacing w:after="0" w:line="240" w:lineRule="auto"/>
      </w:pPr>
      <w:r>
        <w:separator/>
      </w:r>
    </w:p>
  </w:endnote>
  <w:endnote w:type="continuationSeparator" w:id="0">
    <w:p w:rsidR="000D4EF8" w:rsidRDefault="000D4EF8" w:rsidP="00090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tempelGaramond-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977" w:rsidRDefault="00EE2518">
    <w:pPr>
      <w:pStyle w:val="Footer"/>
      <w:jc w:val="center"/>
    </w:pPr>
    <w:r>
      <w:fldChar w:fldCharType="begin"/>
    </w:r>
    <w:r w:rsidR="00B82BE2">
      <w:instrText xml:space="preserve"> PAGE   \* MERGEFORMAT </w:instrText>
    </w:r>
    <w:r>
      <w:fldChar w:fldCharType="separate"/>
    </w:r>
    <w:r w:rsidR="00C2453D">
      <w:rPr>
        <w:noProof/>
      </w:rPr>
      <w:t>4</w:t>
    </w:r>
    <w:r>
      <w:rPr>
        <w:noProof/>
      </w:rPr>
      <w:fldChar w:fldCharType="end"/>
    </w:r>
  </w:p>
  <w:p w:rsidR="00DC2977" w:rsidRDefault="00DC29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4EF8" w:rsidRDefault="000D4EF8" w:rsidP="0009040A">
      <w:pPr>
        <w:spacing w:after="0" w:line="240" w:lineRule="auto"/>
      </w:pPr>
      <w:r>
        <w:separator/>
      </w:r>
    </w:p>
  </w:footnote>
  <w:footnote w:type="continuationSeparator" w:id="0">
    <w:p w:rsidR="000D4EF8" w:rsidRDefault="000D4EF8" w:rsidP="000904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DA1"/>
    <w:multiLevelType w:val="hybridMultilevel"/>
    <w:tmpl w:val="768C3E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8DE2BC5"/>
    <w:multiLevelType w:val="hybridMultilevel"/>
    <w:tmpl w:val="49A8304C"/>
    <w:lvl w:ilvl="0" w:tplc="5BC632E0">
      <w:start w:val="14"/>
      <w:numFmt w:val="decimal"/>
      <w:lvlText w:val="[%1]"/>
      <w:lvlJc w:val="left"/>
      <w:pPr>
        <w:ind w:left="1288" w:hanging="360"/>
      </w:pPr>
      <w:rPr>
        <w:rFonts w:cs="Times New Roman" w:hint="default"/>
      </w:rPr>
    </w:lvl>
    <w:lvl w:ilvl="1" w:tplc="08090019" w:tentative="1">
      <w:start w:val="1"/>
      <w:numFmt w:val="lowerLetter"/>
      <w:lvlText w:val="%2."/>
      <w:lvlJc w:val="left"/>
      <w:pPr>
        <w:ind w:left="2008" w:hanging="360"/>
      </w:pPr>
      <w:rPr>
        <w:rFonts w:cs="Times New Roman"/>
      </w:rPr>
    </w:lvl>
    <w:lvl w:ilvl="2" w:tplc="0809001B" w:tentative="1">
      <w:start w:val="1"/>
      <w:numFmt w:val="lowerRoman"/>
      <w:lvlText w:val="%3."/>
      <w:lvlJc w:val="right"/>
      <w:pPr>
        <w:ind w:left="2728" w:hanging="180"/>
      </w:pPr>
      <w:rPr>
        <w:rFonts w:cs="Times New Roman"/>
      </w:rPr>
    </w:lvl>
    <w:lvl w:ilvl="3" w:tplc="0809000F" w:tentative="1">
      <w:start w:val="1"/>
      <w:numFmt w:val="decimal"/>
      <w:lvlText w:val="%4."/>
      <w:lvlJc w:val="left"/>
      <w:pPr>
        <w:ind w:left="3448" w:hanging="360"/>
      </w:pPr>
      <w:rPr>
        <w:rFonts w:cs="Times New Roman"/>
      </w:rPr>
    </w:lvl>
    <w:lvl w:ilvl="4" w:tplc="08090019" w:tentative="1">
      <w:start w:val="1"/>
      <w:numFmt w:val="lowerLetter"/>
      <w:lvlText w:val="%5."/>
      <w:lvlJc w:val="left"/>
      <w:pPr>
        <w:ind w:left="4168" w:hanging="360"/>
      </w:pPr>
      <w:rPr>
        <w:rFonts w:cs="Times New Roman"/>
      </w:rPr>
    </w:lvl>
    <w:lvl w:ilvl="5" w:tplc="0809001B" w:tentative="1">
      <w:start w:val="1"/>
      <w:numFmt w:val="lowerRoman"/>
      <w:lvlText w:val="%6."/>
      <w:lvlJc w:val="right"/>
      <w:pPr>
        <w:ind w:left="4888" w:hanging="180"/>
      </w:pPr>
      <w:rPr>
        <w:rFonts w:cs="Times New Roman"/>
      </w:rPr>
    </w:lvl>
    <w:lvl w:ilvl="6" w:tplc="0809000F" w:tentative="1">
      <w:start w:val="1"/>
      <w:numFmt w:val="decimal"/>
      <w:lvlText w:val="%7."/>
      <w:lvlJc w:val="left"/>
      <w:pPr>
        <w:ind w:left="5608" w:hanging="360"/>
      </w:pPr>
      <w:rPr>
        <w:rFonts w:cs="Times New Roman"/>
      </w:rPr>
    </w:lvl>
    <w:lvl w:ilvl="7" w:tplc="08090019" w:tentative="1">
      <w:start w:val="1"/>
      <w:numFmt w:val="lowerLetter"/>
      <w:lvlText w:val="%8."/>
      <w:lvlJc w:val="left"/>
      <w:pPr>
        <w:ind w:left="6328" w:hanging="360"/>
      </w:pPr>
      <w:rPr>
        <w:rFonts w:cs="Times New Roman"/>
      </w:rPr>
    </w:lvl>
    <w:lvl w:ilvl="8" w:tplc="0809001B" w:tentative="1">
      <w:start w:val="1"/>
      <w:numFmt w:val="lowerRoman"/>
      <w:lvlText w:val="%9."/>
      <w:lvlJc w:val="right"/>
      <w:pPr>
        <w:ind w:left="7048" w:hanging="180"/>
      </w:pPr>
      <w:rPr>
        <w:rFonts w:cs="Times New Roman"/>
      </w:rPr>
    </w:lvl>
  </w:abstractNum>
  <w:abstractNum w:abstractNumId="2">
    <w:nsid w:val="2F017104"/>
    <w:multiLevelType w:val="hybridMultilevel"/>
    <w:tmpl w:val="9EBE8EB2"/>
    <w:lvl w:ilvl="0" w:tplc="0809000F">
      <w:start w:val="1"/>
      <w:numFmt w:val="decimal"/>
      <w:lvlText w:val="%1."/>
      <w:lvlJc w:val="left"/>
      <w:pPr>
        <w:ind w:left="1080" w:hanging="360"/>
      </w:pPr>
      <w:rPr>
        <w:rFonts w:cs="Times New Roman"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nsid w:val="39B477F4"/>
    <w:multiLevelType w:val="hybridMultilevel"/>
    <w:tmpl w:val="64F69F40"/>
    <w:lvl w:ilvl="0" w:tplc="90826D4C">
      <w:start w:val="1"/>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3051BEC"/>
    <w:multiLevelType w:val="hybridMultilevel"/>
    <w:tmpl w:val="B89E327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5B6D2851"/>
    <w:multiLevelType w:val="hybridMultilevel"/>
    <w:tmpl w:val="EDD6F27C"/>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nsid w:val="61413B7D"/>
    <w:multiLevelType w:val="hybridMultilevel"/>
    <w:tmpl w:val="A4F245F4"/>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7147013A"/>
    <w:multiLevelType w:val="hybridMultilevel"/>
    <w:tmpl w:val="97E22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9BD"/>
    <w:rsid w:val="00003B63"/>
    <w:rsid w:val="00010A68"/>
    <w:rsid w:val="000119D4"/>
    <w:rsid w:val="00012577"/>
    <w:rsid w:val="00012CA8"/>
    <w:rsid w:val="000133BA"/>
    <w:rsid w:val="00015ABC"/>
    <w:rsid w:val="00015FCE"/>
    <w:rsid w:val="000174BA"/>
    <w:rsid w:val="0002272A"/>
    <w:rsid w:val="000249F5"/>
    <w:rsid w:val="0002610E"/>
    <w:rsid w:val="0003137F"/>
    <w:rsid w:val="0003360C"/>
    <w:rsid w:val="00035C7E"/>
    <w:rsid w:val="00042C83"/>
    <w:rsid w:val="0004353E"/>
    <w:rsid w:val="0004692E"/>
    <w:rsid w:val="00053D0C"/>
    <w:rsid w:val="000548FD"/>
    <w:rsid w:val="00055E38"/>
    <w:rsid w:val="0005793C"/>
    <w:rsid w:val="0006427D"/>
    <w:rsid w:val="000770F6"/>
    <w:rsid w:val="0008064D"/>
    <w:rsid w:val="000840C8"/>
    <w:rsid w:val="00085217"/>
    <w:rsid w:val="0008658F"/>
    <w:rsid w:val="00087AD8"/>
    <w:rsid w:val="0009040A"/>
    <w:rsid w:val="00090EED"/>
    <w:rsid w:val="000932FC"/>
    <w:rsid w:val="00095801"/>
    <w:rsid w:val="000A345C"/>
    <w:rsid w:val="000A3B5C"/>
    <w:rsid w:val="000A4BFC"/>
    <w:rsid w:val="000A5E2E"/>
    <w:rsid w:val="000B24CC"/>
    <w:rsid w:val="000B25E3"/>
    <w:rsid w:val="000B3D51"/>
    <w:rsid w:val="000B463A"/>
    <w:rsid w:val="000B7AA6"/>
    <w:rsid w:val="000C2982"/>
    <w:rsid w:val="000C4CB3"/>
    <w:rsid w:val="000C73BE"/>
    <w:rsid w:val="000D11FC"/>
    <w:rsid w:val="000D1428"/>
    <w:rsid w:val="000D16FF"/>
    <w:rsid w:val="000D25A0"/>
    <w:rsid w:val="000D3620"/>
    <w:rsid w:val="000D4EF8"/>
    <w:rsid w:val="000D6A45"/>
    <w:rsid w:val="000E0AC6"/>
    <w:rsid w:val="000E169B"/>
    <w:rsid w:val="000E2E68"/>
    <w:rsid w:val="000E33AC"/>
    <w:rsid w:val="000E409E"/>
    <w:rsid w:val="000E4FB5"/>
    <w:rsid w:val="000E5BF8"/>
    <w:rsid w:val="000E6F50"/>
    <w:rsid w:val="000F3B9C"/>
    <w:rsid w:val="000F4892"/>
    <w:rsid w:val="0010146D"/>
    <w:rsid w:val="001019C2"/>
    <w:rsid w:val="00102121"/>
    <w:rsid w:val="001039C5"/>
    <w:rsid w:val="001059C3"/>
    <w:rsid w:val="00112A1F"/>
    <w:rsid w:val="001148D0"/>
    <w:rsid w:val="00114F5A"/>
    <w:rsid w:val="0011686C"/>
    <w:rsid w:val="00120D2E"/>
    <w:rsid w:val="0012101E"/>
    <w:rsid w:val="00121AC9"/>
    <w:rsid w:val="00122CDF"/>
    <w:rsid w:val="00123A56"/>
    <w:rsid w:val="001321A2"/>
    <w:rsid w:val="0013623E"/>
    <w:rsid w:val="00137445"/>
    <w:rsid w:val="001425AA"/>
    <w:rsid w:val="001432B6"/>
    <w:rsid w:val="0014704A"/>
    <w:rsid w:val="00153C7C"/>
    <w:rsid w:val="00164610"/>
    <w:rsid w:val="0016656F"/>
    <w:rsid w:val="00167249"/>
    <w:rsid w:val="00171B2A"/>
    <w:rsid w:val="00175E1B"/>
    <w:rsid w:val="001760E0"/>
    <w:rsid w:val="00186D72"/>
    <w:rsid w:val="001916A2"/>
    <w:rsid w:val="00193CDA"/>
    <w:rsid w:val="00193EAA"/>
    <w:rsid w:val="001947F4"/>
    <w:rsid w:val="00195532"/>
    <w:rsid w:val="00195CF4"/>
    <w:rsid w:val="001A0446"/>
    <w:rsid w:val="001A141B"/>
    <w:rsid w:val="001A6142"/>
    <w:rsid w:val="001B01B1"/>
    <w:rsid w:val="001B1663"/>
    <w:rsid w:val="001B428B"/>
    <w:rsid w:val="001B5163"/>
    <w:rsid w:val="001B57FF"/>
    <w:rsid w:val="001C033F"/>
    <w:rsid w:val="001C1094"/>
    <w:rsid w:val="001C11CE"/>
    <w:rsid w:val="001D0603"/>
    <w:rsid w:val="001D1E5D"/>
    <w:rsid w:val="001D2413"/>
    <w:rsid w:val="001E2E3B"/>
    <w:rsid w:val="001E40B8"/>
    <w:rsid w:val="001E519B"/>
    <w:rsid w:val="001E5F24"/>
    <w:rsid w:val="001E7DAD"/>
    <w:rsid w:val="001F0CE6"/>
    <w:rsid w:val="001F11F5"/>
    <w:rsid w:val="001F133A"/>
    <w:rsid w:val="001F19D0"/>
    <w:rsid w:val="001F43F3"/>
    <w:rsid w:val="001F5AED"/>
    <w:rsid w:val="00203603"/>
    <w:rsid w:val="00206169"/>
    <w:rsid w:val="0021363D"/>
    <w:rsid w:val="00214A0E"/>
    <w:rsid w:val="00214DBA"/>
    <w:rsid w:val="0022211C"/>
    <w:rsid w:val="002225F3"/>
    <w:rsid w:val="00230BA2"/>
    <w:rsid w:val="0023533A"/>
    <w:rsid w:val="0023761E"/>
    <w:rsid w:val="00243B46"/>
    <w:rsid w:val="00245655"/>
    <w:rsid w:val="00247D74"/>
    <w:rsid w:val="00250B01"/>
    <w:rsid w:val="002512B1"/>
    <w:rsid w:val="00252AA5"/>
    <w:rsid w:val="002535FF"/>
    <w:rsid w:val="00260D4C"/>
    <w:rsid w:val="00262991"/>
    <w:rsid w:val="002649B5"/>
    <w:rsid w:val="00265D95"/>
    <w:rsid w:val="00265E37"/>
    <w:rsid w:val="00267558"/>
    <w:rsid w:val="00270169"/>
    <w:rsid w:val="0027042B"/>
    <w:rsid w:val="00271492"/>
    <w:rsid w:val="0027470D"/>
    <w:rsid w:val="00281833"/>
    <w:rsid w:val="002821DB"/>
    <w:rsid w:val="002837D2"/>
    <w:rsid w:val="00284546"/>
    <w:rsid w:val="002863AE"/>
    <w:rsid w:val="0028699D"/>
    <w:rsid w:val="0028757D"/>
    <w:rsid w:val="002902F8"/>
    <w:rsid w:val="00290974"/>
    <w:rsid w:val="0029142D"/>
    <w:rsid w:val="00294DA8"/>
    <w:rsid w:val="00296007"/>
    <w:rsid w:val="002A2927"/>
    <w:rsid w:val="002A38E6"/>
    <w:rsid w:val="002B3CF5"/>
    <w:rsid w:val="002B7150"/>
    <w:rsid w:val="002B762F"/>
    <w:rsid w:val="002C4BE8"/>
    <w:rsid w:val="002C53F6"/>
    <w:rsid w:val="002C7B9D"/>
    <w:rsid w:val="002D1165"/>
    <w:rsid w:val="002D1905"/>
    <w:rsid w:val="002D271D"/>
    <w:rsid w:val="002D3D8A"/>
    <w:rsid w:val="002D47F1"/>
    <w:rsid w:val="002E4970"/>
    <w:rsid w:val="002E7227"/>
    <w:rsid w:val="002F1283"/>
    <w:rsid w:val="002F1614"/>
    <w:rsid w:val="002F2311"/>
    <w:rsid w:val="002F30C2"/>
    <w:rsid w:val="002F3C5C"/>
    <w:rsid w:val="002F3CE2"/>
    <w:rsid w:val="002F78B6"/>
    <w:rsid w:val="003017FB"/>
    <w:rsid w:val="00302873"/>
    <w:rsid w:val="00303BCE"/>
    <w:rsid w:val="00304756"/>
    <w:rsid w:val="00304DA3"/>
    <w:rsid w:val="00304FF6"/>
    <w:rsid w:val="0031012F"/>
    <w:rsid w:val="003113C3"/>
    <w:rsid w:val="0032276E"/>
    <w:rsid w:val="00323426"/>
    <w:rsid w:val="00323B81"/>
    <w:rsid w:val="003246DD"/>
    <w:rsid w:val="00327911"/>
    <w:rsid w:val="003309F8"/>
    <w:rsid w:val="00331424"/>
    <w:rsid w:val="0033157C"/>
    <w:rsid w:val="0033182E"/>
    <w:rsid w:val="00331A13"/>
    <w:rsid w:val="0033426C"/>
    <w:rsid w:val="00334E3D"/>
    <w:rsid w:val="00335749"/>
    <w:rsid w:val="00336102"/>
    <w:rsid w:val="0033688B"/>
    <w:rsid w:val="00337104"/>
    <w:rsid w:val="00342CA2"/>
    <w:rsid w:val="003436A9"/>
    <w:rsid w:val="00344765"/>
    <w:rsid w:val="00345BFC"/>
    <w:rsid w:val="003521CB"/>
    <w:rsid w:val="00363BAE"/>
    <w:rsid w:val="003641C7"/>
    <w:rsid w:val="00367334"/>
    <w:rsid w:val="003712C7"/>
    <w:rsid w:val="00376A49"/>
    <w:rsid w:val="00377C81"/>
    <w:rsid w:val="003818D1"/>
    <w:rsid w:val="00381B30"/>
    <w:rsid w:val="00382F84"/>
    <w:rsid w:val="00384449"/>
    <w:rsid w:val="00390996"/>
    <w:rsid w:val="00390F64"/>
    <w:rsid w:val="003974F4"/>
    <w:rsid w:val="00397A40"/>
    <w:rsid w:val="003A1DAB"/>
    <w:rsid w:val="003A63A5"/>
    <w:rsid w:val="003B09F2"/>
    <w:rsid w:val="003B12B1"/>
    <w:rsid w:val="003B30E5"/>
    <w:rsid w:val="003B4B7B"/>
    <w:rsid w:val="003B5FE7"/>
    <w:rsid w:val="003B611F"/>
    <w:rsid w:val="003B79D1"/>
    <w:rsid w:val="003C187E"/>
    <w:rsid w:val="003C1A0A"/>
    <w:rsid w:val="003C1DB7"/>
    <w:rsid w:val="003C2A8F"/>
    <w:rsid w:val="003C4087"/>
    <w:rsid w:val="003D2EEC"/>
    <w:rsid w:val="003D3795"/>
    <w:rsid w:val="003D4772"/>
    <w:rsid w:val="003D4C19"/>
    <w:rsid w:val="003D7412"/>
    <w:rsid w:val="003E1D87"/>
    <w:rsid w:val="003E200F"/>
    <w:rsid w:val="003E385F"/>
    <w:rsid w:val="003E5E45"/>
    <w:rsid w:val="003F3238"/>
    <w:rsid w:val="003F356F"/>
    <w:rsid w:val="003F3E7F"/>
    <w:rsid w:val="003F41C9"/>
    <w:rsid w:val="003F48CC"/>
    <w:rsid w:val="003F64EA"/>
    <w:rsid w:val="003F7583"/>
    <w:rsid w:val="00400D5D"/>
    <w:rsid w:val="0040377C"/>
    <w:rsid w:val="00411290"/>
    <w:rsid w:val="00412BD0"/>
    <w:rsid w:val="00413099"/>
    <w:rsid w:val="00414034"/>
    <w:rsid w:val="004171F9"/>
    <w:rsid w:val="00421CE7"/>
    <w:rsid w:val="004237C0"/>
    <w:rsid w:val="0042505B"/>
    <w:rsid w:val="004261A3"/>
    <w:rsid w:val="00431CEE"/>
    <w:rsid w:val="00433D08"/>
    <w:rsid w:val="004345CA"/>
    <w:rsid w:val="004356C4"/>
    <w:rsid w:val="00437D4F"/>
    <w:rsid w:val="00441CC4"/>
    <w:rsid w:val="00444B80"/>
    <w:rsid w:val="004451CC"/>
    <w:rsid w:val="00450060"/>
    <w:rsid w:val="0045584B"/>
    <w:rsid w:val="0046308D"/>
    <w:rsid w:val="00464C6E"/>
    <w:rsid w:val="00465F59"/>
    <w:rsid w:val="00467226"/>
    <w:rsid w:val="0047117C"/>
    <w:rsid w:val="00471C7C"/>
    <w:rsid w:val="00471DD3"/>
    <w:rsid w:val="0047571F"/>
    <w:rsid w:val="00477058"/>
    <w:rsid w:val="0048098B"/>
    <w:rsid w:val="0048511C"/>
    <w:rsid w:val="00486EF9"/>
    <w:rsid w:val="00487808"/>
    <w:rsid w:val="004922EB"/>
    <w:rsid w:val="00493F9E"/>
    <w:rsid w:val="004957ED"/>
    <w:rsid w:val="00496183"/>
    <w:rsid w:val="00496EA5"/>
    <w:rsid w:val="004A29CC"/>
    <w:rsid w:val="004A38B4"/>
    <w:rsid w:val="004A462E"/>
    <w:rsid w:val="004A53F8"/>
    <w:rsid w:val="004A66B0"/>
    <w:rsid w:val="004B0269"/>
    <w:rsid w:val="004B0E4E"/>
    <w:rsid w:val="004B28EB"/>
    <w:rsid w:val="004B6304"/>
    <w:rsid w:val="004B6670"/>
    <w:rsid w:val="004B72D3"/>
    <w:rsid w:val="004B78B0"/>
    <w:rsid w:val="004C1295"/>
    <w:rsid w:val="004C1DEE"/>
    <w:rsid w:val="004C2132"/>
    <w:rsid w:val="004C694C"/>
    <w:rsid w:val="004D13BC"/>
    <w:rsid w:val="004D30D3"/>
    <w:rsid w:val="004D4F90"/>
    <w:rsid w:val="004E03B8"/>
    <w:rsid w:val="004E1299"/>
    <w:rsid w:val="004E5A43"/>
    <w:rsid w:val="004E5ED5"/>
    <w:rsid w:val="004E63DC"/>
    <w:rsid w:val="004E6795"/>
    <w:rsid w:val="004E7341"/>
    <w:rsid w:val="004F031F"/>
    <w:rsid w:val="004F2BFA"/>
    <w:rsid w:val="004F57FE"/>
    <w:rsid w:val="004F6934"/>
    <w:rsid w:val="005014A6"/>
    <w:rsid w:val="00501D1E"/>
    <w:rsid w:val="00501E80"/>
    <w:rsid w:val="00504D23"/>
    <w:rsid w:val="00507F8F"/>
    <w:rsid w:val="0051039D"/>
    <w:rsid w:val="005141B9"/>
    <w:rsid w:val="00515627"/>
    <w:rsid w:val="005156A0"/>
    <w:rsid w:val="005175E9"/>
    <w:rsid w:val="00520950"/>
    <w:rsid w:val="00520D28"/>
    <w:rsid w:val="00521147"/>
    <w:rsid w:val="00521F7E"/>
    <w:rsid w:val="005237B6"/>
    <w:rsid w:val="005259AC"/>
    <w:rsid w:val="00526A08"/>
    <w:rsid w:val="00531354"/>
    <w:rsid w:val="00532714"/>
    <w:rsid w:val="0053308F"/>
    <w:rsid w:val="00533E64"/>
    <w:rsid w:val="0053545D"/>
    <w:rsid w:val="00536160"/>
    <w:rsid w:val="00541711"/>
    <w:rsid w:val="005417F2"/>
    <w:rsid w:val="00545BA9"/>
    <w:rsid w:val="005461BC"/>
    <w:rsid w:val="005522FE"/>
    <w:rsid w:val="00552683"/>
    <w:rsid w:val="00553B3D"/>
    <w:rsid w:val="005561D1"/>
    <w:rsid w:val="005575D2"/>
    <w:rsid w:val="00557647"/>
    <w:rsid w:val="0056179B"/>
    <w:rsid w:val="0057143C"/>
    <w:rsid w:val="005716B0"/>
    <w:rsid w:val="00571A38"/>
    <w:rsid w:val="005733F1"/>
    <w:rsid w:val="005759F5"/>
    <w:rsid w:val="00576876"/>
    <w:rsid w:val="005779FB"/>
    <w:rsid w:val="00582BD0"/>
    <w:rsid w:val="00584E72"/>
    <w:rsid w:val="0058514F"/>
    <w:rsid w:val="00596163"/>
    <w:rsid w:val="0059677C"/>
    <w:rsid w:val="00597282"/>
    <w:rsid w:val="00597FAE"/>
    <w:rsid w:val="005A0AC9"/>
    <w:rsid w:val="005A1659"/>
    <w:rsid w:val="005A16BE"/>
    <w:rsid w:val="005A235E"/>
    <w:rsid w:val="005A3975"/>
    <w:rsid w:val="005A593E"/>
    <w:rsid w:val="005A6B17"/>
    <w:rsid w:val="005B1C8B"/>
    <w:rsid w:val="005B450B"/>
    <w:rsid w:val="005B7B7F"/>
    <w:rsid w:val="005C1DF0"/>
    <w:rsid w:val="005D1836"/>
    <w:rsid w:val="005D2A8E"/>
    <w:rsid w:val="005D6CB6"/>
    <w:rsid w:val="005D797C"/>
    <w:rsid w:val="005E0AF5"/>
    <w:rsid w:val="005E0FCC"/>
    <w:rsid w:val="005E4299"/>
    <w:rsid w:val="005E54C8"/>
    <w:rsid w:val="005F18A1"/>
    <w:rsid w:val="005F355A"/>
    <w:rsid w:val="005F4A14"/>
    <w:rsid w:val="0060015F"/>
    <w:rsid w:val="00600919"/>
    <w:rsid w:val="006018B8"/>
    <w:rsid w:val="0060261C"/>
    <w:rsid w:val="006049BA"/>
    <w:rsid w:val="0060563F"/>
    <w:rsid w:val="006109AA"/>
    <w:rsid w:val="00610ED0"/>
    <w:rsid w:val="00613346"/>
    <w:rsid w:val="00615723"/>
    <w:rsid w:val="00616ED9"/>
    <w:rsid w:val="00620773"/>
    <w:rsid w:val="00620BC8"/>
    <w:rsid w:val="00622DEC"/>
    <w:rsid w:val="00630C28"/>
    <w:rsid w:val="00631D72"/>
    <w:rsid w:val="00632243"/>
    <w:rsid w:val="00633FFE"/>
    <w:rsid w:val="00636A9F"/>
    <w:rsid w:val="00644CA9"/>
    <w:rsid w:val="00646B2B"/>
    <w:rsid w:val="00650256"/>
    <w:rsid w:val="00653CB3"/>
    <w:rsid w:val="00653D6B"/>
    <w:rsid w:val="00654C05"/>
    <w:rsid w:val="006555F6"/>
    <w:rsid w:val="0066726F"/>
    <w:rsid w:val="00667EE6"/>
    <w:rsid w:val="0067066E"/>
    <w:rsid w:val="0067085D"/>
    <w:rsid w:val="00674A93"/>
    <w:rsid w:val="00676991"/>
    <w:rsid w:val="00677ED4"/>
    <w:rsid w:val="00680C78"/>
    <w:rsid w:val="00680D44"/>
    <w:rsid w:val="0068118F"/>
    <w:rsid w:val="00683693"/>
    <w:rsid w:val="006864D9"/>
    <w:rsid w:val="006904A0"/>
    <w:rsid w:val="00692A69"/>
    <w:rsid w:val="0069318A"/>
    <w:rsid w:val="00693B58"/>
    <w:rsid w:val="00695306"/>
    <w:rsid w:val="00697797"/>
    <w:rsid w:val="006A40EB"/>
    <w:rsid w:val="006A43F0"/>
    <w:rsid w:val="006A4EAE"/>
    <w:rsid w:val="006A7D93"/>
    <w:rsid w:val="006C03A2"/>
    <w:rsid w:val="006C6825"/>
    <w:rsid w:val="006C6D97"/>
    <w:rsid w:val="006C75D4"/>
    <w:rsid w:val="006D06D7"/>
    <w:rsid w:val="006D0D75"/>
    <w:rsid w:val="006D0F25"/>
    <w:rsid w:val="006D13C7"/>
    <w:rsid w:val="006D243B"/>
    <w:rsid w:val="006D4806"/>
    <w:rsid w:val="006D74D0"/>
    <w:rsid w:val="006E0269"/>
    <w:rsid w:val="006E70FC"/>
    <w:rsid w:val="006E733F"/>
    <w:rsid w:val="006F0176"/>
    <w:rsid w:val="006F0BA4"/>
    <w:rsid w:val="006F2EC4"/>
    <w:rsid w:val="006F2ECE"/>
    <w:rsid w:val="006F3E56"/>
    <w:rsid w:val="006F4D79"/>
    <w:rsid w:val="006F5E1F"/>
    <w:rsid w:val="006F79CF"/>
    <w:rsid w:val="0070028E"/>
    <w:rsid w:val="007010FF"/>
    <w:rsid w:val="00702908"/>
    <w:rsid w:val="0070334F"/>
    <w:rsid w:val="00704CF8"/>
    <w:rsid w:val="00706A68"/>
    <w:rsid w:val="0072247E"/>
    <w:rsid w:val="0072557B"/>
    <w:rsid w:val="0072624F"/>
    <w:rsid w:val="00734117"/>
    <w:rsid w:val="007348BA"/>
    <w:rsid w:val="0074065E"/>
    <w:rsid w:val="0074101D"/>
    <w:rsid w:val="0074299F"/>
    <w:rsid w:val="0074443B"/>
    <w:rsid w:val="00746BAE"/>
    <w:rsid w:val="00746D8B"/>
    <w:rsid w:val="00751E4B"/>
    <w:rsid w:val="00752D92"/>
    <w:rsid w:val="007533E2"/>
    <w:rsid w:val="0075660A"/>
    <w:rsid w:val="007566F2"/>
    <w:rsid w:val="00766E86"/>
    <w:rsid w:val="00770429"/>
    <w:rsid w:val="0077442C"/>
    <w:rsid w:val="00774A18"/>
    <w:rsid w:val="00776AF7"/>
    <w:rsid w:val="00777224"/>
    <w:rsid w:val="00782D58"/>
    <w:rsid w:val="00785939"/>
    <w:rsid w:val="007917C8"/>
    <w:rsid w:val="00794645"/>
    <w:rsid w:val="00795A4A"/>
    <w:rsid w:val="00797724"/>
    <w:rsid w:val="007A377F"/>
    <w:rsid w:val="007A5AA3"/>
    <w:rsid w:val="007B1318"/>
    <w:rsid w:val="007B4EF7"/>
    <w:rsid w:val="007B5569"/>
    <w:rsid w:val="007B597E"/>
    <w:rsid w:val="007C1F59"/>
    <w:rsid w:val="007C3BB5"/>
    <w:rsid w:val="007C3C71"/>
    <w:rsid w:val="007C5109"/>
    <w:rsid w:val="007C53D5"/>
    <w:rsid w:val="007D079C"/>
    <w:rsid w:val="007D19EF"/>
    <w:rsid w:val="007D2165"/>
    <w:rsid w:val="007D35EE"/>
    <w:rsid w:val="007D3BA9"/>
    <w:rsid w:val="007D3DC2"/>
    <w:rsid w:val="007D5970"/>
    <w:rsid w:val="007D7E22"/>
    <w:rsid w:val="007E0201"/>
    <w:rsid w:val="007E3351"/>
    <w:rsid w:val="007E42FA"/>
    <w:rsid w:val="007E753B"/>
    <w:rsid w:val="007E793B"/>
    <w:rsid w:val="007F0812"/>
    <w:rsid w:val="007F12B9"/>
    <w:rsid w:val="007F44D4"/>
    <w:rsid w:val="00802A82"/>
    <w:rsid w:val="00805072"/>
    <w:rsid w:val="00805810"/>
    <w:rsid w:val="00807158"/>
    <w:rsid w:val="008154F4"/>
    <w:rsid w:val="00815812"/>
    <w:rsid w:val="00816F42"/>
    <w:rsid w:val="00821263"/>
    <w:rsid w:val="00832141"/>
    <w:rsid w:val="00833871"/>
    <w:rsid w:val="008341F6"/>
    <w:rsid w:val="00835EE5"/>
    <w:rsid w:val="008363FB"/>
    <w:rsid w:val="0083715D"/>
    <w:rsid w:val="008374A5"/>
    <w:rsid w:val="00840475"/>
    <w:rsid w:val="00845C43"/>
    <w:rsid w:val="00861E39"/>
    <w:rsid w:val="008630E6"/>
    <w:rsid w:val="008660C1"/>
    <w:rsid w:val="00866840"/>
    <w:rsid w:val="00866F9E"/>
    <w:rsid w:val="00875AB8"/>
    <w:rsid w:val="0087644A"/>
    <w:rsid w:val="0089058E"/>
    <w:rsid w:val="00895900"/>
    <w:rsid w:val="00896E98"/>
    <w:rsid w:val="008A414C"/>
    <w:rsid w:val="008A42F4"/>
    <w:rsid w:val="008B00F2"/>
    <w:rsid w:val="008B025E"/>
    <w:rsid w:val="008B0B11"/>
    <w:rsid w:val="008B141B"/>
    <w:rsid w:val="008B3DF6"/>
    <w:rsid w:val="008B4C11"/>
    <w:rsid w:val="008B5893"/>
    <w:rsid w:val="008B631C"/>
    <w:rsid w:val="008C645C"/>
    <w:rsid w:val="008C68C3"/>
    <w:rsid w:val="008C6CBD"/>
    <w:rsid w:val="008C6E83"/>
    <w:rsid w:val="008D1744"/>
    <w:rsid w:val="008D29A8"/>
    <w:rsid w:val="008D3625"/>
    <w:rsid w:val="008D6BD3"/>
    <w:rsid w:val="008D7AEB"/>
    <w:rsid w:val="008E13EC"/>
    <w:rsid w:val="008E2616"/>
    <w:rsid w:val="008E413B"/>
    <w:rsid w:val="008E5B99"/>
    <w:rsid w:val="008E771D"/>
    <w:rsid w:val="008F216F"/>
    <w:rsid w:val="008F2E5B"/>
    <w:rsid w:val="008F3141"/>
    <w:rsid w:val="008F38AA"/>
    <w:rsid w:val="008F518A"/>
    <w:rsid w:val="008F6319"/>
    <w:rsid w:val="008F6A8B"/>
    <w:rsid w:val="008F7B12"/>
    <w:rsid w:val="008F7E03"/>
    <w:rsid w:val="00901138"/>
    <w:rsid w:val="00902F41"/>
    <w:rsid w:val="009035D6"/>
    <w:rsid w:val="00905378"/>
    <w:rsid w:val="00906960"/>
    <w:rsid w:val="00906E2A"/>
    <w:rsid w:val="00907BD8"/>
    <w:rsid w:val="00910521"/>
    <w:rsid w:val="00915C5E"/>
    <w:rsid w:val="009171AB"/>
    <w:rsid w:val="00917E80"/>
    <w:rsid w:val="00924606"/>
    <w:rsid w:val="00925DB6"/>
    <w:rsid w:val="00926007"/>
    <w:rsid w:val="00926702"/>
    <w:rsid w:val="009304F2"/>
    <w:rsid w:val="00931ADA"/>
    <w:rsid w:val="00931EAE"/>
    <w:rsid w:val="00933E8F"/>
    <w:rsid w:val="00935E66"/>
    <w:rsid w:val="009430E8"/>
    <w:rsid w:val="00945B8C"/>
    <w:rsid w:val="009506FE"/>
    <w:rsid w:val="00952613"/>
    <w:rsid w:val="00953BC4"/>
    <w:rsid w:val="00956990"/>
    <w:rsid w:val="009578C9"/>
    <w:rsid w:val="0096261F"/>
    <w:rsid w:val="00966177"/>
    <w:rsid w:val="009705E8"/>
    <w:rsid w:val="009716D2"/>
    <w:rsid w:val="009759E1"/>
    <w:rsid w:val="0097758A"/>
    <w:rsid w:val="0098223B"/>
    <w:rsid w:val="009856B8"/>
    <w:rsid w:val="00985D82"/>
    <w:rsid w:val="0098698E"/>
    <w:rsid w:val="00990133"/>
    <w:rsid w:val="009908C2"/>
    <w:rsid w:val="00993669"/>
    <w:rsid w:val="00993E22"/>
    <w:rsid w:val="00997D0B"/>
    <w:rsid w:val="009A2B8F"/>
    <w:rsid w:val="009A54FC"/>
    <w:rsid w:val="009A6FE2"/>
    <w:rsid w:val="009A734F"/>
    <w:rsid w:val="009B0CE7"/>
    <w:rsid w:val="009B202D"/>
    <w:rsid w:val="009B3A1B"/>
    <w:rsid w:val="009B3E50"/>
    <w:rsid w:val="009B527D"/>
    <w:rsid w:val="009B58B4"/>
    <w:rsid w:val="009C0080"/>
    <w:rsid w:val="009C050E"/>
    <w:rsid w:val="009C11AD"/>
    <w:rsid w:val="009C2113"/>
    <w:rsid w:val="009C3AF0"/>
    <w:rsid w:val="009C3B30"/>
    <w:rsid w:val="009C40AF"/>
    <w:rsid w:val="009C43F9"/>
    <w:rsid w:val="009C4790"/>
    <w:rsid w:val="009C4C8D"/>
    <w:rsid w:val="009D5CC0"/>
    <w:rsid w:val="009D70F8"/>
    <w:rsid w:val="009D720F"/>
    <w:rsid w:val="009E01AF"/>
    <w:rsid w:val="009E12FA"/>
    <w:rsid w:val="009E2C8C"/>
    <w:rsid w:val="009E3275"/>
    <w:rsid w:val="009E5B12"/>
    <w:rsid w:val="009E606F"/>
    <w:rsid w:val="009F055F"/>
    <w:rsid w:val="009F05DB"/>
    <w:rsid w:val="00A01949"/>
    <w:rsid w:val="00A0370C"/>
    <w:rsid w:val="00A10824"/>
    <w:rsid w:val="00A2034E"/>
    <w:rsid w:val="00A25098"/>
    <w:rsid w:val="00A2755F"/>
    <w:rsid w:val="00A27CA2"/>
    <w:rsid w:val="00A32166"/>
    <w:rsid w:val="00A32B18"/>
    <w:rsid w:val="00A358C7"/>
    <w:rsid w:val="00A36FFD"/>
    <w:rsid w:val="00A407C6"/>
    <w:rsid w:val="00A4194E"/>
    <w:rsid w:val="00A4213E"/>
    <w:rsid w:val="00A45044"/>
    <w:rsid w:val="00A47059"/>
    <w:rsid w:val="00A47A88"/>
    <w:rsid w:val="00A47D38"/>
    <w:rsid w:val="00A50AF3"/>
    <w:rsid w:val="00A565F0"/>
    <w:rsid w:val="00A56E7C"/>
    <w:rsid w:val="00A62D00"/>
    <w:rsid w:val="00A63622"/>
    <w:rsid w:val="00A63CA0"/>
    <w:rsid w:val="00A63CE7"/>
    <w:rsid w:val="00A6480E"/>
    <w:rsid w:val="00A70343"/>
    <w:rsid w:val="00A71FE3"/>
    <w:rsid w:val="00A772B6"/>
    <w:rsid w:val="00A7737C"/>
    <w:rsid w:val="00A80C6B"/>
    <w:rsid w:val="00A91B6F"/>
    <w:rsid w:val="00A92437"/>
    <w:rsid w:val="00A945EB"/>
    <w:rsid w:val="00A951AB"/>
    <w:rsid w:val="00A97847"/>
    <w:rsid w:val="00AA0C8E"/>
    <w:rsid w:val="00AA1D17"/>
    <w:rsid w:val="00AA270A"/>
    <w:rsid w:val="00AA2BFE"/>
    <w:rsid w:val="00AA5534"/>
    <w:rsid w:val="00AA5D83"/>
    <w:rsid w:val="00AB108A"/>
    <w:rsid w:val="00AB2EC5"/>
    <w:rsid w:val="00AB6DF3"/>
    <w:rsid w:val="00AB721D"/>
    <w:rsid w:val="00AB7807"/>
    <w:rsid w:val="00AC02A2"/>
    <w:rsid w:val="00AC1E63"/>
    <w:rsid w:val="00AC2D60"/>
    <w:rsid w:val="00AC51FA"/>
    <w:rsid w:val="00AD02D9"/>
    <w:rsid w:val="00AD35DC"/>
    <w:rsid w:val="00AD42A4"/>
    <w:rsid w:val="00AD440D"/>
    <w:rsid w:val="00AD44FA"/>
    <w:rsid w:val="00AD76CD"/>
    <w:rsid w:val="00AD79BD"/>
    <w:rsid w:val="00AE2C76"/>
    <w:rsid w:val="00AE35C2"/>
    <w:rsid w:val="00AE78C2"/>
    <w:rsid w:val="00AF00D7"/>
    <w:rsid w:val="00AF03E1"/>
    <w:rsid w:val="00AF0948"/>
    <w:rsid w:val="00AF0B2F"/>
    <w:rsid w:val="00AF1625"/>
    <w:rsid w:val="00AF190C"/>
    <w:rsid w:val="00AF26C6"/>
    <w:rsid w:val="00AF2E90"/>
    <w:rsid w:val="00AF30F7"/>
    <w:rsid w:val="00AF57CA"/>
    <w:rsid w:val="00AF7041"/>
    <w:rsid w:val="00AF76A3"/>
    <w:rsid w:val="00B03325"/>
    <w:rsid w:val="00B04C1B"/>
    <w:rsid w:val="00B06CE8"/>
    <w:rsid w:val="00B07ABE"/>
    <w:rsid w:val="00B10CF7"/>
    <w:rsid w:val="00B13A9E"/>
    <w:rsid w:val="00B14777"/>
    <w:rsid w:val="00B174A7"/>
    <w:rsid w:val="00B176F3"/>
    <w:rsid w:val="00B21FE4"/>
    <w:rsid w:val="00B229BF"/>
    <w:rsid w:val="00B254AE"/>
    <w:rsid w:val="00B3117F"/>
    <w:rsid w:val="00B36625"/>
    <w:rsid w:val="00B369DC"/>
    <w:rsid w:val="00B41647"/>
    <w:rsid w:val="00B43234"/>
    <w:rsid w:val="00B44802"/>
    <w:rsid w:val="00B45EF7"/>
    <w:rsid w:val="00B462C0"/>
    <w:rsid w:val="00B4673B"/>
    <w:rsid w:val="00B51AE9"/>
    <w:rsid w:val="00B51B11"/>
    <w:rsid w:val="00B52C66"/>
    <w:rsid w:val="00B56DBE"/>
    <w:rsid w:val="00B57419"/>
    <w:rsid w:val="00B64E9A"/>
    <w:rsid w:val="00B66C39"/>
    <w:rsid w:val="00B67D4A"/>
    <w:rsid w:val="00B70EF3"/>
    <w:rsid w:val="00B71FB0"/>
    <w:rsid w:val="00B72457"/>
    <w:rsid w:val="00B81C9C"/>
    <w:rsid w:val="00B82BE2"/>
    <w:rsid w:val="00B82DF5"/>
    <w:rsid w:val="00B83658"/>
    <w:rsid w:val="00B85B91"/>
    <w:rsid w:val="00B904E1"/>
    <w:rsid w:val="00B9098E"/>
    <w:rsid w:val="00B90DA0"/>
    <w:rsid w:val="00B90DA7"/>
    <w:rsid w:val="00B92CE1"/>
    <w:rsid w:val="00B93406"/>
    <w:rsid w:val="00B9431B"/>
    <w:rsid w:val="00B955F5"/>
    <w:rsid w:val="00B96A68"/>
    <w:rsid w:val="00BB13F5"/>
    <w:rsid w:val="00BB2421"/>
    <w:rsid w:val="00BB2A5C"/>
    <w:rsid w:val="00BB40AA"/>
    <w:rsid w:val="00BC18EA"/>
    <w:rsid w:val="00BC564A"/>
    <w:rsid w:val="00BD2FBC"/>
    <w:rsid w:val="00BD4A5E"/>
    <w:rsid w:val="00BD5970"/>
    <w:rsid w:val="00BD6FE0"/>
    <w:rsid w:val="00BD755A"/>
    <w:rsid w:val="00BE157E"/>
    <w:rsid w:val="00BE1FFA"/>
    <w:rsid w:val="00BF2809"/>
    <w:rsid w:val="00BF30CD"/>
    <w:rsid w:val="00BF790D"/>
    <w:rsid w:val="00C017AB"/>
    <w:rsid w:val="00C1130F"/>
    <w:rsid w:val="00C1230A"/>
    <w:rsid w:val="00C1591E"/>
    <w:rsid w:val="00C17F2E"/>
    <w:rsid w:val="00C21F89"/>
    <w:rsid w:val="00C23320"/>
    <w:rsid w:val="00C23FBD"/>
    <w:rsid w:val="00C2453D"/>
    <w:rsid w:val="00C2629A"/>
    <w:rsid w:val="00C26E4E"/>
    <w:rsid w:val="00C32032"/>
    <w:rsid w:val="00C32825"/>
    <w:rsid w:val="00C34BE5"/>
    <w:rsid w:val="00C36096"/>
    <w:rsid w:val="00C372F8"/>
    <w:rsid w:val="00C403F2"/>
    <w:rsid w:val="00C41E77"/>
    <w:rsid w:val="00C456FB"/>
    <w:rsid w:val="00C46A3F"/>
    <w:rsid w:val="00C5424B"/>
    <w:rsid w:val="00C600E6"/>
    <w:rsid w:val="00C606F1"/>
    <w:rsid w:val="00C60F64"/>
    <w:rsid w:val="00C61D86"/>
    <w:rsid w:val="00C6293E"/>
    <w:rsid w:val="00C63D45"/>
    <w:rsid w:val="00C6612D"/>
    <w:rsid w:val="00C71C11"/>
    <w:rsid w:val="00C72D27"/>
    <w:rsid w:val="00C73FA2"/>
    <w:rsid w:val="00C73FD3"/>
    <w:rsid w:val="00C747EE"/>
    <w:rsid w:val="00C74ACB"/>
    <w:rsid w:val="00C763FB"/>
    <w:rsid w:val="00C77A39"/>
    <w:rsid w:val="00C818CD"/>
    <w:rsid w:val="00C853B7"/>
    <w:rsid w:val="00C879F0"/>
    <w:rsid w:val="00C91244"/>
    <w:rsid w:val="00C91D07"/>
    <w:rsid w:val="00C91E97"/>
    <w:rsid w:val="00C95C99"/>
    <w:rsid w:val="00C978BC"/>
    <w:rsid w:val="00CA0CBE"/>
    <w:rsid w:val="00CA2AAB"/>
    <w:rsid w:val="00CA6D1B"/>
    <w:rsid w:val="00CA79AF"/>
    <w:rsid w:val="00CB0717"/>
    <w:rsid w:val="00CB0BCB"/>
    <w:rsid w:val="00CB2625"/>
    <w:rsid w:val="00CB4F06"/>
    <w:rsid w:val="00CC1AC1"/>
    <w:rsid w:val="00CC2955"/>
    <w:rsid w:val="00CC2C98"/>
    <w:rsid w:val="00CC37A2"/>
    <w:rsid w:val="00CC443C"/>
    <w:rsid w:val="00CC4659"/>
    <w:rsid w:val="00CC5AE7"/>
    <w:rsid w:val="00CC6493"/>
    <w:rsid w:val="00CC7382"/>
    <w:rsid w:val="00CE0823"/>
    <w:rsid w:val="00CE086C"/>
    <w:rsid w:val="00CE1126"/>
    <w:rsid w:val="00CE466F"/>
    <w:rsid w:val="00CF0974"/>
    <w:rsid w:val="00CF2AFA"/>
    <w:rsid w:val="00CF2F7D"/>
    <w:rsid w:val="00CF69C5"/>
    <w:rsid w:val="00D01701"/>
    <w:rsid w:val="00D01E80"/>
    <w:rsid w:val="00D034C2"/>
    <w:rsid w:val="00D042E6"/>
    <w:rsid w:val="00D12AAD"/>
    <w:rsid w:val="00D12DA8"/>
    <w:rsid w:val="00D13E46"/>
    <w:rsid w:val="00D14346"/>
    <w:rsid w:val="00D1697D"/>
    <w:rsid w:val="00D2479B"/>
    <w:rsid w:val="00D25CB4"/>
    <w:rsid w:val="00D3198B"/>
    <w:rsid w:val="00D3221B"/>
    <w:rsid w:val="00D326A6"/>
    <w:rsid w:val="00D34E43"/>
    <w:rsid w:val="00D37E8A"/>
    <w:rsid w:val="00D41C7A"/>
    <w:rsid w:val="00D46867"/>
    <w:rsid w:val="00D51C34"/>
    <w:rsid w:val="00D52AE5"/>
    <w:rsid w:val="00D537FC"/>
    <w:rsid w:val="00D560A0"/>
    <w:rsid w:val="00D56D7D"/>
    <w:rsid w:val="00D6073A"/>
    <w:rsid w:val="00D74D94"/>
    <w:rsid w:val="00D75708"/>
    <w:rsid w:val="00D765C5"/>
    <w:rsid w:val="00D80102"/>
    <w:rsid w:val="00D80421"/>
    <w:rsid w:val="00D84777"/>
    <w:rsid w:val="00D85FEB"/>
    <w:rsid w:val="00D864E2"/>
    <w:rsid w:val="00D872C4"/>
    <w:rsid w:val="00D878C2"/>
    <w:rsid w:val="00D879D1"/>
    <w:rsid w:val="00D903F5"/>
    <w:rsid w:val="00D950EA"/>
    <w:rsid w:val="00D95437"/>
    <w:rsid w:val="00D95CBE"/>
    <w:rsid w:val="00D96E5C"/>
    <w:rsid w:val="00DA1248"/>
    <w:rsid w:val="00DA3F45"/>
    <w:rsid w:val="00DA4FD0"/>
    <w:rsid w:val="00DA68B8"/>
    <w:rsid w:val="00DA7C36"/>
    <w:rsid w:val="00DB1E7E"/>
    <w:rsid w:val="00DC0161"/>
    <w:rsid w:val="00DC0920"/>
    <w:rsid w:val="00DC1555"/>
    <w:rsid w:val="00DC2977"/>
    <w:rsid w:val="00DC3860"/>
    <w:rsid w:val="00DC694C"/>
    <w:rsid w:val="00DC7D6E"/>
    <w:rsid w:val="00DD0890"/>
    <w:rsid w:val="00DD3092"/>
    <w:rsid w:val="00DD46F7"/>
    <w:rsid w:val="00DD68C1"/>
    <w:rsid w:val="00DE29A8"/>
    <w:rsid w:val="00DE353E"/>
    <w:rsid w:val="00DE3B6E"/>
    <w:rsid w:val="00DE67FC"/>
    <w:rsid w:val="00DF1427"/>
    <w:rsid w:val="00DF2A66"/>
    <w:rsid w:val="00DF52B2"/>
    <w:rsid w:val="00DF65EA"/>
    <w:rsid w:val="00E00AF4"/>
    <w:rsid w:val="00E01912"/>
    <w:rsid w:val="00E04EC2"/>
    <w:rsid w:val="00E064D8"/>
    <w:rsid w:val="00E06D01"/>
    <w:rsid w:val="00E13C37"/>
    <w:rsid w:val="00E157D4"/>
    <w:rsid w:val="00E15C25"/>
    <w:rsid w:val="00E17C87"/>
    <w:rsid w:val="00E203A3"/>
    <w:rsid w:val="00E21203"/>
    <w:rsid w:val="00E2310D"/>
    <w:rsid w:val="00E23601"/>
    <w:rsid w:val="00E25217"/>
    <w:rsid w:val="00E2625B"/>
    <w:rsid w:val="00E26D80"/>
    <w:rsid w:val="00E30CC3"/>
    <w:rsid w:val="00E31A1F"/>
    <w:rsid w:val="00E338E5"/>
    <w:rsid w:val="00E35D39"/>
    <w:rsid w:val="00E36064"/>
    <w:rsid w:val="00E36B29"/>
    <w:rsid w:val="00E40EE2"/>
    <w:rsid w:val="00E43FBE"/>
    <w:rsid w:val="00E44ADB"/>
    <w:rsid w:val="00E53D3C"/>
    <w:rsid w:val="00E53F28"/>
    <w:rsid w:val="00E55706"/>
    <w:rsid w:val="00E5583F"/>
    <w:rsid w:val="00E56328"/>
    <w:rsid w:val="00E571FE"/>
    <w:rsid w:val="00E619E3"/>
    <w:rsid w:val="00E62080"/>
    <w:rsid w:val="00E62260"/>
    <w:rsid w:val="00E62F33"/>
    <w:rsid w:val="00E647B8"/>
    <w:rsid w:val="00E64B5D"/>
    <w:rsid w:val="00E675F3"/>
    <w:rsid w:val="00E67982"/>
    <w:rsid w:val="00E70CDD"/>
    <w:rsid w:val="00E72B19"/>
    <w:rsid w:val="00E73E50"/>
    <w:rsid w:val="00E74866"/>
    <w:rsid w:val="00E77170"/>
    <w:rsid w:val="00E80713"/>
    <w:rsid w:val="00E8401B"/>
    <w:rsid w:val="00E863D1"/>
    <w:rsid w:val="00E8701F"/>
    <w:rsid w:val="00E912B0"/>
    <w:rsid w:val="00E9203B"/>
    <w:rsid w:val="00E924A9"/>
    <w:rsid w:val="00E932CA"/>
    <w:rsid w:val="00EA0293"/>
    <w:rsid w:val="00EA5BAC"/>
    <w:rsid w:val="00EA78E9"/>
    <w:rsid w:val="00EB020B"/>
    <w:rsid w:val="00EB0FA4"/>
    <w:rsid w:val="00EB1FFB"/>
    <w:rsid w:val="00EB2FF1"/>
    <w:rsid w:val="00EC016C"/>
    <w:rsid w:val="00ED0261"/>
    <w:rsid w:val="00ED3A89"/>
    <w:rsid w:val="00ED4860"/>
    <w:rsid w:val="00ED7B51"/>
    <w:rsid w:val="00EE21DA"/>
    <w:rsid w:val="00EE2518"/>
    <w:rsid w:val="00EE278E"/>
    <w:rsid w:val="00EE31EA"/>
    <w:rsid w:val="00EE5133"/>
    <w:rsid w:val="00EE5EB2"/>
    <w:rsid w:val="00EF0357"/>
    <w:rsid w:val="00EF53C5"/>
    <w:rsid w:val="00EF6B17"/>
    <w:rsid w:val="00F073A3"/>
    <w:rsid w:val="00F1113B"/>
    <w:rsid w:val="00F133AF"/>
    <w:rsid w:val="00F20728"/>
    <w:rsid w:val="00F21DE9"/>
    <w:rsid w:val="00F23D37"/>
    <w:rsid w:val="00F34AB2"/>
    <w:rsid w:val="00F357BF"/>
    <w:rsid w:val="00F3664C"/>
    <w:rsid w:val="00F37EB6"/>
    <w:rsid w:val="00F4189D"/>
    <w:rsid w:val="00F4476F"/>
    <w:rsid w:val="00F4569E"/>
    <w:rsid w:val="00F47C65"/>
    <w:rsid w:val="00F50979"/>
    <w:rsid w:val="00F51520"/>
    <w:rsid w:val="00F52066"/>
    <w:rsid w:val="00F52C59"/>
    <w:rsid w:val="00F53D4B"/>
    <w:rsid w:val="00F54B83"/>
    <w:rsid w:val="00F605C1"/>
    <w:rsid w:val="00F605DC"/>
    <w:rsid w:val="00F61BB2"/>
    <w:rsid w:val="00F669EA"/>
    <w:rsid w:val="00F67FE6"/>
    <w:rsid w:val="00F71B19"/>
    <w:rsid w:val="00F71B8F"/>
    <w:rsid w:val="00F74EDC"/>
    <w:rsid w:val="00F75301"/>
    <w:rsid w:val="00F75DAB"/>
    <w:rsid w:val="00F7620D"/>
    <w:rsid w:val="00F763BC"/>
    <w:rsid w:val="00F76BE6"/>
    <w:rsid w:val="00F76FDF"/>
    <w:rsid w:val="00F77049"/>
    <w:rsid w:val="00F77280"/>
    <w:rsid w:val="00F776D6"/>
    <w:rsid w:val="00F86100"/>
    <w:rsid w:val="00F8651D"/>
    <w:rsid w:val="00F878A6"/>
    <w:rsid w:val="00F9136A"/>
    <w:rsid w:val="00F91FA4"/>
    <w:rsid w:val="00F96B00"/>
    <w:rsid w:val="00FA3730"/>
    <w:rsid w:val="00FA5BA8"/>
    <w:rsid w:val="00FA7CE6"/>
    <w:rsid w:val="00FB1507"/>
    <w:rsid w:val="00FB4E79"/>
    <w:rsid w:val="00FB56A3"/>
    <w:rsid w:val="00FB56E7"/>
    <w:rsid w:val="00FB6DEF"/>
    <w:rsid w:val="00FB7BE4"/>
    <w:rsid w:val="00FB7F24"/>
    <w:rsid w:val="00FC252C"/>
    <w:rsid w:val="00FC50E1"/>
    <w:rsid w:val="00FC59B1"/>
    <w:rsid w:val="00FC609C"/>
    <w:rsid w:val="00FC6BB8"/>
    <w:rsid w:val="00FD1AFB"/>
    <w:rsid w:val="00FD28F9"/>
    <w:rsid w:val="00FD4354"/>
    <w:rsid w:val="00FD4D88"/>
    <w:rsid w:val="00FE2680"/>
    <w:rsid w:val="00FE3317"/>
    <w:rsid w:val="00FF36FC"/>
    <w:rsid w:val="00FF43E4"/>
    <w:rsid w:val="00FF7B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104"/>
    <w:pPr>
      <w:spacing w:after="200" w:line="276" w:lineRule="auto"/>
    </w:pPr>
    <w:rPr>
      <w:sz w:val="22"/>
      <w:szCs w:val="22"/>
      <w:lang w:eastAsia="en-US"/>
    </w:rPr>
  </w:style>
  <w:style w:type="paragraph" w:styleId="Heading1">
    <w:name w:val="heading 1"/>
    <w:basedOn w:val="Normal"/>
    <w:link w:val="Heading1Char"/>
    <w:uiPriority w:val="99"/>
    <w:qFormat/>
    <w:rsid w:val="000D25A0"/>
    <w:pPr>
      <w:spacing w:before="240" w:after="120" w:line="240" w:lineRule="auto"/>
      <w:outlineLvl w:val="0"/>
    </w:pPr>
    <w:rPr>
      <w:rFonts w:ascii="Times New Roman" w:eastAsia="Times New Roman" w:hAnsi="Times New Roman"/>
      <w:b/>
      <w:bCs/>
      <w:color w:val="000000"/>
      <w:kern w:val="36"/>
      <w:sz w:val="33"/>
      <w:szCs w:val="33"/>
      <w:lang w:eastAsia="en-GB"/>
    </w:rPr>
  </w:style>
  <w:style w:type="paragraph" w:styleId="Heading2">
    <w:name w:val="heading 2"/>
    <w:basedOn w:val="Normal"/>
    <w:next w:val="Normal"/>
    <w:link w:val="Heading2Char"/>
    <w:uiPriority w:val="99"/>
    <w:qFormat/>
    <w:rsid w:val="00270169"/>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270169"/>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25A0"/>
    <w:rPr>
      <w:rFonts w:ascii="Times New Roman" w:hAnsi="Times New Roman" w:cs="Times New Roman"/>
      <w:b/>
      <w:bCs/>
      <w:color w:val="000000"/>
      <w:kern w:val="36"/>
      <w:sz w:val="33"/>
      <w:szCs w:val="33"/>
      <w:lang w:eastAsia="en-GB"/>
    </w:rPr>
  </w:style>
  <w:style w:type="character" w:customStyle="1" w:styleId="Heading2Char">
    <w:name w:val="Heading 2 Char"/>
    <w:basedOn w:val="DefaultParagraphFont"/>
    <w:link w:val="Heading2"/>
    <w:uiPriority w:val="99"/>
    <w:locked/>
    <w:rsid w:val="00270169"/>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270169"/>
    <w:rPr>
      <w:rFonts w:ascii="Cambria" w:hAnsi="Cambria" w:cs="Times New Roman"/>
      <w:b/>
      <w:bCs/>
      <w:color w:val="4F81BD"/>
    </w:rPr>
  </w:style>
  <w:style w:type="paragraph" w:styleId="HTMLPreformatted">
    <w:name w:val="HTML Preformatted"/>
    <w:basedOn w:val="Normal"/>
    <w:link w:val="HTMLPreformattedChar"/>
    <w:uiPriority w:val="99"/>
    <w:rsid w:val="002D1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locked/>
    <w:rsid w:val="002D1165"/>
    <w:rPr>
      <w:rFonts w:ascii="Courier New" w:hAnsi="Courier New" w:cs="Courier New"/>
      <w:sz w:val="20"/>
      <w:szCs w:val="20"/>
      <w:lang w:eastAsia="en-GB"/>
    </w:rPr>
  </w:style>
  <w:style w:type="paragraph" w:styleId="NoSpacing">
    <w:name w:val="No Spacing"/>
    <w:uiPriority w:val="99"/>
    <w:qFormat/>
    <w:rsid w:val="001760E0"/>
    <w:rPr>
      <w:sz w:val="22"/>
      <w:szCs w:val="22"/>
      <w:lang w:eastAsia="en-US"/>
    </w:rPr>
  </w:style>
  <w:style w:type="paragraph" w:styleId="ListParagraph">
    <w:name w:val="List Paragraph"/>
    <w:basedOn w:val="Normal"/>
    <w:uiPriority w:val="99"/>
    <w:qFormat/>
    <w:rsid w:val="00915C5E"/>
    <w:pPr>
      <w:ind w:left="720"/>
      <w:contextualSpacing/>
    </w:pPr>
  </w:style>
  <w:style w:type="character" w:customStyle="1" w:styleId="volume">
    <w:name w:val="volume"/>
    <w:basedOn w:val="DefaultParagraphFont"/>
    <w:uiPriority w:val="99"/>
    <w:rsid w:val="008F518A"/>
    <w:rPr>
      <w:rFonts w:cs="Times New Roman"/>
    </w:rPr>
  </w:style>
  <w:style w:type="character" w:customStyle="1" w:styleId="pages">
    <w:name w:val="pages"/>
    <w:basedOn w:val="DefaultParagraphFont"/>
    <w:uiPriority w:val="99"/>
    <w:rsid w:val="008F518A"/>
    <w:rPr>
      <w:rFonts w:cs="Times New Roman"/>
    </w:rPr>
  </w:style>
  <w:style w:type="table" w:styleId="TableGrid">
    <w:name w:val="Table Grid"/>
    <w:basedOn w:val="TableNormal"/>
    <w:uiPriority w:val="99"/>
    <w:rsid w:val="002701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uiPriority w:val="99"/>
    <w:rsid w:val="0027016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styleId="Hyperlink">
    <w:name w:val="Hyperlink"/>
    <w:basedOn w:val="DefaultParagraphFont"/>
    <w:uiPriority w:val="99"/>
    <w:rsid w:val="00270169"/>
    <w:rPr>
      <w:rFonts w:cs="Times New Roman"/>
      <w:color w:val="0000FF"/>
      <w:u w:val="single"/>
    </w:rPr>
  </w:style>
  <w:style w:type="paragraph" w:styleId="CommentText">
    <w:name w:val="annotation text"/>
    <w:basedOn w:val="Normal"/>
    <w:link w:val="CommentTextChar"/>
    <w:uiPriority w:val="99"/>
    <w:semiHidden/>
    <w:rsid w:val="00270169"/>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locked/>
    <w:rsid w:val="00270169"/>
    <w:rPr>
      <w:rFonts w:ascii="Times New Roman" w:hAnsi="Times New Roman" w:cs="Times New Roman"/>
      <w:sz w:val="20"/>
      <w:szCs w:val="20"/>
    </w:rPr>
  </w:style>
  <w:style w:type="paragraph" w:styleId="BalloonText">
    <w:name w:val="Balloon Text"/>
    <w:basedOn w:val="Normal"/>
    <w:link w:val="BalloonTextChar"/>
    <w:uiPriority w:val="99"/>
    <w:semiHidden/>
    <w:rsid w:val="002701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0169"/>
    <w:rPr>
      <w:rFonts w:ascii="Tahoma" w:eastAsia="Times New Roman" w:hAnsi="Tahoma" w:cs="Tahoma"/>
      <w:sz w:val="16"/>
      <w:szCs w:val="16"/>
    </w:rPr>
  </w:style>
  <w:style w:type="character" w:styleId="CommentReference">
    <w:name w:val="annotation reference"/>
    <w:basedOn w:val="DefaultParagraphFont"/>
    <w:uiPriority w:val="99"/>
    <w:semiHidden/>
    <w:rsid w:val="00270169"/>
    <w:rPr>
      <w:rFonts w:cs="Times New Roman"/>
      <w:sz w:val="16"/>
      <w:szCs w:val="16"/>
    </w:rPr>
  </w:style>
  <w:style w:type="paragraph" w:styleId="CommentSubject">
    <w:name w:val="annotation subject"/>
    <w:basedOn w:val="CommentText"/>
    <w:next w:val="CommentText"/>
    <w:link w:val="CommentSubjectChar"/>
    <w:uiPriority w:val="99"/>
    <w:semiHidden/>
    <w:rsid w:val="00270169"/>
    <w:pPr>
      <w:spacing w:after="200" w:line="276" w:lineRule="auto"/>
    </w:pPr>
    <w:rPr>
      <w:rFonts w:ascii="Calibri" w:eastAsia="Calibri" w:hAnsi="Calibri"/>
      <w:b/>
      <w:bCs/>
    </w:rPr>
  </w:style>
  <w:style w:type="character" w:customStyle="1" w:styleId="CommentSubjectChar">
    <w:name w:val="Comment Subject Char"/>
    <w:basedOn w:val="CommentTextChar"/>
    <w:link w:val="CommentSubject"/>
    <w:uiPriority w:val="99"/>
    <w:semiHidden/>
    <w:locked/>
    <w:rsid w:val="00270169"/>
    <w:rPr>
      <w:rFonts w:ascii="Calibri" w:eastAsia="Times New Roman" w:hAnsi="Calibri" w:cs="Times New Roman"/>
      <w:b/>
      <w:bCs/>
      <w:sz w:val="20"/>
      <w:szCs w:val="20"/>
    </w:rPr>
  </w:style>
  <w:style w:type="table" w:customStyle="1" w:styleId="TableGrid1">
    <w:name w:val="Table Grid1"/>
    <w:uiPriority w:val="99"/>
    <w:rsid w:val="00270169"/>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270169"/>
    <w:pPr>
      <w:tabs>
        <w:tab w:val="center" w:pos="4513"/>
        <w:tab w:val="right" w:pos="9026"/>
      </w:tabs>
    </w:pPr>
  </w:style>
  <w:style w:type="character" w:customStyle="1" w:styleId="HeaderChar">
    <w:name w:val="Header Char"/>
    <w:basedOn w:val="DefaultParagraphFont"/>
    <w:link w:val="Header"/>
    <w:uiPriority w:val="99"/>
    <w:locked/>
    <w:rsid w:val="00270169"/>
    <w:rPr>
      <w:rFonts w:ascii="Calibri" w:eastAsia="Times New Roman" w:hAnsi="Calibri" w:cs="Times New Roman"/>
    </w:rPr>
  </w:style>
  <w:style w:type="paragraph" w:styleId="Footer">
    <w:name w:val="footer"/>
    <w:basedOn w:val="Normal"/>
    <w:link w:val="FooterChar"/>
    <w:uiPriority w:val="99"/>
    <w:rsid w:val="00270169"/>
    <w:pPr>
      <w:tabs>
        <w:tab w:val="center" w:pos="4513"/>
        <w:tab w:val="right" w:pos="9026"/>
      </w:tabs>
    </w:pPr>
  </w:style>
  <w:style w:type="character" w:customStyle="1" w:styleId="FooterChar">
    <w:name w:val="Footer Char"/>
    <w:basedOn w:val="DefaultParagraphFont"/>
    <w:link w:val="Footer"/>
    <w:uiPriority w:val="99"/>
    <w:locked/>
    <w:rsid w:val="00270169"/>
    <w:rPr>
      <w:rFonts w:ascii="Calibri" w:eastAsia="Times New Roman" w:hAnsi="Calibri" w:cs="Times New Roman"/>
    </w:rPr>
  </w:style>
  <w:style w:type="character" w:customStyle="1" w:styleId="ti">
    <w:name w:val="ti"/>
    <w:basedOn w:val="DefaultParagraphFont"/>
    <w:uiPriority w:val="99"/>
    <w:rsid w:val="00270169"/>
    <w:rPr>
      <w:rFonts w:cs="Times New Roman"/>
    </w:rPr>
  </w:style>
  <w:style w:type="paragraph" w:styleId="NormalWeb">
    <w:name w:val="Normal (Web)"/>
    <w:basedOn w:val="Normal"/>
    <w:uiPriority w:val="99"/>
    <w:semiHidden/>
    <w:rsid w:val="00270169"/>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highlight">
    <w:name w:val="highlight"/>
    <w:basedOn w:val="DefaultParagraphFont"/>
    <w:uiPriority w:val="99"/>
    <w:rsid w:val="00270169"/>
    <w:rPr>
      <w:rFonts w:cs="Times New Roman"/>
    </w:rPr>
  </w:style>
  <w:style w:type="table" w:styleId="TableColorful2">
    <w:name w:val="Table Colorful 2"/>
    <w:basedOn w:val="TableNormal"/>
    <w:uiPriority w:val="99"/>
    <w:rsid w:val="00270169"/>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styleId="BodyText">
    <w:name w:val="Body Text"/>
    <w:basedOn w:val="Normal"/>
    <w:link w:val="BodyTextChar"/>
    <w:uiPriority w:val="99"/>
    <w:rsid w:val="00270169"/>
    <w:pPr>
      <w:spacing w:after="0" w:line="36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uiPriority w:val="99"/>
    <w:locked/>
    <w:rsid w:val="00270169"/>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104"/>
    <w:pPr>
      <w:spacing w:after="200" w:line="276" w:lineRule="auto"/>
    </w:pPr>
    <w:rPr>
      <w:sz w:val="22"/>
      <w:szCs w:val="22"/>
      <w:lang w:eastAsia="en-US"/>
    </w:rPr>
  </w:style>
  <w:style w:type="paragraph" w:styleId="Heading1">
    <w:name w:val="heading 1"/>
    <w:basedOn w:val="Normal"/>
    <w:link w:val="Heading1Char"/>
    <w:uiPriority w:val="99"/>
    <w:qFormat/>
    <w:rsid w:val="000D25A0"/>
    <w:pPr>
      <w:spacing w:before="240" w:after="120" w:line="240" w:lineRule="auto"/>
      <w:outlineLvl w:val="0"/>
    </w:pPr>
    <w:rPr>
      <w:rFonts w:ascii="Times New Roman" w:eastAsia="Times New Roman" w:hAnsi="Times New Roman"/>
      <w:b/>
      <w:bCs/>
      <w:color w:val="000000"/>
      <w:kern w:val="36"/>
      <w:sz w:val="33"/>
      <w:szCs w:val="33"/>
      <w:lang w:eastAsia="en-GB"/>
    </w:rPr>
  </w:style>
  <w:style w:type="paragraph" w:styleId="Heading2">
    <w:name w:val="heading 2"/>
    <w:basedOn w:val="Normal"/>
    <w:next w:val="Normal"/>
    <w:link w:val="Heading2Char"/>
    <w:uiPriority w:val="99"/>
    <w:qFormat/>
    <w:rsid w:val="00270169"/>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270169"/>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D25A0"/>
    <w:rPr>
      <w:rFonts w:ascii="Times New Roman" w:hAnsi="Times New Roman" w:cs="Times New Roman"/>
      <w:b/>
      <w:bCs/>
      <w:color w:val="000000"/>
      <w:kern w:val="36"/>
      <w:sz w:val="33"/>
      <w:szCs w:val="33"/>
      <w:lang w:eastAsia="en-GB"/>
    </w:rPr>
  </w:style>
  <w:style w:type="character" w:customStyle="1" w:styleId="Heading2Char">
    <w:name w:val="Heading 2 Char"/>
    <w:basedOn w:val="DefaultParagraphFont"/>
    <w:link w:val="Heading2"/>
    <w:uiPriority w:val="99"/>
    <w:locked/>
    <w:rsid w:val="00270169"/>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270169"/>
    <w:rPr>
      <w:rFonts w:ascii="Cambria" w:hAnsi="Cambria" w:cs="Times New Roman"/>
      <w:b/>
      <w:bCs/>
      <w:color w:val="4F81BD"/>
    </w:rPr>
  </w:style>
  <w:style w:type="paragraph" w:styleId="HTMLPreformatted">
    <w:name w:val="HTML Preformatted"/>
    <w:basedOn w:val="Normal"/>
    <w:link w:val="HTMLPreformattedChar"/>
    <w:uiPriority w:val="99"/>
    <w:rsid w:val="002D1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locked/>
    <w:rsid w:val="002D1165"/>
    <w:rPr>
      <w:rFonts w:ascii="Courier New" w:hAnsi="Courier New" w:cs="Courier New"/>
      <w:sz w:val="20"/>
      <w:szCs w:val="20"/>
      <w:lang w:eastAsia="en-GB"/>
    </w:rPr>
  </w:style>
  <w:style w:type="paragraph" w:styleId="NoSpacing">
    <w:name w:val="No Spacing"/>
    <w:uiPriority w:val="99"/>
    <w:qFormat/>
    <w:rsid w:val="001760E0"/>
    <w:rPr>
      <w:sz w:val="22"/>
      <w:szCs w:val="22"/>
      <w:lang w:eastAsia="en-US"/>
    </w:rPr>
  </w:style>
  <w:style w:type="paragraph" w:styleId="ListParagraph">
    <w:name w:val="List Paragraph"/>
    <w:basedOn w:val="Normal"/>
    <w:uiPriority w:val="99"/>
    <w:qFormat/>
    <w:rsid w:val="00915C5E"/>
    <w:pPr>
      <w:ind w:left="720"/>
      <w:contextualSpacing/>
    </w:pPr>
  </w:style>
  <w:style w:type="character" w:customStyle="1" w:styleId="volume">
    <w:name w:val="volume"/>
    <w:basedOn w:val="DefaultParagraphFont"/>
    <w:uiPriority w:val="99"/>
    <w:rsid w:val="008F518A"/>
    <w:rPr>
      <w:rFonts w:cs="Times New Roman"/>
    </w:rPr>
  </w:style>
  <w:style w:type="character" w:customStyle="1" w:styleId="pages">
    <w:name w:val="pages"/>
    <w:basedOn w:val="DefaultParagraphFont"/>
    <w:uiPriority w:val="99"/>
    <w:rsid w:val="008F518A"/>
    <w:rPr>
      <w:rFonts w:cs="Times New Roman"/>
    </w:rPr>
  </w:style>
  <w:style w:type="table" w:styleId="TableGrid">
    <w:name w:val="Table Grid"/>
    <w:basedOn w:val="TableNormal"/>
    <w:uiPriority w:val="99"/>
    <w:rsid w:val="002701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uiPriority w:val="99"/>
    <w:rsid w:val="0027016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styleId="Hyperlink">
    <w:name w:val="Hyperlink"/>
    <w:basedOn w:val="DefaultParagraphFont"/>
    <w:uiPriority w:val="99"/>
    <w:rsid w:val="00270169"/>
    <w:rPr>
      <w:rFonts w:cs="Times New Roman"/>
      <w:color w:val="0000FF"/>
      <w:u w:val="single"/>
    </w:rPr>
  </w:style>
  <w:style w:type="paragraph" w:styleId="CommentText">
    <w:name w:val="annotation text"/>
    <w:basedOn w:val="Normal"/>
    <w:link w:val="CommentTextChar"/>
    <w:uiPriority w:val="99"/>
    <w:semiHidden/>
    <w:rsid w:val="00270169"/>
    <w:pPr>
      <w:spacing w:after="0" w:line="240" w:lineRule="auto"/>
    </w:pPr>
    <w:rPr>
      <w:rFonts w:ascii="Times New Roman" w:eastAsia="Times New Roman" w:hAnsi="Times New Roman"/>
      <w:sz w:val="20"/>
      <w:szCs w:val="20"/>
    </w:rPr>
  </w:style>
  <w:style w:type="character" w:customStyle="1" w:styleId="CommentTextChar">
    <w:name w:val="Comment Text Char"/>
    <w:basedOn w:val="DefaultParagraphFont"/>
    <w:link w:val="CommentText"/>
    <w:uiPriority w:val="99"/>
    <w:semiHidden/>
    <w:locked/>
    <w:rsid w:val="00270169"/>
    <w:rPr>
      <w:rFonts w:ascii="Times New Roman" w:hAnsi="Times New Roman" w:cs="Times New Roman"/>
      <w:sz w:val="20"/>
      <w:szCs w:val="20"/>
    </w:rPr>
  </w:style>
  <w:style w:type="paragraph" w:styleId="BalloonText">
    <w:name w:val="Balloon Text"/>
    <w:basedOn w:val="Normal"/>
    <w:link w:val="BalloonTextChar"/>
    <w:uiPriority w:val="99"/>
    <w:semiHidden/>
    <w:rsid w:val="002701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70169"/>
    <w:rPr>
      <w:rFonts w:ascii="Tahoma" w:eastAsia="Times New Roman" w:hAnsi="Tahoma" w:cs="Tahoma"/>
      <w:sz w:val="16"/>
      <w:szCs w:val="16"/>
    </w:rPr>
  </w:style>
  <w:style w:type="character" w:styleId="CommentReference">
    <w:name w:val="annotation reference"/>
    <w:basedOn w:val="DefaultParagraphFont"/>
    <w:uiPriority w:val="99"/>
    <w:semiHidden/>
    <w:rsid w:val="00270169"/>
    <w:rPr>
      <w:rFonts w:cs="Times New Roman"/>
      <w:sz w:val="16"/>
      <w:szCs w:val="16"/>
    </w:rPr>
  </w:style>
  <w:style w:type="paragraph" w:styleId="CommentSubject">
    <w:name w:val="annotation subject"/>
    <w:basedOn w:val="CommentText"/>
    <w:next w:val="CommentText"/>
    <w:link w:val="CommentSubjectChar"/>
    <w:uiPriority w:val="99"/>
    <w:semiHidden/>
    <w:rsid w:val="00270169"/>
    <w:pPr>
      <w:spacing w:after="200" w:line="276" w:lineRule="auto"/>
    </w:pPr>
    <w:rPr>
      <w:rFonts w:ascii="Calibri" w:eastAsia="Calibri" w:hAnsi="Calibri"/>
      <w:b/>
      <w:bCs/>
    </w:rPr>
  </w:style>
  <w:style w:type="character" w:customStyle="1" w:styleId="CommentSubjectChar">
    <w:name w:val="Comment Subject Char"/>
    <w:basedOn w:val="CommentTextChar"/>
    <w:link w:val="CommentSubject"/>
    <w:uiPriority w:val="99"/>
    <w:semiHidden/>
    <w:locked/>
    <w:rsid w:val="00270169"/>
    <w:rPr>
      <w:rFonts w:ascii="Calibri" w:eastAsia="Times New Roman" w:hAnsi="Calibri" w:cs="Times New Roman"/>
      <w:b/>
      <w:bCs/>
      <w:sz w:val="20"/>
      <w:szCs w:val="20"/>
    </w:rPr>
  </w:style>
  <w:style w:type="table" w:customStyle="1" w:styleId="TableGrid1">
    <w:name w:val="Table Grid1"/>
    <w:uiPriority w:val="99"/>
    <w:rsid w:val="00270169"/>
    <w:rPr>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rsid w:val="00270169"/>
    <w:pPr>
      <w:tabs>
        <w:tab w:val="center" w:pos="4513"/>
        <w:tab w:val="right" w:pos="9026"/>
      </w:tabs>
    </w:pPr>
  </w:style>
  <w:style w:type="character" w:customStyle="1" w:styleId="HeaderChar">
    <w:name w:val="Header Char"/>
    <w:basedOn w:val="DefaultParagraphFont"/>
    <w:link w:val="Header"/>
    <w:uiPriority w:val="99"/>
    <w:locked/>
    <w:rsid w:val="00270169"/>
    <w:rPr>
      <w:rFonts w:ascii="Calibri" w:eastAsia="Times New Roman" w:hAnsi="Calibri" w:cs="Times New Roman"/>
    </w:rPr>
  </w:style>
  <w:style w:type="paragraph" w:styleId="Footer">
    <w:name w:val="footer"/>
    <w:basedOn w:val="Normal"/>
    <w:link w:val="FooterChar"/>
    <w:uiPriority w:val="99"/>
    <w:rsid w:val="00270169"/>
    <w:pPr>
      <w:tabs>
        <w:tab w:val="center" w:pos="4513"/>
        <w:tab w:val="right" w:pos="9026"/>
      </w:tabs>
    </w:pPr>
  </w:style>
  <w:style w:type="character" w:customStyle="1" w:styleId="FooterChar">
    <w:name w:val="Footer Char"/>
    <w:basedOn w:val="DefaultParagraphFont"/>
    <w:link w:val="Footer"/>
    <w:uiPriority w:val="99"/>
    <w:locked/>
    <w:rsid w:val="00270169"/>
    <w:rPr>
      <w:rFonts w:ascii="Calibri" w:eastAsia="Times New Roman" w:hAnsi="Calibri" w:cs="Times New Roman"/>
    </w:rPr>
  </w:style>
  <w:style w:type="character" w:customStyle="1" w:styleId="ti">
    <w:name w:val="ti"/>
    <w:basedOn w:val="DefaultParagraphFont"/>
    <w:uiPriority w:val="99"/>
    <w:rsid w:val="00270169"/>
    <w:rPr>
      <w:rFonts w:cs="Times New Roman"/>
    </w:rPr>
  </w:style>
  <w:style w:type="paragraph" w:styleId="NormalWeb">
    <w:name w:val="Normal (Web)"/>
    <w:basedOn w:val="Normal"/>
    <w:uiPriority w:val="99"/>
    <w:semiHidden/>
    <w:rsid w:val="00270169"/>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highlight">
    <w:name w:val="highlight"/>
    <w:basedOn w:val="DefaultParagraphFont"/>
    <w:uiPriority w:val="99"/>
    <w:rsid w:val="00270169"/>
    <w:rPr>
      <w:rFonts w:cs="Times New Roman"/>
    </w:rPr>
  </w:style>
  <w:style w:type="table" w:styleId="TableColorful2">
    <w:name w:val="Table Colorful 2"/>
    <w:basedOn w:val="TableNormal"/>
    <w:uiPriority w:val="99"/>
    <w:rsid w:val="00270169"/>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paragraph" w:styleId="BodyText">
    <w:name w:val="Body Text"/>
    <w:basedOn w:val="Normal"/>
    <w:link w:val="BodyTextChar"/>
    <w:uiPriority w:val="99"/>
    <w:rsid w:val="00270169"/>
    <w:pPr>
      <w:spacing w:after="0" w:line="360" w:lineRule="auto"/>
      <w:jc w:val="both"/>
    </w:pPr>
    <w:rPr>
      <w:rFonts w:ascii="Times New Roman" w:eastAsia="Times New Roman" w:hAnsi="Times New Roman"/>
      <w:sz w:val="24"/>
      <w:szCs w:val="24"/>
    </w:rPr>
  </w:style>
  <w:style w:type="character" w:customStyle="1" w:styleId="BodyTextChar">
    <w:name w:val="Body Text Char"/>
    <w:basedOn w:val="DefaultParagraphFont"/>
    <w:link w:val="BodyText"/>
    <w:uiPriority w:val="99"/>
    <w:locked/>
    <w:rsid w:val="0027016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90107">
      <w:marLeft w:val="0"/>
      <w:marRight w:val="0"/>
      <w:marTop w:val="0"/>
      <w:marBottom w:val="0"/>
      <w:divBdr>
        <w:top w:val="none" w:sz="0" w:space="0" w:color="auto"/>
        <w:left w:val="none" w:sz="0" w:space="0" w:color="auto"/>
        <w:bottom w:val="none" w:sz="0" w:space="0" w:color="auto"/>
        <w:right w:val="none" w:sz="0" w:space="0" w:color="auto"/>
      </w:divBdr>
    </w:div>
    <w:div w:id="1577590108">
      <w:marLeft w:val="0"/>
      <w:marRight w:val="0"/>
      <w:marTop w:val="0"/>
      <w:marBottom w:val="0"/>
      <w:divBdr>
        <w:top w:val="none" w:sz="0" w:space="0" w:color="auto"/>
        <w:left w:val="none" w:sz="0" w:space="0" w:color="auto"/>
        <w:bottom w:val="none" w:sz="0" w:space="0" w:color="auto"/>
        <w:right w:val="none" w:sz="0" w:space="0" w:color="auto"/>
      </w:divBdr>
    </w:div>
    <w:div w:id="1577590109">
      <w:marLeft w:val="0"/>
      <w:marRight w:val="0"/>
      <w:marTop w:val="0"/>
      <w:marBottom w:val="0"/>
      <w:divBdr>
        <w:top w:val="none" w:sz="0" w:space="0" w:color="auto"/>
        <w:left w:val="none" w:sz="0" w:space="0" w:color="auto"/>
        <w:bottom w:val="none" w:sz="0" w:space="0" w:color="auto"/>
        <w:right w:val="none" w:sz="0" w:space="0" w:color="auto"/>
      </w:divBdr>
    </w:div>
    <w:div w:id="1577590111">
      <w:marLeft w:val="0"/>
      <w:marRight w:val="0"/>
      <w:marTop w:val="0"/>
      <w:marBottom w:val="0"/>
      <w:divBdr>
        <w:top w:val="none" w:sz="0" w:space="0" w:color="auto"/>
        <w:left w:val="none" w:sz="0" w:space="0" w:color="auto"/>
        <w:bottom w:val="none" w:sz="0" w:space="0" w:color="auto"/>
        <w:right w:val="none" w:sz="0" w:space="0" w:color="auto"/>
      </w:divBdr>
    </w:div>
    <w:div w:id="1577590113">
      <w:marLeft w:val="0"/>
      <w:marRight w:val="0"/>
      <w:marTop w:val="0"/>
      <w:marBottom w:val="0"/>
      <w:divBdr>
        <w:top w:val="none" w:sz="0" w:space="0" w:color="auto"/>
        <w:left w:val="none" w:sz="0" w:space="0" w:color="auto"/>
        <w:bottom w:val="none" w:sz="0" w:space="0" w:color="auto"/>
        <w:right w:val="none" w:sz="0" w:space="0" w:color="auto"/>
      </w:divBdr>
    </w:div>
    <w:div w:id="1577590115">
      <w:marLeft w:val="0"/>
      <w:marRight w:val="0"/>
      <w:marTop w:val="0"/>
      <w:marBottom w:val="0"/>
      <w:divBdr>
        <w:top w:val="none" w:sz="0" w:space="0" w:color="auto"/>
        <w:left w:val="none" w:sz="0" w:space="0" w:color="auto"/>
        <w:bottom w:val="none" w:sz="0" w:space="0" w:color="auto"/>
        <w:right w:val="none" w:sz="0" w:space="0" w:color="auto"/>
      </w:divBdr>
    </w:div>
    <w:div w:id="1577590116">
      <w:marLeft w:val="0"/>
      <w:marRight w:val="0"/>
      <w:marTop w:val="0"/>
      <w:marBottom w:val="0"/>
      <w:divBdr>
        <w:top w:val="none" w:sz="0" w:space="0" w:color="auto"/>
        <w:left w:val="none" w:sz="0" w:space="0" w:color="auto"/>
        <w:bottom w:val="none" w:sz="0" w:space="0" w:color="auto"/>
        <w:right w:val="none" w:sz="0" w:space="0" w:color="auto"/>
      </w:divBdr>
      <w:divsChild>
        <w:div w:id="1577590184">
          <w:marLeft w:val="0"/>
          <w:marRight w:val="1"/>
          <w:marTop w:val="0"/>
          <w:marBottom w:val="0"/>
          <w:divBdr>
            <w:top w:val="none" w:sz="0" w:space="0" w:color="auto"/>
            <w:left w:val="none" w:sz="0" w:space="0" w:color="auto"/>
            <w:bottom w:val="none" w:sz="0" w:space="0" w:color="auto"/>
            <w:right w:val="none" w:sz="0" w:space="0" w:color="auto"/>
          </w:divBdr>
          <w:divsChild>
            <w:div w:id="1577590131">
              <w:marLeft w:val="0"/>
              <w:marRight w:val="0"/>
              <w:marTop w:val="0"/>
              <w:marBottom w:val="0"/>
              <w:divBdr>
                <w:top w:val="none" w:sz="0" w:space="0" w:color="auto"/>
                <w:left w:val="none" w:sz="0" w:space="0" w:color="auto"/>
                <w:bottom w:val="none" w:sz="0" w:space="0" w:color="auto"/>
                <w:right w:val="none" w:sz="0" w:space="0" w:color="auto"/>
              </w:divBdr>
              <w:divsChild>
                <w:div w:id="1577590178">
                  <w:marLeft w:val="0"/>
                  <w:marRight w:val="1"/>
                  <w:marTop w:val="0"/>
                  <w:marBottom w:val="0"/>
                  <w:divBdr>
                    <w:top w:val="none" w:sz="0" w:space="0" w:color="auto"/>
                    <w:left w:val="none" w:sz="0" w:space="0" w:color="auto"/>
                    <w:bottom w:val="none" w:sz="0" w:space="0" w:color="auto"/>
                    <w:right w:val="none" w:sz="0" w:space="0" w:color="auto"/>
                  </w:divBdr>
                  <w:divsChild>
                    <w:div w:id="1577590212">
                      <w:marLeft w:val="0"/>
                      <w:marRight w:val="0"/>
                      <w:marTop w:val="0"/>
                      <w:marBottom w:val="0"/>
                      <w:divBdr>
                        <w:top w:val="none" w:sz="0" w:space="0" w:color="auto"/>
                        <w:left w:val="none" w:sz="0" w:space="0" w:color="auto"/>
                        <w:bottom w:val="none" w:sz="0" w:space="0" w:color="auto"/>
                        <w:right w:val="none" w:sz="0" w:space="0" w:color="auto"/>
                      </w:divBdr>
                      <w:divsChild>
                        <w:div w:id="1577590190">
                          <w:marLeft w:val="0"/>
                          <w:marRight w:val="0"/>
                          <w:marTop w:val="0"/>
                          <w:marBottom w:val="0"/>
                          <w:divBdr>
                            <w:top w:val="none" w:sz="0" w:space="0" w:color="auto"/>
                            <w:left w:val="none" w:sz="0" w:space="0" w:color="auto"/>
                            <w:bottom w:val="none" w:sz="0" w:space="0" w:color="auto"/>
                            <w:right w:val="none" w:sz="0" w:space="0" w:color="auto"/>
                          </w:divBdr>
                          <w:divsChild>
                            <w:div w:id="1577590165">
                              <w:marLeft w:val="0"/>
                              <w:marRight w:val="0"/>
                              <w:marTop w:val="120"/>
                              <w:marBottom w:val="360"/>
                              <w:divBdr>
                                <w:top w:val="none" w:sz="0" w:space="0" w:color="auto"/>
                                <w:left w:val="none" w:sz="0" w:space="0" w:color="auto"/>
                                <w:bottom w:val="none" w:sz="0" w:space="0" w:color="auto"/>
                                <w:right w:val="none" w:sz="0" w:space="0" w:color="auto"/>
                              </w:divBdr>
                              <w:divsChild>
                                <w:div w:id="1577590125">
                                  <w:marLeft w:val="0"/>
                                  <w:marRight w:val="0"/>
                                  <w:marTop w:val="0"/>
                                  <w:marBottom w:val="0"/>
                                  <w:divBdr>
                                    <w:top w:val="none" w:sz="0" w:space="0" w:color="auto"/>
                                    <w:left w:val="none" w:sz="0" w:space="0" w:color="auto"/>
                                    <w:bottom w:val="none" w:sz="0" w:space="0" w:color="auto"/>
                                    <w:right w:val="none" w:sz="0" w:space="0" w:color="auto"/>
                                  </w:divBdr>
                                  <w:divsChild>
                                    <w:div w:id="1577590155">
                                      <w:marLeft w:val="0"/>
                                      <w:marRight w:val="0"/>
                                      <w:marTop w:val="0"/>
                                      <w:marBottom w:val="0"/>
                                      <w:divBdr>
                                        <w:top w:val="none" w:sz="0" w:space="0" w:color="auto"/>
                                        <w:left w:val="none" w:sz="0" w:space="0" w:color="auto"/>
                                        <w:bottom w:val="none" w:sz="0" w:space="0" w:color="auto"/>
                                        <w:right w:val="none" w:sz="0" w:space="0" w:color="auto"/>
                                      </w:divBdr>
                                    </w:div>
                                  </w:divsChild>
                                </w:div>
                                <w:div w:id="1577590171">
                                  <w:marLeft w:val="0"/>
                                  <w:marRight w:val="0"/>
                                  <w:marTop w:val="0"/>
                                  <w:marBottom w:val="0"/>
                                  <w:divBdr>
                                    <w:top w:val="none" w:sz="0" w:space="0" w:color="auto"/>
                                    <w:left w:val="none" w:sz="0" w:space="0" w:color="auto"/>
                                    <w:bottom w:val="none" w:sz="0" w:space="0" w:color="auto"/>
                                    <w:right w:val="none" w:sz="0" w:space="0" w:color="auto"/>
                                  </w:divBdr>
                                </w:div>
                                <w:div w:id="1577590173">
                                  <w:marLeft w:val="0"/>
                                  <w:marRight w:val="0"/>
                                  <w:marTop w:val="0"/>
                                  <w:marBottom w:val="0"/>
                                  <w:divBdr>
                                    <w:top w:val="none" w:sz="0" w:space="0" w:color="auto"/>
                                    <w:left w:val="none" w:sz="0" w:space="0" w:color="auto"/>
                                    <w:bottom w:val="none" w:sz="0" w:space="0" w:color="auto"/>
                                    <w:right w:val="none" w:sz="0" w:space="0" w:color="auto"/>
                                  </w:divBdr>
                                </w:div>
                                <w:div w:id="157759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590117">
      <w:marLeft w:val="0"/>
      <w:marRight w:val="0"/>
      <w:marTop w:val="0"/>
      <w:marBottom w:val="0"/>
      <w:divBdr>
        <w:top w:val="none" w:sz="0" w:space="0" w:color="auto"/>
        <w:left w:val="none" w:sz="0" w:space="0" w:color="auto"/>
        <w:bottom w:val="none" w:sz="0" w:space="0" w:color="auto"/>
        <w:right w:val="none" w:sz="0" w:space="0" w:color="auto"/>
      </w:divBdr>
    </w:div>
    <w:div w:id="1577590118">
      <w:marLeft w:val="0"/>
      <w:marRight w:val="0"/>
      <w:marTop w:val="0"/>
      <w:marBottom w:val="0"/>
      <w:divBdr>
        <w:top w:val="none" w:sz="0" w:space="0" w:color="auto"/>
        <w:left w:val="none" w:sz="0" w:space="0" w:color="auto"/>
        <w:bottom w:val="none" w:sz="0" w:space="0" w:color="auto"/>
        <w:right w:val="none" w:sz="0" w:space="0" w:color="auto"/>
      </w:divBdr>
    </w:div>
    <w:div w:id="1577590120">
      <w:marLeft w:val="0"/>
      <w:marRight w:val="0"/>
      <w:marTop w:val="0"/>
      <w:marBottom w:val="0"/>
      <w:divBdr>
        <w:top w:val="none" w:sz="0" w:space="0" w:color="auto"/>
        <w:left w:val="none" w:sz="0" w:space="0" w:color="auto"/>
        <w:bottom w:val="none" w:sz="0" w:space="0" w:color="auto"/>
        <w:right w:val="none" w:sz="0" w:space="0" w:color="auto"/>
      </w:divBdr>
      <w:divsChild>
        <w:div w:id="1577590151">
          <w:marLeft w:val="0"/>
          <w:marRight w:val="1"/>
          <w:marTop w:val="0"/>
          <w:marBottom w:val="0"/>
          <w:divBdr>
            <w:top w:val="none" w:sz="0" w:space="0" w:color="auto"/>
            <w:left w:val="none" w:sz="0" w:space="0" w:color="auto"/>
            <w:bottom w:val="none" w:sz="0" w:space="0" w:color="auto"/>
            <w:right w:val="none" w:sz="0" w:space="0" w:color="auto"/>
          </w:divBdr>
          <w:divsChild>
            <w:div w:id="1577590153">
              <w:marLeft w:val="0"/>
              <w:marRight w:val="0"/>
              <w:marTop w:val="0"/>
              <w:marBottom w:val="0"/>
              <w:divBdr>
                <w:top w:val="none" w:sz="0" w:space="0" w:color="auto"/>
                <w:left w:val="none" w:sz="0" w:space="0" w:color="auto"/>
                <w:bottom w:val="none" w:sz="0" w:space="0" w:color="auto"/>
                <w:right w:val="none" w:sz="0" w:space="0" w:color="auto"/>
              </w:divBdr>
              <w:divsChild>
                <w:div w:id="1577590209">
                  <w:marLeft w:val="0"/>
                  <w:marRight w:val="1"/>
                  <w:marTop w:val="0"/>
                  <w:marBottom w:val="0"/>
                  <w:divBdr>
                    <w:top w:val="none" w:sz="0" w:space="0" w:color="auto"/>
                    <w:left w:val="none" w:sz="0" w:space="0" w:color="auto"/>
                    <w:bottom w:val="none" w:sz="0" w:space="0" w:color="auto"/>
                    <w:right w:val="none" w:sz="0" w:space="0" w:color="auto"/>
                  </w:divBdr>
                  <w:divsChild>
                    <w:div w:id="1577590148">
                      <w:marLeft w:val="0"/>
                      <w:marRight w:val="0"/>
                      <w:marTop w:val="0"/>
                      <w:marBottom w:val="0"/>
                      <w:divBdr>
                        <w:top w:val="none" w:sz="0" w:space="0" w:color="auto"/>
                        <w:left w:val="none" w:sz="0" w:space="0" w:color="auto"/>
                        <w:bottom w:val="none" w:sz="0" w:space="0" w:color="auto"/>
                        <w:right w:val="none" w:sz="0" w:space="0" w:color="auto"/>
                      </w:divBdr>
                      <w:divsChild>
                        <w:div w:id="1577590121">
                          <w:marLeft w:val="0"/>
                          <w:marRight w:val="0"/>
                          <w:marTop w:val="0"/>
                          <w:marBottom w:val="0"/>
                          <w:divBdr>
                            <w:top w:val="none" w:sz="0" w:space="0" w:color="auto"/>
                            <w:left w:val="none" w:sz="0" w:space="0" w:color="auto"/>
                            <w:bottom w:val="none" w:sz="0" w:space="0" w:color="auto"/>
                            <w:right w:val="none" w:sz="0" w:space="0" w:color="auto"/>
                          </w:divBdr>
                          <w:divsChild>
                            <w:div w:id="1577590161">
                              <w:marLeft w:val="0"/>
                              <w:marRight w:val="0"/>
                              <w:marTop w:val="120"/>
                              <w:marBottom w:val="360"/>
                              <w:divBdr>
                                <w:top w:val="none" w:sz="0" w:space="0" w:color="auto"/>
                                <w:left w:val="none" w:sz="0" w:space="0" w:color="auto"/>
                                <w:bottom w:val="none" w:sz="0" w:space="0" w:color="auto"/>
                                <w:right w:val="none" w:sz="0" w:space="0" w:color="auto"/>
                              </w:divBdr>
                              <w:divsChild>
                                <w:div w:id="1577590201">
                                  <w:marLeft w:val="0"/>
                                  <w:marRight w:val="0"/>
                                  <w:marTop w:val="0"/>
                                  <w:marBottom w:val="0"/>
                                  <w:divBdr>
                                    <w:top w:val="none" w:sz="0" w:space="0" w:color="auto"/>
                                    <w:left w:val="none" w:sz="0" w:space="0" w:color="auto"/>
                                    <w:bottom w:val="none" w:sz="0" w:space="0" w:color="auto"/>
                                    <w:right w:val="none" w:sz="0" w:space="0" w:color="auto"/>
                                  </w:divBdr>
                                </w:div>
                                <w:div w:id="1577590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590122">
      <w:marLeft w:val="0"/>
      <w:marRight w:val="0"/>
      <w:marTop w:val="0"/>
      <w:marBottom w:val="0"/>
      <w:divBdr>
        <w:top w:val="none" w:sz="0" w:space="0" w:color="auto"/>
        <w:left w:val="none" w:sz="0" w:space="0" w:color="auto"/>
        <w:bottom w:val="none" w:sz="0" w:space="0" w:color="auto"/>
        <w:right w:val="none" w:sz="0" w:space="0" w:color="auto"/>
      </w:divBdr>
      <w:divsChild>
        <w:div w:id="1577590127">
          <w:marLeft w:val="0"/>
          <w:marRight w:val="1"/>
          <w:marTop w:val="0"/>
          <w:marBottom w:val="0"/>
          <w:divBdr>
            <w:top w:val="none" w:sz="0" w:space="0" w:color="auto"/>
            <w:left w:val="none" w:sz="0" w:space="0" w:color="auto"/>
            <w:bottom w:val="none" w:sz="0" w:space="0" w:color="auto"/>
            <w:right w:val="none" w:sz="0" w:space="0" w:color="auto"/>
          </w:divBdr>
          <w:divsChild>
            <w:div w:id="1577590193">
              <w:marLeft w:val="0"/>
              <w:marRight w:val="0"/>
              <w:marTop w:val="0"/>
              <w:marBottom w:val="0"/>
              <w:divBdr>
                <w:top w:val="none" w:sz="0" w:space="0" w:color="auto"/>
                <w:left w:val="none" w:sz="0" w:space="0" w:color="auto"/>
                <w:bottom w:val="none" w:sz="0" w:space="0" w:color="auto"/>
                <w:right w:val="none" w:sz="0" w:space="0" w:color="auto"/>
              </w:divBdr>
              <w:divsChild>
                <w:div w:id="1577590112">
                  <w:marLeft w:val="0"/>
                  <w:marRight w:val="1"/>
                  <w:marTop w:val="0"/>
                  <w:marBottom w:val="0"/>
                  <w:divBdr>
                    <w:top w:val="none" w:sz="0" w:space="0" w:color="auto"/>
                    <w:left w:val="none" w:sz="0" w:space="0" w:color="auto"/>
                    <w:bottom w:val="none" w:sz="0" w:space="0" w:color="auto"/>
                    <w:right w:val="none" w:sz="0" w:space="0" w:color="auto"/>
                  </w:divBdr>
                  <w:divsChild>
                    <w:div w:id="1577590172">
                      <w:marLeft w:val="0"/>
                      <w:marRight w:val="0"/>
                      <w:marTop w:val="0"/>
                      <w:marBottom w:val="0"/>
                      <w:divBdr>
                        <w:top w:val="none" w:sz="0" w:space="0" w:color="auto"/>
                        <w:left w:val="none" w:sz="0" w:space="0" w:color="auto"/>
                        <w:bottom w:val="none" w:sz="0" w:space="0" w:color="auto"/>
                        <w:right w:val="none" w:sz="0" w:space="0" w:color="auto"/>
                      </w:divBdr>
                      <w:divsChild>
                        <w:div w:id="1577590180">
                          <w:marLeft w:val="0"/>
                          <w:marRight w:val="0"/>
                          <w:marTop w:val="0"/>
                          <w:marBottom w:val="0"/>
                          <w:divBdr>
                            <w:top w:val="none" w:sz="0" w:space="0" w:color="auto"/>
                            <w:left w:val="none" w:sz="0" w:space="0" w:color="auto"/>
                            <w:bottom w:val="none" w:sz="0" w:space="0" w:color="auto"/>
                            <w:right w:val="none" w:sz="0" w:space="0" w:color="auto"/>
                          </w:divBdr>
                          <w:divsChild>
                            <w:div w:id="1577590156">
                              <w:marLeft w:val="0"/>
                              <w:marRight w:val="0"/>
                              <w:marTop w:val="120"/>
                              <w:marBottom w:val="360"/>
                              <w:divBdr>
                                <w:top w:val="none" w:sz="0" w:space="0" w:color="auto"/>
                                <w:left w:val="none" w:sz="0" w:space="0" w:color="auto"/>
                                <w:bottom w:val="none" w:sz="0" w:space="0" w:color="auto"/>
                                <w:right w:val="none" w:sz="0" w:space="0" w:color="auto"/>
                              </w:divBdr>
                              <w:divsChild>
                                <w:div w:id="1577590141">
                                  <w:marLeft w:val="0"/>
                                  <w:marRight w:val="0"/>
                                  <w:marTop w:val="0"/>
                                  <w:marBottom w:val="0"/>
                                  <w:divBdr>
                                    <w:top w:val="none" w:sz="0" w:space="0" w:color="auto"/>
                                    <w:left w:val="none" w:sz="0" w:space="0" w:color="auto"/>
                                    <w:bottom w:val="none" w:sz="0" w:space="0" w:color="auto"/>
                                    <w:right w:val="none" w:sz="0" w:space="0" w:color="auto"/>
                                  </w:divBdr>
                                </w:div>
                                <w:div w:id="1577590159">
                                  <w:marLeft w:val="0"/>
                                  <w:marRight w:val="0"/>
                                  <w:marTop w:val="0"/>
                                  <w:marBottom w:val="0"/>
                                  <w:divBdr>
                                    <w:top w:val="none" w:sz="0" w:space="0" w:color="auto"/>
                                    <w:left w:val="none" w:sz="0" w:space="0" w:color="auto"/>
                                    <w:bottom w:val="none" w:sz="0" w:space="0" w:color="auto"/>
                                    <w:right w:val="none" w:sz="0" w:space="0" w:color="auto"/>
                                  </w:divBdr>
                                </w:div>
                                <w:div w:id="1577590205">
                                  <w:marLeft w:val="0"/>
                                  <w:marRight w:val="0"/>
                                  <w:marTop w:val="0"/>
                                  <w:marBottom w:val="0"/>
                                  <w:divBdr>
                                    <w:top w:val="none" w:sz="0" w:space="0" w:color="auto"/>
                                    <w:left w:val="none" w:sz="0" w:space="0" w:color="auto"/>
                                    <w:bottom w:val="none" w:sz="0" w:space="0" w:color="auto"/>
                                    <w:right w:val="none" w:sz="0" w:space="0" w:color="auto"/>
                                  </w:divBdr>
                                  <w:divsChild>
                                    <w:div w:id="1577590144">
                                      <w:marLeft w:val="0"/>
                                      <w:marRight w:val="0"/>
                                      <w:marTop w:val="0"/>
                                      <w:marBottom w:val="0"/>
                                      <w:divBdr>
                                        <w:top w:val="none" w:sz="0" w:space="0" w:color="auto"/>
                                        <w:left w:val="none" w:sz="0" w:space="0" w:color="auto"/>
                                        <w:bottom w:val="none" w:sz="0" w:space="0" w:color="auto"/>
                                        <w:right w:val="none" w:sz="0" w:space="0" w:color="auto"/>
                                      </w:divBdr>
                                    </w:div>
                                  </w:divsChild>
                                </w:div>
                                <w:div w:id="157759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7590123">
      <w:marLeft w:val="0"/>
      <w:marRight w:val="0"/>
      <w:marTop w:val="0"/>
      <w:marBottom w:val="0"/>
      <w:divBdr>
        <w:top w:val="none" w:sz="0" w:space="0" w:color="auto"/>
        <w:left w:val="none" w:sz="0" w:space="0" w:color="auto"/>
        <w:bottom w:val="none" w:sz="0" w:space="0" w:color="auto"/>
        <w:right w:val="none" w:sz="0" w:space="0" w:color="auto"/>
      </w:divBdr>
    </w:div>
    <w:div w:id="1577590126">
      <w:marLeft w:val="0"/>
      <w:marRight w:val="0"/>
      <w:marTop w:val="0"/>
      <w:marBottom w:val="0"/>
      <w:divBdr>
        <w:top w:val="none" w:sz="0" w:space="0" w:color="auto"/>
        <w:left w:val="none" w:sz="0" w:space="0" w:color="auto"/>
        <w:bottom w:val="none" w:sz="0" w:space="0" w:color="auto"/>
        <w:right w:val="none" w:sz="0" w:space="0" w:color="auto"/>
      </w:divBdr>
    </w:div>
    <w:div w:id="1577590128">
      <w:marLeft w:val="0"/>
      <w:marRight w:val="0"/>
      <w:marTop w:val="0"/>
      <w:marBottom w:val="0"/>
      <w:divBdr>
        <w:top w:val="none" w:sz="0" w:space="0" w:color="auto"/>
        <w:left w:val="none" w:sz="0" w:space="0" w:color="auto"/>
        <w:bottom w:val="none" w:sz="0" w:space="0" w:color="auto"/>
        <w:right w:val="none" w:sz="0" w:space="0" w:color="auto"/>
      </w:divBdr>
    </w:div>
    <w:div w:id="1577590130">
      <w:marLeft w:val="0"/>
      <w:marRight w:val="0"/>
      <w:marTop w:val="0"/>
      <w:marBottom w:val="0"/>
      <w:divBdr>
        <w:top w:val="none" w:sz="0" w:space="0" w:color="auto"/>
        <w:left w:val="none" w:sz="0" w:space="0" w:color="auto"/>
        <w:bottom w:val="none" w:sz="0" w:space="0" w:color="auto"/>
        <w:right w:val="none" w:sz="0" w:space="0" w:color="auto"/>
      </w:divBdr>
    </w:div>
    <w:div w:id="1577590132">
      <w:marLeft w:val="0"/>
      <w:marRight w:val="0"/>
      <w:marTop w:val="0"/>
      <w:marBottom w:val="0"/>
      <w:divBdr>
        <w:top w:val="none" w:sz="0" w:space="0" w:color="auto"/>
        <w:left w:val="none" w:sz="0" w:space="0" w:color="auto"/>
        <w:bottom w:val="none" w:sz="0" w:space="0" w:color="auto"/>
        <w:right w:val="none" w:sz="0" w:space="0" w:color="auto"/>
      </w:divBdr>
    </w:div>
    <w:div w:id="1577590134">
      <w:marLeft w:val="0"/>
      <w:marRight w:val="0"/>
      <w:marTop w:val="0"/>
      <w:marBottom w:val="0"/>
      <w:divBdr>
        <w:top w:val="none" w:sz="0" w:space="0" w:color="auto"/>
        <w:left w:val="none" w:sz="0" w:space="0" w:color="auto"/>
        <w:bottom w:val="none" w:sz="0" w:space="0" w:color="auto"/>
        <w:right w:val="none" w:sz="0" w:space="0" w:color="auto"/>
      </w:divBdr>
    </w:div>
    <w:div w:id="1577590135">
      <w:marLeft w:val="0"/>
      <w:marRight w:val="0"/>
      <w:marTop w:val="0"/>
      <w:marBottom w:val="0"/>
      <w:divBdr>
        <w:top w:val="none" w:sz="0" w:space="0" w:color="auto"/>
        <w:left w:val="none" w:sz="0" w:space="0" w:color="auto"/>
        <w:bottom w:val="none" w:sz="0" w:space="0" w:color="auto"/>
        <w:right w:val="none" w:sz="0" w:space="0" w:color="auto"/>
      </w:divBdr>
    </w:div>
    <w:div w:id="1577590136">
      <w:marLeft w:val="0"/>
      <w:marRight w:val="0"/>
      <w:marTop w:val="0"/>
      <w:marBottom w:val="0"/>
      <w:divBdr>
        <w:top w:val="none" w:sz="0" w:space="0" w:color="auto"/>
        <w:left w:val="none" w:sz="0" w:space="0" w:color="auto"/>
        <w:bottom w:val="none" w:sz="0" w:space="0" w:color="auto"/>
        <w:right w:val="none" w:sz="0" w:space="0" w:color="auto"/>
      </w:divBdr>
    </w:div>
    <w:div w:id="1577590145">
      <w:marLeft w:val="0"/>
      <w:marRight w:val="0"/>
      <w:marTop w:val="0"/>
      <w:marBottom w:val="0"/>
      <w:divBdr>
        <w:top w:val="none" w:sz="0" w:space="0" w:color="auto"/>
        <w:left w:val="none" w:sz="0" w:space="0" w:color="auto"/>
        <w:bottom w:val="none" w:sz="0" w:space="0" w:color="auto"/>
        <w:right w:val="none" w:sz="0" w:space="0" w:color="auto"/>
      </w:divBdr>
    </w:div>
    <w:div w:id="1577590146">
      <w:marLeft w:val="0"/>
      <w:marRight w:val="0"/>
      <w:marTop w:val="0"/>
      <w:marBottom w:val="0"/>
      <w:divBdr>
        <w:top w:val="none" w:sz="0" w:space="0" w:color="auto"/>
        <w:left w:val="none" w:sz="0" w:space="0" w:color="auto"/>
        <w:bottom w:val="none" w:sz="0" w:space="0" w:color="auto"/>
        <w:right w:val="none" w:sz="0" w:space="0" w:color="auto"/>
      </w:divBdr>
    </w:div>
    <w:div w:id="1577590147">
      <w:marLeft w:val="0"/>
      <w:marRight w:val="0"/>
      <w:marTop w:val="0"/>
      <w:marBottom w:val="0"/>
      <w:divBdr>
        <w:top w:val="none" w:sz="0" w:space="0" w:color="auto"/>
        <w:left w:val="none" w:sz="0" w:space="0" w:color="auto"/>
        <w:bottom w:val="none" w:sz="0" w:space="0" w:color="auto"/>
        <w:right w:val="none" w:sz="0" w:space="0" w:color="auto"/>
      </w:divBdr>
    </w:div>
    <w:div w:id="1577590149">
      <w:marLeft w:val="0"/>
      <w:marRight w:val="0"/>
      <w:marTop w:val="0"/>
      <w:marBottom w:val="0"/>
      <w:divBdr>
        <w:top w:val="none" w:sz="0" w:space="0" w:color="auto"/>
        <w:left w:val="none" w:sz="0" w:space="0" w:color="auto"/>
        <w:bottom w:val="none" w:sz="0" w:space="0" w:color="auto"/>
        <w:right w:val="none" w:sz="0" w:space="0" w:color="auto"/>
      </w:divBdr>
    </w:div>
    <w:div w:id="1577590150">
      <w:marLeft w:val="0"/>
      <w:marRight w:val="0"/>
      <w:marTop w:val="0"/>
      <w:marBottom w:val="0"/>
      <w:divBdr>
        <w:top w:val="none" w:sz="0" w:space="0" w:color="auto"/>
        <w:left w:val="none" w:sz="0" w:space="0" w:color="auto"/>
        <w:bottom w:val="none" w:sz="0" w:space="0" w:color="auto"/>
        <w:right w:val="none" w:sz="0" w:space="0" w:color="auto"/>
      </w:divBdr>
    </w:div>
    <w:div w:id="1577590152">
      <w:marLeft w:val="0"/>
      <w:marRight w:val="0"/>
      <w:marTop w:val="0"/>
      <w:marBottom w:val="0"/>
      <w:divBdr>
        <w:top w:val="none" w:sz="0" w:space="0" w:color="auto"/>
        <w:left w:val="none" w:sz="0" w:space="0" w:color="auto"/>
        <w:bottom w:val="none" w:sz="0" w:space="0" w:color="auto"/>
        <w:right w:val="none" w:sz="0" w:space="0" w:color="auto"/>
      </w:divBdr>
    </w:div>
    <w:div w:id="1577590154">
      <w:marLeft w:val="0"/>
      <w:marRight w:val="0"/>
      <w:marTop w:val="0"/>
      <w:marBottom w:val="0"/>
      <w:divBdr>
        <w:top w:val="none" w:sz="0" w:space="0" w:color="auto"/>
        <w:left w:val="none" w:sz="0" w:space="0" w:color="auto"/>
        <w:bottom w:val="none" w:sz="0" w:space="0" w:color="auto"/>
        <w:right w:val="none" w:sz="0" w:space="0" w:color="auto"/>
      </w:divBdr>
    </w:div>
    <w:div w:id="1577590157">
      <w:marLeft w:val="0"/>
      <w:marRight w:val="0"/>
      <w:marTop w:val="0"/>
      <w:marBottom w:val="0"/>
      <w:divBdr>
        <w:top w:val="none" w:sz="0" w:space="0" w:color="auto"/>
        <w:left w:val="none" w:sz="0" w:space="0" w:color="auto"/>
        <w:bottom w:val="none" w:sz="0" w:space="0" w:color="auto"/>
        <w:right w:val="none" w:sz="0" w:space="0" w:color="auto"/>
      </w:divBdr>
    </w:div>
    <w:div w:id="1577590160">
      <w:marLeft w:val="0"/>
      <w:marRight w:val="0"/>
      <w:marTop w:val="0"/>
      <w:marBottom w:val="0"/>
      <w:divBdr>
        <w:top w:val="none" w:sz="0" w:space="0" w:color="auto"/>
        <w:left w:val="none" w:sz="0" w:space="0" w:color="auto"/>
        <w:bottom w:val="none" w:sz="0" w:space="0" w:color="auto"/>
        <w:right w:val="none" w:sz="0" w:space="0" w:color="auto"/>
      </w:divBdr>
    </w:div>
    <w:div w:id="1577590163">
      <w:marLeft w:val="0"/>
      <w:marRight w:val="0"/>
      <w:marTop w:val="0"/>
      <w:marBottom w:val="0"/>
      <w:divBdr>
        <w:top w:val="none" w:sz="0" w:space="0" w:color="auto"/>
        <w:left w:val="none" w:sz="0" w:space="0" w:color="auto"/>
        <w:bottom w:val="none" w:sz="0" w:space="0" w:color="auto"/>
        <w:right w:val="none" w:sz="0" w:space="0" w:color="auto"/>
      </w:divBdr>
    </w:div>
    <w:div w:id="1577590164">
      <w:marLeft w:val="0"/>
      <w:marRight w:val="0"/>
      <w:marTop w:val="0"/>
      <w:marBottom w:val="0"/>
      <w:divBdr>
        <w:top w:val="none" w:sz="0" w:space="0" w:color="auto"/>
        <w:left w:val="none" w:sz="0" w:space="0" w:color="auto"/>
        <w:bottom w:val="none" w:sz="0" w:space="0" w:color="auto"/>
        <w:right w:val="none" w:sz="0" w:space="0" w:color="auto"/>
      </w:divBdr>
    </w:div>
    <w:div w:id="1577590167">
      <w:marLeft w:val="0"/>
      <w:marRight w:val="0"/>
      <w:marTop w:val="0"/>
      <w:marBottom w:val="0"/>
      <w:divBdr>
        <w:top w:val="none" w:sz="0" w:space="0" w:color="auto"/>
        <w:left w:val="none" w:sz="0" w:space="0" w:color="auto"/>
        <w:bottom w:val="none" w:sz="0" w:space="0" w:color="auto"/>
        <w:right w:val="none" w:sz="0" w:space="0" w:color="auto"/>
      </w:divBdr>
    </w:div>
    <w:div w:id="1577590168">
      <w:marLeft w:val="0"/>
      <w:marRight w:val="0"/>
      <w:marTop w:val="0"/>
      <w:marBottom w:val="0"/>
      <w:divBdr>
        <w:top w:val="none" w:sz="0" w:space="0" w:color="auto"/>
        <w:left w:val="none" w:sz="0" w:space="0" w:color="auto"/>
        <w:bottom w:val="none" w:sz="0" w:space="0" w:color="auto"/>
        <w:right w:val="none" w:sz="0" w:space="0" w:color="auto"/>
      </w:divBdr>
    </w:div>
    <w:div w:id="1577590169">
      <w:marLeft w:val="0"/>
      <w:marRight w:val="0"/>
      <w:marTop w:val="0"/>
      <w:marBottom w:val="0"/>
      <w:divBdr>
        <w:top w:val="none" w:sz="0" w:space="0" w:color="auto"/>
        <w:left w:val="none" w:sz="0" w:space="0" w:color="auto"/>
        <w:bottom w:val="none" w:sz="0" w:space="0" w:color="auto"/>
        <w:right w:val="none" w:sz="0" w:space="0" w:color="auto"/>
      </w:divBdr>
    </w:div>
    <w:div w:id="1577590170">
      <w:marLeft w:val="0"/>
      <w:marRight w:val="0"/>
      <w:marTop w:val="0"/>
      <w:marBottom w:val="0"/>
      <w:divBdr>
        <w:top w:val="none" w:sz="0" w:space="0" w:color="auto"/>
        <w:left w:val="none" w:sz="0" w:space="0" w:color="auto"/>
        <w:bottom w:val="none" w:sz="0" w:space="0" w:color="auto"/>
        <w:right w:val="none" w:sz="0" w:space="0" w:color="auto"/>
      </w:divBdr>
    </w:div>
    <w:div w:id="1577590177">
      <w:marLeft w:val="0"/>
      <w:marRight w:val="0"/>
      <w:marTop w:val="0"/>
      <w:marBottom w:val="0"/>
      <w:divBdr>
        <w:top w:val="none" w:sz="0" w:space="0" w:color="auto"/>
        <w:left w:val="none" w:sz="0" w:space="0" w:color="auto"/>
        <w:bottom w:val="none" w:sz="0" w:space="0" w:color="auto"/>
        <w:right w:val="none" w:sz="0" w:space="0" w:color="auto"/>
      </w:divBdr>
      <w:divsChild>
        <w:div w:id="1577590202">
          <w:marLeft w:val="0"/>
          <w:marRight w:val="0"/>
          <w:marTop w:val="0"/>
          <w:marBottom w:val="0"/>
          <w:divBdr>
            <w:top w:val="none" w:sz="0" w:space="0" w:color="auto"/>
            <w:left w:val="none" w:sz="0" w:space="0" w:color="auto"/>
            <w:bottom w:val="none" w:sz="0" w:space="0" w:color="auto"/>
            <w:right w:val="none" w:sz="0" w:space="0" w:color="auto"/>
          </w:divBdr>
          <w:divsChild>
            <w:div w:id="1577590181">
              <w:marLeft w:val="0"/>
              <w:marRight w:val="0"/>
              <w:marTop w:val="0"/>
              <w:marBottom w:val="0"/>
              <w:divBdr>
                <w:top w:val="none" w:sz="0" w:space="0" w:color="auto"/>
                <w:left w:val="none" w:sz="0" w:space="0" w:color="auto"/>
                <w:bottom w:val="none" w:sz="0" w:space="0" w:color="auto"/>
                <w:right w:val="none" w:sz="0" w:space="0" w:color="auto"/>
              </w:divBdr>
              <w:divsChild>
                <w:div w:id="1577590110">
                  <w:marLeft w:val="0"/>
                  <w:marRight w:val="0"/>
                  <w:marTop w:val="0"/>
                  <w:marBottom w:val="0"/>
                  <w:divBdr>
                    <w:top w:val="none" w:sz="0" w:space="0" w:color="auto"/>
                    <w:left w:val="none" w:sz="0" w:space="0" w:color="auto"/>
                    <w:bottom w:val="none" w:sz="0" w:space="0" w:color="auto"/>
                    <w:right w:val="none" w:sz="0" w:space="0" w:color="auto"/>
                  </w:divBdr>
                  <w:divsChild>
                    <w:div w:id="1577590106">
                      <w:marLeft w:val="0"/>
                      <w:marRight w:val="0"/>
                      <w:marTop w:val="0"/>
                      <w:marBottom w:val="0"/>
                      <w:divBdr>
                        <w:top w:val="none" w:sz="0" w:space="0" w:color="auto"/>
                        <w:left w:val="none" w:sz="0" w:space="0" w:color="auto"/>
                        <w:bottom w:val="none" w:sz="0" w:space="0" w:color="auto"/>
                        <w:right w:val="none" w:sz="0" w:space="0" w:color="auto"/>
                      </w:divBdr>
                      <w:divsChild>
                        <w:div w:id="1577590207">
                          <w:marLeft w:val="0"/>
                          <w:marRight w:val="0"/>
                          <w:marTop w:val="0"/>
                          <w:marBottom w:val="0"/>
                          <w:divBdr>
                            <w:top w:val="none" w:sz="0" w:space="0" w:color="auto"/>
                            <w:left w:val="none" w:sz="0" w:space="0" w:color="auto"/>
                            <w:bottom w:val="none" w:sz="0" w:space="0" w:color="auto"/>
                            <w:right w:val="none" w:sz="0" w:space="0" w:color="auto"/>
                          </w:divBdr>
                          <w:divsChild>
                            <w:div w:id="1577590124">
                              <w:marLeft w:val="0"/>
                              <w:marRight w:val="0"/>
                              <w:marTop w:val="0"/>
                              <w:marBottom w:val="0"/>
                              <w:divBdr>
                                <w:top w:val="none" w:sz="0" w:space="0" w:color="auto"/>
                                <w:left w:val="none" w:sz="0" w:space="0" w:color="auto"/>
                                <w:bottom w:val="none" w:sz="0" w:space="0" w:color="auto"/>
                                <w:right w:val="none" w:sz="0" w:space="0" w:color="auto"/>
                              </w:divBdr>
                              <w:divsChild>
                                <w:div w:id="1577590186">
                                  <w:marLeft w:val="0"/>
                                  <w:marRight w:val="0"/>
                                  <w:marTop w:val="0"/>
                                  <w:marBottom w:val="0"/>
                                  <w:divBdr>
                                    <w:top w:val="none" w:sz="0" w:space="0" w:color="auto"/>
                                    <w:left w:val="none" w:sz="0" w:space="0" w:color="auto"/>
                                    <w:bottom w:val="none" w:sz="0" w:space="0" w:color="auto"/>
                                    <w:right w:val="none" w:sz="0" w:space="0" w:color="auto"/>
                                  </w:divBdr>
                                  <w:divsChild>
                                    <w:div w:id="1577590114">
                                      <w:marLeft w:val="0"/>
                                      <w:marRight w:val="0"/>
                                      <w:marTop w:val="0"/>
                                      <w:marBottom w:val="0"/>
                                      <w:divBdr>
                                        <w:top w:val="none" w:sz="0" w:space="0" w:color="auto"/>
                                        <w:left w:val="none" w:sz="0" w:space="0" w:color="auto"/>
                                        <w:bottom w:val="none" w:sz="0" w:space="0" w:color="auto"/>
                                        <w:right w:val="none" w:sz="0" w:space="0" w:color="auto"/>
                                      </w:divBdr>
                                      <w:divsChild>
                                        <w:div w:id="1577590174">
                                          <w:marLeft w:val="0"/>
                                          <w:marRight w:val="0"/>
                                          <w:marTop w:val="0"/>
                                          <w:marBottom w:val="0"/>
                                          <w:divBdr>
                                            <w:top w:val="none" w:sz="0" w:space="0" w:color="auto"/>
                                            <w:left w:val="none" w:sz="0" w:space="0" w:color="auto"/>
                                            <w:bottom w:val="none" w:sz="0" w:space="0" w:color="auto"/>
                                            <w:right w:val="none" w:sz="0" w:space="0" w:color="auto"/>
                                          </w:divBdr>
                                          <w:divsChild>
                                            <w:div w:id="1577590182">
                                              <w:marLeft w:val="0"/>
                                              <w:marRight w:val="0"/>
                                              <w:marTop w:val="0"/>
                                              <w:marBottom w:val="0"/>
                                              <w:divBdr>
                                                <w:top w:val="none" w:sz="0" w:space="0" w:color="auto"/>
                                                <w:left w:val="none" w:sz="0" w:space="0" w:color="auto"/>
                                                <w:bottom w:val="none" w:sz="0" w:space="0" w:color="auto"/>
                                                <w:right w:val="none" w:sz="0" w:space="0" w:color="auto"/>
                                              </w:divBdr>
                                              <w:divsChild>
                                                <w:div w:id="1577590140">
                                                  <w:marLeft w:val="0"/>
                                                  <w:marRight w:val="0"/>
                                                  <w:marTop w:val="0"/>
                                                  <w:marBottom w:val="0"/>
                                                  <w:divBdr>
                                                    <w:top w:val="none" w:sz="0" w:space="0" w:color="auto"/>
                                                    <w:left w:val="none" w:sz="0" w:space="0" w:color="auto"/>
                                                    <w:bottom w:val="none" w:sz="0" w:space="0" w:color="auto"/>
                                                    <w:right w:val="none" w:sz="0" w:space="0" w:color="auto"/>
                                                  </w:divBdr>
                                                  <w:divsChild>
                                                    <w:div w:id="1577590176">
                                                      <w:marLeft w:val="0"/>
                                                      <w:marRight w:val="0"/>
                                                      <w:marTop w:val="0"/>
                                                      <w:marBottom w:val="0"/>
                                                      <w:divBdr>
                                                        <w:top w:val="none" w:sz="0" w:space="0" w:color="auto"/>
                                                        <w:left w:val="none" w:sz="0" w:space="0" w:color="auto"/>
                                                        <w:bottom w:val="none" w:sz="0" w:space="0" w:color="auto"/>
                                                        <w:right w:val="none" w:sz="0" w:space="0" w:color="auto"/>
                                                      </w:divBdr>
                                                      <w:divsChild>
                                                        <w:div w:id="1577590129">
                                                          <w:marLeft w:val="0"/>
                                                          <w:marRight w:val="0"/>
                                                          <w:marTop w:val="0"/>
                                                          <w:marBottom w:val="0"/>
                                                          <w:divBdr>
                                                            <w:top w:val="none" w:sz="0" w:space="0" w:color="auto"/>
                                                            <w:left w:val="none" w:sz="0" w:space="0" w:color="auto"/>
                                                            <w:bottom w:val="none" w:sz="0" w:space="0" w:color="auto"/>
                                                            <w:right w:val="none" w:sz="0" w:space="0" w:color="auto"/>
                                                          </w:divBdr>
                                                          <w:divsChild>
                                                            <w:div w:id="1577590191">
                                                              <w:marLeft w:val="0"/>
                                                              <w:marRight w:val="75"/>
                                                              <w:marTop w:val="0"/>
                                                              <w:marBottom w:val="75"/>
                                                              <w:divBdr>
                                                                <w:top w:val="none" w:sz="0" w:space="0" w:color="auto"/>
                                                                <w:left w:val="none" w:sz="0" w:space="0" w:color="auto"/>
                                                                <w:bottom w:val="none" w:sz="0" w:space="0" w:color="auto"/>
                                                                <w:right w:val="none" w:sz="0" w:space="0" w:color="auto"/>
                                                              </w:divBdr>
                                                              <w:divsChild>
                                                                <w:div w:id="1577590183">
                                                                  <w:marLeft w:val="0"/>
                                                                  <w:marRight w:val="0"/>
                                                                  <w:marTop w:val="0"/>
                                                                  <w:marBottom w:val="0"/>
                                                                  <w:divBdr>
                                                                    <w:top w:val="none" w:sz="0" w:space="0" w:color="auto"/>
                                                                    <w:left w:val="none" w:sz="0" w:space="0" w:color="auto"/>
                                                                    <w:bottom w:val="none" w:sz="0" w:space="0" w:color="auto"/>
                                                                    <w:right w:val="none" w:sz="0" w:space="0" w:color="auto"/>
                                                                  </w:divBdr>
                                                                  <w:divsChild>
                                                                    <w:div w:id="1577590119">
                                                                      <w:marLeft w:val="0"/>
                                                                      <w:marRight w:val="0"/>
                                                                      <w:marTop w:val="0"/>
                                                                      <w:marBottom w:val="0"/>
                                                                      <w:divBdr>
                                                                        <w:top w:val="none" w:sz="0" w:space="0" w:color="auto"/>
                                                                        <w:left w:val="none" w:sz="0" w:space="0" w:color="auto"/>
                                                                        <w:bottom w:val="none" w:sz="0" w:space="0" w:color="auto"/>
                                                                        <w:right w:val="none" w:sz="0" w:space="0" w:color="auto"/>
                                                                      </w:divBdr>
                                                                      <w:divsChild>
                                                                        <w:div w:id="1577590211">
                                                                          <w:marLeft w:val="0"/>
                                                                          <w:marRight w:val="0"/>
                                                                          <w:marTop w:val="0"/>
                                                                          <w:marBottom w:val="0"/>
                                                                          <w:divBdr>
                                                                            <w:top w:val="none" w:sz="0" w:space="0" w:color="auto"/>
                                                                            <w:left w:val="none" w:sz="0" w:space="0" w:color="auto"/>
                                                                            <w:bottom w:val="none" w:sz="0" w:space="0" w:color="auto"/>
                                                                            <w:right w:val="none" w:sz="0" w:space="0" w:color="auto"/>
                                                                          </w:divBdr>
                                                                          <w:divsChild>
                                                                            <w:div w:id="1577590162">
                                                                              <w:marLeft w:val="0"/>
                                                                              <w:marRight w:val="0"/>
                                                                              <w:marTop w:val="0"/>
                                                                              <w:marBottom w:val="0"/>
                                                                              <w:divBdr>
                                                                                <w:top w:val="none" w:sz="0" w:space="0" w:color="auto"/>
                                                                                <w:left w:val="none" w:sz="0" w:space="0" w:color="auto"/>
                                                                                <w:bottom w:val="none" w:sz="0" w:space="0" w:color="auto"/>
                                                                                <w:right w:val="none" w:sz="0" w:space="0" w:color="auto"/>
                                                                              </w:divBdr>
                                                                              <w:divsChild>
                                                                                <w:div w:id="1577590133">
                                                                                  <w:marLeft w:val="0"/>
                                                                                  <w:marRight w:val="0"/>
                                                                                  <w:marTop w:val="0"/>
                                                                                  <w:marBottom w:val="0"/>
                                                                                  <w:divBdr>
                                                                                    <w:top w:val="none" w:sz="0" w:space="0" w:color="auto"/>
                                                                                    <w:left w:val="none" w:sz="0" w:space="0" w:color="auto"/>
                                                                                    <w:bottom w:val="none" w:sz="0" w:space="0" w:color="auto"/>
                                                                                    <w:right w:val="none" w:sz="0" w:space="0" w:color="auto"/>
                                                                                  </w:divBdr>
                                                                                  <w:divsChild>
                                                                                    <w:div w:id="1577590139">
                                                                                      <w:marLeft w:val="720"/>
                                                                                      <w:marRight w:val="0"/>
                                                                                      <w:marTop w:val="0"/>
                                                                                      <w:marBottom w:val="0"/>
                                                                                      <w:divBdr>
                                                                                        <w:top w:val="none" w:sz="0" w:space="0" w:color="auto"/>
                                                                                        <w:left w:val="none" w:sz="0" w:space="0" w:color="auto"/>
                                                                                        <w:bottom w:val="none" w:sz="0" w:space="0" w:color="auto"/>
                                                                                        <w:right w:val="none" w:sz="0" w:space="0" w:color="auto"/>
                                                                                      </w:divBdr>
                                                                                    </w:div>
                                                                                    <w:div w:id="157759014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90179">
      <w:marLeft w:val="0"/>
      <w:marRight w:val="0"/>
      <w:marTop w:val="0"/>
      <w:marBottom w:val="0"/>
      <w:divBdr>
        <w:top w:val="none" w:sz="0" w:space="0" w:color="auto"/>
        <w:left w:val="none" w:sz="0" w:space="0" w:color="auto"/>
        <w:bottom w:val="none" w:sz="0" w:space="0" w:color="auto"/>
        <w:right w:val="none" w:sz="0" w:space="0" w:color="auto"/>
      </w:divBdr>
    </w:div>
    <w:div w:id="1577590188">
      <w:marLeft w:val="0"/>
      <w:marRight w:val="0"/>
      <w:marTop w:val="0"/>
      <w:marBottom w:val="0"/>
      <w:divBdr>
        <w:top w:val="none" w:sz="0" w:space="0" w:color="auto"/>
        <w:left w:val="none" w:sz="0" w:space="0" w:color="auto"/>
        <w:bottom w:val="none" w:sz="0" w:space="0" w:color="auto"/>
        <w:right w:val="none" w:sz="0" w:space="0" w:color="auto"/>
      </w:divBdr>
    </w:div>
    <w:div w:id="1577590189">
      <w:marLeft w:val="0"/>
      <w:marRight w:val="0"/>
      <w:marTop w:val="0"/>
      <w:marBottom w:val="0"/>
      <w:divBdr>
        <w:top w:val="none" w:sz="0" w:space="0" w:color="auto"/>
        <w:left w:val="none" w:sz="0" w:space="0" w:color="auto"/>
        <w:bottom w:val="none" w:sz="0" w:space="0" w:color="auto"/>
        <w:right w:val="none" w:sz="0" w:space="0" w:color="auto"/>
      </w:divBdr>
    </w:div>
    <w:div w:id="1577590192">
      <w:marLeft w:val="0"/>
      <w:marRight w:val="0"/>
      <w:marTop w:val="0"/>
      <w:marBottom w:val="0"/>
      <w:divBdr>
        <w:top w:val="none" w:sz="0" w:space="0" w:color="auto"/>
        <w:left w:val="none" w:sz="0" w:space="0" w:color="auto"/>
        <w:bottom w:val="none" w:sz="0" w:space="0" w:color="auto"/>
        <w:right w:val="none" w:sz="0" w:space="0" w:color="auto"/>
      </w:divBdr>
    </w:div>
    <w:div w:id="1577590194">
      <w:marLeft w:val="0"/>
      <w:marRight w:val="0"/>
      <w:marTop w:val="0"/>
      <w:marBottom w:val="0"/>
      <w:divBdr>
        <w:top w:val="none" w:sz="0" w:space="0" w:color="auto"/>
        <w:left w:val="none" w:sz="0" w:space="0" w:color="auto"/>
        <w:bottom w:val="none" w:sz="0" w:space="0" w:color="auto"/>
        <w:right w:val="none" w:sz="0" w:space="0" w:color="auto"/>
      </w:divBdr>
      <w:divsChild>
        <w:div w:id="1577590142">
          <w:marLeft w:val="0"/>
          <w:marRight w:val="1"/>
          <w:marTop w:val="0"/>
          <w:marBottom w:val="0"/>
          <w:divBdr>
            <w:top w:val="none" w:sz="0" w:space="0" w:color="auto"/>
            <w:left w:val="none" w:sz="0" w:space="0" w:color="auto"/>
            <w:bottom w:val="none" w:sz="0" w:space="0" w:color="auto"/>
            <w:right w:val="none" w:sz="0" w:space="0" w:color="auto"/>
          </w:divBdr>
          <w:divsChild>
            <w:div w:id="1577590204">
              <w:marLeft w:val="0"/>
              <w:marRight w:val="0"/>
              <w:marTop w:val="0"/>
              <w:marBottom w:val="0"/>
              <w:divBdr>
                <w:top w:val="none" w:sz="0" w:space="0" w:color="auto"/>
                <w:left w:val="none" w:sz="0" w:space="0" w:color="auto"/>
                <w:bottom w:val="none" w:sz="0" w:space="0" w:color="auto"/>
                <w:right w:val="none" w:sz="0" w:space="0" w:color="auto"/>
              </w:divBdr>
              <w:divsChild>
                <w:div w:id="1577590138">
                  <w:marLeft w:val="0"/>
                  <w:marRight w:val="1"/>
                  <w:marTop w:val="0"/>
                  <w:marBottom w:val="0"/>
                  <w:divBdr>
                    <w:top w:val="none" w:sz="0" w:space="0" w:color="auto"/>
                    <w:left w:val="none" w:sz="0" w:space="0" w:color="auto"/>
                    <w:bottom w:val="none" w:sz="0" w:space="0" w:color="auto"/>
                    <w:right w:val="none" w:sz="0" w:space="0" w:color="auto"/>
                  </w:divBdr>
                  <w:divsChild>
                    <w:div w:id="1577590185">
                      <w:marLeft w:val="0"/>
                      <w:marRight w:val="0"/>
                      <w:marTop w:val="0"/>
                      <w:marBottom w:val="0"/>
                      <w:divBdr>
                        <w:top w:val="none" w:sz="0" w:space="0" w:color="auto"/>
                        <w:left w:val="none" w:sz="0" w:space="0" w:color="auto"/>
                        <w:bottom w:val="none" w:sz="0" w:space="0" w:color="auto"/>
                        <w:right w:val="none" w:sz="0" w:space="0" w:color="auto"/>
                      </w:divBdr>
                      <w:divsChild>
                        <w:div w:id="1577590213">
                          <w:marLeft w:val="0"/>
                          <w:marRight w:val="0"/>
                          <w:marTop w:val="0"/>
                          <w:marBottom w:val="0"/>
                          <w:divBdr>
                            <w:top w:val="none" w:sz="0" w:space="0" w:color="auto"/>
                            <w:left w:val="none" w:sz="0" w:space="0" w:color="auto"/>
                            <w:bottom w:val="none" w:sz="0" w:space="0" w:color="auto"/>
                            <w:right w:val="none" w:sz="0" w:space="0" w:color="auto"/>
                          </w:divBdr>
                          <w:divsChild>
                            <w:div w:id="1577590187">
                              <w:marLeft w:val="0"/>
                              <w:marRight w:val="0"/>
                              <w:marTop w:val="120"/>
                              <w:marBottom w:val="360"/>
                              <w:divBdr>
                                <w:top w:val="none" w:sz="0" w:space="0" w:color="auto"/>
                                <w:left w:val="none" w:sz="0" w:space="0" w:color="auto"/>
                                <w:bottom w:val="none" w:sz="0" w:space="0" w:color="auto"/>
                                <w:right w:val="none" w:sz="0" w:space="0" w:color="auto"/>
                              </w:divBdr>
                              <w:divsChild>
                                <w:div w:id="1577590158">
                                  <w:marLeft w:val="0"/>
                                  <w:marRight w:val="0"/>
                                  <w:marTop w:val="0"/>
                                  <w:marBottom w:val="0"/>
                                  <w:divBdr>
                                    <w:top w:val="none" w:sz="0" w:space="0" w:color="auto"/>
                                    <w:left w:val="none" w:sz="0" w:space="0" w:color="auto"/>
                                    <w:bottom w:val="none" w:sz="0" w:space="0" w:color="auto"/>
                                    <w:right w:val="none" w:sz="0" w:space="0" w:color="auto"/>
                                  </w:divBdr>
                                </w:div>
                                <w:div w:id="1577590166">
                                  <w:marLeft w:val="0"/>
                                  <w:marRight w:val="0"/>
                                  <w:marTop w:val="0"/>
                                  <w:marBottom w:val="0"/>
                                  <w:divBdr>
                                    <w:top w:val="none" w:sz="0" w:space="0" w:color="auto"/>
                                    <w:left w:val="none" w:sz="0" w:space="0" w:color="auto"/>
                                    <w:bottom w:val="none" w:sz="0" w:space="0" w:color="auto"/>
                                    <w:right w:val="none" w:sz="0" w:space="0" w:color="auto"/>
                                  </w:divBdr>
                                </w:div>
                                <w:div w:id="1577590195">
                                  <w:marLeft w:val="0"/>
                                  <w:marRight w:val="0"/>
                                  <w:marTop w:val="0"/>
                                  <w:marBottom w:val="0"/>
                                  <w:divBdr>
                                    <w:top w:val="none" w:sz="0" w:space="0" w:color="auto"/>
                                    <w:left w:val="none" w:sz="0" w:space="0" w:color="auto"/>
                                    <w:bottom w:val="none" w:sz="0" w:space="0" w:color="auto"/>
                                    <w:right w:val="none" w:sz="0" w:space="0" w:color="auto"/>
                                  </w:divBdr>
                                </w:div>
                                <w:div w:id="1577590199">
                                  <w:marLeft w:val="0"/>
                                  <w:marRight w:val="0"/>
                                  <w:marTop w:val="0"/>
                                  <w:marBottom w:val="0"/>
                                  <w:divBdr>
                                    <w:top w:val="none" w:sz="0" w:space="0" w:color="auto"/>
                                    <w:left w:val="none" w:sz="0" w:space="0" w:color="auto"/>
                                    <w:bottom w:val="none" w:sz="0" w:space="0" w:color="auto"/>
                                    <w:right w:val="none" w:sz="0" w:space="0" w:color="auto"/>
                                  </w:divBdr>
                                  <w:divsChild>
                                    <w:div w:id="157759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7590196">
      <w:marLeft w:val="0"/>
      <w:marRight w:val="0"/>
      <w:marTop w:val="0"/>
      <w:marBottom w:val="0"/>
      <w:divBdr>
        <w:top w:val="none" w:sz="0" w:space="0" w:color="auto"/>
        <w:left w:val="none" w:sz="0" w:space="0" w:color="auto"/>
        <w:bottom w:val="none" w:sz="0" w:space="0" w:color="auto"/>
        <w:right w:val="none" w:sz="0" w:space="0" w:color="auto"/>
      </w:divBdr>
    </w:div>
    <w:div w:id="1577590197">
      <w:marLeft w:val="0"/>
      <w:marRight w:val="0"/>
      <w:marTop w:val="0"/>
      <w:marBottom w:val="0"/>
      <w:divBdr>
        <w:top w:val="none" w:sz="0" w:space="0" w:color="auto"/>
        <w:left w:val="none" w:sz="0" w:space="0" w:color="auto"/>
        <w:bottom w:val="none" w:sz="0" w:space="0" w:color="auto"/>
        <w:right w:val="none" w:sz="0" w:space="0" w:color="auto"/>
      </w:divBdr>
    </w:div>
    <w:div w:id="1577590198">
      <w:marLeft w:val="0"/>
      <w:marRight w:val="0"/>
      <w:marTop w:val="0"/>
      <w:marBottom w:val="0"/>
      <w:divBdr>
        <w:top w:val="none" w:sz="0" w:space="0" w:color="auto"/>
        <w:left w:val="none" w:sz="0" w:space="0" w:color="auto"/>
        <w:bottom w:val="none" w:sz="0" w:space="0" w:color="auto"/>
        <w:right w:val="none" w:sz="0" w:space="0" w:color="auto"/>
      </w:divBdr>
    </w:div>
    <w:div w:id="1577590200">
      <w:marLeft w:val="0"/>
      <w:marRight w:val="0"/>
      <w:marTop w:val="0"/>
      <w:marBottom w:val="0"/>
      <w:divBdr>
        <w:top w:val="none" w:sz="0" w:space="0" w:color="auto"/>
        <w:left w:val="none" w:sz="0" w:space="0" w:color="auto"/>
        <w:bottom w:val="none" w:sz="0" w:space="0" w:color="auto"/>
        <w:right w:val="none" w:sz="0" w:space="0" w:color="auto"/>
      </w:divBdr>
    </w:div>
    <w:div w:id="1577590203">
      <w:marLeft w:val="0"/>
      <w:marRight w:val="0"/>
      <w:marTop w:val="0"/>
      <w:marBottom w:val="0"/>
      <w:divBdr>
        <w:top w:val="none" w:sz="0" w:space="0" w:color="auto"/>
        <w:left w:val="none" w:sz="0" w:space="0" w:color="auto"/>
        <w:bottom w:val="none" w:sz="0" w:space="0" w:color="auto"/>
        <w:right w:val="none" w:sz="0" w:space="0" w:color="auto"/>
      </w:divBdr>
    </w:div>
    <w:div w:id="15775902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0C15DB-15AD-4F07-A0B4-D016A2723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44032332.dotm</Template>
  <TotalTime>9</TotalTime>
  <Pages>19</Pages>
  <Words>3266</Words>
  <Characters>18933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TITLE PAGE</vt:lpstr>
    </vt:vector>
  </TitlesOfParts>
  <Company>University of Leicester</Company>
  <LinksUpToDate>false</LinksUpToDate>
  <CharactersWithSpaces>22155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PAGE</dc:title>
  <dc:creator>lln1</dc:creator>
  <cp:lastModifiedBy>lln1</cp:lastModifiedBy>
  <cp:revision>5</cp:revision>
  <cp:lastPrinted>2013-06-19T11:11:00Z</cp:lastPrinted>
  <dcterms:created xsi:type="dcterms:W3CDTF">2015-03-11T16:08:00Z</dcterms:created>
  <dcterms:modified xsi:type="dcterms:W3CDTF">2015-03-11T16:16:00Z</dcterms:modified>
</cp:coreProperties>
</file>