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3A60" w:rsidRPr="00B47DD9" w:rsidRDefault="00E13A60" w:rsidP="00CE3AC2">
      <w:pPr>
        <w:spacing w:after="0" w:line="480" w:lineRule="auto"/>
        <w:jc w:val="center"/>
        <w:rPr>
          <w:rFonts w:ascii="Calibri" w:eastAsia="Times New Roman" w:hAnsi="Calibri" w:cs="Segoe UI"/>
          <w:b/>
          <w:bCs/>
          <w:sz w:val="28"/>
          <w:szCs w:val="28"/>
          <w:lang w:eastAsia="en-GB"/>
        </w:rPr>
      </w:pPr>
      <w:bookmarkStart w:id="0" w:name="_GoBack"/>
      <w:bookmarkEnd w:id="0"/>
      <w:r w:rsidRPr="00B47DD9">
        <w:rPr>
          <w:rFonts w:ascii="Calibri" w:eastAsia="Times New Roman" w:hAnsi="Calibri" w:cs="Segoe UI"/>
          <w:b/>
          <w:bCs/>
          <w:sz w:val="28"/>
          <w:szCs w:val="28"/>
          <w:lang w:eastAsia="en-GB"/>
        </w:rPr>
        <w:t>PUBLIC EMPLOYMENT AND ACCESS TO JUSTICE IN EMPLOYMENT LAW</w:t>
      </w:r>
    </w:p>
    <w:p w:rsidR="008A6CCD" w:rsidRPr="00B47DD9" w:rsidRDefault="008A6CCD" w:rsidP="00CE3AC2">
      <w:pPr>
        <w:spacing w:after="0" w:line="480" w:lineRule="auto"/>
        <w:jc w:val="center"/>
        <w:rPr>
          <w:rFonts w:ascii="Calibri" w:eastAsia="Times New Roman" w:hAnsi="Calibri" w:cs="Segoe UI"/>
          <w:b/>
          <w:bCs/>
          <w:sz w:val="28"/>
          <w:szCs w:val="28"/>
          <w:lang w:eastAsia="en-GB"/>
        </w:rPr>
      </w:pPr>
    </w:p>
    <w:p w:rsidR="00E13A60" w:rsidRPr="00B47DD9" w:rsidRDefault="00E13A60" w:rsidP="00CE3AC2">
      <w:pPr>
        <w:spacing w:after="0" w:line="480" w:lineRule="auto"/>
        <w:jc w:val="center"/>
        <w:rPr>
          <w:rFonts w:ascii="Calibri" w:eastAsia="Times New Roman" w:hAnsi="Calibri" w:cs="Segoe UI"/>
          <w:b/>
          <w:bCs/>
          <w:lang w:eastAsia="en-GB"/>
        </w:rPr>
      </w:pPr>
      <w:r w:rsidRPr="00B47DD9">
        <w:rPr>
          <w:rFonts w:ascii="Calibri" w:eastAsia="Times New Roman" w:hAnsi="Calibri" w:cs="Segoe UI"/>
          <w:b/>
          <w:bCs/>
          <w:lang w:eastAsia="en-GB"/>
        </w:rPr>
        <w:t>Lisa Rodgers</w:t>
      </w:r>
    </w:p>
    <w:p w:rsidR="00E13A60" w:rsidRPr="00B47DD9" w:rsidRDefault="00E13A60" w:rsidP="00CE3AC2">
      <w:pPr>
        <w:spacing w:after="0" w:line="480" w:lineRule="auto"/>
        <w:jc w:val="both"/>
        <w:rPr>
          <w:rFonts w:ascii="Calibri" w:eastAsia="Times New Roman" w:hAnsi="Calibri" w:cs="Segoe UI"/>
          <w:b/>
          <w:bCs/>
          <w:lang w:eastAsia="en-GB"/>
        </w:rPr>
      </w:pPr>
    </w:p>
    <w:p w:rsidR="00E13A60" w:rsidRPr="00B47DD9" w:rsidRDefault="00E13A60" w:rsidP="00CE3AC2">
      <w:pPr>
        <w:spacing w:after="0" w:line="480" w:lineRule="auto"/>
        <w:jc w:val="both"/>
        <w:rPr>
          <w:rFonts w:ascii="Segoe UI" w:eastAsia="Times New Roman" w:hAnsi="Segoe UI" w:cs="Segoe UI"/>
          <w:b/>
          <w:sz w:val="27"/>
          <w:szCs w:val="27"/>
          <w:lang w:eastAsia="en-GB"/>
        </w:rPr>
      </w:pPr>
      <w:r w:rsidRPr="00B47DD9">
        <w:rPr>
          <w:rFonts w:ascii="Calibri" w:eastAsia="Times New Roman" w:hAnsi="Calibri" w:cs="Segoe UI"/>
          <w:b/>
          <w:szCs w:val="27"/>
          <w:lang w:eastAsia="en-GB"/>
        </w:rPr>
        <w:t>Abstract</w:t>
      </w:r>
    </w:p>
    <w:p w:rsidR="00E13A60" w:rsidRPr="00B47DD9" w:rsidRDefault="00E13A60" w:rsidP="00CE3AC2">
      <w:pPr>
        <w:spacing w:after="0" w:line="480" w:lineRule="auto"/>
        <w:jc w:val="both"/>
        <w:rPr>
          <w:rFonts w:ascii="Segoe UI" w:eastAsia="Times New Roman" w:hAnsi="Segoe UI" w:cs="Segoe UI"/>
          <w:sz w:val="27"/>
          <w:szCs w:val="27"/>
          <w:lang w:eastAsia="en-GB"/>
        </w:rPr>
      </w:pPr>
    </w:p>
    <w:p w:rsidR="00E13A60" w:rsidRPr="00B47DD9" w:rsidRDefault="00E13A60" w:rsidP="00CE3AC2">
      <w:pPr>
        <w:spacing w:after="150" w:line="480" w:lineRule="auto"/>
        <w:jc w:val="both"/>
        <w:rPr>
          <w:rFonts w:eastAsia="Times New Roman" w:cs="Segoe UI"/>
          <w:lang w:eastAsia="en-GB"/>
        </w:rPr>
      </w:pPr>
      <w:r w:rsidRPr="00B47DD9">
        <w:rPr>
          <w:rFonts w:ascii="Calibri" w:eastAsia="Times New Roman" w:hAnsi="Calibri" w:cs="Segoe UI"/>
          <w:lang w:eastAsia="en-GB"/>
        </w:rPr>
        <w:t>This paper discusses and analyses the current evolution of the exceptional employment law rules governing (certain) public sector employment and the implication of that evolution for access to justice for public employees.</w:t>
      </w:r>
      <w:r w:rsidR="009A67D7" w:rsidRPr="00B47DD9">
        <w:rPr>
          <w:rFonts w:eastAsia="Times New Roman" w:cs="Segoe UI"/>
          <w:lang w:eastAsia="en-GB"/>
        </w:rPr>
        <w:t xml:space="preserve"> It starts with an analysis of the origins and justifications for the separation of the regulation of ‘private’ as opposed to ‘public employees, and how that separation has evolved over time. The article then proceeds to outline some of the possible critiques of tha</w:t>
      </w:r>
      <w:r w:rsidR="008A6CCD" w:rsidRPr="00B47DD9">
        <w:rPr>
          <w:rFonts w:eastAsia="Times New Roman" w:cs="Segoe UI"/>
          <w:lang w:eastAsia="en-GB"/>
        </w:rPr>
        <w:t xml:space="preserve">t separation, and the potential for the challenge to that </w:t>
      </w:r>
      <w:r w:rsidR="009A67D7" w:rsidRPr="00B47DD9">
        <w:rPr>
          <w:rFonts w:eastAsia="Times New Roman" w:cs="Segoe UI"/>
          <w:lang w:eastAsia="en-GB"/>
        </w:rPr>
        <w:t>separation in theoretical terms. In the third section, there is an assessment of the practical ways in which way public employees have recently sought to challenge this separation, and particularly their exclusion from</w:t>
      </w:r>
      <w:r w:rsidR="008A6CCD" w:rsidRPr="00B47DD9">
        <w:rPr>
          <w:rFonts w:eastAsia="Times New Roman" w:cs="Segoe UI"/>
          <w:lang w:eastAsia="en-GB"/>
        </w:rPr>
        <w:t xml:space="preserve"> private</w:t>
      </w:r>
      <w:r w:rsidR="009A67D7" w:rsidRPr="00B47DD9">
        <w:rPr>
          <w:rFonts w:eastAsia="Times New Roman" w:cs="Segoe UI"/>
          <w:lang w:eastAsia="en-GB"/>
        </w:rPr>
        <w:t xml:space="preserve"> employment law rights</w:t>
      </w:r>
      <w:r w:rsidR="008A6CCD" w:rsidRPr="00B47DD9">
        <w:rPr>
          <w:rFonts w:eastAsia="Times New Roman" w:cs="Segoe UI"/>
          <w:lang w:eastAsia="en-GB"/>
        </w:rPr>
        <w:t>. It discusses the reasons for the varying degrees of success of that challenge. The final section proceeds</w:t>
      </w:r>
      <w:r w:rsidR="009A67D7" w:rsidRPr="00B47DD9">
        <w:rPr>
          <w:rFonts w:eastAsia="Times New Roman" w:cs="Segoe UI"/>
          <w:lang w:eastAsia="en-GB"/>
        </w:rPr>
        <w:t xml:space="preserve"> to discuss how far public law may step in to </w:t>
      </w:r>
      <w:r w:rsidR="008A6CCD" w:rsidRPr="00B47DD9">
        <w:rPr>
          <w:rFonts w:eastAsia="Times New Roman" w:cs="Segoe UI"/>
          <w:lang w:eastAsia="en-GB"/>
        </w:rPr>
        <w:t>counteract the</w:t>
      </w:r>
      <w:r w:rsidR="009A67D7" w:rsidRPr="00B47DD9">
        <w:rPr>
          <w:rFonts w:eastAsia="Times New Roman" w:cs="Segoe UI"/>
          <w:lang w:eastAsia="en-GB"/>
        </w:rPr>
        <w:t xml:space="preserve"> exclusion of public employees </w:t>
      </w:r>
      <w:r w:rsidR="008A6CCD" w:rsidRPr="00B47DD9">
        <w:rPr>
          <w:rFonts w:eastAsia="Times New Roman" w:cs="Segoe UI"/>
          <w:lang w:eastAsia="en-GB"/>
        </w:rPr>
        <w:t xml:space="preserve">from the employment law regime. In particular there is a discussion of the realisation within the public law arena of a need to relax the strict separation of the public/private regime </w:t>
      </w:r>
      <w:r w:rsidR="009A67D7" w:rsidRPr="00B47DD9">
        <w:rPr>
          <w:rFonts w:eastAsia="Times New Roman" w:cs="Segoe UI"/>
          <w:lang w:eastAsia="en-GB"/>
        </w:rPr>
        <w:t xml:space="preserve">and </w:t>
      </w:r>
      <w:r w:rsidR="008A6CCD" w:rsidRPr="00B47DD9">
        <w:rPr>
          <w:rFonts w:eastAsia="Times New Roman" w:cs="Segoe UI"/>
          <w:lang w:eastAsia="en-GB"/>
        </w:rPr>
        <w:t xml:space="preserve">the need to </w:t>
      </w:r>
      <w:r w:rsidR="009A67D7" w:rsidRPr="00B47DD9">
        <w:rPr>
          <w:rFonts w:eastAsia="Times New Roman" w:cs="Segoe UI"/>
          <w:lang w:eastAsia="en-GB"/>
        </w:rPr>
        <w:t>cater for particular individual circumstances.</w:t>
      </w:r>
    </w:p>
    <w:p w:rsidR="0075405D" w:rsidRPr="00B47DD9" w:rsidRDefault="00E13A60" w:rsidP="00CE3AC2">
      <w:pPr>
        <w:pStyle w:val="ListParagraph"/>
        <w:numPr>
          <w:ilvl w:val="0"/>
          <w:numId w:val="4"/>
        </w:numPr>
        <w:spacing w:after="150" w:line="480" w:lineRule="auto"/>
        <w:jc w:val="both"/>
        <w:rPr>
          <w:rFonts w:ascii="Segoe UI" w:eastAsia="Times New Roman" w:hAnsi="Segoe UI" w:cs="Segoe UI"/>
          <w:sz w:val="27"/>
          <w:szCs w:val="27"/>
          <w:lang w:eastAsia="en-GB"/>
        </w:rPr>
      </w:pPr>
      <w:r w:rsidRPr="00B47DD9">
        <w:rPr>
          <w:rFonts w:eastAsia="Times New Roman" w:cs="Segoe UI"/>
          <w:lang w:eastAsia="en-GB"/>
        </w:rPr>
        <w:t>Introduction</w:t>
      </w:r>
    </w:p>
    <w:p w:rsidR="004C263F" w:rsidRPr="00B47DD9" w:rsidRDefault="00826D56" w:rsidP="00CE3AC2">
      <w:pPr>
        <w:spacing w:after="150" w:line="480" w:lineRule="auto"/>
        <w:jc w:val="both"/>
        <w:rPr>
          <w:rFonts w:eastAsia="Times New Roman" w:cs="Segoe UI"/>
          <w:lang w:eastAsia="en-GB"/>
        </w:rPr>
      </w:pPr>
      <w:r>
        <w:rPr>
          <w:rFonts w:eastAsia="Times New Roman" w:cs="Segoe UI"/>
          <w:lang w:eastAsia="en-GB"/>
        </w:rPr>
        <w:t>In the UK, the</w:t>
      </w:r>
      <w:r w:rsidR="004C263F" w:rsidRPr="00B47DD9">
        <w:rPr>
          <w:rFonts w:eastAsia="Times New Roman" w:cs="Segoe UI"/>
          <w:lang w:eastAsia="en-GB"/>
        </w:rPr>
        <w:t xml:space="preserve"> judicial system is founded on a separation between private law on the one hand and public law on the other.</w:t>
      </w:r>
      <w:r>
        <w:rPr>
          <w:rStyle w:val="FootnoteReference"/>
          <w:rFonts w:eastAsia="Times New Roman" w:cs="Segoe UI"/>
          <w:lang w:eastAsia="en-GB"/>
        </w:rPr>
        <w:footnoteReference w:id="1"/>
      </w:r>
      <w:r w:rsidR="004C263F" w:rsidRPr="00B47DD9">
        <w:rPr>
          <w:rFonts w:eastAsia="Times New Roman" w:cs="Segoe UI"/>
          <w:lang w:eastAsia="en-GB"/>
        </w:rPr>
        <w:t xml:space="preserve"> In general terms, employment law sits uneasily on that public/private </w:t>
      </w:r>
      <w:r w:rsidR="004C263F" w:rsidRPr="00B47DD9">
        <w:rPr>
          <w:rFonts w:eastAsia="Times New Roman" w:cs="Segoe UI"/>
          <w:lang w:eastAsia="en-GB"/>
        </w:rPr>
        <w:lastRenderedPageBreak/>
        <w:t xml:space="preserve">divide: although founded on a ‘private’ contract of employment the regulation of that contract is steeped in matters pertaining to the more general public interest. Moreover (and of particular relevance to this article), the public/private divide causes deep problems when it comes to considering the particular position of public sector employees within employment law. In these situations, it is not just the ‘publicness’ of employment law rules which </w:t>
      </w:r>
      <w:r w:rsidR="002F65E7" w:rsidRPr="00B47DD9">
        <w:rPr>
          <w:rFonts w:eastAsia="Times New Roman" w:cs="Segoe UI"/>
          <w:lang w:eastAsia="en-GB"/>
        </w:rPr>
        <w:t>is at issue, it is also to be  considered</w:t>
      </w:r>
      <w:r w:rsidR="004C263F" w:rsidRPr="00B47DD9">
        <w:rPr>
          <w:rFonts w:eastAsia="Times New Roman" w:cs="Segoe UI"/>
          <w:lang w:eastAsia="en-GB"/>
        </w:rPr>
        <w:t xml:space="preserve"> how and when ‘pure’ public law rules should be applicable to these contracts. On the</w:t>
      </w:r>
      <w:r w:rsidR="00417955" w:rsidRPr="00B47DD9">
        <w:rPr>
          <w:rFonts w:eastAsia="Times New Roman" w:cs="Segoe UI"/>
          <w:lang w:eastAsia="en-GB"/>
        </w:rPr>
        <w:t xml:space="preserve"> one hand there is the</w:t>
      </w:r>
      <w:r w:rsidR="002F65E7" w:rsidRPr="00B47DD9">
        <w:rPr>
          <w:rFonts w:eastAsia="Times New Roman" w:cs="Segoe UI"/>
          <w:lang w:eastAsia="en-GB"/>
        </w:rPr>
        <w:t xml:space="preserve"> </w:t>
      </w:r>
      <w:r w:rsidR="004C263F" w:rsidRPr="00B47DD9">
        <w:rPr>
          <w:rFonts w:eastAsia="Times New Roman" w:cs="Segoe UI"/>
          <w:lang w:eastAsia="en-GB"/>
        </w:rPr>
        <w:t>argument that such employees s</w:t>
      </w:r>
      <w:r w:rsidR="00371BD4" w:rsidRPr="00B47DD9">
        <w:rPr>
          <w:rFonts w:eastAsia="Times New Roman" w:cs="Segoe UI"/>
          <w:lang w:eastAsia="en-GB"/>
        </w:rPr>
        <w:t xml:space="preserve">hould be subject to the same </w:t>
      </w:r>
      <w:r w:rsidR="004C263F" w:rsidRPr="00B47DD9">
        <w:rPr>
          <w:rFonts w:eastAsia="Times New Roman" w:cs="Segoe UI"/>
          <w:lang w:eastAsia="en-GB"/>
        </w:rPr>
        <w:t>priv</w:t>
      </w:r>
      <w:r w:rsidR="00371BD4" w:rsidRPr="00B47DD9">
        <w:rPr>
          <w:rFonts w:eastAsia="Times New Roman" w:cs="Segoe UI"/>
          <w:lang w:eastAsia="en-GB"/>
        </w:rPr>
        <w:t>ate</w:t>
      </w:r>
      <w:r w:rsidR="00417955" w:rsidRPr="00B47DD9">
        <w:rPr>
          <w:rFonts w:eastAsia="Times New Roman" w:cs="Segoe UI"/>
          <w:lang w:eastAsia="en-GB"/>
        </w:rPr>
        <w:t xml:space="preserve"> rules as any other</w:t>
      </w:r>
      <w:r w:rsidR="004C263F" w:rsidRPr="00B47DD9">
        <w:rPr>
          <w:rFonts w:eastAsia="Times New Roman" w:cs="Segoe UI"/>
          <w:lang w:eastAsia="en-GB"/>
        </w:rPr>
        <w:t>: that all are equal before the law. On the other hand, the argument proceeds that there are special features of public sector empl</w:t>
      </w:r>
      <w:r w:rsidR="00DB7F35" w:rsidRPr="00B47DD9">
        <w:rPr>
          <w:rFonts w:eastAsia="Times New Roman" w:cs="Segoe UI"/>
          <w:lang w:eastAsia="en-GB"/>
        </w:rPr>
        <w:t>oyment which mean that such employment should</w:t>
      </w:r>
      <w:r w:rsidR="004C263F" w:rsidRPr="00B47DD9">
        <w:rPr>
          <w:rFonts w:eastAsia="Times New Roman" w:cs="Segoe UI"/>
          <w:lang w:eastAsia="en-GB"/>
        </w:rPr>
        <w:t xml:space="preserve"> be subject to a special and independent </w:t>
      </w:r>
      <w:r w:rsidR="002F65E7" w:rsidRPr="00B47DD9">
        <w:rPr>
          <w:rFonts w:eastAsia="Times New Roman" w:cs="Segoe UI"/>
          <w:lang w:eastAsia="en-GB"/>
        </w:rPr>
        <w:t xml:space="preserve">(public law) </w:t>
      </w:r>
      <w:r w:rsidR="004C263F" w:rsidRPr="00B47DD9">
        <w:rPr>
          <w:rFonts w:eastAsia="Times New Roman" w:cs="Segoe UI"/>
          <w:lang w:eastAsia="en-GB"/>
        </w:rPr>
        <w:t>regime.</w:t>
      </w:r>
      <w:r w:rsidR="002F65E7" w:rsidRPr="00B47DD9">
        <w:rPr>
          <w:rFonts w:eastAsia="Times New Roman" w:cs="Segoe UI"/>
          <w:lang w:eastAsia="en-GB"/>
        </w:rPr>
        <w:t xml:space="preserve"> The result is</w:t>
      </w:r>
      <w:r w:rsidR="004C263F" w:rsidRPr="00B47DD9">
        <w:rPr>
          <w:rFonts w:eastAsia="Times New Roman" w:cs="Segoe UI"/>
          <w:lang w:eastAsia="en-GB"/>
        </w:rPr>
        <w:t xml:space="preserve"> </w:t>
      </w:r>
      <w:r w:rsidR="002F65E7" w:rsidRPr="00B47DD9">
        <w:rPr>
          <w:rFonts w:eastAsia="Times New Roman" w:cs="Segoe UI"/>
          <w:lang w:eastAsia="en-GB"/>
        </w:rPr>
        <w:t>a rather fragmented picture, whereby some public employees are integrated into the private employment law regime, whereas others are excluded from private law protection (and have to rely on the application of pure public law rules).</w:t>
      </w:r>
    </w:p>
    <w:p w:rsidR="002F65E7" w:rsidRPr="00B47DD9" w:rsidRDefault="002F65E7" w:rsidP="00CE3AC2">
      <w:pPr>
        <w:spacing w:after="150" w:line="480" w:lineRule="auto"/>
        <w:jc w:val="both"/>
        <w:rPr>
          <w:rFonts w:eastAsia="Times New Roman" w:cs="Segoe UI"/>
          <w:lang w:eastAsia="en-GB"/>
        </w:rPr>
      </w:pPr>
      <w:r w:rsidRPr="00B47DD9">
        <w:rPr>
          <w:rFonts w:eastAsia="Times New Roman" w:cs="Segoe UI"/>
          <w:lang w:eastAsia="en-GB"/>
        </w:rPr>
        <w:tab/>
        <w:t>Of course, it may be argued that</w:t>
      </w:r>
      <w:r w:rsidR="003540E6" w:rsidRPr="00B47DD9">
        <w:rPr>
          <w:rFonts w:eastAsia="Times New Roman" w:cs="Segoe UI"/>
          <w:lang w:eastAsia="en-GB"/>
        </w:rPr>
        <w:t xml:space="preserve"> this</w:t>
      </w:r>
      <w:r w:rsidRPr="00B47DD9">
        <w:rPr>
          <w:rFonts w:eastAsia="Times New Roman" w:cs="Segoe UI"/>
          <w:lang w:eastAsia="en-GB"/>
        </w:rPr>
        <w:t xml:space="preserve"> exclusion from private law protection is not necessarily a problem if public sector employees are able to take advantage of equivalent legal protection as a matter of public law, and there are instances where employees have been able to take advantage of public law rights.</w:t>
      </w:r>
      <w:r w:rsidR="00371BD4" w:rsidRPr="00B47DD9">
        <w:rPr>
          <w:rStyle w:val="FootnoteReference"/>
          <w:rFonts w:eastAsia="Times New Roman" w:cs="Segoe UI"/>
          <w:lang w:eastAsia="en-GB"/>
        </w:rPr>
        <w:footnoteReference w:id="2"/>
      </w:r>
      <w:r w:rsidRPr="00B47DD9">
        <w:rPr>
          <w:rFonts w:eastAsia="Times New Roman" w:cs="Segoe UI"/>
          <w:lang w:eastAsia="en-GB"/>
        </w:rPr>
        <w:t xml:space="preserve"> More often though, excluded groups have struggled to navigate the public law regime, and have sought to be included instead within the scope of (more generous) employment law rights. On a domestic level, public sector groups have had a level of success at challenging their exclusion from private employment rig</w:t>
      </w:r>
      <w:r w:rsidR="00E306B9" w:rsidRPr="00B47DD9">
        <w:rPr>
          <w:rFonts w:eastAsia="Times New Roman" w:cs="Segoe UI"/>
          <w:lang w:eastAsia="en-GB"/>
        </w:rPr>
        <w:t>hts, and many of these groups are now included within employment law protection.</w:t>
      </w:r>
      <w:r w:rsidR="00E306B9" w:rsidRPr="00B47DD9">
        <w:rPr>
          <w:rStyle w:val="FootnoteReference"/>
          <w:rFonts w:eastAsia="Times New Roman" w:cs="Segoe UI"/>
          <w:lang w:eastAsia="en-GB"/>
        </w:rPr>
        <w:footnoteReference w:id="3"/>
      </w:r>
      <w:r w:rsidR="00371BD4" w:rsidRPr="00B47DD9">
        <w:rPr>
          <w:rFonts w:eastAsia="Times New Roman" w:cs="Segoe UI"/>
          <w:lang w:eastAsia="en-GB"/>
        </w:rPr>
        <w:t xml:space="preserve"> Likewise, at EU level, there are examples of </w:t>
      </w:r>
      <w:r w:rsidR="003B5D3D" w:rsidRPr="00B47DD9">
        <w:rPr>
          <w:rFonts w:eastAsia="Times New Roman" w:cs="Segoe UI"/>
          <w:lang w:eastAsia="en-GB"/>
        </w:rPr>
        <w:t>public sector groups mounting a successful challenge to their exclusion from the jurisdiction of private employment law.</w:t>
      </w:r>
      <w:r w:rsidR="003B5D3D" w:rsidRPr="00B47DD9">
        <w:rPr>
          <w:rStyle w:val="FootnoteReference"/>
          <w:rFonts w:eastAsia="Times New Roman" w:cs="Segoe UI"/>
          <w:lang w:eastAsia="en-GB"/>
        </w:rPr>
        <w:footnoteReference w:id="4"/>
      </w:r>
      <w:r w:rsidR="003540E6" w:rsidRPr="00B47DD9">
        <w:rPr>
          <w:rFonts w:eastAsia="Times New Roman" w:cs="Segoe UI"/>
          <w:lang w:eastAsia="en-GB"/>
        </w:rPr>
        <w:t xml:space="preserve"> </w:t>
      </w:r>
      <w:r w:rsidR="003B5D3D" w:rsidRPr="00B47DD9">
        <w:rPr>
          <w:rFonts w:eastAsia="Times New Roman" w:cs="Segoe UI"/>
          <w:lang w:eastAsia="en-GB"/>
        </w:rPr>
        <w:lastRenderedPageBreak/>
        <w:t xml:space="preserve">However, </w:t>
      </w:r>
      <w:r w:rsidR="00371BD4" w:rsidRPr="00B47DD9">
        <w:rPr>
          <w:rFonts w:eastAsia="Times New Roman" w:cs="Segoe UI"/>
          <w:lang w:eastAsia="en-GB"/>
        </w:rPr>
        <w:t>as will become evident during the course of this article, the inclusion of public sector employees within the private law regime</w:t>
      </w:r>
      <w:r w:rsidR="00190A1A" w:rsidRPr="00B47DD9">
        <w:rPr>
          <w:rFonts w:eastAsia="Times New Roman" w:cs="Segoe UI"/>
          <w:lang w:eastAsia="en-GB"/>
        </w:rPr>
        <w:t xml:space="preserve"> of employment</w:t>
      </w:r>
      <w:r w:rsidR="00371BD4" w:rsidRPr="00B47DD9">
        <w:rPr>
          <w:rFonts w:eastAsia="Times New Roman" w:cs="Segoe UI"/>
          <w:lang w:eastAsia="en-GB"/>
        </w:rPr>
        <w:t xml:space="preserve"> remains partial and fragmented. Even amongst those groups mounting a ‘successful’ challenge against their exclusion, they have rarely achieved inclusion wi</w:t>
      </w:r>
      <w:r w:rsidR="00826D56">
        <w:rPr>
          <w:rFonts w:eastAsia="Times New Roman" w:cs="Segoe UI"/>
          <w:lang w:eastAsia="en-GB"/>
        </w:rPr>
        <w:t>thin the entirety of private</w:t>
      </w:r>
      <w:r w:rsidR="00371BD4" w:rsidRPr="00B47DD9">
        <w:rPr>
          <w:rFonts w:eastAsia="Times New Roman" w:cs="Segoe UI"/>
          <w:lang w:eastAsia="en-GB"/>
        </w:rPr>
        <w:t xml:space="preserve"> employment</w:t>
      </w:r>
      <w:r w:rsidR="00826D56">
        <w:rPr>
          <w:rFonts w:eastAsia="Times New Roman" w:cs="Segoe UI"/>
          <w:lang w:eastAsia="en-GB"/>
        </w:rPr>
        <w:t xml:space="preserve"> law</w:t>
      </w:r>
      <w:r w:rsidR="00371BD4" w:rsidRPr="00B47DD9">
        <w:rPr>
          <w:rFonts w:eastAsia="Times New Roman" w:cs="Segoe UI"/>
          <w:lang w:eastAsia="en-GB"/>
        </w:rPr>
        <w:t xml:space="preserve"> protections.</w:t>
      </w:r>
      <w:r w:rsidR="00190A1A" w:rsidRPr="00B47DD9">
        <w:rPr>
          <w:rStyle w:val="FootnoteReference"/>
          <w:rFonts w:eastAsia="Times New Roman" w:cs="Segoe UI"/>
          <w:lang w:eastAsia="en-GB"/>
        </w:rPr>
        <w:footnoteReference w:id="5"/>
      </w:r>
      <w:r w:rsidR="00371BD4" w:rsidRPr="00B47DD9">
        <w:rPr>
          <w:rFonts w:eastAsia="Times New Roman" w:cs="Segoe UI"/>
          <w:lang w:eastAsia="en-GB"/>
        </w:rPr>
        <w:t xml:space="preserve"> There are still other groups who have not been able to successfully challenge their private law exclusion at all.</w:t>
      </w:r>
      <w:r w:rsidR="00350407" w:rsidRPr="00B47DD9">
        <w:rPr>
          <w:rStyle w:val="FootnoteReference"/>
          <w:rFonts w:eastAsia="Times New Roman" w:cs="Segoe UI"/>
          <w:lang w:eastAsia="en-GB"/>
        </w:rPr>
        <w:footnoteReference w:id="6"/>
      </w:r>
      <w:r w:rsidR="00371BD4" w:rsidRPr="00B47DD9">
        <w:rPr>
          <w:rFonts w:eastAsia="Times New Roman" w:cs="Segoe UI"/>
          <w:lang w:eastAsia="en-GB"/>
        </w:rPr>
        <w:t xml:space="preserve"> </w:t>
      </w:r>
    </w:p>
    <w:p w:rsidR="007A5108" w:rsidRPr="00B47DD9" w:rsidRDefault="00520C80" w:rsidP="00CE3AC2">
      <w:pPr>
        <w:spacing w:after="150" w:line="480" w:lineRule="auto"/>
        <w:ind w:firstLine="360"/>
        <w:jc w:val="both"/>
        <w:rPr>
          <w:rFonts w:eastAsia="Times New Roman" w:cs="Segoe UI"/>
          <w:lang w:eastAsia="en-GB"/>
        </w:rPr>
      </w:pPr>
      <w:r w:rsidRPr="00B47DD9">
        <w:rPr>
          <w:rFonts w:eastAsia="Times New Roman" w:cs="Segoe UI"/>
          <w:lang w:eastAsia="en-GB"/>
        </w:rPr>
        <w:t>The aim of</w:t>
      </w:r>
      <w:r w:rsidR="00371BD4" w:rsidRPr="00B47DD9">
        <w:rPr>
          <w:rFonts w:eastAsia="Times New Roman" w:cs="Segoe UI"/>
          <w:lang w:eastAsia="en-GB"/>
        </w:rPr>
        <w:t xml:space="preserve"> this article is to consider this fragmented picture and the current legal position of public sector employees</w:t>
      </w:r>
      <w:r w:rsidRPr="00B47DD9">
        <w:rPr>
          <w:rFonts w:eastAsia="Times New Roman" w:cs="Segoe UI"/>
          <w:lang w:eastAsia="en-GB"/>
        </w:rPr>
        <w:t>. It</w:t>
      </w:r>
      <w:r w:rsidR="00826D56">
        <w:rPr>
          <w:rFonts w:eastAsia="Times New Roman" w:cs="Segoe UI"/>
          <w:lang w:eastAsia="en-GB"/>
        </w:rPr>
        <w:t xml:space="preserve"> starts, in section two, </w:t>
      </w:r>
      <w:r w:rsidR="007A5108" w:rsidRPr="00B47DD9">
        <w:rPr>
          <w:rFonts w:eastAsia="Times New Roman" w:cs="Segoe UI"/>
          <w:lang w:eastAsia="en-GB"/>
        </w:rPr>
        <w:t>with an analysis of the origins and justifications for the separation of the regulation of ‘private’ as opposed to ‘public</w:t>
      </w:r>
      <w:r w:rsidR="00826D56">
        <w:rPr>
          <w:rFonts w:eastAsia="Times New Roman" w:cs="Segoe UI"/>
          <w:lang w:eastAsia="en-GB"/>
        </w:rPr>
        <w:t>’</w:t>
      </w:r>
      <w:r w:rsidR="007A5108" w:rsidRPr="00B47DD9">
        <w:rPr>
          <w:rFonts w:eastAsia="Times New Roman" w:cs="Segoe UI"/>
          <w:lang w:eastAsia="en-GB"/>
        </w:rPr>
        <w:t xml:space="preserve"> employees, and how that separation h</w:t>
      </w:r>
      <w:r w:rsidR="00826D56">
        <w:rPr>
          <w:rFonts w:eastAsia="Times New Roman" w:cs="Segoe UI"/>
          <w:lang w:eastAsia="en-GB"/>
        </w:rPr>
        <w:t>as evolved over time. The third</w:t>
      </w:r>
      <w:r w:rsidR="007A5108" w:rsidRPr="00B47DD9">
        <w:rPr>
          <w:rFonts w:eastAsia="Times New Roman" w:cs="Segoe UI"/>
          <w:lang w:eastAsia="en-GB"/>
        </w:rPr>
        <w:t xml:space="preserve"> section of the article outlines some of the possible critiques of that separation, and the particular areas in which that separation can be challenged in theoretical terms. </w:t>
      </w:r>
      <w:r w:rsidR="005D7FAA" w:rsidRPr="00B47DD9">
        <w:rPr>
          <w:rFonts w:eastAsia="Times New Roman" w:cs="Segoe UI"/>
          <w:lang w:eastAsia="en-GB"/>
        </w:rPr>
        <w:t>Thi</w:t>
      </w:r>
      <w:r w:rsidR="008A6CCD" w:rsidRPr="00B47DD9">
        <w:rPr>
          <w:rFonts w:eastAsia="Times New Roman" w:cs="Segoe UI"/>
          <w:lang w:eastAsia="en-GB"/>
        </w:rPr>
        <w:t>s will be followed, in the fourth</w:t>
      </w:r>
      <w:r w:rsidR="005D7FAA" w:rsidRPr="00B47DD9">
        <w:rPr>
          <w:rFonts w:eastAsia="Times New Roman" w:cs="Segoe UI"/>
          <w:lang w:eastAsia="en-GB"/>
        </w:rPr>
        <w:t xml:space="preserve"> section, by an assessment of</w:t>
      </w:r>
      <w:r w:rsidR="00350407" w:rsidRPr="00B47DD9">
        <w:rPr>
          <w:rFonts w:eastAsia="Times New Roman" w:cs="Segoe UI"/>
          <w:lang w:eastAsia="en-GB"/>
        </w:rPr>
        <w:t xml:space="preserve"> the practical ways in which</w:t>
      </w:r>
      <w:r w:rsidR="005D7FAA" w:rsidRPr="00B47DD9">
        <w:rPr>
          <w:rFonts w:eastAsia="Times New Roman" w:cs="Segoe UI"/>
          <w:lang w:eastAsia="en-GB"/>
        </w:rPr>
        <w:t xml:space="preserve"> public employees have recently sought to challenge this separation, and particularly their exclusion from employment law rights. The final section will proceed to discuss how far public law may step in to moderate the exclusion of public employees from the employment law regime, and the possible benefits to employees of a </w:t>
      </w:r>
      <w:r w:rsidR="00120ABC" w:rsidRPr="00B47DD9">
        <w:rPr>
          <w:rFonts w:eastAsia="Times New Roman" w:cs="Segoe UI"/>
          <w:lang w:eastAsia="en-GB"/>
        </w:rPr>
        <w:t>relaxation of that regime to cater for particular individual circumstances.</w:t>
      </w:r>
    </w:p>
    <w:p w:rsidR="00620B7E" w:rsidRPr="00B47DD9" w:rsidRDefault="00B21D9D" w:rsidP="00CE3AC2">
      <w:pPr>
        <w:pStyle w:val="ListParagraph"/>
        <w:numPr>
          <w:ilvl w:val="0"/>
          <w:numId w:val="4"/>
        </w:numPr>
        <w:spacing w:after="150" w:line="480" w:lineRule="auto"/>
        <w:jc w:val="both"/>
        <w:rPr>
          <w:rFonts w:eastAsia="Times New Roman" w:cs="Segoe UI"/>
          <w:lang w:eastAsia="en-GB"/>
        </w:rPr>
      </w:pPr>
      <w:r w:rsidRPr="00B47DD9">
        <w:rPr>
          <w:rFonts w:eastAsia="Times New Roman" w:cs="Segoe UI"/>
          <w:lang w:eastAsia="en-GB"/>
        </w:rPr>
        <w:t>Justifications for differential treatment of private sector/public sector employees</w:t>
      </w:r>
    </w:p>
    <w:p w:rsidR="00CF5418" w:rsidRPr="00B47DD9" w:rsidRDefault="001E126D" w:rsidP="00CE3AC2">
      <w:pPr>
        <w:spacing w:after="150" w:line="480" w:lineRule="auto"/>
        <w:jc w:val="both"/>
        <w:rPr>
          <w:rFonts w:eastAsia="Times New Roman" w:cs="Segoe UI"/>
          <w:lang w:eastAsia="en-GB"/>
        </w:rPr>
      </w:pPr>
      <w:r w:rsidRPr="00B47DD9">
        <w:rPr>
          <w:rFonts w:eastAsia="Times New Roman" w:cs="Segoe UI"/>
          <w:lang w:eastAsia="en-GB"/>
        </w:rPr>
        <w:t>At a theoretical level, the justification for the differential treatment of employees in the public and private sector</w:t>
      </w:r>
      <w:r w:rsidR="007670F6" w:rsidRPr="00B47DD9">
        <w:rPr>
          <w:rFonts w:eastAsia="Times New Roman" w:cs="Segoe UI"/>
          <w:lang w:eastAsia="en-GB"/>
        </w:rPr>
        <w:t xml:space="preserve"> can stem</w:t>
      </w:r>
      <w:r w:rsidRPr="00B47DD9">
        <w:rPr>
          <w:rFonts w:eastAsia="Times New Roman" w:cs="Segoe UI"/>
          <w:lang w:eastAsia="en-GB"/>
        </w:rPr>
        <w:t xml:space="preserve"> f</w:t>
      </w:r>
      <w:r w:rsidR="001D46A6" w:rsidRPr="00B47DD9">
        <w:rPr>
          <w:rFonts w:eastAsia="Times New Roman" w:cs="Segoe UI"/>
          <w:lang w:eastAsia="en-GB"/>
        </w:rPr>
        <w:t>rom the</w:t>
      </w:r>
      <w:r w:rsidRPr="00B47DD9">
        <w:rPr>
          <w:rFonts w:eastAsia="Times New Roman" w:cs="Segoe UI"/>
          <w:lang w:eastAsia="en-GB"/>
        </w:rPr>
        <w:t xml:space="preserve"> recognition of the important differences in public as opposed to private power.</w:t>
      </w:r>
      <w:r w:rsidRPr="00B47DD9">
        <w:rPr>
          <w:rStyle w:val="FootnoteReference"/>
          <w:rFonts w:eastAsia="Times New Roman" w:cs="Segoe UI"/>
          <w:lang w:eastAsia="en-GB"/>
        </w:rPr>
        <w:footnoteReference w:id="7"/>
      </w:r>
      <w:r w:rsidR="007670F6" w:rsidRPr="00B47DD9">
        <w:rPr>
          <w:rFonts w:eastAsia="Times New Roman" w:cs="Segoe UI"/>
          <w:lang w:eastAsia="en-GB"/>
        </w:rPr>
        <w:t xml:space="preserve"> Private power</w:t>
      </w:r>
      <w:r w:rsidR="00D0303E" w:rsidRPr="00B47DD9">
        <w:rPr>
          <w:rFonts w:eastAsia="Times New Roman" w:cs="Segoe UI"/>
          <w:lang w:eastAsia="en-GB"/>
        </w:rPr>
        <w:t xml:space="preserve"> </w:t>
      </w:r>
      <w:r w:rsidR="00175574" w:rsidRPr="00B47DD9">
        <w:rPr>
          <w:rFonts w:eastAsia="Times New Roman" w:cs="Segoe UI"/>
          <w:lang w:eastAsia="en-GB"/>
        </w:rPr>
        <w:t>may be characterised as</w:t>
      </w:r>
      <w:r w:rsidRPr="00B47DD9">
        <w:rPr>
          <w:rFonts w:eastAsia="Times New Roman" w:cs="Segoe UI"/>
          <w:lang w:eastAsia="en-GB"/>
        </w:rPr>
        <w:t xml:space="preserve"> </w:t>
      </w:r>
      <w:r w:rsidR="00175574" w:rsidRPr="00B47DD9">
        <w:rPr>
          <w:rFonts w:eastAsia="Times New Roman" w:cs="Segoe UI"/>
          <w:lang w:eastAsia="en-GB"/>
        </w:rPr>
        <w:t>‘</w:t>
      </w:r>
      <w:r w:rsidRPr="00B47DD9">
        <w:rPr>
          <w:rFonts w:eastAsia="Times New Roman" w:cs="Segoe UI"/>
          <w:lang w:eastAsia="en-GB"/>
        </w:rPr>
        <w:t>economic</w:t>
      </w:r>
      <w:r w:rsidR="00175574" w:rsidRPr="00B47DD9">
        <w:rPr>
          <w:rFonts w:eastAsia="Times New Roman" w:cs="Segoe UI"/>
          <w:lang w:eastAsia="en-GB"/>
        </w:rPr>
        <w:t>’</w:t>
      </w:r>
      <w:r w:rsidRPr="00B47DD9">
        <w:rPr>
          <w:rFonts w:eastAsia="Times New Roman" w:cs="Segoe UI"/>
          <w:lang w:eastAsia="en-GB"/>
        </w:rPr>
        <w:t xml:space="preserve"> in nature. At the level of </w:t>
      </w:r>
      <w:r w:rsidRPr="00B47DD9">
        <w:rPr>
          <w:rFonts w:eastAsia="Times New Roman" w:cs="Segoe UI"/>
          <w:lang w:eastAsia="en-GB"/>
        </w:rPr>
        <w:lastRenderedPageBreak/>
        <w:t>employ</w:t>
      </w:r>
      <w:r w:rsidR="00175574" w:rsidRPr="00B47DD9">
        <w:rPr>
          <w:rFonts w:eastAsia="Times New Roman" w:cs="Segoe UI"/>
          <w:lang w:eastAsia="en-GB"/>
        </w:rPr>
        <w:t>ment, this economic power is u</w:t>
      </w:r>
      <w:r w:rsidR="0071381A" w:rsidRPr="00B47DD9">
        <w:rPr>
          <w:rFonts w:eastAsia="Times New Roman" w:cs="Segoe UI"/>
          <w:lang w:eastAsia="en-GB"/>
        </w:rPr>
        <w:t>sually understood in terms of differentials in bargaining power between</w:t>
      </w:r>
      <w:r w:rsidR="00175574" w:rsidRPr="00B47DD9">
        <w:rPr>
          <w:rFonts w:eastAsia="Times New Roman" w:cs="Segoe UI"/>
          <w:lang w:eastAsia="en-GB"/>
        </w:rPr>
        <w:t xml:space="preserve"> employe</w:t>
      </w:r>
      <w:r w:rsidR="0071381A" w:rsidRPr="00B47DD9">
        <w:rPr>
          <w:rFonts w:eastAsia="Times New Roman" w:cs="Segoe UI"/>
          <w:lang w:eastAsia="en-GB"/>
        </w:rPr>
        <w:t xml:space="preserve">rs and employees. </w:t>
      </w:r>
      <w:r w:rsidR="00CF5418" w:rsidRPr="00B47DD9">
        <w:rPr>
          <w:rFonts w:eastAsia="Times New Roman" w:cs="Segoe UI"/>
          <w:lang w:eastAsia="en-GB"/>
        </w:rPr>
        <w:t>The employer is represented as possessing a</w:t>
      </w:r>
      <w:r w:rsidR="0071381A" w:rsidRPr="00B47DD9">
        <w:rPr>
          <w:rFonts w:eastAsia="Times New Roman" w:cs="Segoe UI"/>
          <w:lang w:eastAsia="en-GB"/>
        </w:rPr>
        <w:t xml:space="preserve"> higher level of bargaining power</w:t>
      </w:r>
      <w:r w:rsidR="00CF5418" w:rsidRPr="00B47DD9">
        <w:rPr>
          <w:rFonts w:eastAsia="Times New Roman" w:cs="Segoe UI"/>
          <w:lang w:eastAsia="en-GB"/>
        </w:rPr>
        <w:t xml:space="preserve"> than the employee</w:t>
      </w:r>
      <w:r w:rsidR="0071381A" w:rsidRPr="00B47DD9">
        <w:rPr>
          <w:rFonts w:eastAsia="Times New Roman" w:cs="Segoe UI"/>
          <w:lang w:eastAsia="en-GB"/>
        </w:rPr>
        <w:t>,</w:t>
      </w:r>
      <w:r w:rsidR="00CF5418" w:rsidRPr="00B47DD9">
        <w:rPr>
          <w:rFonts w:eastAsia="Times New Roman" w:cs="Segoe UI"/>
          <w:lang w:eastAsia="en-GB"/>
        </w:rPr>
        <w:t xml:space="preserve"> and this inequality dictates the structure of the contract of employment. In this situation, it is argued that it is not accurate to present the</w:t>
      </w:r>
      <w:r w:rsidR="0071381A" w:rsidRPr="00B47DD9">
        <w:rPr>
          <w:rFonts w:eastAsia="Times New Roman" w:cs="Segoe UI"/>
          <w:lang w:eastAsia="en-GB"/>
        </w:rPr>
        <w:t xml:space="preserve"> contract of emplo</w:t>
      </w:r>
      <w:r w:rsidR="00CF5418" w:rsidRPr="00B47DD9">
        <w:rPr>
          <w:rFonts w:eastAsia="Times New Roman" w:cs="Segoe UI"/>
          <w:lang w:eastAsia="en-GB"/>
        </w:rPr>
        <w:t>yment as</w:t>
      </w:r>
      <w:r w:rsidR="0071381A" w:rsidRPr="00B47DD9">
        <w:rPr>
          <w:rFonts w:eastAsia="Times New Roman" w:cs="Segoe UI"/>
          <w:lang w:eastAsia="en-GB"/>
        </w:rPr>
        <w:t xml:space="preserve"> a freely negotiated and consensual agreement. It is the employer</w:t>
      </w:r>
      <w:r w:rsidR="00175574" w:rsidRPr="00B47DD9">
        <w:rPr>
          <w:rFonts w:eastAsia="Times New Roman" w:cs="Segoe UI"/>
          <w:lang w:eastAsia="en-GB"/>
        </w:rPr>
        <w:t xml:space="preserve"> who decides on the contractual terms and offers the contract on a ‘take it or leave it’ basis.</w:t>
      </w:r>
      <w:r w:rsidR="0071381A" w:rsidRPr="00B47DD9">
        <w:rPr>
          <w:rFonts w:eastAsia="Times New Roman" w:cs="Segoe UI"/>
          <w:lang w:eastAsia="en-GB"/>
        </w:rPr>
        <w:t xml:space="preserve"> The employee has little or no opportunity to negotiate contractual terms, and is forced into accepting the contract of employment on the basis </w:t>
      </w:r>
      <w:r w:rsidR="00CF5418" w:rsidRPr="00B47DD9">
        <w:rPr>
          <w:rFonts w:eastAsia="Times New Roman" w:cs="Segoe UI"/>
          <w:lang w:eastAsia="en-GB"/>
        </w:rPr>
        <w:t>that the contract is necessary for his/her valued existence</w:t>
      </w:r>
      <w:r w:rsidR="0071381A" w:rsidRPr="00B47DD9">
        <w:rPr>
          <w:rFonts w:eastAsia="Times New Roman" w:cs="Segoe UI"/>
          <w:lang w:eastAsia="en-GB"/>
        </w:rPr>
        <w:t>.</w:t>
      </w:r>
      <w:r w:rsidR="00CF5418" w:rsidRPr="00B47DD9">
        <w:rPr>
          <w:rStyle w:val="FootnoteReference"/>
          <w:rFonts w:eastAsia="Times New Roman" w:cs="Segoe UI"/>
          <w:lang w:eastAsia="en-GB"/>
        </w:rPr>
        <w:footnoteReference w:id="8"/>
      </w:r>
      <w:r w:rsidR="0071381A" w:rsidRPr="00B47DD9">
        <w:rPr>
          <w:rFonts w:eastAsia="Times New Roman" w:cs="Segoe UI"/>
          <w:lang w:eastAsia="en-GB"/>
        </w:rPr>
        <w:t xml:space="preserve"> </w:t>
      </w:r>
      <w:r w:rsidR="00175574" w:rsidRPr="00B47DD9">
        <w:rPr>
          <w:rFonts w:eastAsia="Times New Roman" w:cs="Segoe UI"/>
          <w:lang w:eastAsia="en-GB"/>
        </w:rPr>
        <w:t xml:space="preserve"> In this scenario, the role of employment law is to step into ensure that the worst excesses of employer power are avoided. For example, employment law may establish the right to form and join trade unions to boost the ‘social power’ of workers or may act to create a set of </w:t>
      </w:r>
      <w:r w:rsidR="00CF5418" w:rsidRPr="00B47DD9">
        <w:rPr>
          <w:rFonts w:eastAsia="Times New Roman" w:cs="Segoe UI"/>
          <w:lang w:eastAsia="en-GB"/>
        </w:rPr>
        <w:t xml:space="preserve">minimum standards which set the boundaries for the operation of employment contracts. </w:t>
      </w:r>
    </w:p>
    <w:p w:rsidR="003D40F6" w:rsidRPr="00B47DD9" w:rsidRDefault="00CF5418" w:rsidP="00CE3AC2">
      <w:pPr>
        <w:spacing w:after="150" w:line="480" w:lineRule="auto"/>
        <w:ind w:firstLine="720"/>
        <w:jc w:val="both"/>
        <w:rPr>
          <w:rFonts w:eastAsia="Times New Roman" w:cs="Segoe UI"/>
          <w:lang w:eastAsia="en-GB"/>
        </w:rPr>
      </w:pPr>
      <w:r w:rsidRPr="00B47DD9">
        <w:rPr>
          <w:rFonts w:eastAsia="Times New Roman" w:cs="Segoe UI"/>
          <w:lang w:eastAsia="en-GB"/>
        </w:rPr>
        <w:t>By contrast,</w:t>
      </w:r>
      <w:r w:rsidR="00E2172A" w:rsidRPr="00B47DD9">
        <w:rPr>
          <w:rFonts w:eastAsia="Times New Roman" w:cs="Segoe UI"/>
          <w:lang w:eastAsia="en-GB"/>
        </w:rPr>
        <w:t xml:space="preserve"> public power</w:t>
      </w:r>
      <w:r w:rsidRPr="00B47DD9">
        <w:rPr>
          <w:rFonts w:eastAsia="Times New Roman" w:cs="Segoe UI"/>
          <w:lang w:eastAsia="en-GB"/>
        </w:rPr>
        <w:t xml:space="preserve"> has </w:t>
      </w:r>
      <w:r w:rsidR="00E2172A" w:rsidRPr="00B47DD9">
        <w:rPr>
          <w:rFonts w:eastAsia="Times New Roman" w:cs="Segoe UI"/>
          <w:lang w:eastAsia="en-GB"/>
        </w:rPr>
        <w:t>specific features which set</w:t>
      </w:r>
      <w:r w:rsidRPr="00B47DD9">
        <w:rPr>
          <w:rFonts w:eastAsia="Times New Roman" w:cs="Segoe UI"/>
          <w:lang w:eastAsia="en-GB"/>
        </w:rPr>
        <w:t xml:space="preserve"> it apart</w:t>
      </w:r>
      <w:r w:rsidR="00E2172A" w:rsidRPr="00B47DD9">
        <w:rPr>
          <w:rFonts w:eastAsia="Times New Roman" w:cs="Segoe UI"/>
          <w:lang w:eastAsia="en-GB"/>
        </w:rPr>
        <w:t xml:space="preserve"> from private power.</w:t>
      </w:r>
      <w:r w:rsidR="0033582D" w:rsidRPr="00B47DD9">
        <w:rPr>
          <w:rFonts w:eastAsia="Times New Roman" w:cs="Segoe UI"/>
          <w:lang w:eastAsia="en-GB"/>
        </w:rPr>
        <w:t xml:space="preserve"> First, </w:t>
      </w:r>
      <w:r w:rsidRPr="00B47DD9">
        <w:rPr>
          <w:rFonts w:eastAsia="Times New Roman" w:cs="Segoe UI"/>
          <w:lang w:eastAsia="en-GB"/>
        </w:rPr>
        <w:t>the government has access to ‘coercive’ power beyond that f</w:t>
      </w:r>
      <w:r w:rsidR="00E2172A" w:rsidRPr="00B47DD9">
        <w:rPr>
          <w:rFonts w:eastAsia="Times New Roman" w:cs="Segoe UI"/>
          <w:lang w:eastAsia="en-GB"/>
        </w:rPr>
        <w:t>ound amongst private bodies (in particular the ability to legislate and raise taxation).</w:t>
      </w:r>
      <w:r w:rsidR="00242A56" w:rsidRPr="00B47DD9">
        <w:rPr>
          <w:rStyle w:val="FootnoteReference"/>
          <w:rFonts w:eastAsia="Times New Roman" w:cs="Segoe UI"/>
          <w:lang w:eastAsia="en-GB"/>
        </w:rPr>
        <w:footnoteReference w:id="9"/>
      </w:r>
      <w:r w:rsidR="00E2172A" w:rsidRPr="00B47DD9">
        <w:rPr>
          <w:rFonts w:eastAsia="Times New Roman" w:cs="Segoe UI"/>
          <w:lang w:eastAsia="en-GB"/>
        </w:rPr>
        <w:t xml:space="preserve"> </w:t>
      </w:r>
      <w:r w:rsidR="0033582D" w:rsidRPr="00B47DD9">
        <w:rPr>
          <w:rFonts w:eastAsia="Times New Roman" w:cs="Segoe UI"/>
          <w:lang w:eastAsia="en-GB"/>
        </w:rPr>
        <w:t>Second, public power is granted through a democratic process, and so the government is accountable to the el</w:t>
      </w:r>
      <w:r w:rsidR="004364F5" w:rsidRPr="00B47DD9">
        <w:rPr>
          <w:rFonts w:eastAsia="Times New Roman" w:cs="Segoe UI"/>
          <w:lang w:eastAsia="en-GB"/>
        </w:rPr>
        <w:t>ectorate in the exercise of its</w:t>
      </w:r>
      <w:r w:rsidR="0033582D" w:rsidRPr="00B47DD9">
        <w:rPr>
          <w:rFonts w:eastAsia="Times New Roman" w:cs="Segoe UI"/>
          <w:lang w:eastAsia="en-GB"/>
        </w:rPr>
        <w:t xml:space="preserve"> power. In the context of employment, both of these features imply that the actions of state employers should be constrained in ways which may not be appropriate in a private context. </w:t>
      </w:r>
      <w:r w:rsidR="004364F5" w:rsidRPr="00B47DD9">
        <w:rPr>
          <w:rFonts w:eastAsia="Times New Roman" w:cs="Segoe UI"/>
          <w:lang w:eastAsia="en-GB"/>
        </w:rPr>
        <w:t>For example, the payment of employees in the public sector essentially involves the use of public money. This means that these payment arrangement</w:t>
      </w:r>
      <w:r w:rsidR="007D67B6" w:rsidRPr="00B47DD9">
        <w:rPr>
          <w:rFonts w:eastAsia="Times New Roman" w:cs="Segoe UI"/>
          <w:lang w:eastAsia="en-GB"/>
        </w:rPr>
        <w:t>s may (or should) be</w:t>
      </w:r>
      <w:r w:rsidR="004364F5" w:rsidRPr="00B47DD9">
        <w:rPr>
          <w:rFonts w:eastAsia="Times New Roman" w:cs="Segoe UI"/>
          <w:lang w:eastAsia="en-GB"/>
        </w:rPr>
        <w:t xml:space="preserve"> subject </w:t>
      </w:r>
      <w:r w:rsidR="007D67B6" w:rsidRPr="00B47DD9">
        <w:rPr>
          <w:rFonts w:eastAsia="Times New Roman" w:cs="Segoe UI"/>
          <w:lang w:eastAsia="en-GB"/>
        </w:rPr>
        <w:t>to scrutiny to ensure that they operate according to</w:t>
      </w:r>
      <w:r w:rsidR="004364F5" w:rsidRPr="00B47DD9">
        <w:rPr>
          <w:rFonts w:eastAsia="Times New Roman" w:cs="Segoe UI"/>
          <w:lang w:eastAsia="en-GB"/>
        </w:rPr>
        <w:t xml:space="preserve"> proper controls and systems of</w:t>
      </w:r>
      <w:r w:rsidR="007D67B6" w:rsidRPr="00B47DD9">
        <w:rPr>
          <w:rFonts w:eastAsia="Times New Roman" w:cs="Segoe UI"/>
          <w:lang w:eastAsia="en-GB"/>
        </w:rPr>
        <w:t xml:space="preserve"> accountability. </w:t>
      </w:r>
      <w:r w:rsidR="004364F5" w:rsidRPr="00B47DD9">
        <w:rPr>
          <w:rFonts w:eastAsia="Times New Roman" w:cs="Segoe UI"/>
          <w:lang w:eastAsia="en-GB"/>
        </w:rPr>
        <w:t xml:space="preserve">Furthermore, there is a level of accountability of the state as employer in relation to </w:t>
      </w:r>
      <w:r w:rsidR="007D67B6" w:rsidRPr="00B47DD9">
        <w:rPr>
          <w:rFonts w:eastAsia="Times New Roman" w:cs="Segoe UI"/>
          <w:lang w:eastAsia="en-GB"/>
        </w:rPr>
        <w:t xml:space="preserve">the </w:t>
      </w:r>
      <w:r w:rsidR="004364F5" w:rsidRPr="00B47DD9">
        <w:rPr>
          <w:rFonts w:eastAsia="Times New Roman" w:cs="Segoe UI"/>
          <w:lang w:eastAsia="en-GB"/>
        </w:rPr>
        <w:t xml:space="preserve">disclosure of </w:t>
      </w:r>
      <w:r w:rsidR="007D67B6" w:rsidRPr="00B47DD9">
        <w:rPr>
          <w:rFonts w:eastAsia="Times New Roman" w:cs="Segoe UI"/>
          <w:lang w:eastAsia="en-GB"/>
        </w:rPr>
        <w:t>wrongdoing amongst its staff</w:t>
      </w:r>
      <w:r w:rsidR="004364F5" w:rsidRPr="00B47DD9">
        <w:rPr>
          <w:rFonts w:eastAsia="Times New Roman" w:cs="Segoe UI"/>
          <w:lang w:eastAsia="en-GB"/>
        </w:rPr>
        <w:t xml:space="preserve"> which </w:t>
      </w:r>
      <w:r w:rsidR="007D67B6" w:rsidRPr="00B47DD9">
        <w:rPr>
          <w:rFonts w:eastAsia="Times New Roman" w:cs="Segoe UI"/>
          <w:lang w:eastAsia="en-GB"/>
        </w:rPr>
        <w:t>may not exist in the private sector.</w:t>
      </w:r>
      <w:r w:rsidR="00B40A97" w:rsidRPr="00B47DD9">
        <w:rPr>
          <w:rStyle w:val="FootnoteReference"/>
          <w:rFonts w:eastAsia="Times New Roman" w:cs="Segoe UI"/>
          <w:lang w:eastAsia="en-GB"/>
        </w:rPr>
        <w:footnoteReference w:id="10"/>
      </w:r>
      <w:r w:rsidR="007D67B6" w:rsidRPr="00B47DD9">
        <w:rPr>
          <w:rFonts w:eastAsia="Times New Roman" w:cs="Segoe UI"/>
          <w:lang w:eastAsia="en-GB"/>
        </w:rPr>
        <w:t xml:space="preserve"> Finally, there is the argument that the </w:t>
      </w:r>
      <w:r w:rsidR="007D67B6" w:rsidRPr="00B47DD9">
        <w:rPr>
          <w:rFonts w:eastAsia="Times New Roman" w:cs="Segoe UI"/>
          <w:lang w:eastAsia="en-GB"/>
        </w:rPr>
        <w:lastRenderedPageBreak/>
        <w:t>recruitment of public sector staff should be more highly regulated than in the private sector to ensure the requisite level of (public) openness and transparency.</w:t>
      </w:r>
      <w:r w:rsidR="00242A56" w:rsidRPr="00B47DD9">
        <w:rPr>
          <w:rStyle w:val="FootnoteReference"/>
          <w:rFonts w:eastAsia="Times New Roman" w:cs="Segoe UI"/>
          <w:lang w:eastAsia="en-GB"/>
        </w:rPr>
        <w:footnoteReference w:id="11"/>
      </w:r>
      <w:r w:rsidR="007D67B6" w:rsidRPr="00B47DD9">
        <w:rPr>
          <w:rFonts w:eastAsia="Times New Roman" w:cs="Segoe UI"/>
          <w:lang w:eastAsia="en-GB"/>
        </w:rPr>
        <w:t xml:space="preserve"> </w:t>
      </w:r>
    </w:p>
    <w:p w:rsidR="003745CB" w:rsidRPr="00B47DD9" w:rsidRDefault="00AB4F09" w:rsidP="00CE3AC2">
      <w:pPr>
        <w:spacing w:after="150" w:line="480" w:lineRule="auto"/>
        <w:ind w:firstLine="720"/>
        <w:jc w:val="both"/>
        <w:rPr>
          <w:rFonts w:eastAsia="Times New Roman" w:cs="Segoe UI"/>
          <w:lang w:eastAsia="en-GB"/>
        </w:rPr>
      </w:pPr>
      <w:r w:rsidRPr="00B47DD9">
        <w:rPr>
          <w:rFonts w:eastAsia="Times New Roman" w:cs="Segoe UI"/>
          <w:lang w:eastAsia="en-GB"/>
        </w:rPr>
        <w:t xml:space="preserve">A further justification for the distinction between the regulation of public and private sector employment is the idea of contractual status. Whilst the contract of employment forms the basis of both common law and statutory regulation of the private employment relationship, there are difficulties with the concept of a contract of employment </w:t>
      </w:r>
      <w:r w:rsidR="00F41D1D" w:rsidRPr="00B47DD9">
        <w:rPr>
          <w:rFonts w:eastAsia="Times New Roman" w:cs="Segoe UI"/>
          <w:lang w:eastAsia="en-GB"/>
        </w:rPr>
        <w:t>to describe relationships between the state and its</w:t>
      </w:r>
      <w:r w:rsidRPr="00B47DD9">
        <w:rPr>
          <w:rFonts w:eastAsia="Times New Roman" w:cs="Segoe UI"/>
          <w:lang w:eastAsia="en-GB"/>
        </w:rPr>
        <w:t xml:space="preserve"> employees. Indeed, certain public sector groups have been </w:t>
      </w:r>
      <w:r w:rsidR="00205DD6" w:rsidRPr="00B47DD9">
        <w:rPr>
          <w:rFonts w:eastAsia="Times New Roman" w:cs="Segoe UI"/>
          <w:lang w:eastAsia="en-GB"/>
        </w:rPr>
        <w:t>designated</w:t>
      </w:r>
      <w:r w:rsidR="00375402" w:rsidRPr="00B47DD9">
        <w:rPr>
          <w:rFonts w:eastAsia="Times New Roman" w:cs="Segoe UI"/>
          <w:lang w:eastAsia="en-GB"/>
        </w:rPr>
        <w:t xml:space="preserve"> </w:t>
      </w:r>
      <w:r w:rsidR="00BD580A" w:rsidRPr="00B47DD9">
        <w:rPr>
          <w:rFonts w:eastAsia="Times New Roman" w:cs="Segoe UI"/>
          <w:lang w:eastAsia="en-GB"/>
        </w:rPr>
        <w:t>‘officeholder</w:t>
      </w:r>
      <w:r w:rsidR="0089148C" w:rsidRPr="00B47DD9">
        <w:rPr>
          <w:rFonts w:eastAsia="Times New Roman" w:cs="Segoe UI"/>
          <w:lang w:eastAsia="en-GB"/>
        </w:rPr>
        <w:t>s</w:t>
      </w:r>
      <w:r w:rsidR="00BD580A" w:rsidRPr="00B47DD9">
        <w:rPr>
          <w:rFonts w:eastAsia="Times New Roman" w:cs="Segoe UI"/>
          <w:lang w:eastAsia="en-GB"/>
        </w:rPr>
        <w:t>’ rather than</w:t>
      </w:r>
      <w:r w:rsidR="0089148C" w:rsidRPr="00B47DD9">
        <w:rPr>
          <w:rFonts w:eastAsia="Times New Roman" w:cs="Segoe UI"/>
          <w:lang w:eastAsia="en-GB"/>
        </w:rPr>
        <w:t xml:space="preserve"> contractual employees</w:t>
      </w:r>
      <w:r w:rsidR="00205DD6" w:rsidRPr="00B47DD9">
        <w:rPr>
          <w:rFonts w:eastAsia="Times New Roman" w:cs="Segoe UI"/>
          <w:lang w:eastAsia="en-GB"/>
        </w:rPr>
        <w:t>. For these purposes, an</w:t>
      </w:r>
      <w:r w:rsidR="00825C0A" w:rsidRPr="00B47DD9">
        <w:rPr>
          <w:rFonts w:eastAsia="Times New Roman" w:cs="Segoe UI"/>
          <w:lang w:eastAsia="en-GB"/>
        </w:rPr>
        <w:t xml:space="preserve"> ‘office’ is a position of</w:t>
      </w:r>
      <w:r w:rsidR="00BD580A" w:rsidRPr="00B47DD9">
        <w:rPr>
          <w:rFonts w:eastAsia="Times New Roman" w:cs="Segoe UI"/>
          <w:lang w:eastAsia="en-GB"/>
        </w:rPr>
        <w:t xml:space="preserve"> a</w:t>
      </w:r>
      <w:r w:rsidR="00825C0A" w:rsidRPr="00B47DD9">
        <w:rPr>
          <w:rFonts w:eastAsia="Times New Roman" w:cs="Segoe UI"/>
          <w:lang w:eastAsia="en-GB"/>
        </w:rPr>
        <w:t xml:space="preserve"> public nature which has an existence irrespective of the person who fills it, and which is filled by successive holders.</w:t>
      </w:r>
      <w:r w:rsidR="00825C0A" w:rsidRPr="00B47DD9">
        <w:rPr>
          <w:rStyle w:val="FootnoteReference"/>
          <w:rFonts w:eastAsia="Times New Roman" w:cs="Segoe UI"/>
          <w:lang w:eastAsia="en-GB"/>
        </w:rPr>
        <w:footnoteReference w:id="12"/>
      </w:r>
      <w:r w:rsidR="00825C0A" w:rsidRPr="00B47DD9">
        <w:rPr>
          <w:rFonts w:eastAsia="Times New Roman" w:cs="Segoe UI"/>
          <w:lang w:eastAsia="en-GB"/>
        </w:rPr>
        <w:t xml:space="preserve"> The duties of an office are defined not by agreement but by law or by relevant statutory rules.</w:t>
      </w:r>
      <w:r w:rsidR="00BD580A" w:rsidRPr="00B47DD9">
        <w:rPr>
          <w:rFonts w:eastAsia="Times New Roman" w:cs="Segoe UI"/>
          <w:lang w:eastAsia="en-GB"/>
        </w:rPr>
        <w:t xml:space="preserve"> Traditionally, the status of ‘officeholder’ conferred a number of advantages on public servants. For example, officeholders could only be dismissed for good cause, rather than for any reason or by proper notice as used to be the position at common law.</w:t>
      </w:r>
      <w:r w:rsidR="00B40A97" w:rsidRPr="00B47DD9">
        <w:rPr>
          <w:rStyle w:val="FootnoteReference"/>
          <w:rFonts w:eastAsia="Times New Roman" w:cs="Segoe UI"/>
          <w:lang w:eastAsia="en-GB"/>
        </w:rPr>
        <w:footnoteReference w:id="13"/>
      </w:r>
      <w:r w:rsidR="00BD580A" w:rsidRPr="00B47DD9">
        <w:rPr>
          <w:rFonts w:eastAsia="Times New Roman" w:cs="Segoe UI"/>
          <w:lang w:eastAsia="en-GB"/>
        </w:rPr>
        <w:t xml:space="preserve"> Officeholders also potentially had acc</w:t>
      </w:r>
      <w:r w:rsidR="0089148C" w:rsidRPr="00B47DD9">
        <w:rPr>
          <w:rFonts w:eastAsia="Times New Roman" w:cs="Segoe UI"/>
          <w:lang w:eastAsia="en-GB"/>
        </w:rPr>
        <w:t>ess to administrative law rules, including for example the right to claim jud</w:t>
      </w:r>
      <w:r w:rsidRPr="00B47DD9">
        <w:rPr>
          <w:rFonts w:eastAsia="Times New Roman" w:cs="Segoe UI"/>
          <w:lang w:eastAsia="en-GB"/>
        </w:rPr>
        <w:t>icial review.</w:t>
      </w:r>
      <w:r w:rsidR="003745CB" w:rsidRPr="00B47DD9">
        <w:rPr>
          <w:rFonts w:eastAsia="Times New Roman" w:cs="Segoe UI"/>
          <w:lang w:eastAsia="en-GB"/>
        </w:rPr>
        <w:t xml:space="preserve"> These features led some authors to suggest that employment law could be separated into a coherent ‘law of public employment’ governed by public law rules, and a contrasting law of private employment which presented a ‘contractual approach to the regulation of employment relationships’.</w:t>
      </w:r>
      <w:r w:rsidR="00DD49AC" w:rsidRPr="00B47DD9">
        <w:rPr>
          <w:rStyle w:val="FootnoteReference"/>
          <w:rFonts w:eastAsia="Times New Roman" w:cs="Segoe UI"/>
          <w:lang w:eastAsia="en-GB"/>
        </w:rPr>
        <w:footnoteReference w:id="14"/>
      </w:r>
      <w:r w:rsidR="003745CB" w:rsidRPr="00B47DD9">
        <w:rPr>
          <w:rFonts w:eastAsia="Times New Roman" w:cs="Segoe UI"/>
          <w:lang w:eastAsia="en-GB"/>
        </w:rPr>
        <w:t xml:space="preserve"> For example, Freedland suggested that the ‘contractual approach’ to regulation concentrated on the ‘substantive and specific aspects of the relationship’ whereas the ‘public law status approach’ envisaged the office-holder as bound by more ‘diffuse’ procedural obligations. On the one hand the office-holder </w:t>
      </w:r>
      <w:r w:rsidR="003745CB" w:rsidRPr="00B47DD9">
        <w:rPr>
          <w:rFonts w:eastAsia="Times New Roman" w:cs="Segoe UI"/>
          <w:lang w:eastAsia="en-GB"/>
        </w:rPr>
        <w:lastRenderedPageBreak/>
        <w:t>was bound by the ‘dictates of commitment’ whereas the employer must proceed according to notions of ‘fairness’.</w:t>
      </w:r>
      <w:r w:rsidR="008C598A" w:rsidRPr="00B47DD9">
        <w:rPr>
          <w:rStyle w:val="FootnoteReference"/>
          <w:rFonts w:eastAsia="Times New Roman" w:cs="Segoe UI"/>
          <w:lang w:eastAsia="en-GB"/>
        </w:rPr>
        <w:footnoteReference w:id="15"/>
      </w:r>
    </w:p>
    <w:p w:rsidR="00A6077A" w:rsidRPr="00B47DD9" w:rsidRDefault="00205DD6" w:rsidP="00CE3AC2">
      <w:pPr>
        <w:spacing w:after="150" w:line="480" w:lineRule="auto"/>
        <w:ind w:firstLine="720"/>
        <w:jc w:val="both"/>
        <w:rPr>
          <w:rFonts w:eastAsia="Times New Roman" w:cs="Segoe UI"/>
          <w:lang w:eastAsia="en-GB"/>
        </w:rPr>
      </w:pPr>
      <w:r w:rsidRPr="00B47DD9">
        <w:rPr>
          <w:rFonts w:eastAsia="Times New Roman" w:cs="Segoe UI"/>
          <w:lang w:eastAsia="en-GB"/>
        </w:rPr>
        <w:t xml:space="preserve">The importance of the </w:t>
      </w:r>
      <w:r w:rsidR="00AB4F09" w:rsidRPr="00B47DD9">
        <w:rPr>
          <w:rFonts w:eastAsia="Times New Roman" w:cs="Segoe UI"/>
          <w:lang w:eastAsia="en-GB"/>
        </w:rPr>
        <w:t>officeholder/co</w:t>
      </w:r>
      <w:r w:rsidRPr="00B47DD9">
        <w:rPr>
          <w:rFonts w:eastAsia="Times New Roman" w:cs="Segoe UI"/>
          <w:lang w:eastAsia="en-GB"/>
        </w:rPr>
        <w:t xml:space="preserve">ntractual distinction has waned over time, with many </w:t>
      </w:r>
      <w:r w:rsidR="00F41D1D" w:rsidRPr="00B47DD9">
        <w:rPr>
          <w:rFonts w:eastAsia="Times New Roman" w:cs="Segoe UI"/>
          <w:lang w:eastAsia="en-GB"/>
        </w:rPr>
        <w:t>officeholders</w:t>
      </w:r>
      <w:r w:rsidR="00A6077A" w:rsidRPr="00B47DD9">
        <w:rPr>
          <w:rFonts w:eastAsia="Times New Roman" w:cs="Segoe UI"/>
          <w:lang w:eastAsia="en-GB"/>
        </w:rPr>
        <w:t xml:space="preserve"> now</w:t>
      </w:r>
      <w:r w:rsidR="00F41D1D" w:rsidRPr="00B47DD9">
        <w:rPr>
          <w:rFonts w:eastAsia="Times New Roman" w:cs="Segoe UI"/>
          <w:lang w:eastAsia="en-GB"/>
        </w:rPr>
        <w:t xml:space="preserve"> able to claim dual o</w:t>
      </w:r>
      <w:r w:rsidR="00A6077A" w:rsidRPr="00B47DD9">
        <w:rPr>
          <w:rFonts w:eastAsia="Times New Roman" w:cs="Segoe UI"/>
          <w:lang w:eastAsia="en-GB"/>
        </w:rPr>
        <w:t>fficeholder/employee status for the purposes of accessing statutory employment law rights</w:t>
      </w:r>
      <w:r w:rsidR="00F41D1D" w:rsidRPr="00B47DD9">
        <w:rPr>
          <w:rFonts w:eastAsia="Times New Roman" w:cs="Segoe UI"/>
          <w:lang w:eastAsia="en-GB"/>
        </w:rPr>
        <w:t>.</w:t>
      </w:r>
      <w:r w:rsidR="00191C32" w:rsidRPr="00B47DD9">
        <w:rPr>
          <w:rStyle w:val="FootnoteReference"/>
          <w:rFonts w:eastAsia="Times New Roman" w:cs="Segoe UI"/>
          <w:lang w:eastAsia="en-GB"/>
        </w:rPr>
        <w:footnoteReference w:id="16"/>
      </w:r>
      <w:r w:rsidR="00A6077A" w:rsidRPr="00B47DD9">
        <w:rPr>
          <w:rFonts w:eastAsia="Times New Roman" w:cs="Segoe UI"/>
          <w:lang w:eastAsia="en-GB"/>
        </w:rPr>
        <w:t xml:space="preserve"> However, t</w:t>
      </w:r>
      <w:r w:rsidRPr="00B47DD9">
        <w:rPr>
          <w:rFonts w:eastAsia="Times New Roman" w:cs="Segoe UI"/>
          <w:lang w:eastAsia="en-GB"/>
        </w:rPr>
        <w:t xml:space="preserve">he </w:t>
      </w:r>
      <w:r w:rsidR="003745CB" w:rsidRPr="00B47DD9">
        <w:rPr>
          <w:rFonts w:eastAsia="Times New Roman" w:cs="Segoe UI"/>
          <w:lang w:eastAsia="en-GB"/>
        </w:rPr>
        <w:t>availability of public law remedies to public sector employees continues to be of relevance, and the contractual/non</w:t>
      </w:r>
      <w:r w:rsidR="003923BD" w:rsidRPr="00B47DD9">
        <w:rPr>
          <w:rFonts w:eastAsia="Times New Roman" w:cs="Segoe UI"/>
          <w:lang w:eastAsia="en-GB"/>
        </w:rPr>
        <w:t>-</w:t>
      </w:r>
      <w:r w:rsidR="003745CB" w:rsidRPr="00B47DD9">
        <w:rPr>
          <w:rFonts w:eastAsia="Times New Roman" w:cs="Segoe UI"/>
          <w:lang w:eastAsia="en-GB"/>
        </w:rPr>
        <w:t xml:space="preserve">contractual distinction is central to its determination. </w:t>
      </w:r>
      <w:r w:rsidR="00191C32" w:rsidRPr="00B47DD9">
        <w:rPr>
          <w:rFonts w:eastAsia="Times New Roman" w:cs="Segoe UI"/>
          <w:lang w:eastAsia="en-GB"/>
        </w:rPr>
        <w:t xml:space="preserve">Administrative </w:t>
      </w:r>
      <w:r w:rsidR="00606231" w:rsidRPr="00B47DD9">
        <w:rPr>
          <w:rFonts w:eastAsia="Times New Roman" w:cs="Segoe UI"/>
          <w:lang w:eastAsia="en-GB"/>
        </w:rPr>
        <w:t>law remedies only exist for public sector employees where the dispu</w:t>
      </w:r>
      <w:r w:rsidR="00B1663E" w:rsidRPr="00B47DD9">
        <w:rPr>
          <w:rFonts w:eastAsia="Times New Roman" w:cs="Segoe UI"/>
          <w:lang w:eastAsia="en-GB"/>
        </w:rPr>
        <w:t>te lies outside the scope of ‘private’ contractual rights. Indeed, the existence of a ‘contract of employment’ has been put forward as grounds for refusing access to judicial review.</w:t>
      </w:r>
      <w:r w:rsidR="00B1663E" w:rsidRPr="00B47DD9">
        <w:rPr>
          <w:rStyle w:val="FootnoteReference"/>
          <w:rFonts w:eastAsia="Times New Roman" w:cs="Segoe UI"/>
          <w:lang w:eastAsia="en-GB"/>
        </w:rPr>
        <w:footnoteReference w:id="17"/>
      </w:r>
      <w:r w:rsidR="00606231" w:rsidRPr="00B47DD9">
        <w:rPr>
          <w:rFonts w:eastAsia="Times New Roman" w:cs="Segoe UI"/>
          <w:lang w:eastAsia="en-GB"/>
        </w:rPr>
        <w:t xml:space="preserve"> </w:t>
      </w:r>
      <w:r w:rsidR="00A6199E" w:rsidRPr="00B47DD9">
        <w:rPr>
          <w:rFonts w:eastAsia="Times New Roman" w:cs="Segoe UI"/>
          <w:lang w:eastAsia="en-GB"/>
        </w:rPr>
        <w:t>I</w:t>
      </w:r>
      <w:r w:rsidR="00B1663E" w:rsidRPr="00B47DD9">
        <w:rPr>
          <w:rFonts w:eastAsia="Times New Roman" w:cs="Segoe UI"/>
          <w:lang w:eastAsia="en-GB"/>
        </w:rPr>
        <w:t>n order to rebut the presumption that the employment relationship is within the private realm</w:t>
      </w:r>
      <w:r w:rsidR="00191C32" w:rsidRPr="00B47DD9">
        <w:rPr>
          <w:rFonts w:eastAsia="Times New Roman" w:cs="Segoe UI"/>
          <w:lang w:eastAsia="en-GB"/>
        </w:rPr>
        <w:t>, there need to be exceptional circumstances of ‘publicness’</w:t>
      </w:r>
      <w:r w:rsidR="007D0854" w:rsidRPr="00B47DD9">
        <w:rPr>
          <w:rFonts w:eastAsia="Times New Roman" w:cs="Segoe UI"/>
          <w:lang w:eastAsia="en-GB"/>
        </w:rPr>
        <w:t>. For example, a specific aspect of the employment relationship must be underpinned by statut</w:t>
      </w:r>
      <w:r w:rsidR="00A6199E" w:rsidRPr="00B47DD9">
        <w:rPr>
          <w:rFonts w:eastAsia="Times New Roman" w:cs="Segoe UI"/>
          <w:lang w:eastAsia="en-GB"/>
        </w:rPr>
        <w:t>e or determined by prerogative, or the relationship must have a particular public quality.</w:t>
      </w:r>
      <w:r w:rsidR="00A6199E" w:rsidRPr="00B47DD9">
        <w:rPr>
          <w:rStyle w:val="FootnoteReference"/>
          <w:rFonts w:eastAsia="Times New Roman" w:cs="Segoe UI"/>
          <w:lang w:eastAsia="en-GB"/>
        </w:rPr>
        <w:footnoteReference w:id="18"/>
      </w:r>
      <w:r w:rsidR="00A6199E" w:rsidRPr="00B47DD9">
        <w:rPr>
          <w:rFonts w:eastAsia="Times New Roman" w:cs="Segoe UI"/>
          <w:lang w:eastAsia="en-GB"/>
        </w:rPr>
        <w:t xml:space="preserve"> Furthermore, judicial review may be denied if the subject of the employment dispute falls outside the public duty owed to the employee. For example, judicial review was denied to a detective inspector of police who challenged a decision to send him back to his local force from his seconded position at the National Crime Squad. This decision was deemed to be of an operational nature, and therefore not part of the public function of the police force.</w:t>
      </w:r>
      <w:r w:rsidR="006B3F7F" w:rsidRPr="00B47DD9">
        <w:rPr>
          <w:rStyle w:val="FootnoteReference"/>
          <w:rFonts w:eastAsia="Times New Roman" w:cs="Segoe UI"/>
          <w:lang w:eastAsia="en-GB"/>
        </w:rPr>
        <w:footnoteReference w:id="19"/>
      </w:r>
    </w:p>
    <w:p w:rsidR="005957CB" w:rsidRPr="00B47DD9" w:rsidRDefault="006B3F7F" w:rsidP="00CE3AC2">
      <w:pPr>
        <w:spacing w:after="150" w:line="480" w:lineRule="auto"/>
        <w:ind w:firstLine="720"/>
        <w:jc w:val="both"/>
        <w:rPr>
          <w:rFonts w:eastAsia="Times New Roman" w:cs="Segoe UI"/>
          <w:lang w:eastAsia="en-GB"/>
        </w:rPr>
      </w:pPr>
      <w:r w:rsidRPr="00B47DD9">
        <w:rPr>
          <w:rFonts w:eastAsia="Times New Roman" w:cs="Segoe UI"/>
          <w:lang w:eastAsia="en-GB"/>
        </w:rPr>
        <w:t>The final justificatory distinction between regulation in the public and private sec</w:t>
      </w:r>
      <w:r w:rsidR="00A86FA6" w:rsidRPr="00B47DD9">
        <w:rPr>
          <w:rFonts w:eastAsia="Times New Roman" w:cs="Segoe UI"/>
          <w:lang w:eastAsia="en-GB"/>
        </w:rPr>
        <w:t>tor l</w:t>
      </w:r>
      <w:r w:rsidR="001B25C7" w:rsidRPr="00B47DD9">
        <w:rPr>
          <w:rFonts w:eastAsia="Times New Roman" w:cs="Segoe UI"/>
          <w:lang w:eastAsia="en-GB"/>
        </w:rPr>
        <w:t>ooks to the particular function which (certain) public sector employees per</w:t>
      </w:r>
      <w:r w:rsidR="00683D85" w:rsidRPr="00B47DD9">
        <w:rPr>
          <w:rFonts w:eastAsia="Times New Roman" w:cs="Segoe UI"/>
          <w:lang w:eastAsia="en-GB"/>
        </w:rPr>
        <w:t xml:space="preserve">form. The argument proceeds that certain public service functions (and by implication those who perform those functions) are </w:t>
      </w:r>
      <w:r w:rsidR="00683D85" w:rsidRPr="00B47DD9">
        <w:rPr>
          <w:rFonts w:eastAsia="Times New Roman" w:cs="Segoe UI"/>
          <w:lang w:eastAsia="en-GB"/>
        </w:rPr>
        <w:lastRenderedPageBreak/>
        <w:t>matters of public interest and therefore ‘justify regulation of a kind which has no counterpart in the general law’.</w:t>
      </w:r>
      <w:r w:rsidR="004D3A87" w:rsidRPr="00B47DD9">
        <w:rPr>
          <w:rStyle w:val="FootnoteReference"/>
          <w:rFonts w:eastAsia="Times New Roman" w:cs="Segoe UI"/>
          <w:lang w:eastAsia="en-GB"/>
        </w:rPr>
        <w:footnoteReference w:id="20"/>
      </w:r>
      <w:r w:rsidR="00683D85" w:rsidRPr="00B47DD9">
        <w:rPr>
          <w:rFonts w:eastAsia="Times New Roman" w:cs="Segoe UI"/>
          <w:lang w:eastAsia="en-GB"/>
        </w:rPr>
        <w:t xml:space="preserve"> Indeed, this functional approach perhaps best describes the d</w:t>
      </w:r>
      <w:r w:rsidR="00F874F0" w:rsidRPr="00B47DD9">
        <w:rPr>
          <w:rFonts w:eastAsia="Times New Roman" w:cs="Segoe UI"/>
          <w:lang w:eastAsia="en-GB"/>
        </w:rPr>
        <w:t xml:space="preserve">esign of UK employment legislation concerning public sector employment. In the UK, there is no distinctive labour law regime </w:t>
      </w:r>
      <w:r w:rsidR="00683D85" w:rsidRPr="00B47DD9">
        <w:rPr>
          <w:rFonts w:eastAsia="Times New Roman" w:cs="Segoe UI"/>
          <w:lang w:eastAsia="en-GB"/>
        </w:rPr>
        <w:t>for public service employment</w:t>
      </w:r>
      <w:r w:rsidR="00F874F0" w:rsidRPr="00B47DD9">
        <w:rPr>
          <w:rFonts w:eastAsia="Times New Roman" w:cs="Segoe UI"/>
          <w:lang w:eastAsia="en-GB"/>
        </w:rPr>
        <w:t xml:space="preserve"> (in contrast to the position in other countries).</w:t>
      </w:r>
      <w:r w:rsidR="000B1A2B" w:rsidRPr="00B47DD9">
        <w:rPr>
          <w:rStyle w:val="FootnoteReference"/>
          <w:rFonts w:eastAsia="Times New Roman" w:cs="Segoe UI"/>
          <w:lang w:eastAsia="en-GB"/>
        </w:rPr>
        <w:footnoteReference w:id="21"/>
      </w:r>
      <w:r w:rsidR="00F874F0" w:rsidRPr="00B47DD9">
        <w:rPr>
          <w:rFonts w:eastAsia="Times New Roman" w:cs="Segoe UI"/>
          <w:lang w:eastAsia="en-GB"/>
        </w:rPr>
        <w:t xml:space="preserve"> However,</w:t>
      </w:r>
      <w:r w:rsidR="00683D85" w:rsidRPr="00B47DD9">
        <w:rPr>
          <w:rFonts w:eastAsia="Times New Roman" w:cs="Segoe UI"/>
          <w:lang w:eastAsia="en-GB"/>
        </w:rPr>
        <w:t xml:space="preserve"> certain areas</w:t>
      </w:r>
      <w:r w:rsidR="0056602A" w:rsidRPr="00B47DD9">
        <w:rPr>
          <w:rFonts w:eastAsia="Times New Roman" w:cs="Segoe UI"/>
          <w:lang w:eastAsia="en-GB"/>
        </w:rPr>
        <w:t xml:space="preserve"> </w:t>
      </w:r>
      <w:r w:rsidR="00683D85" w:rsidRPr="00B47DD9">
        <w:rPr>
          <w:rFonts w:eastAsia="Times New Roman" w:cs="Segoe UI"/>
          <w:lang w:eastAsia="en-GB"/>
        </w:rPr>
        <w:t>are subject to specific laws and regulations according to their functional requirements.</w:t>
      </w:r>
      <w:r w:rsidR="00683D85" w:rsidRPr="00B47DD9">
        <w:rPr>
          <w:rStyle w:val="FootnoteReference"/>
          <w:rFonts w:eastAsia="Times New Roman" w:cs="Segoe UI"/>
          <w:lang w:eastAsia="en-GB"/>
        </w:rPr>
        <w:footnoteReference w:id="22"/>
      </w:r>
      <w:r w:rsidR="0056602A" w:rsidRPr="00B47DD9">
        <w:rPr>
          <w:rFonts w:eastAsia="Times New Roman" w:cs="Segoe UI"/>
          <w:lang w:eastAsia="en-GB"/>
        </w:rPr>
        <w:t xml:space="preserve"> </w:t>
      </w:r>
      <w:r w:rsidR="00BE4532" w:rsidRPr="00B47DD9">
        <w:rPr>
          <w:rFonts w:eastAsia="Times New Roman" w:cs="Segoe UI"/>
          <w:lang w:eastAsia="en-GB"/>
        </w:rPr>
        <w:t xml:space="preserve">The extent of coverage of these specific laws and regulations varies between groups. For example, the police service is subject to an almost entirely separate statutory regulatory </w:t>
      </w:r>
      <w:r w:rsidR="00D06B34" w:rsidRPr="00B47DD9">
        <w:rPr>
          <w:rFonts w:eastAsia="Times New Roman" w:cs="Segoe UI"/>
          <w:lang w:eastAsia="en-GB"/>
        </w:rPr>
        <w:t>regime</w:t>
      </w:r>
      <w:r w:rsidR="005957CB" w:rsidRPr="00B47DD9">
        <w:rPr>
          <w:rFonts w:eastAsia="Times New Roman" w:cs="Segoe UI"/>
          <w:lang w:eastAsia="en-GB"/>
        </w:rPr>
        <w:t xml:space="preserve"> in terms of employment</w:t>
      </w:r>
      <w:r w:rsidR="00D06B34" w:rsidRPr="00B47DD9">
        <w:rPr>
          <w:rFonts w:eastAsia="Times New Roman" w:cs="Segoe UI"/>
          <w:lang w:eastAsia="en-GB"/>
        </w:rPr>
        <w:t>, as a result of the specific legal powers and responsibilities with which police officers are entrusted. Police officers are</w:t>
      </w:r>
      <w:r w:rsidR="00DD49AC" w:rsidRPr="00B47DD9">
        <w:rPr>
          <w:rFonts w:eastAsia="Times New Roman" w:cs="Segoe UI"/>
          <w:lang w:eastAsia="en-GB"/>
        </w:rPr>
        <w:t xml:space="preserve"> (either explicity or implicity)</w:t>
      </w:r>
      <w:r w:rsidR="00D06B34" w:rsidRPr="00B47DD9">
        <w:rPr>
          <w:rFonts w:eastAsia="Times New Roman" w:cs="Segoe UI"/>
          <w:lang w:eastAsia="en-GB"/>
        </w:rPr>
        <w:t xml:space="preserve"> excluded from the majority of the protective provisio</w:t>
      </w:r>
      <w:r w:rsidR="005957CB" w:rsidRPr="00B47DD9">
        <w:rPr>
          <w:rFonts w:eastAsia="Times New Roman" w:cs="Segoe UI"/>
          <w:lang w:eastAsia="en-GB"/>
        </w:rPr>
        <w:t xml:space="preserve">ns of the Employment Rights Act </w:t>
      </w:r>
      <w:r w:rsidR="00687B80" w:rsidRPr="00B47DD9">
        <w:rPr>
          <w:rFonts w:eastAsia="Times New Roman" w:cs="Segoe UI"/>
          <w:lang w:eastAsia="en-GB"/>
        </w:rPr>
        <w:t xml:space="preserve">1996 </w:t>
      </w:r>
      <w:r w:rsidR="00DD49AC" w:rsidRPr="00B47DD9">
        <w:rPr>
          <w:rFonts w:eastAsia="Times New Roman" w:cs="Segoe UI"/>
          <w:lang w:eastAsia="en-GB"/>
        </w:rPr>
        <w:t>(ERA</w:t>
      </w:r>
      <w:r w:rsidR="005957CB" w:rsidRPr="00B47DD9">
        <w:rPr>
          <w:rFonts w:eastAsia="Times New Roman" w:cs="Segoe UI"/>
          <w:lang w:eastAsia="en-GB"/>
        </w:rPr>
        <w:t>)</w:t>
      </w:r>
      <w:r w:rsidR="00687B80" w:rsidRPr="00B47DD9">
        <w:rPr>
          <w:rStyle w:val="FootnoteReference"/>
          <w:rFonts w:eastAsia="Times New Roman" w:cs="Segoe UI"/>
          <w:lang w:eastAsia="en-GB"/>
        </w:rPr>
        <w:footnoteReference w:id="23"/>
      </w:r>
      <w:r w:rsidR="005957CB" w:rsidRPr="00B47DD9">
        <w:rPr>
          <w:rFonts w:eastAsia="Times New Roman" w:cs="Segoe UI"/>
          <w:lang w:eastAsia="en-GB"/>
        </w:rPr>
        <w:t xml:space="preserve"> and they cannot take advantage of any of the provisions under </w:t>
      </w:r>
      <w:r w:rsidR="00DD49AC" w:rsidRPr="00B47DD9">
        <w:rPr>
          <w:rFonts w:eastAsia="Times New Roman" w:cs="Segoe UI"/>
          <w:lang w:eastAsia="en-GB"/>
        </w:rPr>
        <w:t xml:space="preserve">Trade Union and Labour Relations (Consolidation) Act </w:t>
      </w:r>
      <w:r w:rsidR="005957CB" w:rsidRPr="00B47DD9">
        <w:rPr>
          <w:rFonts w:eastAsia="Times New Roman" w:cs="Segoe UI"/>
          <w:lang w:eastAsia="en-GB"/>
        </w:rPr>
        <w:t>1992</w:t>
      </w:r>
      <w:r w:rsidR="00DD49AC" w:rsidRPr="00B47DD9">
        <w:rPr>
          <w:rFonts w:eastAsia="Times New Roman" w:cs="Segoe UI"/>
          <w:lang w:eastAsia="en-GB"/>
        </w:rPr>
        <w:t xml:space="preserve"> (TULRCA)</w:t>
      </w:r>
      <w:r w:rsidR="005957CB" w:rsidRPr="00B47DD9">
        <w:rPr>
          <w:rFonts w:eastAsia="Times New Roman" w:cs="Segoe UI"/>
          <w:lang w:eastAsia="en-GB"/>
        </w:rPr>
        <w:t>. Instead, their terms and conditions of employment are governed by the Secretary of State, acting under powers granted by</w:t>
      </w:r>
      <w:r w:rsidR="00D06B34" w:rsidRPr="00B47DD9">
        <w:rPr>
          <w:rFonts w:eastAsia="Times New Roman" w:cs="Segoe UI"/>
          <w:lang w:eastAsia="en-GB"/>
        </w:rPr>
        <w:t xml:space="preserve"> </w:t>
      </w:r>
      <w:r w:rsidR="005957CB" w:rsidRPr="00B47DD9">
        <w:rPr>
          <w:rFonts w:eastAsia="Times New Roman" w:cs="Segoe UI"/>
          <w:lang w:eastAsia="en-GB"/>
        </w:rPr>
        <w:t>t</w:t>
      </w:r>
      <w:r w:rsidR="00D06B34" w:rsidRPr="00B47DD9">
        <w:rPr>
          <w:rFonts w:eastAsia="Times New Roman" w:cs="Segoe UI"/>
          <w:lang w:eastAsia="en-GB"/>
        </w:rPr>
        <w:t>he Police Act 1996 (as amended)</w:t>
      </w:r>
      <w:r w:rsidR="005957CB" w:rsidRPr="00B47DD9">
        <w:rPr>
          <w:rFonts w:eastAsia="Times New Roman" w:cs="Segoe UI"/>
          <w:lang w:eastAsia="en-GB"/>
        </w:rPr>
        <w:t>. Misconduct and di</w:t>
      </w:r>
      <w:r w:rsidR="00DD49AC" w:rsidRPr="00B47DD9">
        <w:rPr>
          <w:rFonts w:eastAsia="Times New Roman" w:cs="Segoe UI"/>
          <w:lang w:eastAsia="en-GB"/>
        </w:rPr>
        <w:t>scipline are dea</w:t>
      </w:r>
      <w:r w:rsidR="00EB3C4A" w:rsidRPr="00B47DD9">
        <w:rPr>
          <w:rFonts w:eastAsia="Times New Roman" w:cs="Segoe UI"/>
          <w:lang w:eastAsia="en-GB"/>
        </w:rPr>
        <w:t xml:space="preserve">lt with by a complex (separate) statutory regime, including </w:t>
      </w:r>
      <w:r w:rsidR="005957CB" w:rsidRPr="00B47DD9">
        <w:rPr>
          <w:rFonts w:eastAsia="Times New Roman" w:cs="Segoe UI"/>
          <w:lang w:eastAsia="en-GB"/>
        </w:rPr>
        <w:t xml:space="preserve">the </w:t>
      </w:r>
      <w:r w:rsidR="00D06B34" w:rsidRPr="00B47DD9">
        <w:rPr>
          <w:rFonts w:eastAsia="Times New Roman" w:cs="Segoe UI"/>
          <w:lang w:eastAsia="en-GB"/>
        </w:rPr>
        <w:t>Police (Conduct) Re</w:t>
      </w:r>
      <w:r w:rsidR="00EB3C4A" w:rsidRPr="00B47DD9">
        <w:rPr>
          <w:rFonts w:eastAsia="Times New Roman" w:cs="Segoe UI"/>
          <w:lang w:eastAsia="en-GB"/>
        </w:rPr>
        <w:t>gulations 2012 (replacing the Police (Conduct) Regulations 2008).</w:t>
      </w:r>
      <w:r w:rsidR="005957CB" w:rsidRPr="00B47DD9">
        <w:rPr>
          <w:rFonts w:eastAsia="Times New Roman" w:cs="Segoe UI"/>
          <w:lang w:eastAsia="en-GB"/>
        </w:rPr>
        <w:t xml:space="preserve"> Although police officers </w:t>
      </w:r>
      <w:r w:rsidR="00687B80" w:rsidRPr="00B47DD9">
        <w:rPr>
          <w:rFonts w:eastAsia="Times New Roman" w:cs="Segoe UI"/>
          <w:lang w:eastAsia="en-GB"/>
        </w:rPr>
        <w:t xml:space="preserve">do now have rights </w:t>
      </w:r>
      <w:r w:rsidR="005957CB" w:rsidRPr="00B47DD9">
        <w:rPr>
          <w:rFonts w:eastAsia="Times New Roman" w:cs="Segoe UI"/>
          <w:lang w:eastAsia="en-GB"/>
        </w:rPr>
        <w:t>under equality</w:t>
      </w:r>
      <w:r w:rsidR="00646E9F" w:rsidRPr="00B47DD9">
        <w:rPr>
          <w:rFonts w:eastAsia="Times New Roman" w:cs="Segoe UI"/>
          <w:lang w:eastAsia="en-GB"/>
        </w:rPr>
        <w:t xml:space="preserve"> and</w:t>
      </w:r>
      <w:r w:rsidR="005957CB" w:rsidRPr="00B47DD9">
        <w:rPr>
          <w:rFonts w:eastAsia="Times New Roman" w:cs="Segoe UI"/>
          <w:lang w:eastAsia="en-GB"/>
        </w:rPr>
        <w:t xml:space="preserve"> working time legislation, their general exclusion from statutory employment protections</w:t>
      </w:r>
      <w:r w:rsidR="00687B80" w:rsidRPr="00B47DD9">
        <w:rPr>
          <w:rFonts w:eastAsia="Times New Roman" w:cs="Segoe UI"/>
          <w:lang w:eastAsia="en-GB"/>
        </w:rPr>
        <w:t xml:space="preserve"> (and indeed protections arising from the ‘contract of employment’)</w:t>
      </w:r>
      <w:r w:rsidR="00EB3C4A" w:rsidRPr="00B47DD9">
        <w:rPr>
          <w:rFonts w:eastAsia="Times New Roman" w:cs="Segoe UI"/>
          <w:lang w:eastAsia="en-GB"/>
        </w:rPr>
        <w:t xml:space="preserve"> means that they must rely on judicial review to correct</w:t>
      </w:r>
      <w:r w:rsidR="008E1916">
        <w:rPr>
          <w:rFonts w:eastAsia="Times New Roman" w:cs="Segoe UI"/>
          <w:lang w:eastAsia="en-GB"/>
        </w:rPr>
        <w:t xml:space="preserve"> any</w:t>
      </w:r>
      <w:r w:rsidR="00EB3C4A" w:rsidRPr="00B47DD9">
        <w:rPr>
          <w:rFonts w:eastAsia="Times New Roman" w:cs="Segoe UI"/>
          <w:lang w:eastAsia="en-GB"/>
        </w:rPr>
        <w:t xml:space="preserve"> breach of ‘natural justice’. </w:t>
      </w:r>
      <w:r w:rsidR="00687B80" w:rsidRPr="00B47DD9">
        <w:rPr>
          <w:rFonts w:eastAsia="Times New Roman" w:cs="Segoe UI"/>
          <w:lang w:eastAsia="en-GB"/>
        </w:rPr>
        <w:t>This ability to invoke</w:t>
      </w:r>
      <w:r w:rsidR="005957CB" w:rsidRPr="00B47DD9">
        <w:rPr>
          <w:rFonts w:eastAsia="Times New Roman" w:cs="Segoe UI"/>
          <w:lang w:eastAsia="en-GB"/>
        </w:rPr>
        <w:t xml:space="preserve"> judicial </w:t>
      </w:r>
      <w:r w:rsidR="005957CB" w:rsidRPr="00B47DD9">
        <w:rPr>
          <w:rFonts w:eastAsia="Times New Roman" w:cs="Segoe UI"/>
          <w:lang w:eastAsia="en-GB"/>
        </w:rPr>
        <w:lastRenderedPageBreak/>
        <w:t xml:space="preserve">review extends to all ranks of the service and has recently been the subject of </w:t>
      </w:r>
      <w:r w:rsidR="00687B80" w:rsidRPr="00B47DD9">
        <w:rPr>
          <w:rFonts w:eastAsia="Times New Roman" w:cs="Segoe UI"/>
          <w:lang w:eastAsia="en-GB"/>
        </w:rPr>
        <w:t>a number of cases in the High Court.</w:t>
      </w:r>
      <w:r w:rsidR="00687B80" w:rsidRPr="00B47DD9">
        <w:rPr>
          <w:rStyle w:val="FootnoteReference"/>
          <w:rFonts w:eastAsia="Times New Roman" w:cs="Segoe UI"/>
          <w:lang w:eastAsia="en-GB"/>
        </w:rPr>
        <w:footnoteReference w:id="24"/>
      </w:r>
    </w:p>
    <w:p w:rsidR="0000018A" w:rsidRPr="00B47DD9" w:rsidRDefault="00646E9F" w:rsidP="00CE3AC2">
      <w:pPr>
        <w:spacing w:after="150" w:line="480" w:lineRule="auto"/>
        <w:ind w:firstLine="720"/>
        <w:jc w:val="both"/>
        <w:rPr>
          <w:rFonts w:eastAsia="Times New Roman" w:cs="Segoe UI"/>
          <w:lang w:eastAsia="en-GB"/>
        </w:rPr>
      </w:pPr>
      <w:r w:rsidRPr="00B47DD9">
        <w:rPr>
          <w:rFonts w:eastAsia="Times New Roman" w:cs="Segoe UI"/>
          <w:lang w:eastAsia="en-GB"/>
        </w:rPr>
        <w:t xml:space="preserve">Other groups of public sector employees also have specific laws and regulations applicable to them as a result of their function, but these may cover only certain aspects of their service, and may act alongside the statutory employment law regime. For example, civil servants are now included within the scope of both the ERA 1996 and </w:t>
      </w:r>
      <w:r w:rsidR="002C73CA" w:rsidRPr="00B47DD9">
        <w:rPr>
          <w:rFonts w:eastAsia="Times New Roman" w:cs="Segoe UI"/>
          <w:lang w:eastAsia="en-GB"/>
        </w:rPr>
        <w:t>the protective provisions of TUL</w:t>
      </w:r>
      <w:r w:rsidRPr="00B47DD9">
        <w:rPr>
          <w:rFonts w:eastAsia="Times New Roman" w:cs="Segoe UI"/>
          <w:lang w:eastAsia="en-GB"/>
        </w:rPr>
        <w:t>R</w:t>
      </w:r>
      <w:r w:rsidR="002C73CA" w:rsidRPr="00B47DD9">
        <w:rPr>
          <w:rFonts w:eastAsia="Times New Roman" w:cs="Segoe UI"/>
          <w:lang w:eastAsia="en-GB"/>
        </w:rPr>
        <w:t>C</w:t>
      </w:r>
      <w:r w:rsidRPr="00B47DD9">
        <w:rPr>
          <w:rFonts w:eastAsia="Times New Roman" w:cs="Segoe UI"/>
          <w:lang w:eastAsia="en-GB"/>
        </w:rPr>
        <w:t>A</w:t>
      </w:r>
      <w:r w:rsidR="002C73CA" w:rsidRPr="00B47DD9">
        <w:rPr>
          <w:rFonts w:eastAsia="Times New Roman" w:cs="Segoe UI"/>
          <w:lang w:eastAsia="en-GB"/>
        </w:rPr>
        <w:t xml:space="preserve"> 1992</w:t>
      </w:r>
      <w:r w:rsidRPr="00B47DD9">
        <w:rPr>
          <w:rFonts w:eastAsia="Times New Roman" w:cs="Segoe UI"/>
          <w:lang w:eastAsia="en-GB"/>
        </w:rPr>
        <w:t>. They are also covered by equality legislation, as well as legislation pertaining to working time and the national minimum wage.</w:t>
      </w:r>
      <w:r w:rsidR="00386D11" w:rsidRPr="00B47DD9">
        <w:rPr>
          <w:rFonts w:eastAsia="Times New Roman" w:cs="Segoe UI"/>
          <w:lang w:eastAsia="en-GB"/>
        </w:rPr>
        <w:t xml:space="preserve"> It is thought that as a result of this protection and the possibility of a ‘contractual nexus’ between civil servants and their employer, civil servants are unlikely to be able to claim judicial review, and indeed civil servants have not been successful at claiming judicial review in the past.</w:t>
      </w:r>
      <w:r w:rsidR="002C73CA" w:rsidRPr="00B47DD9">
        <w:rPr>
          <w:rStyle w:val="FootnoteReference"/>
          <w:rFonts w:eastAsia="Times New Roman" w:cs="Segoe UI"/>
          <w:lang w:eastAsia="en-GB"/>
        </w:rPr>
        <w:footnoteReference w:id="25"/>
      </w:r>
      <w:r w:rsidR="00386D11" w:rsidRPr="00B47DD9">
        <w:rPr>
          <w:rFonts w:eastAsia="Times New Roman" w:cs="Segoe UI"/>
          <w:lang w:eastAsia="en-GB"/>
        </w:rPr>
        <w:t xml:space="preserve">  H</w:t>
      </w:r>
      <w:r w:rsidRPr="00B47DD9">
        <w:rPr>
          <w:rFonts w:eastAsia="Times New Roman" w:cs="Segoe UI"/>
          <w:lang w:eastAsia="en-GB"/>
        </w:rPr>
        <w:t>owever</w:t>
      </w:r>
      <w:r w:rsidR="00386D11" w:rsidRPr="00B47DD9">
        <w:rPr>
          <w:rFonts w:eastAsia="Times New Roman" w:cs="Segoe UI"/>
          <w:lang w:eastAsia="en-GB"/>
        </w:rPr>
        <w:t>, civil servants remain</w:t>
      </w:r>
      <w:r w:rsidRPr="00B47DD9">
        <w:rPr>
          <w:rFonts w:eastAsia="Times New Roman" w:cs="Segoe UI"/>
          <w:lang w:eastAsia="en-GB"/>
        </w:rPr>
        <w:t xml:space="preserve"> subject to a particular Civil Service Management Code, which sets out the (onerous) standards of behavio</w:t>
      </w:r>
      <w:r w:rsidR="00386D11" w:rsidRPr="00B47DD9">
        <w:rPr>
          <w:rFonts w:eastAsia="Times New Roman" w:cs="Segoe UI"/>
          <w:lang w:eastAsia="en-GB"/>
        </w:rPr>
        <w:t>ur expected of</w:t>
      </w:r>
      <w:r w:rsidRPr="00B47DD9">
        <w:rPr>
          <w:rFonts w:eastAsia="Times New Roman" w:cs="Segoe UI"/>
          <w:lang w:eastAsia="en-GB"/>
        </w:rPr>
        <w:t xml:space="preserve"> public servants</w:t>
      </w:r>
      <w:r w:rsidR="00BE4532" w:rsidRPr="00B47DD9">
        <w:rPr>
          <w:rFonts w:eastAsia="Times New Roman" w:cs="Segoe UI"/>
          <w:lang w:eastAsia="en-GB"/>
        </w:rPr>
        <w:t>, and places restrictions on certain political activities.</w:t>
      </w:r>
      <w:r w:rsidR="00BE4532" w:rsidRPr="00B47DD9">
        <w:rPr>
          <w:rStyle w:val="FootnoteReference"/>
          <w:rFonts w:eastAsia="Times New Roman" w:cs="Segoe UI"/>
          <w:lang w:eastAsia="en-GB"/>
        </w:rPr>
        <w:footnoteReference w:id="26"/>
      </w:r>
      <w:r w:rsidRPr="00B47DD9">
        <w:rPr>
          <w:rFonts w:eastAsia="Times New Roman" w:cs="Segoe UI"/>
          <w:lang w:eastAsia="en-GB"/>
        </w:rPr>
        <w:t xml:space="preserve"> </w:t>
      </w:r>
      <w:r w:rsidR="00386D11" w:rsidRPr="00B47DD9">
        <w:rPr>
          <w:rFonts w:eastAsia="Times New Roman" w:cs="Segoe UI"/>
          <w:lang w:eastAsia="en-GB"/>
        </w:rPr>
        <w:t>It also states the high standards of reporting expected of civil servants where they become aware of any action committed in breach of the code. Likewise, prison officers are now distinguis</w:t>
      </w:r>
      <w:r w:rsidR="008E1916">
        <w:rPr>
          <w:rFonts w:eastAsia="Times New Roman" w:cs="Segoe UI"/>
          <w:lang w:eastAsia="en-GB"/>
        </w:rPr>
        <w:t>hed in functional terms from</w:t>
      </w:r>
      <w:r w:rsidR="00386D11" w:rsidRPr="00B47DD9">
        <w:rPr>
          <w:rFonts w:eastAsia="Times New Roman" w:cs="Segoe UI"/>
          <w:lang w:eastAsia="en-GB"/>
        </w:rPr>
        <w:t xml:space="preserve"> police officers, and so can take advantage of most employment protection rights.</w:t>
      </w:r>
      <w:r w:rsidR="00830932" w:rsidRPr="00B47DD9">
        <w:rPr>
          <w:rStyle w:val="FootnoteReference"/>
          <w:rFonts w:eastAsia="Times New Roman" w:cs="Segoe UI"/>
          <w:lang w:eastAsia="en-GB"/>
        </w:rPr>
        <w:footnoteReference w:id="27"/>
      </w:r>
      <w:r w:rsidR="00386D11" w:rsidRPr="00B47DD9">
        <w:rPr>
          <w:rFonts w:eastAsia="Times New Roman" w:cs="Segoe UI"/>
          <w:lang w:eastAsia="en-GB"/>
        </w:rPr>
        <w:t xml:space="preserve"> They are still though subject to limitations on their ability to take industrial action, as a result of a statutory duty arising from the provisions of the Criminal Justice and Public Order Act</w:t>
      </w:r>
      <w:r w:rsidR="008E1916">
        <w:rPr>
          <w:rFonts w:eastAsia="Times New Roman" w:cs="Segoe UI"/>
          <w:lang w:eastAsia="en-GB"/>
        </w:rPr>
        <w:t xml:space="preserve"> 1994</w:t>
      </w:r>
      <w:r w:rsidR="00386D11" w:rsidRPr="00B47DD9">
        <w:rPr>
          <w:rFonts w:eastAsia="Times New Roman" w:cs="Segoe UI"/>
          <w:lang w:eastAsia="en-GB"/>
        </w:rPr>
        <w:t xml:space="preserve">. They are also </w:t>
      </w:r>
      <w:r w:rsidR="00830932" w:rsidRPr="00B47DD9">
        <w:rPr>
          <w:rFonts w:eastAsia="Times New Roman" w:cs="Segoe UI"/>
          <w:lang w:eastAsia="en-GB"/>
        </w:rPr>
        <w:t xml:space="preserve">still rules under the Prison Act 1952 which </w:t>
      </w:r>
      <w:r w:rsidR="00830932" w:rsidRPr="00B47DD9">
        <w:rPr>
          <w:rFonts w:eastAsia="Times New Roman" w:cs="Segoe UI"/>
          <w:lang w:eastAsia="en-GB"/>
        </w:rPr>
        <w:lastRenderedPageBreak/>
        <w:t>determine the scope of misconduct in the prison service in line with the particular responsibilities and sensitivities of the employment.</w:t>
      </w:r>
      <w:r w:rsidR="00830932" w:rsidRPr="00B47DD9">
        <w:rPr>
          <w:rStyle w:val="FootnoteReference"/>
          <w:rFonts w:eastAsia="Times New Roman" w:cs="Segoe UI"/>
          <w:lang w:eastAsia="en-GB"/>
        </w:rPr>
        <w:footnoteReference w:id="28"/>
      </w:r>
    </w:p>
    <w:p w:rsidR="004A39E0" w:rsidRPr="00B47DD9" w:rsidRDefault="007E4603" w:rsidP="00CE3AC2">
      <w:pPr>
        <w:spacing w:after="150" w:line="480" w:lineRule="auto"/>
        <w:ind w:firstLine="360"/>
        <w:jc w:val="both"/>
        <w:rPr>
          <w:rFonts w:eastAsia="Times New Roman" w:cs="Segoe UI"/>
          <w:lang w:eastAsia="en-GB"/>
        </w:rPr>
      </w:pPr>
      <w:r w:rsidRPr="00B47DD9">
        <w:rPr>
          <w:rFonts w:eastAsia="Times New Roman" w:cs="Segoe UI"/>
          <w:lang w:eastAsia="en-GB"/>
        </w:rPr>
        <w:t>The</w:t>
      </w:r>
      <w:r w:rsidR="00F874F0" w:rsidRPr="00B47DD9">
        <w:rPr>
          <w:rFonts w:eastAsia="Times New Roman" w:cs="Segoe UI"/>
          <w:lang w:eastAsia="en-GB"/>
        </w:rPr>
        <w:t xml:space="preserve"> ‘functional’ approach</w:t>
      </w:r>
      <w:r w:rsidRPr="00B47DD9">
        <w:rPr>
          <w:rFonts w:eastAsia="Times New Roman" w:cs="Segoe UI"/>
          <w:lang w:eastAsia="en-GB"/>
        </w:rPr>
        <w:t xml:space="preserve"> to the separation of rights and protections between public and private sector employees</w:t>
      </w:r>
      <w:r w:rsidR="00F874F0" w:rsidRPr="00B47DD9">
        <w:rPr>
          <w:rFonts w:eastAsia="Times New Roman" w:cs="Segoe UI"/>
          <w:lang w:eastAsia="en-GB"/>
        </w:rPr>
        <w:t xml:space="preserve"> also resonates with international and EU law. </w:t>
      </w:r>
      <w:r w:rsidR="002C73CA" w:rsidRPr="00B47DD9">
        <w:rPr>
          <w:rFonts w:eastAsia="Times New Roman" w:cs="Segoe UI"/>
          <w:lang w:eastAsia="en-GB"/>
        </w:rPr>
        <w:t xml:space="preserve">An example at international level is provided by the attitude of the Committee of Experts of the ILO to the application of the right to strike. The Committee has found that the right to strike is not absolute, and </w:t>
      </w:r>
      <w:r w:rsidR="00E131BF" w:rsidRPr="00B47DD9">
        <w:rPr>
          <w:rFonts w:eastAsia="Times New Roman" w:cs="Segoe UI"/>
          <w:lang w:eastAsia="en-GB"/>
        </w:rPr>
        <w:t>can be restricted for employees engaged in ‘essential services’, the interruption of which would endanger the life, personal safety or health of the whole or part of the population.</w:t>
      </w:r>
      <w:r w:rsidR="00E131BF" w:rsidRPr="00B47DD9">
        <w:rPr>
          <w:rStyle w:val="FootnoteReference"/>
          <w:rFonts w:eastAsia="Times New Roman" w:cs="Segoe UI"/>
          <w:lang w:eastAsia="en-GB"/>
        </w:rPr>
        <w:footnoteReference w:id="29"/>
      </w:r>
      <w:r w:rsidR="002C73CA" w:rsidRPr="00B47DD9">
        <w:rPr>
          <w:rFonts w:eastAsia="Times New Roman" w:cs="Segoe UI"/>
          <w:lang w:eastAsia="en-GB"/>
        </w:rPr>
        <w:t xml:space="preserve"> </w:t>
      </w:r>
      <w:r w:rsidR="00E131BF" w:rsidRPr="00B47DD9">
        <w:rPr>
          <w:rFonts w:eastAsia="Times New Roman" w:cs="Segoe UI"/>
          <w:lang w:eastAsia="en-GB"/>
        </w:rPr>
        <w:t>Public servants can also be explicitly excluded from the right to strike where they are ‘exercising authority in the name of the State’.</w:t>
      </w:r>
      <w:r w:rsidR="00287CB2" w:rsidRPr="00B47DD9">
        <w:rPr>
          <w:rStyle w:val="FootnoteReference"/>
          <w:rFonts w:eastAsia="Times New Roman" w:cs="Segoe UI"/>
          <w:lang w:eastAsia="en-GB"/>
        </w:rPr>
        <w:footnoteReference w:id="30"/>
      </w:r>
      <w:r w:rsidR="00E131BF" w:rsidRPr="00B47DD9">
        <w:rPr>
          <w:rFonts w:eastAsia="Times New Roman" w:cs="Segoe UI"/>
          <w:lang w:eastAsia="en-GB"/>
        </w:rPr>
        <w:t xml:space="preserve"> Both the police and the army are also specifically mentioned as groups which could be legitimately excluded from the right to strike</w:t>
      </w:r>
      <w:r w:rsidR="009420D5" w:rsidRPr="00B47DD9">
        <w:rPr>
          <w:rFonts w:eastAsia="Times New Roman" w:cs="Segoe UI"/>
          <w:lang w:eastAsia="en-GB"/>
        </w:rPr>
        <w:t>.</w:t>
      </w:r>
      <w:r w:rsidR="0078277A" w:rsidRPr="00B47DD9">
        <w:rPr>
          <w:rStyle w:val="FootnoteReference"/>
          <w:rFonts w:eastAsia="Times New Roman" w:cs="Segoe UI"/>
          <w:lang w:eastAsia="en-GB"/>
        </w:rPr>
        <w:footnoteReference w:id="31"/>
      </w:r>
      <w:r w:rsidR="009420D5" w:rsidRPr="00B47DD9">
        <w:rPr>
          <w:rFonts w:eastAsia="Times New Roman" w:cs="Segoe UI"/>
          <w:lang w:eastAsia="en-GB"/>
        </w:rPr>
        <w:t xml:space="preserve"> </w:t>
      </w:r>
      <w:r w:rsidR="00263E77" w:rsidRPr="00B47DD9">
        <w:rPr>
          <w:rFonts w:eastAsia="Times New Roman" w:cs="Segoe UI"/>
          <w:lang w:eastAsia="en-GB"/>
        </w:rPr>
        <w:t xml:space="preserve">Furthermore, </w:t>
      </w:r>
      <w:r w:rsidR="009420D5" w:rsidRPr="00B47DD9">
        <w:rPr>
          <w:rFonts w:eastAsia="Times New Roman" w:cs="Segoe UI"/>
          <w:lang w:eastAsia="en-GB"/>
        </w:rPr>
        <w:t>in the jurisprudence of the E</w:t>
      </w:r>
      <w:r w:rsidR="008E1916">
        <w:rPr>
          <w:rFonts w:eastAsia="Times New Roman" w:cs="Segoe UI"/>
          <w:lang w:eastAsia="en-GB"/>
        </w:rPr>
        <w:t>uropean Court of Human Rights (ECtHR)</w:t>
      </w:r>
      <w:r w:rsidR="009420D5" w:rsidRPr="00B47DD9">
        <w:rPr>
          <w:rFonts w:eastAsia="Times New Roman" w:cs="Segoe UI"/>
          <w:lang w:eastAsia="en-GB"/>
        </w:rPr>
        <w:t xml:space="preserve">, </w:t>
      </w:r>
      <w:r w:rsidR="00263E77" w:rsidRPr="00B47DD9">
        <w:rPr>
          <w:rFonts w:eastAsia="Times New Roman" w:cs="Segoe UI"/>
          <w:lang w:eastAsia="en-GB"/>
        </w:rPr>
        <w:t xml:space="preserve">the functional approach is adopted in the adjudication of the applicability of Article 6 </w:t>
      </w:r>
      <w:r w:rsidR="008E1916">
        <w:rPr>
          <w:rFonts w:eastAsia="Times New Roman" w:cs="Segoe UI"/>
          <w:lang w:eastAsia="en-GB"/>
        </w:rPr>
        <w:t xml:space="preserve">of the </w:t>
      </w:r>
      <w:r w:rsidR="00263E77" w:rsidRPr="00B47DD9">
        <w:rPr>
          <w:rFonts w:eastAsia="Times New Roman" w:cs="Segoe UI"/>
          <w:lang w:eastAsia="en-GB"/>
        </w:rPr>
        <w:t>E</w:t>
      </w:r>
      <w:r w:rsidR="008E1916">
        <w:rPr>
          <w:rFonts w:eastAsia="Times New Roman" w:cs="Segoe UI"/>
          <w:lang w:eastAsia="en-GB"/>
        </w:rPr>
        <w:t>uropean Convention on Human Rights</w:t>
      </w:r>
      <w:r w:rsidR="00263E77" w:rsidRPr="00B47DD9">
        <w:rPr>
          <w:rFonts w:eastAsia="Times New Roman" w:cs="Segoe UI"/>
          <w:lang w:eastAsia="en-GB"/>
        </w:rPr>
        <w:t xml:space="preserve"> to public servants. According to </w:t>
      </w:r>
      <w:r w:rsidR="00263E77" w:rsidRPr="00B47DD9">
        <w:rPr>
          <w:rFonts w:eastAsia="Times New Roman" w:cs="Segoe UI"/>
          <w:i/>
          <w:lang w:eastAsia="en-GB"/>
        </w:rPr>
        <w:t>Pellegrin v France</w:t>
      </w:r>
      <w:r w:rsidR="00263E77" w:rsidRPr="00B47DD9">
        <w:rPr>
          <w:rFonts w:eastAsia="Times New Roman" w:cs="Segoe UI"/>
          <w:lang w:eastAsia="en-GB"/>
        </w:rPr>
        <w:t>,</w:t>
      </w:r>
      <w:r w:rsidR="0078277A" w:rsidRPr="00B47DD9">
        <w:rPr>
          <w:rStyle w:val="FootnoteReference"/>
          <w:rFonts w:eastAsia="Times New Roman" w:cs="Segoe UI"/>
          <w:lang w:eastAsia="en-GB"/>
        </w:rPr>
        <w:footnoteReference w:id="32"/>
      </w:r>
      <w:r w:rsidR="00263E77" w:rsidRPr="00B47DD9">
        <w:rPr>
          <w:rFonts w:eastAsia="Times New Roman" w:cs="Segoe UI"/>
          <w:lang w:eastAsia="en-GB"/>
        </w:rPr>
        <w:t xml:space="preserve"> the Court will consider the nature of the employee’s duties and responsibilities in determining whether he</w:t>
      </w:r>
      <w:r w:rsidR="008E1916">
        <w:rPr>
          <w:rFonts w:eastAsia="Times New Roman" w:cs="Segoe UI"/>
          <w:lang w:eastAsia="en-GB"/>
        </w:rPr>
        <w:t>/she can claim under Article 6 E</w:t>
      </w:r>
      <w:r w:rsidR="00263E77" w:rsidRPr="00B47DD9">
        <w:rPr>
          <w:rFonts w:eastAsia="Times New Roman" w:cs="Segoe UI"/>
          <w:lang w:eastAsia="en-GB"/>
        </w:rPr>
        <w:t>CHR. Where disputes are raised by public servants whose duties</w:t>
      </w:r>
      <w:r w:rsidR="009420D5" w:rsidRPr="00B47DD9">
        <w:rPr>
          <w:rFonts w:eastAsia="Times New Roman" w:cs="Segoe UI"/>
          <w:lang w:eastAsia="en-GB"/>
        </w:rPr>
        <w:t xml:space="preserve"> are ‘designed to safeguard the general interests of the State’</w:t>
      </w:r>
      <w:r w:rsidR="00263E77" w:rsidRPr="00B47DD9">
        <w:rPr>
          <w:rFonts w:eastAsia="Times New Roman" w:cs="Segoe UI"/>
          <w:lang w:eastAsia="en-GB"/>
        </w:rPr>
        <w:t xml:space="preserve"> then they will be excluded fr</w:t>
      </w:r>
      <w:r w:rsidR="009420D5" w:rsidRPr="00B47DD9">
        <w:rPr>
          <w:rFonts w:eastAsia="Times New Roman" w:cs="Segoe UI"/>
          <w:lang w:eastAsia="en-GB"/>
        </w:rPr>
        <w:t>om the scope of Article 6 ECHR.</w:t>
      </w:r>
      <w:r w:rsidR="0078277A" w:rsidRPr="00B47DD9">
        <w:rPr>
          <w:rStyle w:val="FootnoteReference"/>
          <w:rFonts w:eastAsia="Times New Roman" w:cs="Segoe UI"/>
          <w:lang w:eastAsia="en-GB"/>
        </w:rPr>
        <w:footnoteReference w:id="33"/>
      </w:r>
      <w:r w:rsidR="009420D5" w:rsidRPr="00B47DD9">
        <w:rPr>
          <w:rFonts w:eastAsia="Times New Roman" w:cs="Segoe UI"/>
          <w:lang w:eastAsia="en-GB"/>
        </w:rPr>
        <w:t xml:space="preserve"> In </w:t>
      </w:r>
      <w:r w:rsidR="009420D5" w:rsidRPr="00B47DD9">
        <w:rPr>
          <w:rFonts w:eastAsia="Times New Roman" w:cs="Segoe UI"/>
          <w:i/>
          <w:lang w:eastAsia="en-GB"/>
        </w:rPr>
        <w:t>Pellegrin v France</w:t>
      </w:r>
      <w:r w:rsidR="0078277A" w:rsidRPr="00B47DD9">
        <w:rPr>
          <w:rFonts w:eastAsia="Times New Roman" w:cs="Segoe UI"/>
          <w:lang w:eastAsia="en-GB"/>
        </w:rPr>
        <w:t>, it was</w:t>
      </w:r>
      <w:r w:rsidR="009420D5" w:rsidRPr="00B47DD9">
        <w:rPr>
          <w:rFonts w:eastAsia="Times New Roman" w:cs="Segoe UI"/>
          <w:lang w:eastAsia="en-GB"/>
        </w:rPr>
        <w:t xml:space="preserve"> asserted that ‘manifest’ examples of these activities are provided by the armed forces and the police.</w:t>
      </w:r>
      <w:r w:rsidR="009420D5" w:rsidRPr="00B47DD9">
        <w:rPr>
          <w:rStyle w:val="FootnoteReference"/>
          <w:rFonts w:eastAsia="Times New Roman" w:cs="Segoe UI"/>
          <w:lang w:eastAsia="en-GB"/>
        </w:rPr>
        <w:footnoteReference w:id="34"/>
      </w:r>
      <w:r w:rsidRPr="00B47DD9">
        <w:rPr>
          <w:rFonts w:eastAsia="Times New Roman" w:cs="Segoe UI"/>
          <w:lang w:eastAsia="en-GB"/>
        </w:rPr>
        <w:t xml:space="preserve"> As a result, it has been held that these groups will not benefit from Article 6 protection.</w:t>
      </w:r>
      <w:r w:rsidR="00BA7E24" w:rsidRPr="00B47DD9">
        <w:rPr>
          <w:rStyle w:val="FootnoteReference"/>
          <w:rFonts w:eastAsia="Times New Roman" w:cs="Segoe UI"/>
          <w:lang w:eastAsia="en-GB"/>
        </w:rPr>
        <w:footnoteReference w:id="35"/>
      </w:r>
    </w:p>
    <w:p w:rsidR="004E703A" w:rsidRPr="00B47DD9" w:rsidRDefault="0053198E" w:rsidP="00CE3AC2">
      <w:pPr>
        <w:pStyle w:val="ListParagraph"/>
        <w:numPr>
          <w:ilvl w:val="0"/>
          <w:numId w:val="4"/>
        </w:numPr>
        <w:spacing w:after="150" w:line="480" w:lineRule="auto"/>
        <w:jc w:val="both"/>
        <w:rPr>
          <w:rFonts w:eastAsia="Times New Roman" w:cs="Segoe UI"/>
          <w:lang w:eastAsia="en-GB"/>
        </w:rPr>
      </w:pPr>
      <w:r w:rsidRPr="00B47DD9">
        <w:rPr>
          <w:rFonts w:eastAsia="Times New Roman" w:cs="Segoe UI"/>
          <w:lang w:eastAsia="en-GB"/>
        </w:rPr>
        <w:t>The possible critiques of the justificatory regime.</w:t>
      </w:r>
    </w:p>
    <w:p w:rsidR="0053198E" w:rsidRPr="00B47DD9" w:rsidRDefault="0053198E" w:rsidP="00CE3AC2">
      <w:pPr>
        <w:spacing w:after="150" w:line="480" w:lineRule="auto"/>
        <w:jc w:val="both"/>
        <w:rPr>
          <w:rFonts w:eastAsia="Times New Roman" w:cs="Segoe UI"/>
          <w:lang w:eastAsia="en-GB"/>
        </w:rPr>
      </w:pPr>
      <w:r w:rsidRPr="00B47DD9">
        <w:rPr>
          <w:rFonts w:eastAsia="Times New Roman" w:cs="Segoe UI"/>
          <w:lang w:eastAsia="en-GB"/>
        </w:rPr>
        <w:lastRenderedPageBreak/>
        <w:t xml:space="preserve">In the previous section, the different justificatory arguments for the separation of public employment from employment in the private sector were raised. There was also a discussion of the application of those different justificatory arguments to different public sector groups. </w:t>
      </w:r>
      <w:r w:rsidR="000F6358" w:rsidRPr="00B47DD9">
        <w:rPr>
          <w:rFonts w:eastAsia="Times New Roman" w:cs="Segoe UI"/>
          <w:lang w:eastAsia="en-GB"/>
        </w:rPr>
        <w:t>It is clear from this discussion that instead of sitting neatly on either side of the public/private divide, different groups tend to straddle it, achieving employment law protection in some areas and not in others. The aims of this section is to delve a little more deeply into the justificatory arguments surrounding the public/private divide and reveal the possible problems in applying these arguments to the real world. Section 4 builds on these arguments by discussing</w:t>
      </w:r>
      <w:r w:rsidR="0078072C" w:rsidRPr="00B47DD9">
        <w:rPr>
          <w:rFonts w:eastAsia="Times New Roman" w:cs="Segoe UI"/>
          <w:lang w:eastAsia="en-GB"/>
        </w:rPr>
        <w:t xml:space="preserve"> how certain groups have attempted to challenge the public/private divide, and particularly the arguments used by those workers seeking inclusion within the statutory scheme of employment rights protection. </w:t>
      </w:r>
      <w:r w:rsidR="000F6358" w:rsidRPr="00B47DD9">
        <w:rPr>
          <w:rFonts w:eastAsia="Times New Roman" w:cs="Segoe UI"/>
          <w:lang w:eastAsia="en-GB"/>
        </w:rPr>
        <w:t xml:space="preserve">The final section will discuss the varying degrees of success of those attempts and any possible alternatives for excluded public sector groups. </w:t>
      </w:r>
    </w:p>
    <w:p w:rsidR="00DF2559" w:rsidRPr="00B47DD9" w:rsidRDefault="00554817" w:rsidP="00CE3AC2">
      <w:pPr>
        <w:spacing w:after="150" w:line="480" w:lineRule="auto"/>
        <w:ind w:firstLine="720"/>
        <w:jc w:val="both"/>
        <w:rPr>
          <w:rFonts w:eastAsia="Times New Roman" w:cs="Segoe UI"/>
          <w:lang w:eastAsia="en-GB"/>
        </w:rPr>
      </w:pPr>
      <w:r w:rsidRPr="00B47DD9">
        <w:rPr>
          <w:rFonts w:eastAsia="Times New Roman" w:cs="Segoe UI"/>
          <w:lang w:eastAsia="en-GB"/>
        </w:rPr>
        <w:t>The first major problem</w:t>
      </w:r>
      <w:r w:rsidR="0078072C" w:rsidRPr="00B47DD9">
        <w:rPr>
          <w:rFonts w:eastAsia="Times New Roman" w:cs="Segoe UI"/>
          <w:lang w:eastAsia="en-GB"/>
        </w:rPr>
        <w:t xml:space="preserve"> with the justificatory arguments concerning the public/private divide, is the assumption that they work in tandem to produce a clear outcome. The argument proceeds that </w:t>
      </w:r>
      <w:r w:rsidRPr="00B47DD9">
        <w:rPr>
          <w:rFonts w:eastAsia="Times New Roman" w:cs="Segoe UI"/>
          <w:lang w:eastAsia="en-GB"/>
        </w:rPr>
        <w:t>a private relationship will be contractual and involve private power and private functions, whereas a public relationship will involve the exercise of public functions and will not</w:t>
      </w:r>
      <w:r w:rsidR="0078072C" w:rsidRPr="00B47DD9">
        <w:rPr>
          <w:rFonts w:eastAsia="Times New Roman" w:cs="Segoe UI"/>
          <w:lang w:eastAsia="en-GB"/>
        </w:rPr>
        <w:t xml:space="preserve"> be</w:t>
      </w:r>
      <w:r w:rsidRPr="00B47DD9">
        <w:rPr>
          <w:rFonts w:eastAsia="Times New Roman" w:cs="Segoe UI"/>
          <w:lang w:eastAsia="en-GB"/>
        </w:rPr>
        <w:t xml:space="preserve"> non-contractual in nature. This division is very d</w:t>
      </w:r>
      <w:r w:rsidR="0078072C" w:rsidRPr="00B47DD9">
        <w:rPr>
          <w:rFonts w:eastAsia="Times New Roman" w:cs="Segoe UI"/>
          <w:lang w:eastAsia="en-GB"/>
        </w:rPr>
        <w:t>ifficult to sustain in practice. Very often public sector worker</w:t>
      </w:r>
      <w:r w:rsidR="00DF2559" w:rsidRPr="00B47DD9">
        <w:rPr>
          <w:rFonts w:eastAsia="Times New Roman" w:cs="Segoe UI"/>
          <w:lang w:eastAsia="en-GB"/>
        </w:rPr>
        <w:t>s will be employed both under</w:t>
      </w:r>
      <w:r w:rsidR="0078072C" w:rsidRPr="00B47DD9">
        <w:rPr>
          <w:rFonts w:eastAsia="Times New Roman" w:cs="Segoe UI"/>
          <w:lang w:eastAsia="en-GB"/>
        </w:rPr>
        <w:t xml:space="preserve"> a contract </w:t>
      </w:r>
      <w:r w:rsidR="00DF2559" w:rsidRPr="00B47DD9">
        <w:rPr>
          <w:rFonts w:eastAsia="Times New Roman" w:cs="Segoe UI"/>
          <w:lang w:eastAsia="en-GB"/>
        </w:rPr>
        <w:t>purporting to determine the boundaries of the relationship, and under a statutory framework which controls the functions of the public body and its powers.</w:t>
      </w:r>
      <w:r w:rsidR="0078277A" w:rsidRPr="00B47DD9">
        <w:rPr>
          <w:rStyle w:val="FootnoteReference"/>
          <w:rFonts w:eastAsia="Times New Roman" w:cs="Segoe UI"/>
          <w:lang w:eastAsia="en-GB"/>
        </w:rPr>
        <w:footnoteReference w:id="36"/>
      </w:r>
      <w:r w:rsidR="00DF2559" w:rsidRPr="00B47DD9">
        <w:rPr>
          <w:rFonts w:eastAsia="Times New Roman" w:cs="Segoe UI"/>
          <w:lang w:eastAsia="en-GB"/>
        </w:rPr>
        <w:t xml:space="preserve"> Illustrations of this arrangement abound in for example the NHS, public corporations and the education service. To take one example, </w:t>
      </w:r>
      <w:r w:rsidR="00BE2F38" w:rsidRPr="00B47DD9">
        <w:rPr>
          <w:rFonts w:eastAsia="Times New Roman" w:cs="Segoe UI"/>
          <w:lang w:eastAsia="en-GB"/>
        </w:rPr>
        <w:t>teachers in the public sector work under contracts of employment, but their cont</w:t>
      </w:r>
      <w:r w:rsidR="002451EF" w:rsidRPr="00B47DD9">
        <w:rPr>
          <w:rFonts w:eastAsia="Times New Roman" w:cs="Segoe UI"/>
          <w:lang w:eastAsia="en-GB"/>
        </w:rPr>
        <w:t>racts are with public bodies that</w:t>
      </w:r>
      <w:r w:rsidR="00BE2F38" w:rsidRPr="00B47DD9">
        <w:rPr>
          <w:rFonts w:eastAsia="Times New Roman" w:cs="Segoe UI"/>
          <w:lang w:eastAsia="en-GB"/>
        </w:rPr>
        <w:t xml:space="preserve"> derive their powers from statute. For teachers in most publicly fu</w:t>
      </w:r>
      <w:r w:rsidR="00923781" w:rsidRPr="00B47DD9">
        <w:rPr>
          <w:rFonts w:eastAsia="Times New Roman" w:cs="Segoe UI"/>
          <w:lang w:eastAsia="en-GB"/>
        </w:rPr>
        <w:t>nded institutions, the employer</w:t>
      </w:r>
      <w:r w:rsidR="00BE2F38" w:rsidRPr="00B47DD9">
        <w:rPr>
          <w:rFonts w:eastAsia="Times New Roman" w:cs="Segoe UI"/>
          <w:lang w:eastAsia="en-GB"/>
        </w:rPr>
        <w:t xml:space="preserve"> is the local education authority</w:t>
      </w:r>
      <w:r w:rsidR="00923781" w:rsidRPr="00B47DD9">
        <w:rPr>
          <w:rFonts w:eastAsia="Times New Roman" w:cs="Segoe UI"/>
          <w:lang w:eastAsia="en-GB"/>
        </w:rPr>
        <w:t>,</w:t>
      </w:r>
      <w:r w:rsidR="00BE2F38" w:rsidRPr="00B47DD9">
        <w:rPr>
          <w:rFonts w:eastAsia="Times New Roman" w:cs="Segoe UI"/>
          <w:lang w:eastAsia="en-GB"/>
        </w:rPr>
        <w:t xml:space="preserve"> </w:t>
      </w:r>
      <w:r w:rsidR="00923781" w:rsidRPr="00B47DD9">
        <w:rPr>
          <w:rFonts w:eastAsia="Times New Roman" w:cs="Segoe UI"/>
          <w:lang w:eastAsia="en-GB"/>
        </w:rPr>
        <w:t>although in practice many functions are delegated to the relevant school’s governing body.</w:t>
      </w:r>
      <w:r w:rsidR="002451EF" w:rsidRPr="00B47DD9">
        <w:rPr>
          <w:rFonts w:eastAsia="Times New Roman" w:cs="Segoe UI"/>
          <w:vertAlign w:val="superscript"/>
          <w:lang w:eastAsia="en-GB"/>
        </w:rPr>
        <w:t xml:space="preserve"> </w:t>
      </w:r>
      <w:r w:rsidR="002451EF" w:rsidRPr="00B47DD9">
        <w:rPr>
          <w:rFonts w:eastAsia="Times New Roman" w:cs="Segoe UI"/>
          <w:vertAlign w:val="superscript"/>
          <w:lang w:eastAsia="en-GB"/>
        </w:rPr>
        <w:footnoteReference w:id="37"/>
      </w:r>
      <w:r w:rsidR="00923781" w:rsidRPr="00B47DD9">
        <w:rPr>
          <w:rFonts w:eastAsia="Times New Roman" w:cs="Segoe UI"/>
          <w:lang w:eastAsia="en-GB"/>
        </w:rPr>
        <w:t xml:space="preserve"> </w:t>
      </w:r>
      <w:r w:rsidR="00620E3A" w:rsidRPr="00B47DD9">
        <w:rPr>
          <w:rFonts w:eastAsia="Times New Roman" w:cs="Segoe UI"/>
          <w:lang w:eastAsia="en-GB"/>
        </w:rPr>
        <w:t>In any event, the Secretary of State retains the power to make provision for th</w:t>
      </w:r>
      <w:r w:rsidR="002451EF" w:rsidRPr="00B47DD9">
        <w:rPr>
          <w:rFonts w:eastAsia="Times New Roman" w:cs="Segoe UI"/>
          <w:lang w:eastAsia="en-GB"/>
        </w:rPr>
        <w:t>e determination of the pay of sc</w:t>
      </w:r>
      <w:r w:rsidR="00620E3A" w:rsidRPr="00B47DD9">
        <w:rPr>
          <w:rFonts w:eastAsia="Times New Roman" w:cs="Segoe UI"/>
          <w:lang w:eastAsia="en-GB"/>
        </w:rPr>
        <w:t>hool teachers, and any other conditions of employment which relate to their professional duties or working time.</w:t>
      </w:r>
      <w:r w:rsidR="00620E3A" w:rsidRPr="00B47DD9">
        <w:rPr>
          <w:rStyle w:val="FootnoteReference"/>
          <w:rFonts w:eastAsia="Times New Roman" w:cs="Segoe UI"/>
          <w:lang w:eastAsia="en-GB"/>
        </w:rPr>
        <w:footnoteReference w:id="38"/>
      </w:r>
      <w:r w:rsidR="00620E3A" w:rsidRPr="00B47DD9">
        <w:rPr>
          <w:rFonts w:eastAsia="Times New Roman" w:cs="Segoe UI"/>
          <w:lang w:eastAsia="en-GB"/>
        </w:rPr>
        <w:t xml:space="preserve"> Therefore, whilst school teachers are deemed to have ‘contracts of employment’ as a matter of law, those contracts are not solely circumscribed by private p</w:t>
      </w:r>
      <w:r w:rsidR="0078277A" w:rsidRPr="00B47DD9">
        <w:rPr>
          <w:rFonts w:eastAsia="Times New Roman" w:cs="Segoe UI"/>
          <w:lang w:eastAsia="en-GB"/>
        </w:rPr>
        <w:t>ower, but also by public power.</w:t>
      </w:r>
    </w:p>
    <w:p w:rsidR="009C6720" w:rsidRPr="00B47DD9" w:rsidRDefault="00067ADD" w:rsidP="00CE3AC2">
      <w:pPr>
        <w:spacing w:after="150" w:line="480" w:lineRule="auto"/>
        <w:ind w:firstLine="720"/>
        <w:jc w:val="both"/>
        <w:rPr>
          <w:rFonts w:eastAsia="Times New Roman" w:cs="Segoe UI"/>
          <w:lang w:eastAsia="en-GB"/>
        </w:rPr>
      </w:pPr>
      <w:r>
        <w:rPr>
          <w:rFonts w:eastAsia="Times New Roman" w:cs="Segoe UI"/>
          <w:lang w:eastAsia="en-GB"/>
        </w:rPr>
        <w:t>It may be argued that</w:t>
      </w:r>
      <w:r w:rsidR="009C6720" w:rsidRPr="00B47DD9">
        <w:rPr>
          <w:rFonts w:eastAsia="Times New Roman" w:cs="Segoe UI"/>
          <w:lang w:eastAsia="en-GB"/>
        </w:rPr>
        <w:t xml:space="preserve"> in practical terms, the ‘pu</w:t>
      </w:r>
      <w:r w:rsidR="00575CED" w:rsidRPr="00B47DD9">
        <w:rPr>
          <w:rFonts w:eastAsia="Times New Roman" w:cs="Segoe UI"/>
          <w:lang w:eastAsia="en-GB"/>
        </w:rPr>
        <w:t>blic’ features of these employment contracts do not affect the</w:t>
      </w:r>
      <w:r w:rsidR="009C6720" w:rsidRPr="00B47DD9">
        <w:rPr>
          <w:rFonts w:eastAsia="Times New Roman" w:cs="Segoe UI"/>
          <w:lang w:eastAsia="en-GB"/>
        </w:rPr>
        <w:t xml:space="preserve"> overall rights</w:t>
      </w:r>
      <w:r w:rsidR="00575CED" w:rsidRPr="00B47DD9">
        <w:rPr>
          <w:rFonts w:eastAsia="Times New Roman" w:cs="Segoe UI"/>
          <w:lang w:eastAsia="en-GB"/>
        </w:rPr>
        <w:t xml:space="preserve"> of these employees</w:t>
      </w:r>
      <w:r w:rsidR="009C6720" w:rsidRPr="00B47DD9">
        <w:rPr>
          <w:rFonts w:eastAsia="Times New Roman" w:cs="Segoe UI"/>
          <w:lang w:eastAsia="en-GB"/>
        </w:rPr>
        <w:t>, as these</w:t>
      </w:r>
      <w:r w:rsidR="00575CED" w:rsidRPr="00B47DD9">
        <w:rPr>
          <w:rFonts w:eastAsia="Times New Roman" w:cs="Segoe UI"/>
          <w:lang w:eastAsia="en-GB"/>
        </w:rPr>
        <w:t xml:space="preserve"> rights</w:t>
      </w:r>
      <w:r w:rsidR="009C6720" w:rsidRPr="00B47DD9">
        <w:rPr>
          <w:rFonts w:eastAsia="Times New Roman" w:cs="Segoe UI"/>
          <w:lang w:eastAsia="en-GB"/>
        </w:rPr>
        <w:t xml:space="preserve"> are determined through (private) employment law. However, </w:t>
      </w:r>
      <w:r w:rsidR="00575CED" w:rsidRPr="00B47DD9">
        <w:rPr>
          <w:rFonts w:eastAsia="Times New Roman" w:cs="Segoe UI"/>
          <w:lang w:eastAsia="en-GB"/>
        </w:rPr>
        <w:t xml:space="preserve">in some situations, this public/private division can be manipulated so that public sector workers fall outside the boundaries of </w:t>
      </w:r>
      <w:r w:rsidR="00575CED" w:rsidRPr="00B47DD9">
        <w:rPr>
          <w:rFonts w:eastAsia="Times New Roman" w:cs="Segoe UI"/>
          <w:i/>
          <w:lang w:eastAsia="en-GB"/>
        </w:rPr>
        <w:t>both</w:t>
      </w:r>
      <w:r w:rsidR="00575CED" w:rsidRPr="00B47DD9">
        <w:rPr>
          <w:rFonts w:eastAsia="Times New Roman" w:cs="Segoe UI"/>
          <w:lang w:eastAsia="en-GB"/>
        </w:rPr>
        <w:t xml:space="preserve"> private law </w:t>
      </w:r>
      <w:r w:rsidR="00575CED" w:rsidRPr="00B47DD9">
        <w:rPr>
          <w:rFonts w:eastAsia="Times New Roman" w:cs="Segoe UI"/>
          <w:i/>
          <w:lang w:eastAsia="en-GB"/>
        </w:rPr>
        <w:t>and</w:t>
      </w:r>
      <w:r w:rsidR="00575CED" w:rsidRPr="00B47DD9">
        <w:rPr>
          <w:rFonts w:eastAsia="Times New Roman" w:cs="Segoe UI"/>
          <w:lang w:eastAsia="en-GB"/>
        </w:rPr>
        <w:t xml:space="preserve"> public law. Civil servants provide a good example. Traditionally, it was held that civil servants could not have a contract of employment. Their employer was the Crown, and the Crown could not fetter its discretion by binding itself to contracts of employment.</w:t>
      </w:r>
      <w:r w:rsidR="005D7FAA" w:rsidRPr="00B47DD9">
        <w:rPr>
          <w:rStyle w:val="FootnoteReference"/>
          <w:rFonts w:eastAsia="Times New Roman" w:cs="Segoe UI"/>
          <w:lang w:eastAsia="en-GB"/>
        </w:rPr>
        <w:footnoteReference w:id="39"/>
      </w:r>
      <w:r w:rsidR="00575CED" w:rsidRPr="00B47DD9">
        <w:rPr>
          <w:rFonts w:eastAsia="Times New Roman" w:cs="Segoe UI"/>
          <w:lang w:eastAsia="en-GB"/>
        </w:rPr>
        <w:t xml:space="preserve"> </w:t>
      </w:r>
      <w:r w:rsidR="0047012E" w:rsidRPr="00B47DD9">
        <w:rPr>
          <w:rFonts w:eastAsia="Times New Roman" w:cs="Segoe UI"/>
          <w:lang w:eastAsia="en-GB"/>
        </w:rPr>
        <w:t>In</w:t>
      </w:r>
      <w:r w:rsidR="00445874" w:rsidRPr="00B47DD9">
        <w:rPr>
          <w:rFonts w:eastAsia="Times New Roman" w:cs="Segoe UI"/>
          <w:lang w:eastAsia="en-GB"/>
        </w:rPr>
        <w:t xml:space="preserve"> terms of </w:t>
      </w:r>
      <w:r w:rsidR="00575CED" w:rsidRPr="00B47DD9">
        <w:rPr>
          <w:rFonts w:eastAsia="Times New Roman" w:cs="Segoe UI"/>
          <w:lang w:eastAsia="en-GB"/>
        </w:rPr>
        <w:t xml:space="preserve">private law, the contractual status of civil servants remains uncertain. </w:t>
      </w:r>
      <w:r w:rsidR="00445874" w:rsidRPr="00B47DD9">
        <w:rPr>
          <w:rFonts w:eastAsia="Times New Roman" w:cs="Segoe UI"/>
          <w:lang w:eastAsia="en-GB"/>
        </w:rPr>
        <w:t xml:space="preserve">Although civil servants are assumed to have contracts of employment for the purposes of statutory protection, their contracts remain theoretically subject to common law rules which are inconsistent with </w:t>
      </w:r>
      <w:r w:rsidR="006345D8" w:rsidRPr="00B47DD9">
        <w:rPr>
          <w:rFonts w:eastAsia="Times New Roman" w:cs="Segoe UI"/>
          <w:lang w:eastAsia="en-GB"/>
        </w:rPr>
        <w:t xml:space="preserve">the general </w:t>
      </w:r>
      <w:r w:rsidR="00445874" w:rsidRPr="00B47DD9">
        <w:rPr>
          <w:rFonts w:eastAsia="Times New Roman" w:cs="Segoe UI"/>
          <w:lang w:eastAsia="en-GB"/>
        </w:rPr>
        <w:t>common law rules determining contracts of employment. It therefore appears that civil servants m</w:t>
      </w:r>
      <w:r w:rsidR="00EF4F80" w:rsidRPr="00B47DD9">
        <w:rPr>
          <w:rFonts w:eastAsia="Times New Roman" w:cs="Segoe UI"/>
          <w:lang w:eastAsia="en-GB"/>
        </w:rPr>
        <w:t xml:space="preserve">ay face problems in </w:t>
      </w:r>
      <w:r w:rsidR="006345D8" w:rsidRPr="00B47DD9">
        <w:rPr>
          <w:rFonts w:eastAsia="Times New Roman" w:cs="Segoe UI"/>
          <w:lang w:eastAsia="en-GB"/>
        </w:rPr>
        <w:t>claiming under (certain of) the common law rules relating to contracts of employment (such as rules which seek to limit the</w:t>
      </w:r>
      <w:r w:rsidR="0047012E" w:rsidRPr="00B47DD9">
        <w:rPr>
          <w:rFonts w:eastAsia="Times New Roman" w:cs="Segoe UI"/>
          <w:lang w:eastAsia="en-GB"/>
        </w:rPr>
        <w:t xml:space="preserve"> variation of contractual terms</w:t>
      </w:r>
      <w:r w:rsidR="006345D8" w:rsidRPr="00B47DD9">
        <w:rPr>
          <w:rFonts w:eastAsia="Times New Roman" w:cs="Segoe UI"/>
          <w:lang w:eastAsia="en-GB"/>
        </w:rPr>
        <w:t>)</w:t>
      </w:r>
      <w:r w:rsidR="0047012E" w:rsidRPr="00B47DD9">
        <w:rPr>
          <w:rFonts w:eastAsia="Times New Roman" w:cs="Segoe UI"/>
          <w:lang w:eastAsia="en-GB"/>
        </w:rPr>
        <w:t xml:space="preserve">. By contrast, as a matter of public law, it is now accepted that civil servants can </w:t>
      </w:r>
      <w:r w:rsidR="006345D8" w:rsidRPr="00B47DD9">
        <w:rPr>
          <w:rFonts w:eastAsia="Times New Roman" w:cs="Segoe UI"/>
          <w:lang w:eastAsia="en-GB"/>
        </w:rPr>
        <w:t>possess contracts of employment</w:t>
      </w:r>
      <w:r w:rsidR="0047012E" w:rsidRPr="00B47DD9">
        <w:rPr>
          <w:rFonts w:eastAsia="Times New Roman" w:cs="Segoe UI"/>
          <w:lang w:eastAsia="en-GB"/>
        </w:rPr>
        <w:t>.</w:t>
      </w:r>
      <w:r w:rsidR="006345D8" w:rsidRPr="00B47DD9">
        <w:rPr>
          <w:rStyle w:val="FootnoteReference"/>
          <w:rFonts w:eastAsia="Times New Roman" w:cs="Segoe UI"/>
          <w:lang w:eastAsia="en-GB"/>
        </w:rPr>
        <w:footnoteReference w:id="40"/>
      </w:r>
      <w:r w:rsidR="0047012E" w:rsidRPr="00B47DD9">
        <w:rPr>
          <w:rFonts w:eastAsia="Times New Roman" w:cs="Segoe UI"/>
          <w:lang w:eastAsia="en-GB"/>
        </w:rPr>
        <w:t xml:space="preserve"> Of course, where that contract of employment exists for the purposes of public law, it exclude</w:t>
      </w:r>
      <w:r w:rsidR="006345D8" w:rsidRPr="00B47DD9">
        <w:rPr>
          <w:rFonts w:eastAsia="Times New Roman" w:cs="Segoe UI"/>
          <w:lang w:eastAsia="en-GB"/>
        </w:rPr>
        <w:t xml:space="preserve">s the possibility of civil servants bringing claims for judicial review. </w:t>
      </w:r>
      <w:r w:rsidR="0047012E" w:rsidRPr="00B47DD9">
        <w:rPr>
          <w:rFonts w:eastAsia="Times New Roman" w:cs="Segoe UI"/>
          <w:lang w:eastAsia="en-GB"/>
        </w:rPr>
        <w:t xml:space="preserve">It is therefore possible that civil servants will not be able to take advantage of either public or private law relating to their employment.  </w:t>
      </w:r>
    </w:p>
    <w:p w:rsidR="0053198E" w:rsidRPr="00B47DD9" w:rsidRDefault="00764364" w:rsidP="00CE3AC2">
      <w:pPr>
        <w:spacing w:after="150" w:line="480" w:lineRule="auto"/>
        <w:ind w:firstLine="360"/>
        <w:jc w:val="both"/>
        <w:rPr>
          <w:rFonts w:eastAsia="Times New Roman" w:cs="Segoe UI"/>
          <w:lang w:eastAsia="en-GB"/>
        </w:rPr>
      </w:pPr>
      <w:r w:rsidRPr="00B47DD9">
        <w:rPr>
          <w:rFonts w:eastAsia="Times New Roman" w:cs="Segoe UI"/>
          <w:lang w:eastAsia="en-GB"/>
        </w:rPr>
        <w:t xml:space="preserve">A second problem is the inconsistencies </w:t>
      </w:r>
      <w:r w:rsidRPr="00B47DD9">
        <w:rPr>
          <w:rFonts w:eastAsia="Times New Roman" w:cs="Segoe UI"/>
          <w:i/>
          <w:lang w:eastAsia="en-GB"/>
        </w:rPr>
        <w:t>within</w:t>
      </w:r>
      <w:r w:rsidRPr="00B47DD9">
        <w:rPr>
          <w:rFonts w:eastAsia="Times New Roman" w:cs="Segoe UI"/>
          <w:lang w:eastAsia="en-GB"/>
        </w:rPr>
        <w:t xml:space="preserve"> the different justificatory approaches for separating the public and private regime of regulation. </w:t>
      </w:r>
      <w:r w:rsidR="0053198E" w:rsidRPr="00B47DD9">
        <w:rPr>
          <w:rFonts w:eastAsia="Times New Roman" w:cs="Segoe UI"/>
          <w:lang w:eastAsia="en-GB"/>
        </w:rPr>
        <w:t xml:space="preserve">For example, police officers are designated as </w:t>
      </w:r>
      <w:r w:rsidR="00B54C1B" w:rsidRPr="00B47DD9">
        <w:rPr>
          <w:rFonts w:eastAsia="Times New Roman" w:cs="Segoe UI"/>
          <w:lang w:eastAsia="en-GB"/>
        </w:rPr>
        <w:t>holding distinct ‘independent offices</w:t>
      </w:r>
      <w:r w:rsidR="001F5FA3" w:rsidRPr="00B47DD9">
        <w:rPr>
          <w:rFonts w:eastAsia="Times New Roman" w:cs="Segoe UI"/>
          <w:lang w:eastAsia="en-GB"/>
        </w:rPr>
        <w:t>’</w:t>
      </w:r>
      <w:r w:rsidR="00BB3C1F" w:rsidRPr="00B47DD9">
        <w:rPr>
          <w:rFonts w:eastAsia="Times New Roman" w:cs="Segoe UI"/>
          <w:lang w:eastAsia="en-GB"/>
        </w:rPr>
        <w:t xml:space="preserve">; </w:t>
      </w:r>
      <w:r w:rsidR="00DB11A7" w:rsidRPr="00B47DD9">
        <w:rPr>
          <w:rFonts w:eastAsia="Times New Roman" w:cs="Segoe UI"/>
          <w:lang w:eastAsia="en-GB"/>
        </w:rPr>
        <w:t>the rules and regulations which determine their service are laid down by Parliament and their disciplinary procedures have a statutory basis.</w:t>
      </w:r>
      <w:r w:rsidR="00DB11A7" w:rsidRPr="00B47DD9">
        <w:rPr>
          <w:rStyle w:val="FootnoteReference"/>
          <w:rFonts w:eastAsia="Times New Roman" w:cs="Segoe UI"/>
          <w:lang w:eastAsia="en-GB"/>
        </w:rPr>
        <w:footnoteReference w:id="41"/>
      </w:r>
      <w:r w:rsidR="00B54C1B" w:rsidRPr="00B47DD9">
        <w:rPr>
          <w:rFonts w:eastAsia="Times New Roman" w:cs="Segoe UI"/>
          <w:lang w:eastAsia="en-GB"/>
        </w:rPr>
        <w:t xml:space="preserve"> </w:t>
      </w:r>
      <w:r w:rsidR="001F5FA3" w:rsidRPr="00B47DD9">
        <w:rPr>
          <w:rFonts w:eastAsia="Times New Roman" w:cs="Segoe UI"/>
          <w:lang w:eastAsia="en-GB"/>
        </w:rPr>
        <w:t>This lack of</w:t>
      </w:r>
      <w:r w:rsidR="00BB3C1F" w:rsidRPr="00B47DD9">
        <w:rPr>
          <w:rFonts w:eastAsia="Times New Roman" w:cs="Segoe UI"/>
          <w:lang w:eastAsia="en-GB"/>
        </w:rPr>
        <w:t xml:space="preserve"> an employment</w:t>
      </w:r>
      <w:r w:rsidR="001F5FA3" w:rsidRPr="00B47DD9">
        <w:rPr>
          <w:rFonts w:eastAsia="Times New Roman" w:cs="Segoe UI"/>
          <w:lang w:eastAsia="en-GB"/>
        </w:rPr>
        <w:t xml:space="preserve"> contract</w:t>
      </w:r>
      <w:r w:rsidR="00DB11A7" w:rsidRPr="00B47DD9">
        <w:rPr>
          <w:rFonts w:eastAsia="Times New Roman" w:cs="Segoe UI"/>
          <w:lang w:eastAsia="en-GB"/>
        </w:rPr>
        <w:t xml:space="preserve"> (and also their distinct functional status)</w:t>
      </w:r>
      <w:r w:rsidR="001F5FA3" w:rsidRPr="00B47DD9">
        <w:rPr>
          <w:rFonts w:eastAsia="Times New Roman" w:cs="Segoe UI"/>
          <w:lang w:eastAsia="en-GB"/>
        </w:rPr>
        <w:t xml:space="preserve"> means that they are implicitly excluded from some employment protections, and explicitly excluded from others. However, this exclusion is not consistent, and police officers do have protection under equality law and under working time legislation. This implies a level of contractual personal service or ‘subordination’ as a matter of law. Furthermore, it has been argued that, in practice, police officers are subject to a high level of control by their superiors despite the particular functional responsibilities and ‘independence’ associated with the position of constable. Their scope for individual action is severely limited. </w:t>
      </w:r>
      <w:r w:rsidR="00DB11A7" w:rsidRPr="00B47DD9">
        <w:rPr>
          <w:rFonts w:eastAsia="Times New Roman" w:cs="Segoe UI"/>
          <w:lang w:eastAsia="en-GB"/>
        </w:rPr>
        <w:t xml:space="preserve">It is therefore difficult to sustain a </w:t>
      </w:r>
      <w:r w:rsidR="0053198E" w:rsidRPr="00B47DD9">
        <w:rPr>
          <w:rFonts w:eastAsia="Times New Roman" w:cs="Segoe UI"/>
          <w:lang w:eastAsia="en-GB"/>
        </w:rPr>
        <w:t>logical theoretical argument that police officers should be excluded from emp</w:t>
      </w:r>
      <w:r w:rsidR="00DB11A7" w:rsidRPr="00B47DD9">
        <w:rPr>
          <w:rFonts w:eastAsia="Times New Roman" w:cs="Segoe UI"/>
          <w:lang w:eastAsia="en-GB"/>
        </w:rPr>
        <w:t>loyment protection legislation.</w:t>
      </w:r>
      <w:r w:rsidR="00EF4F80" w:rsidRPr="00B47DD9">
        <w:rPr>
          <w:rStyle w:val="FootnoteReference"/>
          <w:rFonts w:eastAsia="Times New Roman" w:cs="Segoe UI"/>
          <w:lang w:eastAsia="en-GB"/>
        </w:rPr>
        <w:footnoteReference w:id="42"/>
      </w:r>
      <w:r w:rsidR="0053198E" w:rsidRPr="00B47DD9">
        <w:rPr>
          <w:rFonts w:eastAsia="Times New Roman" w:cs="Segoe UI"/>
          <w:lang w:eastAsia="en-GB"/>
        </w:rPr>
        <w:t xml:space="preserve"> </w:t>
      </w:r>
    </w:p>
    <w:p w:rsidR="0053198E" w:rsidRPr="00B47DD9" w:rsidRDefault="0053198E" w:rsidP="00CE3AC2">
      <w:pPr>
        <w:pStyle w:val="ListParagraph"/>
        <w:numPr>
          <w:ilvl w:val="0"/>
          <w:numId w:val="4"/>
        </w:numPr>
        <w:spacing w:after="150" w:line="480" w:lineRule="auto"/>
        <w:jc w:val="both"/>
        <w:rPr>
          <w:rFonts w:eastAsia="Times New Roman" w:cs="Segoe UI"/>
          <w:lang w:eastAsia="en-GB"/>
        </w:rPr>
      </w:pPr>
      <w:r w:rsidRPr="00B47DD9">
        <w:rPr>
          <w:rFonts w:eastAsia="Times New Roman" w:cs="Segoe UI"/>
          <w:lang w:eastAsia="en-GB"/>
        </w:rPr>
        <w:t xml:space="preserve">The drive for inclusion </w:t>
      </w:r>
      <w:r w:rsidR="002B7EC8" w:rsidRPr="00B47DD9">
        <w:rPr>
          <w:rFonts w:eastAsia="Times New Roman" w:cs="Segoe UI"/>
          <w:lang w:eastAsia="en-GB"/>
        </w:rPr>
        <w:t>in the private law regime</w:t>
      </w:r>
    </w:p>
    <w:p w:rsidR="008D44B4" w:rsidRPr="00B47DD9" w:rsidRDefault="00DB11A7" w:rsidP="00CE3AC2">
      <w:pPr>
        <w:spacing w:after="150" w:line="480" w:lineRule="auto"/>
        <w:jc w:val="both"/>
        <w:rPr>
          <w:rFonts w:eastAsia="Times New Roman" w:cs="Segoe UI"/>
          <w:lang w:eastAsia="en-GB"/>
        </w:rPr>
      </w:pPr>
      <w:r w:rsidRPr="00B47DD9">
        <w:rPr>
          <w:rFonts w:eastAsia="Times New Roman" w:cs="Segoe UI"/>
          <w:lang w:eastAsia="en-GB"/>
        </w:rPr>
        <w:t xml:space="preserve">The theoretical inconsistencies in the regulatory public/private divide provide the background to the </w:t>
      </w:r>
      <w:r w:rsidR="00E13225" w:rsidRPr="00B47DD9">
        <w:rPr>
          <w:rFonts w:eastAsia="Times New Roman" w:cs="Segoe UI"/>
          <w:lang w:eastAsia="en-GB"/>
        </w:rPr>
        <w:t>claim</w:t>
      </w:r>
      <w:r w:rsidRPr="00B47DD9">
        <w:rPr>
          <w:rFonts w:eastAsia="Times New Roman" w:cs="Segoe UI"/>
          <w:lang w:eastAsia="en-GB"/>
        </w:rPr>
        <w:t>s amongst public sector worker</w:t>
      </w:r>
      <w:r w:rsidR="005103DC" w:rsidRPr="00B47DD9">
        <w:rPr>
          <w:rFonts w:eastAsia="Times New Roman" w:cs="Segoe UI"/>
          <w:lang w:eastAsia="en-GB"/>
        </w:rPr>
        <w:t>s</w:t>
      </w:r>
      <w:r w:rsidRPr="00B47DD9">
        <w:rPr>
          <w:rFonts w:eastAsia="Times New Roman" w:cs="Segoe UI"/>
          <w:lang w:eastAsia="en-GB"/>
        </w:rPr>
        <w:t xml:space="preserve"> for</w:t>
      </w:r>
      <w:r w:rsidR="00E13225" w:rsidRPr="00B47DD9">
        <w:rPr>
          <w:rFonts w:eastAsia="Times New Roman" w:cs="Segoe UI"/>
          <w:lang w:eastAsia="en-GB"/>
        </w:rPr>
        <w:t xml:space="preserve"> inclusion within the scope of private sector rights.</w:t>
      </w:r>
      <w:r w:rsidR="008D44B4" w:rsidRPr="00B47DD9">
        <w:rPr>
          <w:rFonts w:eastAsia="Times New Roman" w:cs="Segoe UI"/>
          <w:lang w:eastAsia="en-GB"/>
        </w:rPr>
        <w:t xml:space="preserve"> </w:t>
      </w:r>
      <w:r w:rsidR="005103DC" w:rsidRPr="00B47DD9">
        <w:rPr>
          <w:rFonts w:eastAsia="Times New Roman" w:cs="Segoe UI"/>
          <w:lang w:eastAsia="en-GB"/>
        </w:rPr>
        <w:t>In historical terms, t</w:t>
      </w:r>
      <w:r w:rsidR="008D44B4" w:rsidRPr="00B47DD9">
        <w:rPr>
          <w:rFonts w:eastAsia="Times New Roman" w:cs="Segoe UI"/>
          <w:lang w:eastAsia="en-GB"/>
        </w:rPr>
        <w:t>hese claims ha</w:t>
      </w:r>
      <w:r w:rsidR="005103DC" w:rsidRPr="00B47DD9">
        <w:rPr>
          <w:rFonts w:eastAsia="Times New Roman" w:cs="Segoe UI"/>
          <w:lang w:eastAsia="en-GB"/>
        </w:rPr>
        <w:t>ve met with varying degrees of success</w:t>
      </w:r>
      <w:r w:rsidR="008D44B4" w:rsidRPr="00B47DD9">
        <w:rPr>
          <w:rFonts w:eastAsia="Times New Roman" w:cs="Segoe UI"/>
          <w:lang w:eastAsia="en-GB"/>
        </w:rPr>
        <w:t>. For example, prison officers have been able to achieve inclusion into the majority of private employment rights, and certain officeholders have managed to achieve employee status as a matter of statutory law.</w:t>
      </w:r>
      <w:r w:rsidR="00B63031" w:rsidRPr="00B47DD9">
        <w:rPr>
          <w:rStyle w:val="FootnoteReference"/>
          <w:rFonts w:eastAsia="Times New Roman" w:cs="Segoe UI"/>
          <w:lang w:eastAsia="en-GB"/>
        </w:rPr>
        <w:footnoteReference w:id="43"/>
      </w:r>
      <w:r w:rsidR="008D44B4" w:rsidRPr="00B47DD9">
        <w:rPr>
          <w:rFonts w:eastAsia="Times New Roman" w:cs="Segoe UI"/>
          <w:lang w:eastAsia="en-GB"/>
        </w:rPr>
        <w:t xml:space="preserve"> The pattern for other groups has been more fragmented, and certainly police officers and army personnel remain excluded from most employment protection legislation.</w:t>
      </w:r>
      <w:r w:rsidR="005103DC" w:rsidRPr="00B47DD9">
        <w:rPr>
          <w:rFonts w:eastAsia="Times New Roman" w:cs="Segoe UI"/>
          <w:lang w:eastAsia="en-GB"/>
        </w:rPr>
        <w:t xml:space="preserve"> </w:t>
      </w:r>
      <w:r w:rsidR="008D44B4" w:rsidRPr="00B47DD9">
        <w:rPr>
          <w:rFonts w:eastAsia="Times New Roman" w:cs="Segoe UI"/>
          <w:lang w:eastAsia="en-GB"/>
        </w:rPr>
        <w:t>The following section discusses</w:t>
      </w:r>
      <w:r w:rsidR="005103DC" w:rsidRPr="00B47DD9">
        <w:rPr>
          <w:rFonts w:eastAsia="Times New Roman" w:cs="Segoe UI"/>
          <w:lang w:eastAsia="en-GB"/>
        </w:rPr>
        <w:t xml:space="preserve"> more recent challenges to the scope of employment protection legislation by public sector groups, and the continued difficulties many groups face in achieving access to employment protection rights. </w:t>
      </w:r>
      <w:r w:rsidR="008D44B4" w:rsidRPr="00B47DD9">
        <w:rPr>
          <w:rFonts w:eastAsia="Times New Roman" w:cs="Segoe UI"/>
          <w:lang w:eastAsia="en-GB"/>
        </w:rPr>
        <w:t xml:space="preserve"> </w:t>
      </w:r>
      <w:r w:rsidR="005103DC" w:rsidRPr="00B47DD9">
        <w:rPr>
          <w:rFonts w:eastAsia="Times New Roman" w:cs="Segoe UI"/>
          <w:lang w:eastAsia="en-GB"/>
        </w:rPr>
        <w:t xml:space="preserve">It appears that despite dubious theoretical grounding, some groups remain excluded from protection in employment law, whilst even </w:t>
      </w:r>
      <w:r w:rsidR="008D44B4" w:rsidRPr="00B47DD9">
        <w:rPr>
          <w:rFonts w:eastAsia="Times New Roman" w:cs="Segoe UI"/>
          <w:lang w:eastAsia="en-GB"/>
        </w:rPr>
        <w:t>the most ‘successful</w:t>
      </w:r>
      <w:r w:rsidR="005103DC" w:rsidRPr="00B47DD9">
        <w:rPr>
          <w:rFonts w:eastAsia="Times New Roman" w:cs="Segoe UI"/>
          <w:lang w:eastAsia="en-GB"/>
        </w:rPr>
        <w:t xml:space="preserve">’ </w:t>
      </w:r>
      <w:r w:rsidR="00527CE4" w:rsidRPr="00B47DD9">
        <w:rPr>
          <w:rFonts w:eastAsia="Times New Roman" w:cs="Segoe UI"/>
          <w:lang w:eastAsia="en-GB"/>
        </w:rPr>
        <w:t xml:space="preserve">groups face have not achieved access to the whole range of employment rights. </w:t>
      </w:r>
      <w:r w:rsidR="008D44B4" w:rsidRPr="00B47DD9">
        <w:rPr>
          <w:rFonts w:eastAsia="Times New Roman" w:cs="Segoe UI"/>
          <w:lang w:eastAsia="en-GB"/>
        </w:rPr>
        <w:t xml:space="preserve"> </w:t>
      </w:r>
    </w:p>
    <w:p w:rsidR="00B2508A" w:rsidRPr="00B47DD9" w:rsidRDefault="00B2508A" w:rsidP="00CE3AC2">
      <w:pPr>
        <w:spacing w:after="150" w:line="480" w:lineRule="auto"/>
        <w:jc w:val="both"/>
        <w:rPr>
          <w:rFonts w:eastAsia="Times New Roman" w:cs="Segoe UI"/>
          <w:i/>
          <w:lang w:eastAsia="en-GB"/>
        </w:rPr>
      </w:pPr>
      <w:r w:rsidRPr="00B47DD9">
        <w:rPr>
          <w:rFonts w:eastAsia="Times New Roman" w:cs="Segoe UI"/>
          <w:i/>
          <w:lang w:eastAsia="en-GB"/>
        </w:rPr>
        <w:t>The Challenge to Statutory exclusion</w:t>
      </w:r>
    </w:p>
    <w:p w:rsidR="00B2508A" w:rsidRPr="00B47DD9" w:rsidRDefault="00B2508A" w:rsidP="00CE3AC2">
      <w:pPr>
        <w:spacing w:after="150" w:line="480" w:lineRule="auto"/>
        <w:jc w:val="both"/>
        <w:rPr>
          <w:rFonts w:eastAsia="Times New Roman" w:cs="Segoe UI"/>
          <w:lang w:eastAsia="en-GB"/>
        </w:rPr>
      </w:pPr>
      <w:r w:rsidRPr="00B47DD9">
        <w:rPr>
          <w:rFonts w:eastAsia="Times New Roman" w:cs="Segoe UI"/>
          <w:lang w:eastAsia="en-GB"/>
        </w:rPr>
        <w:t xml:space="preserve">The recent case of </w:t>
      </w:r>
      <w:r w:rsidRPr="00B47DD9">
        <w:rPr>
          <w:rFonts w:eastAsia="Times New Roman" w:cs="Segoe UI"/>
          <w:i/>
          <w:lang w:eastAsia="en-GB"/>
        </w:rPr>
        <w:t>Gordon McKinnon</w:t>
      </w:r>
      <w:r w:rsidRPr="00B47DD9">
        <w:rPr>
          <w:rStyle w:val="FootnoteReference"/>
          <w:rFonts w:eastAsia="Times New Roman" w:cs="Segoe UI"/>
          <w:lang w:eastAsia="en-GB"/>
        </w:rPr>
        <w:footnoteReference w:id="44"/>
      </w:r>
      <w:r w:rsidRPr="00B47DD9">
        <w:rPr>
          <w:rFonts w:eastAsia="Times New Roman" w:cs="Segoe UI"/>
          <w:i/>
          <w:lang w:eastAsia="en-GB"/>
        </w:rPr>
        <w:t xml:space="preserve"> </w:t>
      </w:r>
      <w:r w:rsidRPr="00B47DD9">
        <w:rPr>
          <w:rFonts w:eastAsia="Times New Roman" w:cs="Segoe UI"/>
          <w:lang w:eastAsia="en-GB"/>
        </w:rPr>
        <w:t xml:space="preserve">provides a good example of a failed attempt to challenge the (rather dubious) public/private separation in the designation of employment law rights. In this case, a member of the Redbridge Parks Police Service challenged his exclusion from unfair dismissal rights protection under the </w:t>
      </w:r>
      <w:r w:rsidR="0078277A" w:rsidRPr="00B47DD9">
        <w:rPr>
          <w:rFonts w:eastAsia="Times New Roman" w:cs="Segoe UI"/>
          <w:lang w:eastAsia="en-GB"/>
        </w:rPr>
        <w:t xml:space="preserve">ERA </w:t>
      </w:r>
      <w:r w:rsidRPr="00B47DD9">
        <w:rPr>
          <w:rFonts w:eastAsia="Times New Roman" w:cs="Segoe UI"/>
          <w:lang w:eastAsia="en-GB"/>
        </w:rPr>
        <w:t xml:space="preserve">1996. Under the </w:t>
      </w:r>
      <w:r w:rsidR="0078277A" w:rsidRPr="00B47DD9">
        <w:rPr>
          <w:rFonts w:eastAsia="Times New Roman" w:cs="Segoe UI"/>
          <w:lang w:eastAsia="en-GB"/>
        </w:rPr>
        <w:t xml:space="preserve">ERA </w:t>
      </w:r>
      <w:r w:rsidRPr="00B47DD9">
        <w:rPr>
          <w:rFonts w:eastAsia="Times New Roman" w:cs="Segoe UI"/>
          <w:lang w:eastAsia="en-GB"/>
        </w:rPr>
        <w:t xml:space="preserve">1996, ‘police officers’ are explicitly excluded from protection under section 200 (1). That exclusion extends to persons in ‘police service’. ‘Police service’ is defined in section 200 (2) as ‘service as a member of a constabulary maintained by virtue of an enactment’ or ‘service in any other capacity by virtue of which a person has the power or privileges of a constable’. The exclusion is therefore functional, and extends to those persons who have the functions of police officers even though they might not come under the auspices of the police force as such. In this case, the Defendant Council argued that the Claimant was rightly excluded from unfair dismissal protection because he came within either or both of the limbs of the definition of police service under section 200 (2). The Claimant’s position was that he should not be excluded from protection because neither limb of section 200 (2) aptly described his position. He argued that above all else he was an employee of the Defendant Council and therefore should have the normal right to claim unfair dismissal. </w:t>
      </w:r>
    </w:p>
    <w:p w:rsidR="00B2508A" w:rsidRPr="00B47DD9" w:rsidRDefault="00B2508A" w:rsidP="00CE3AC2">
      <w:pPr>
        <w:spacing w:after="150" w:line="480" w:lineRule="auto"/>
        <w:ind w:firstLine="720"/>
        <w:jc w:val="both"/>
        <w:rPr>
          <w:rFonts w:eastAsia="Times New Roman" w:cs="Segoe UI"/>
          <w:lang w:eastAsia="en-GB"/>
        </w:rPr>
      </w:pPr>
      <w:r w:rsidRPr="00B47DD9">
        <w:rPr>
          <w:rFonts w:eastAsia="Times New Roman" w:cs="Segoe UI"/>
          <w:lang w:eastAsia="en-GB"/>
        </w:rPr>
        <w:t>The Court of Appeal accepted that all thirteen members of the Redbridge Parks Service were employees of the Defendant Council. They were issued with job descriptions by the Council which set out their roles and they were subject to the Council’s disciplinary rules and procedures. However, the Court of Appeal also accepted the ‘special status’ of those employees as constables appointed pursuant to the relevant statutory powers.</w:t>
      </w:r>
      <w:r w:rsidRPr="00B47DD9">
        <w:rPr>
          <w:rStyle w:val="FootnoteReference"/>
          <w:rFonts w:eastAsia="Times New Roman" w:cs="Segoe UI"/>
          <w:lang w:eastAsia="en-GB"/>
        </w:rPr>
        <w:footnoteReference w:id="45"/>
      </w:r>
      <w:r w:rsidRPr="00B47DD9">
        <w:rPr>
          <w:rFonts w:eastAsia="Times New Roman" w:cs="Segoe UI"/>
          <w:lang w:eastAsia="en-GB"/>
        </w:rPr>
        <w:t xml:space="preserve"> That special status meant that they were required to make a declaration before a justice of peace as to their public service, and also that they were invested with certain ‘public’ powers such as the power of arrest. That special status also meant that they were excluded from the Employment Rights Act 1996</w:t>
      </w:r>
      <w:r w:rsidR="004C7906" w:rsidRPr="00B47DD9">
        <w:rPr>
          <w:rFonts w:eastAsia="Times New Roman" w:cs="Segoe UI"/>
          <w:lang w:eastAsia="en-GB"/>
        </w:rPr>
        <w:t xml:space="preserve"> </w:t>
      </w:r>
      <w:r w:rsidRPr="00B47DD9">
        <w:rPr>
          <w:rFonts w:eastAsia="Times New Roman" w:cs="Segoe UI"/>
          <w:lang w:eastAsia="en-GB"/>
        </w:rPr>
        <w:t xml:space="preserve">by virtue of both sections 200 (2) (a) and 200 (2) (b). The Redbridge Parks Service was a constabulary maintained by ‘virtue of an enactment’ and the constables were entrusted with powers and privileges which put them outside the scope of the Employment Rights Act. As a result, the Court found that the Claimant could not claim unfair dismissal as a matter of employment law. </w:t>
      </w:r>
    </w:p>
    <w:p w:rsidR="00B2508A" w:rsidRPr="00B47DD9" w:rsidRDefault="00B2508A" w:rsidP="00CE3AC2">
      <w:pPr>
        <w:spacing w:after="150" w:line="480" w:lineRule="auto"/>
        <w:ind w:firstLine="720"/>
        <w:jc w:val="both"/>
        <w:rPr>
          <w:rFonts w:eastAsia="Times New Roman" w:cs="Segoe UI"/>
          <w:lang w:eastAsia="en-GB"/>
        </w:rPr>
      </w:pPr>
      <w:r w:rsidRPr="00B47DD9">
        <w:rPr>
          <w:rFonts w:eastAsia="Times New Roman" w:cs="Segoe UI"/>
          <w:lang w:eastAsia="en-GB"/>
        </w:rPr>
        <w:t>The Court did recognise the inconsistency and unfairness of this result, and stated a number of elements of ‘injustice’.</w:t>
      </w:r>
      <w:r w:rsidRPr="00B47DD9">
        <w:rPr>
          <w:rStyle w:val="FootnoteReference"/>
          <w:rFonts w:eastAsia="Times New Roman" w:cs="Segoe UI"/>
          <w:lang w:eastAsia="en-GB"/>
        </w:rPr>
        <w:footnoteReference w:id="46"/>
      </w:r>
      <w:r w:rsidRPr="00B47DD9">
        <w:rPr>
          <w:rFonts w:eastAsia="Times New Roman" w:cs="Segoe UI"/>
          <w:lang w:eastAsia="en-GB"/>
        </w:rPr>
        <w:t xml:space="preserve"> First, as the constables of the Redbridge Parks Police Service were employees of the Council and not employees of any police service, there could be ‘no rational policy reason’ why those constables should not be able to recover compensation in the event of unfair dismissal (in line with other Council employees).</w:t>
      </w:r>
      <w:r w:rsidR="0078277A" w:rsidRPr="00B47DD9">
        <w:rPr>
          <w:rStyle w:val="FootnoteReference"/>
          <w:rFonts w:eastAsia="Times New Roman" w:cs="Segoe UI"/>
          <w:lang w:eastAsia="en-GB"/>
        </w:rPr>
        <w:footnoteReference w:id="47"/>
      </w:r>
      <w:r w:rsidRPr="00B47DD9">
        <w:rPr>
          <w:rFonts w:eastAsia="Times New Roman" w:cs="Segoe UI"/>
          <w:lang w:eastAsia="en-GB"/>
        </w:rPr>
        <w:t xml:space="preserve"> Second, these constables did not have access to the ‘elaborate’ (public) remedies available to the member of police forces and the British Transport Police. In contrast to the position for regular police officers therefore, the public law remedies did not compensate for the lack of private law protection. Finally, the Court raised the difficulties in relying on a functional distinction to delineate the public/private divide. Other groups which did have some enhanced public powers were now included within the protection of employment law. The Court cited the position of prison officers who are now included within the unfair dismissal regime.</w:t>
      </w:r>
      <w:r w:rsidRPr="00B47DD9">
        <w:rPr>
          <w:rStyle w:val="FootnoteReference"/>
          <w:rFonts w:eastAsia="Times New Roman" w:cs="Segoe UI"/>
          <w:lang w:eastAsia="en-GB"/>
        </w:rPr>
        <w:footnoteReference w:id="48"/>
      </w:r>
      <w:r w:rsidRPr="00B47DD9">
        <w:rPr>
          <w:rFonts w:eastAsia="Times New Roman" w:cs="Segoe UI"/>
          <w:lang w:eastAsia="en-GB"/>
        </w:rPr>
        <w:t xml:space="preserve"> However, the Court recognised that it was not possible ‘in the guise of interpretation’ for it to ‘rewrite section 200 in order to remedy what appears to be an injustice’.</w:t>
      </w:r>
      <w:r w:rsidR="0078277A" w:rsidRPr="00B47DD9">
        <w:rPr>
          <w:rStyle w:val="FootnoteReference"/>
          <w:rFonts w:eastAsia="Times New Roman" w:cs="Segoe UI"/>
          <w:lang w:eastAsia="en-GB"/>
        </w:rPr>
        <w:footnoteReference w:id="49"/>
      </w:r>
      <w:r w:rsidRPr="00B47DD9">
        <w:rPr>
          <w:rFonts w:eastAsia="Times New Roman" w:cs="Segoe UI"/>
          <w:lang w:eastAsia="en-GB"/>
        </w:rPr>
        <w:t xml:space="preserve"> It called instead upon Parliament to consider, in the light of the judgement, whether member of the Parks Police service should be exempted from the operation of section 200 ERA 1996 and included within the employment law statutory regime.</w:t>
      </w:r>
    </w:p>
    <w:p w:rsidR="001D46A6" w:rsidRPr="00B47DD9" w:rsidRDefault="001D46A6" w:rsidP="00CE3AC2">
      <w:pPr>
        <w:spacing w:after="150" w:line="480" w:lineRule="auto"/>
        <w:jc w:val="both"/>
        <w:rPr>
          <w:rFonts w:eastAsia="Times New Roman" w:cs="Segoe UI"/>
          <w:i/>
          <w:lang w:eastAsia="en-GB"/>
        </w:rPr>
      </w:pPr>
      <w:r w:rsidRPr="00B47DD9">
        <w:rPr>
          <w:rFonts w:eastAsia="Times New Roman" w:cs="Segoe UI"/>
          <w:i/>
          <w:lang w:eastAsia="en-GB"/>
        </w:rPr>
        <w:t>The Challenge to Immunity</w:t>
      </w:r>
    </w:p>
    <w:p w:rsidR="00B771A8" w:rsidRPr="00B47DD9" w:rsidRDefault="006B535C" w:rsidP="00CE3AC2">
      <w:pPr>
        <w:spacing w:after="150" w:line="480" w:lineRule="auto"/>
        <w:jc w:val="both"/>
        <w:rPr>
          <w:rFonts w:eastAsia="Times New Roman" w:cs="Segoe UI"/>
          <w:lang w:eastAsia="en-GB"/>
        </w:rPr>
      </w:pPr>
      <w:r w:rsidRPr="00B47DD9">
        <w:rPr>
          <w:rFonts w:eastAsia="Times New Roman" w:cs="Segoe UI"/>
          <w:lang w:eastAsia="en-GB"/>
        </w:rPr>
        <w:t>A</w:t>
      </w:r>
      <w:r w:rsidR="0078277A" w:rsidRPr="00B47DD9">
        <w:rPr>
          <w:rFonts w:eastAsia="Times New Roman" w:cs="Segoe UI"/>
          <w:lang w:eastAsia="en-GB"/>
        </w:rPr>
        <w:t xml:space="preserve"> further</w:t>
      </w:r>
      <w:r w:rsidR="00F237FD" w:rsidRPr="00B47DD9">
        <w:rPr>
          <w:rFonts w:eastAsia="Times New Roman" w:cs="Segoe UI"/>
          <w:lang w:eastAsia="en-GB"/>
        </w:rPr>
        <w:t xml:space="preserve"> recent challenge to exclusion from employment law jurisdiction has come from employees working at UK based embassies. Traditionally, those employees have not been able to claim employment protection because of the operation of the doctrine of state immunity</w:t>
      </w:r>
      <w:r w:rsidR="00711F4C" w:rsidRPr="00B47DD9">
        <w:rPr>
          <w:rFonts w:eastAsia="Times New Roman" w:cs="Segoe UI"/>
          <w:lang w:eastAsia="en-GB"/>
        </w:rPr>
        <w:t xml:space="preserve"> (a (foreign) state is immune from the jurisdiction of the UK courts)</w:t>
      </w:r>
      <w:r w:rsidR="00F237FD" w:rsidRPr="00B47DD9">
        <w:rPr>
          <w:rFonts w:eastAsia="Times New Roman" w:cs="Segoe UI"/>
          <w:lang w:eastAsia="en-GB"/>
        </w:rPr>
        <w:t xml:space="preserve">. In the UK, this doctrine is enshrined in the State Immunity Act 1978 (SIA), which </w:t>
      </w:r>
      <w:r w:rsidR="00711F4C" w:rsidRPr="00B47DD9">
        <w:rPr>
          <w:rFonts w:eastAsia="Times New Roman" w:cs="Segoe UI"/>
          <w:lang w:eastAsia="en-GB"/>
        </w:rPr>
        <w:t>provides immunity to states in relation to contracts of employment of ‘</w:t>
      </w:r>
      <w:r w:rsidR="00C14829" w:rsidRPr="00B47DD9">
        <w:rPr>
          <w:rFonts w:eastAsia="Times New Roman" w:cs="Segoe UI"/>
          <w:lang w:eastAsia="en-GB"/>
        </w:rPr>
        <w:t>members of a diplomatic mission</w:t>
      </w:r>
      <w:r w:rsidR="00711F4C" w:rsidRPr="00B47DD9">
        <w:rPr>
          <w:rFonts w:eastAsia="Times New Roman" w:cs="Segoe UI"/>
          <w:lang w:eastAsia="en-GB"/>
        </w:rPr>
        <w:t>’</w:t>
      </w:r>
      <w:r w:rsidR="00FC4211" w:rsidRPr="00B47DD9">
        <w:rPr>
          <w:rFonts w:eastAsia="Times New Roman" w:cs="Segoe UI"/>
          <w:lang w:eastAsia="en-GB"/>
        </w:rPr>
        <w:t xml:space="preserve"> (section 16 SIA)</w:t>
      </w:r>
      <w:r w:rsidR="00711F4C" w:rsidRPr="00B47DD9">
        <w:rPr>
          <w:rFonts w:eastAsia="Times New Roman" w:cs="Segoe UI"/>
          <w:lang w:eastAsia="en-GB"/>
        </w:rPr>
        <w:t xml:space="preserve"> and in relation to contracts of employment generall</w:t>
      </w:r>
      <w:r w:rsidR="00FC4211" w:rsidRPr="00B47DD9">
        <w:rPr>
          <w:rFonts w:eastAsia="Times New Roman" w:cs="Segoe UI"/>
          <w:lang w:eastAsia="en-GB"/>
        </w:rPr>
        <w:t>y subject to certain exceptions (section 4 SIA). In the SIA, the definition of members of</w:t>
      </w:r>
      <w:r w:rsidR="00C14829" w:rsidRPr="00B47DD9">
        <w:rPr>
          <w:rFonts w:eastAsia="Times New Roman" w:cs="Segoe UI"/>
          <w:lang w:eastAsia="en-GB"/>
        </w:rPr>
        <w:t xml:space="preserve"> a diplomatic mission</w:t>
      </w:r>
      <w:r w:rsidR="003129BD" w:rsidRPr="00B47DD9">
        <w:rPr>
          <w:rFonts w:eastAsia="Times New Roman" w:cs="Segoe UI"/>
          <w:lang w:eastAsia="en-GB"/>
        </w:rPr>
        <w:t xml:space="preserve"> is given very wide scope, and</w:t>
      </w:r>
      <w:r w:rsidR="00FC4211" w:rsidRPr="00B47DD9">
        <w:rPr>
          <w:rFonts w:eastAsia="Times New Roman" w:cs="Segoe UI"/>
          <w:lang w:eastAsia="en-GB"/>
        </w:rPr>
        <w:t xml:space="preserve"> extends to ‘diplomatic staff’ as well as administrative and technical staff.</w:t>
      </w:r>
      <w:r w:rsidR="00711F4C" w:rsidRPr="00B47DD9">
        <w:rPr>
          <w:rFonts w:eastAsia="Times New Roman" w:cs="Segoe UI"/>
          <w:lang w:eastAsia="en-GB"/>
        </w:rPr>
        <w:t xml:space="preserve"> </w:t>
      </w:r>
      <w:r w:rsidR="00185BA3" w:rsidRPr="00B47DD9">
        <w:rPr>
          <w:rFonts w:eastAsia="Times New Roman" w:cs="Segoe UI"/>
          <w:lang w:eastAsia="en-GB"/>
        </w:rPr>
        <w:t>Early approac</w:t>
      </w:r>
      <w:r w:rsidR="00FC4211" w:rsidRPr="00B47DD9">
        <w:rPr>
          <w:rFonts w:eastAsia="Times New Roman" w:cs="Segoe UI"/>
          <w:lang w:eastAsia="en-GB"/>
        </w:rPr>
        <w:t xml:space="preserve">hes to the interpretation of this section revealed that </w:t>
      </w:r>
      <w:r w:rsidR="00C14829" w:rsidRPr="00B47DD9">
        <w:rPr>
          <w:rFonts w:eastAsia="Times New Roman" w:cs="Segoe UI"/>
          <w:lang w:eastAsia="en-GB"/>
        </w:rPr>
        <w:t>it operated to afford blanket</w:t>
      </w:r>
      <w:r w:rsidR="00FC4211" w:rsidRPr="00B47DD9">
        <w:rPr>
          <w:rFonts w:eastAsia="Times New Roman" w:cs="Segoe UI"/>
          <w:lang w:eastAsia="en-GB"/>
        </w:rPr>
        <w:t xml:space="preserve"> immunity to e</w:t>
      </w:r>
      <w:r w:rsidR="003129BD" w:rsidRPr="00B47DD9">
        <w:rPr>
          <w:rFonts w:eastAsia="Times New Roman" w:cs="Segoe UI"/>
          <w:lang w:eastAsia="en-GB"/>
        </w:rPr>
        <w:t xml:space="preserve">mbassy staff. </w:t>
      </w:r>
      <w:r w:rsidR="00FC4211" w:rsidRPr="00B47DD9">
        <w:rPr>
          <w:rFonts w:eastAsia="Times New Roman" w:cs="Segoe UI"/>
          <w:lang w:eastAsia="en-GB"/>
        </w:rPr>
        <w:t xml:space="preserve">For example, in the case of </w:t>
      </w:r>
      <w:r w:rsidR="00FC4211" w:rsidRPr="00B47DD9">
        <w:rPr>
          <w:rFonts w:eastAsia="Times New Roman" w:cs="Segoe UI"/>
          <w:i/>
          <w:lang w:eastAsia="en-GB"/>
        </w:rPr>
        <w:t>Sengupta v India</w:t>
      </w:r>
      <w:r w:rsidR="00FC4211" w:rsidRPr="00B47DD9">
        <w:rPr>
          <w:rFonts w:eastAsia="Times New Roman" w:cs="Segoe UI"/>
          <w:lang w:eastAsia="en-GB"/>
        </w:rPr>
        <w:t>,</w:t>
      </w:r>
      <w:r w:rsidR="00083A38" w:rsidRPr="00B47DD9">
        <w:rPr>
          <w:rStyle w:val="FootnoteReference"/>
          <w:rFonts w:eastAsia="Times New Roman" w:cs="Segoe UI"/>
          <w:lang w:eastAsia="en-GB"/>
        </w:rPr>
        <w:footnoteReference w:id="50"/>
      </w:r>
      <w:r w:rsidR="00FC4211" w:rsidRPr="00B47DD9">
        <w:rPr>
          <w:rFonts w:eastAsia="Times New Roman" w:cs="Segoe UI"/>
          <w:lang w:eastAsia="en-GB"/>
        </w:rPr>
        <w:t xml:space="preserve"> </w:t>
      </w:r>
      <w:r w:rsidR="00C14829" w:rsidRPr="00B47DD9">
        <w:rPr>
          <w:rFonts w:eastAsia="Times New Roman" w:cs="Segoe UI"/>
          <w:lang w:eastAsia="en-GB"/>
        </w:rPr>
        <w:t>an Indian national, employed as a clerical officer at the Indian embassy in London, attempted to challenge his exclusion from unfair dismissal rights. The Court found against him, and upheld the Indian state’s claim to state immunity. It found that the dismissal of the Claimant was an exercise of sovereign</w:t>
      </w:r>
      <w:r w:rsidR="00083A38" w:rsidRPr="00B47DD9">
        <w:rPr>
          <w:rFonts w:eastAsia="Times New Roman" w:cs="Segoe UI"/>
          <w:lang w:eastAsia="en-GB"/>
        </w:rPr>
        <w:t xml:space="preserve"> power</w:t>
      </w:r>
      <w:r w:rsidR="00C14829" w:rsidRPr="00B47DD9">
        <w:rPr>
          <w:rFonts w:eastAsia="Times New Roman" w:cs="Segoe UI"/>
          <w:lang w:eastAsia="en-GB"/>
        </w:rPr>
        <w:t xml:space="preserve"> and outside of the Court’s jurisdiction. Any investigation into that dismissal would be ‘wholly inconsistent with the dignity of the foreign state’.</w:t>
      </w:r>
      <w:r w:rsidR="00083A38" w:rsidRPr="00B47DD9">
        <w:rPr>
          <w:rStyle w:val="FootnoteReference"/>
          <w:rFonts w:eastAsia="Times New Roman" w:cs="Segoe UI"/>
          <w:lang w:eastAsia="en-GB"/>
        </w:rPr>
        <w:footnoteReference w:id="51"/>
      </w:r>
    </w:p>
    <w:p w:rsidR="00C14829" w:rsidRPr="00B47DD9" w:rsidRDefault="00C14829" w:rsidP="00CE3AC2">
      <w:pPr>
        <w:spacing w:after="150" w:line="480" w:lineRule="auto"/>
        <w:ind w:firstLine="720"/>
        <w:jc w:val="both"/>
        <w:rPr>
          <w:rFonts w:eastAsia="Times New Roman" w:cs="Segoe UI"/>
          <w:lang w:eastAsia="en-GB"/>
        </w:rPr>
      </w:pPr>
      <w:r w:rsidRPr="00B47DD9">
        <w:rPr>
          <w:rFonts w:eastAsia="Times New Roman" w:cs="Segoe UI"/>
          <w:lang w:eastAsia="en-GB"/>
        </w:rPr>
        <w:t>More recently, there has been a shift in the climate in which</w:t>
      </w:r>
      <w:r w:rsidR="00083A38" w:rsidRPr="00B47DD9">
        <w:rPr>
          <w:rFonts w:eastAsia="Times New Roman" w:cs="Segoe UI"/>
          <w:lang w:eastAsia="en-GB"/>
        </w:rPr>
        <w:t xml:space="preserve"> this</w:t>
      </w:r>
      <w:r w:rsidRPr="00B47DD9">
        <w:rPr>
          <w:rFonts w:eastAsia="Times New Roman" w:cs="Segoe UI"/>
          <w:lang w:eastAsia="en-GB"/>
        </w:rPr>
        <w:t xml:space="preserve"> judicial interpretation operates. For example, it is no longer accepted as a point of international law, that states should have blanket immunity from jurisdiction.</w:t>
      </w:r>
      <w:r w:rsidR="003129BD" w:rsidRPr="00B47DD9">
        <w:rPr>
          <w:rStyle w:val="FootnoteReference"/>
          <w:rFonts w:eastAsia="Times New Roman" w:cs="Segoe UI"/>
          <w:lang w:eastAsia="en-GB"/>
        </w:rPr>
        <w:footnoteReference w:id="52"/>
      </w:r>
      <w:r w:rsidRPr="00B47DD9">
        <w:rPr>
          <w:rFonts w:eastAsia="Times New Roman" w:cs="Segoe UI"/>
          <w:lang w:eastAsia="en-GB"/>
        </w:rPr>
        <w:t xml:space="preserve"> </w:t>
      </w:r>
      <w:r w:rsidR="00753245" w:rsidRPr="00B47DD9">
        <w:rPr>
          <w:rFonts w:eastAsia="Times New Roman" w:cs="Segoe UI"/>
          <w:lang w:eastAsia="en-GB"/>
        </w:rPr>
        <w:t>It is recognised that there are situations in which the harshness of this rule (in restricting acce</w:t>
      </w:r>
      <w:r w:rsidR="003129BD" w:rsidRPr="00B47DD9">
        <w:rPr>
          <w:rFonts w:eastAsia="Times New Roman" w:cs="Segoe UI"/>
          <w:lang w:eastAsia="en-GB"/>
        </w:rPr>
        <w:t xml:space="preserve">ss to justice) is not justified, particularly where the rule conflicts with fundamental rights, such as the right to a fair trial under the ECHR. Furthermore, there is a </w:t>
      </w:r>
      <w:r w:rsidR="00753245" w:rsidRPr="00B47DD9">
        <w:rPr>
          <w:rFonts w:eastAsia="Times New Roman" w:cs="Segoe UI"/>
          <w:lang w:eastAsia="en-GB"/>
        </w:rPr>
        <w:t xml:space="preserve">move to recognise a distinction between acts of a state which are private (acts </w:t>
      </w:r>
      <w:r w:rsidR="00753245" w:rsidRPr="00B47DD9">
        <w:rPr>
          <w:rFonts w:eastAsia="Times New Roman" w:cs="Segoe UI"/>
          <w:i/>
          <w:lang w:eastAsia="en-GB"/>
        </w:rPr>
        <w:t>jure gestionis</w:t>
      </w:r>
      <w:r w:rsidR="00753245" w:rsidRPr="00B47DD9">
        <w:rPr>
          <w:rFonts w:eastAsia="Times New Roman" w:cs="Segoe UI"/>
          <w:lang w:eastAsia="en-GB"/>
        </w:rPr>
        <w:t>) and acts which are acts of a sovereign nature which no private party could normally perform (acts</w:t>
      </w:r>
      <w:r w:rsidR="00753245" w:rsidRPr="00B47DD9">
        <w:rPr>
          <w:rFonts w:eastAsia="Times New Roman" w:cs="Segoe UI"/>
          <w:i/>
          <w:lang w:eastAsia="en-GB"/>
        </w:rPr>
        <w:t xml:space="preserve"> jure imperii)</w:t>
      </w:r>
      <w:r w:rsidR="00753245" w:rsidRPr="00B47DD9">
        <w:rPr>
          <w:rFonts w:eastAsia="Times New Roman" w:cs="Segoe UI"/>
          <w:lang w:eastAsia="en-GB"/>
        </w:rPr>
        <w:t>.</w:t>
      </w:r>
      <w:r w:rsidR="00083A38" w:rsidRPr="00B47DD9">
        <w:rPr>
          <w:rStyle w:val="FootnoteReference"/>
          <w:rFonts w:eastAsia="Times New Roman" w:cs="Segoe UI"/>
          <w:lang w:eastAsia="en-GB"/>
        </w:rPr>
        <w:footnoteReference w:id="53"/>
      </w:r>
      <w:r w:rsidR="00753245" w:rsidRPr="00B47DD9">
        <w:rPr>
          <w:rFonts w:eastAsia="Times New Roman" w:cs="Segoe UI"/>
          <w:lang w:eastAsia="en-GB"/>
        </w:rPr>
        <w:t xml:space="preserve"> Whilst the latter may attract state immunity,</w:t>
      </w:r>
      <w:r w:rsidR="003129BD" w:rsidRPr="00B47DD9">
        <w:rPr>
          <w:rFonts w:eastAsia="Times New Roman" w:cs="Segoe UI"/>
          <w:lang w:eastAsia="en-GB"/>
        </w:rPr>
        <w:t xml:space="preserve"> it is understood that</w:t>
      </w:r>
      <w:r w:rsidR="00753245" w:rsidRPr="00B47DD9">
        <w:rPr>
          <w:rFonts w:eastAsia="Times New Roman" w:cs="Segoe UI"/>
          <w:lang w:eastAsia="en-GB"/>
        </w:rPr>
        <w:t xml:space="preserve"> the former should not be subject to state immunity rules.</w:t>
      </w:r>
      <w:r w:rsidR="00083A38" w:rsidRPr="00B47DD9">
        <w:rPr>
          <w:rFonts w:eastAsia="Times New Roman" w:cs="Segoe UI"/>
          <w:lang w:eastAsia="en-GB"/>
        </w:rPr>
        <w:t xml:space="preserve"> This raises the possibility that contracts of employment are merely private matters and do not involve the exercise of sovereignty. </w:t>
      </w:r>
      <w:r w:rsidR="00753245" w:rsidRPr="00B47DD9">
        <w:rPr>
          <w:rFonts w:eastAsia="Times New Roman" w:cs="Segoe UI"/>
          <w:lang w:eastAsia="en-GB"/>
        </w:rPr>
        <w:t>As a result of this shift, there has been a greater</w:t>
      </w:r>
      <w:r w:rsidR="003129BD" w:rsidRPr="00B47DD9">
        <w:rPr>
          <w:rFonts w:eastAsia="Times New Roman" w:cs="Segoe UI"/>
          <w:lang w:eastAsia="en-GB"/>
        </w:rPr>
        <w:t xml:space="preserve"> judicial willingness (at European level)</w:t>
      </w:r>
      <w:r w:rsidR="00753245" w:rsidRPr="00B47DD9">
        <w:rPr>
          <w:rFonts w:eastAsia="Times New Roman" w:cs="Segoe UI"/>
          <w:lang w:eastAsia="en-GB"/>
        </w:rPr>
        <w:t xml:space="preserve"> to consider the particular circumstances of the employees claiming immunity </w:t>
      </w:r>
      <w:r w:rsidR="00083A38" w:rsidRPr="00B47DD9">
        <w:rPr>
          <w:rFonts w:eastAsia="Times New Roman" w:cs="Segoe UI"/>
          <w:lang w:eastAsia="en-GB"/>
        </w:rPr>
        <w:t xml:space="preserve">to discern whether their contracts include sovereign functions which would attract immunity. For lower grade embassy staff, it is no longer accepted that these staff necessarily carry out acts of a public nature which put them outside the normal jurisdiction of the courts. </w:t>
      </w:r>
      <w:r w:rsidR="003129BD" w:rsidRPr="00B47DD9">
        <w:rPr>
          <w:rStyle w:val="FootnoteReference"/>
          <w:rFonts w:eastAsia="Times New Roman" w:cs="Segoe UI"/>
          <w:lang w:eastAsia="en-GB"/>
        </w:rPr>
        <w:footnoteReference w:id="54"/>
      </w:r>
    </w:p>
    <w:p w:rsidR="00083A38" w:rsidRPr="00B47DD9" w:rsidRDefault="00083A38" w:rsidP="00CE3AC2">
      <w:pPr>
        <w:spacing w:after="150" w:line="480" w:lineRule="auto"/>
        <w:ind w:firstLine="720"/>
        <w:jc w:val="both"/>
        <w:rPr>
          <w:rFonts w:eastAsia="Times New Roman" w:cs="Segoe UI"/>
          <w:lang w:eastAsia="en-GB"/>
        </w:rPr>
      </w:pPr>
      <w:r w:rsidRPr="00B47DD9">
        <w:rPr>
          <w:rFonts w:eastAsia="Times New Roman" w:cs="Segoe UI"/>
          <w:lang w:eastAsia="en-GB"/>
        </w:rPr>
        <w:t xml:space="preserve">A good example of this more restrictive approach to state immunity is provided in the case of </w:t>
      </w:r>
      <w:r w:rsidRPr="00B47DD9">
        <w:rPr>
          <w:rFonts w:eastAsia="Times New Roman" w:cs="Segoe UI"/>
          <w:i/>
          <w:lang w:eastAsia="en-GB"/>
        </w:rPr>
        <w:t>Benkarbouche</w:t>
      </w:r>
      <w:r w:rsidRPr="00B47DD9">
        <w:rPr>
          <w:rFonts w:eastAsia="Times New Roman" w:cs="Segoe UI"/>
          <w:lang w:eastAsia="en-GB"/>
        </w:rPr>
        <w:t>.</w:t>
      </w:r>
      <w:r w:rsidR="005105A0" w:rsidRPr="00B47DD9">
        <w:rPr>
          <w:rStyle w:val="FootnoteReference"/>
          <w:rFonts w:eastAsia="Times New Roman" w:cs="Segoe UI"/>
          <w:lang w:eastAsia="en-GB"/>
        </w:rPr>
        <w:footnoteReference w:id="55"/>
      </w:r>
      <w:r w:rsidRPr="00B47DD9">
        <w:rPr>
          <w:rFonts w:eastAsia="Times New Roman" w:cs="Segoe UI"/>
          <w:lang w:eastAsia="en-GB"/>
        </w:rPr>
        <w:t xml:space="preserve"> </w:t>
      </w:r>
      <w:r w:rsidR="004128D4" w:rsidRPr="00B47DD9">
        <w:rPr>
          <w:rFonts w:eastAsia="Times New Roman" w:cs="Segoe UI"/>
          <w:lang w:eastAsia="en-GB"/>
        </w:rPr>
        <w:t xml:space="preserve">This case concerned </w:t>
      </w:r>
      <w:r w:rsidR="00923205" w:rsidRPr="00B47DD9">
        <w:rPr>
          <w:rFonts w:eastAsia="Times New Roman" w:cs="Segoe UI"/>
          <w:lang w:eastAsia="en-GB"/>
        </w:rPr>
        <w:t xml:space="preserve">a challenge to state immunity brought by two members of domestic staff at state embassies based in the UK. Both employees </w:t>
      </w:r>
      <w:r w:rsidR="005105A0" w:rsidRPr="00B47DD9">
        <w:rPr>
          <w:rFonts w:eastAsia="Times New Roman" w:cs="Segoe UI"/>
          <w:lang w:eastAsia="en-GB"/>
        </w:rPr>
        <w:t xml:space="preserve">argued that the doctrine of immunity was a violation of their right to court access under Article 6 ECHR and that, accordingly, the </w:t>
      </w:r>
      <w:r w:rsidR="003129BD" w:rsidRPr="00B47DD9">
        <w:rPr>
          <w:rFonts w:eastAsia="Times New Roman" w:cs="Segoe UI"/>
          <w:lang w:eastAsia="en-GB"/>
        </w:rPr>
        <w:t xml:space="preserve">SIA </w:t>
      </w:r>
      <w:r w:rsidR="005105A0" w:rsidRPr="00B47DD9">
        <w:rPr>
          <w:rFonts w:eastAsia="Times New Roman" w:cs="Segoe UI"/>
          <w:lang w:eastAsia="en-GB"/>
        </w:rPr>
        <w:t xml:space="preserve">should be interpreted to allow their claims to proceed. </w:t>
      </w:r>
      <w:r w:rsidR="00B10D55" w:rsidRPr="00B47DD9">
        <w:rPr>
          <w:rFonts w:eastAsia="Times New Roman" w:cs="Segoe UI"/>
          <w:lang w:eastAsia="en-GB"/>
        </w:rPr>
        <w:t>As an alternative (and if a favourable interpretation of the SIA were impossible), they</w:t>
      </w:r>
      <w:r w:rsidR="005105A0" w:rsidRPr="00B47DD9">
        <w:rPr>
          <w:rFonts w:eastAsia="Times New Roman" w:cs="Segoe UI"/>
          <w:lang w:eastAsia="en-GB"/>
        </w:rPr>
        <w:t xml:space="preserve"> argued that they should be allowed jurisdiction on the basis of the operation of Article 47 of the Charter of Fundamental Rights and Freedoms (the right to access a court). As Article 47 formed a ‘general principle’ of EU law, the Court was bound to disapply those sections of the State Immunity Act which were in conflict with it. The </w:t>
      </w:r>
      <w:r w:rsidR="00BB3065" w:rsidRPr="00B47DD9">
        <w:rPr>
          <w:rFonts w:eastAsia="Times New Roman" w:cs="Segoe UI"/>
          <w:lang w:eastAsia="en-GB"/>
        </w:rPr>
        <w:t xml:space="preserve">Court first considered whether the provisions of the SIA were in conflict with Article 6. It noted the restrictive approach to immunity </w:t>
      </w:r>
      <w:r w:rsidR="004F2AD3" w:rsidRPr="00B47DD9">
        <w:rPr>
          <w:rFonts w:eastAsia="Times New Roman" w:cs="Segoe UI"/>
          <w:lang w:eastAsia="en-GB"/>
        </w:rPr>
        <w:t xml:space="preserve">in the balancing </w:t>
      </w:r>
      <w:r w:rsidR="003129BD" w:rsidRPr="00B47DD9">
        <w:rPr>
          <w:rFonts w:eastAsia="Times New Roman" w:cs="Segoe UI"/>
          <w:lang w:eastAsia="en-GB"/>
        </w:rPr>
        <w:t xml:space="preserve">exercise undertaken by the European Court of Human rights (ECtHR): in a </w:t>
      </w:r>
      <w:r w:rsidR="004F2AD3" w:rsidRPr="00B47DD9">
        <w:rPr>
          <w:rFonts w:eastAsia="Times New Roman" w:cs="Segoe UI"/>
          <w:lang w:eastAsia="en-GB"/>
        </w:rPr>
        <w:t>number of cases</w:t>
      </w:r>
      <w:r w:rsidR="003129BD" w:rsidRPr="00B47DD9">
        <w:rPr>
          <w:rFonts w:eastAsia="Times New Roman" w:cs="Segoe UI"/>
          <w:lang w:eastAsia="en-GB"/>
        </w:rPr>
        <w:t xml:space="preserve"> it had found</w:t>
      </w:r>
      <w:r w:rsidR="004F2AD3" w:rsidRPr="00B47DD9">
        <w:rPr>
          <w:rFonts w:eastAsia="Times New Roman" w:cs="Segoe UI"/>
          <w:lang w:eastAsia="en-GB"/>
        </w:rPr>
        <w:t xml:space="preserve"> that although state immun</w:t>
      </w:r>
      <w:r w:rsidR="00AC5B04" w:rsidRPr="00B47DD9">
        <w:rPr>
          <w:rFonts w:eastAsia="Times New Roman" w:cs="Segoe UI"/>
          <w:lang w:eastAsia="en-GB"/>
        </w:rPr>
        <w:t xml:space="preserve">ity may pursue a legitimate aim, </w:t>
      </w:r>
      <w:r w:rsidR="004F2AD3" w:rsidRPr="00B47DD9">
        <w:rPr>
          <w:rFonts w:eastAsia="Times New Roman" w:cs="Segoe UI"/>
          <w:lang w:eastAsia="en-GB"/>
        </w:rPr>
        <w:t>where employee functions did not interfere with sovereign</w:t>
      </w:r>
      <w:r w:rsidR="00121D23" w:rsidRPr="00B47DD9">
        <w:rPr>
          <w:rFonts w:eastAsia="Times New Roman" w:cs="Segoe UI"/>
          <w:lang w:eastAsia="en-GB"/>
        </w:rPr>
        <w:t xml:space="preserve"> state</w:t>
      </w:r>
      <w:r w:rsidR="004F2AD3" w:rsidRPr="00B47DD9">
        <w:rPr>
          <w:rFonts w:eastAsia="Times New Roman" w:cs="Segoe UI"/>
          <w:lang w:eastAsia="en-GB"/>
        </w:rPr>
        <w:t xml:space="preserve"> interests, immunity was a disproportionate response</w:t>
      </w:r>
      <w:r w:rsidR="001D46A6" w:rsidRPr="00B47DD9">
        <w:rPr>
          <w:rFonts w:eastAsia="Times New Roman" w:cs="Segoe UI"/>
          <w:lang w:eastAsia="en-GB"/>
        </w:rPr>
        <w:t xml:space="preserve"> and therefore a violation of Article 6</w:t>
      </w:r>
      <w:r w:rsidR="004F2AD3" w:rsidRPr="00B47DD9">
        <w:rPr>
          <w:rFonts w:eastAsia="Times New Roman" w:cs="Segoe UI"/>
          <w:lang w:eastAsia="en-GB"/>
        </w:rPr>
        <w:t>.</w:t>
      </w:r>
      <w:r w:rsidR="00AC5B04" w:rsidRPr="00B47DD9">
        <w:rPr>
          <w:rStyle w:val="FootnoteReference"/>
          <w:rFonts w:eastAsia="Times New Roman" w:cs="Segoe UI"/>
          <w:lang w:eastAsia="en-GB"/>
        </w:rPr>
        <w:footnoteReference w:id="56"/>
      </w:r>
      <w:r w:rsidR="004F2AD3" w:rsidRPr="00B47DD9">
        <w:rPr>
          <w:rFonts w:eastAsia="Times New Roman" w:cs="Segoe UI"/>
          <w:lang w:eastAsia="en-GB"/>
        </w:rPr>
        <w:t xml:space="preserve"> The</w:t>
      </w:r>
      <w:r w:rsidR="00BB3065" w:rsidRPr="00B47DD9">
        <w:rPr>
          <w:rFonts w:eastAsia="Times New Roman" w:cs="Segoe UI"/>
          <w:lang w:eastAsia="en-GB"/>
        </w:rPr>
        <w:t xml:space="preserve"> pivotal question was</w:t>
      </w:r>
      <w:r w:rsidR="004F2AD3" w:rsidRPr="00B47DD9">
        <w:rPr>
          <w:rFonts w:eastAsia="Times New Roman" w:cs="Segoe UI"/>
          <w:lang w:eastAsia="en-GB"/>
        </w:rPr>
        <w:t xml:space="preserve"> </w:t>
      </w:r>
      <w:r w:rsidR="00BB3065" w:rsidRPr="00B47DD9">
        <w:rPr>
          <w:rFonts w:eastAsia="Times New Roman" w:cs="Segoe UI"/>
          <w:lang w:eastAsia="en-GB"/>
        </w:rPr>
        <w:t>whether the claim involved any public aspect of the employee’s work.</w:t>
      </w:r>
      <w:r w:rsidR="00C54CB2" w:rsidRPr="00B47DD9">
        <w:rPr>
          <w:rStyle w:val="FootnoteReference"/>
          <w:rFonts w:eastAsia="Times New Roman" w:cs="Segoe UI"/>
          <w:lang w:eastAsia="en-GB"/>
        </w:rPr>
        <w:footnoteReference w:id="57"/>
      </w:r>
      <w:r w:rsidR="00BB3065" w:rsidRPr="00B47DD9">
        <w:rPr>
          <w:rFonts w:eastAsia="Times New Roman" w:cs="Segoe UI"/>
          <w:lang w:eastAsia="en-GB"/>
        </w:rPr>
        <w:t xml:space="preserve"> </w:t>
      </w:r>
      <w:r w:rsidR="00121D23" w:rsidRPr="00B47DD9">
        <w:rPr>
          <w:rFonts w:eastAsia="Times New Roman" w:cs="Segoe UI"/>
          <w:lang w:eastAsia="en-GB"/>
        </w:rPr>
        <w:t xml:space="preserve">In the </w:t>
      </w:r>
      <w:r w:rsidR="00121D23" w:rsidRPr="00B47DD9">
        <w:rPr>
          <w:rFonts w:eastAsia="Times New Roman" w:cs="Segoe UI"/>
          <w:i/>
          <w:lang w:eastAsia="en-GB"/>
        </w:rPr>
        <w:t xml:space="preserve">Benkarbouche </w:t>
      </w:r>
      <w:r w:rsidR="00121D23" w:rsidRPr="00B47DD9">
        <w:rPr>
          <w:rFonts w:eastAsia="Times New Roman" w:cs="Segoe UI"/>
          <w:lang w:eastAsia="en-GB"/>
        </w:rPr>
        <w:t>case, t</w:t>
      </w:r>
      <w:r w:rsidR="00BB3065" w:rsidRPr="00B47DD9">
        <w:rPr>
          <w:rFonts w:eastAsia="Times New Roman" w:cs="Segoe UI"/>
          <w:lang w:eastAsia="en-GB"/>
        </w:rPr>
        <w:t>he Court found that</w:t>
      </w:r>
      <w:r w:rsidR="00C54CB2" w:rsidRPr="00B47DD9">
        <w:rPr>
          <w:rFonts w:eastAsia="Times New Roman" w:cs="Segoe UI"/>
          <w:lang w:eastAsia="en-GB"/>
        </w:rPr>
        <w:t xml:space="preserve"> </w:t>
      </w:r>
      <w:r w:rsidR="00BB3065" w:rsidRPr="00B47DD9">
        <w:rPr>
          <w:rFonts w:eastAsia="Times New Roman" w:cs="Segoe UI"/>
          <w:lang w:eastAsia="en-GB"/>
        </w:rPr>
        <w:t>there was insufficient public aspect in the work of ei</w:t>
      </w:r>
      <w:r w:rsidR="00121D23" w:rsidRPr="00B47DD9">
        <w:rPr>
          <w:rFonts w:eastAsia="Times New Roman" w:cs="Segoe UI"/>
          <w:lang w:eastAsia="en-GB"/>
        </w:rPr>
        <w:t>ther of</w:t>
      </w:r>
      <w:r w:rsidR="00BB3065" w:rsidRPr="00B47DD9">
        <w:rPr>
          <w:rFonts w:eastAsia="Times New Roman" w:cs="Segoe UI"/>
          <w:lang w:eastAsia="en-GB"/>
        </w:rPr>
        <w:t xml:space="preserve"> the domestic</w:t>
      </w:r>
      <w:r w:rsidR="00C54CB2" w:rsidRPr="00B47DD9">
        <w:rPr>
          <w:rFonts w:eastAsia="Times New Roman" w:cs="Segoe UI"/>
          <w:lang w:eastAsia="en-GB"/>
        </w:rPr>
        <w:t xml:space="preserve"> embassy</w:t>
      </w:r>
      <w:r w:rsidR="00BB3065" w:rsidRPr="00B47DD9">
        <w:rPr>
          <w:rFonts w:eastAsia="Times New Roman" w:cs="Segoe UI"/>
          <w:lang w:eastAsia="en-GB"/>
        </w:rPr>
        <w:t xml:space="preserve"> workers to justify their exclusion from access to</w:t>
      </w:r>
      <w:r w:rsidR="00C54CB2" w:rsidRPr="00B47DD9">
        <w:rPr>
          <w:rFonts w:eastAsia="Times New Roman" w:cs="Segoe UI"/>
          <w:lang w:eastAsia="en-GB"/>
        </w:rPr>
        <w:t xml:space="preserve"> a court to bring their claims. The difficulty the Court then faced was the impossibility of</w:t>
      </w:r>
      <w:r w:rsidR="00B10D55" w:rsidRPr="00B47DD9">
        <w:rPr>
          <w:rFonts w:eastAsia="Times New Roman" w:cs="Segoe UI"/>
          <w:lang w:eastAsia="en-GB"/>
        </w:rPr>
        <w:t xml:space="preserve"> the</w:t>
      </w:r>
      <w:r w:rsidR="00C54CB2" w:rsidRPr="00B47DD9">
        <w:rPr>
          <w:rFonts w:eastAsia="Times New Roman" w:cs="Segoe UI"/>
          <w:lang w:eastAsia="en-GB"/>
        </w:rPr>
        <w:t xml:space="preserve"> interpretation of the State Immunity Act to bring it in line with </w:t>
      </w:r>
      <w:r w:rsidR="00B10D55" w:rsidRPr="00B47DD9">
        <w:rPr>
          <w:rFonts w:eastAsia="Times New Roman" w:cs="Segoe UI"/>
          <w:lang w:eastAsia="en-GB"/>
        </w:rPr>
        <w:t xml:space="preserve">Article 6. As a result, the Court moved to consider whether Article 47 of the Charter could operate as a general principle of EU law and disapply the offending provisions of the SIA. Following </w:t>
      </w:r>
      <w:r w:rsidR="00C53BFD" w:rsidRPr="00B47DD9">
        <w:rPr>
          <w:rFonts w:eastAsia="Times New Roman" w:cs="Segoe UI"/>
          <w:i/>
          <w:lang w:eastAsia="en-GB"/>
        </w:rPr>
        <w:t>Kücü</w:t>
      </w:r>
      <w:r w:rsidR="00B10D55" w:rsidRPr="00B47DD9">
        <w:rPr>
          <w:rFonts w:eastAsia="Times New Roman" w:cs="Segoe UI"/>
          <w:i/>
          <w:lang w:eastAsia="en-GB"/>
        </w:rPr>
        <w:t>kdeveci</w:t>
      </w:r>
      <w:r w:rsidR="003129BD" w:rsidRPr="00B47DD9">
        <w:rPr>
          <w:rStyle w:val="FootnoteReference"/>
          <w:rFonts w:eastAsia="Times New Roman" w:cs="Segoe UI"/>
          <w:i/>
          <w:lang w:eastAsia="en-GB"/>
        </w:rPr>
        <w:footnoteReference w:id="58"/>
      </w:r>
      <w:r w:rsidR="00B10D55" w:rsidRPr="00B47DD9">
        <w:rPr>
          <w:rFonts w:eastAsia="Times New Roman" w:cs="Segoe UI"/>
          <w:i/>
          <w:lang w:eastAsia="en-GB"/>
        </w:rPr>
        <w:t xml:space="preserve"> </w:t>
      </w:r>
      <w:r w:rsidR="009258CE" w:rsidRPr="00B47DD9">
        <w:rPr>
          <w:rFonts w:eastAsia="Times New Roman" w:cs="Segoe UI"/>
          <w:lang w:eastAsia="en-GB"/>
        </w:rPr>
        <w:t xml:space="preserve">the Court held that the Charter could have horizontal direct effect for those employment rights within the scope of EU law. </w:t>
      </w:r>
      <w:r w:rsidR="00080F80" w:rsidRPr="00B47DD9">
        <w:rPr>
          <w:rFonts w:eastAsia="Times New Roman" w:cs="Segoe UI"/>
          <w:lang w:eastAsia="en-GB"/>
        </w:rPr>
        <w:t xml:space="preserve">Accordingly so far as the claims relating to working time, discrimination and harassment were concerned, the relevant sections of the SIA were to be disapplied. </w:t>
      </w:r>
    </w:p>
    <w:p w:rsidR="006F295E" w:rsidRPr="00B47DD9" w:rsidRDefault="00866E60" w:rsidP="00CE3AC2">
      <w:pPr>
        <w:spacing w:after="150" w:line="480" w:lineRule="auto"/>
        <w:ind w:firstLine="720"/>
        <w:jc w:val="both"/>
        <w:rPr>
          <w:rFonts w:eastAsia="Times New Roman" w:cs="Segoe UI"/>
          <w:lang w:eastAsia="en-GB"/>
        </w:rPr>
      </w:pPr>
      <w:r w:rsidRPr="00B47DD9">
        <w:rPr>
          <w:rFonts w:eastAsia="Times New Roman" w:cs="Segoe UI"/>
          <w:lang w:eastAsia="en-GB"/>
        </w:rPr>
        <w:t>T</w:t>
      </w:r>
      <w:r w:rsidR="00080F80" w:rsidRPr="00B47DD9">
        <w:rPr>
          <w:rFonts w:eastAsia="Times New Roman" w:cs="Segoe UI"/>
          <w:lang w:eastAsia="en-GB"/>
        </w:rPr>
        <w:t>his case does represent a modest victory for employees seeking to challenge their exclusion from employment law jurisdiction.</w:t>
      </w:r>
      <w:r w:rsidR="001D46A6" w:rsidRPr="00B47DD9">
        <w:rPr>
          <w:rStyle w:val="FootnoteReference"/>
          <w:rFonts w:eastAsia="Times New Roman" w:cs="Segoe UI"/>
          <w:lang w:eastAsia="en-GB"/>
        </w:rPr>
        <w:footnoteReference w:id="59"/>
      </w:r>
      <w:r w:rsidR="00080F80" w:rsidRPr="00B47DD9">
        <w:rPr>
          <w:rFonts w:eastAsia="Times New Roman" w:cs="Segoe UI"/>
          <w:lang w:eastAsia="en-GB"/>
        </w:rPr>
        <w:t xml:space="preserve"> </w:t>
      </w:r>
      <w:r w:rsidRPr="00B47DD9">
        <w:rPr>
          <w:rFonts w:eastAsia="Times New Roman" w:cs="Segoe UI"/>
          <w:lang w:eastAsia="en-GB"/>
        </w:rPr>
        <w:t>However, a number of points should be made about the potential of Article 6 in general</w:t>
      </w:r>
      <w:r w:rsidR="0059082C" w:rsidRPr="00B47DD9">
        <w:rPr>
          <w:rFonts w:eastAsia="Times New Roman" w:cs="Segoe UI"/>
          <w:lang w:eastAsia="en-GB"/>
        </w:rPr>
        <w:t xml:space="preserve"> (</w:t>
      </w:r>
      <w:r w:rsidRPr="00B47DD9">
        <w:rPr>
          <w:rFonts w:eastAsia="Times New Roman" w:cs="Segoe UI"/>
          <w:lang w:eastAsia="en-GB"/>
        </w:rPr>
        <w:t>and this case in particular</w:t>
      </w:r>
      <w:r w:rsidR="0059082C" w:rsidRPr="00B47DD9">
        <w:rPr>
          <w:rFonts w:eastAsia="Times New Roman" w:cs="Segoe UI"/>
          <w:lang w:eastAsia="en-GB"/>
        </w:rPr>
        <w:t>)</w:t>
      </w:r>
      <w:r w:rsidRPr="00B47DD9">
        <w:rPr>
          <w:rFonts w:eastAsia="Times New Roman" w:cs="Segoe UI"/>
          <w:lang w:eastAsia="en-GB"/>
        </w:rPr>
        <w:t xml:space="preserve"> in providing greater access to justice for public </w:t>
      </w:r>
      <w:r w:rsidR="00D47734" w:rsidRPr="00B47DD9">
        <w:rPr>
          <w:rFonts w:eastAsia="Times New Roman" w:cs="Segoe UI"/>
          <w:lang w:eastAsia="en-GB"/>
        </w:rPr>
        <w:t>employees.</w:t>
      </w:r>
      <w:r w:rsidR="006F295E" w:rsidRPr="00B47DD9">
        <w:rPr>
          <w:rFonts w:eastAsia="Times New Roman" w:cs="Segoe UI"/>
          <w:lang w:eastAsia="en-GB"/>
        </w:rPr>
        <w:t xml:space="preserve"> </w:t>
      </w:r>
      <w:r w:rsidR="00D47734" w:rsidRPr="00B47DD9">
        <w:rPr>
          <w:rFonts w:eastAsia="Times New Roman" w:cs="Segoe UI"/>
          <w:lang w:eastAsia="en-GB"/>
        </w:rPr>
        <w:t>The first point to make is in relation to the operation of the functional distinction between public and private in the</w:t>
      </w:r>
      <w:r w:rsidR="0059082C" w:rsidRPr="00B47DD9">
        <w:rPr>
          <w:rFonts w:eastAsia="Times New Roman" w:cs="Segoe UI"/>
          <w:lang w:eastAsia="en-GB"/>
        </w:rPr>
        <w:t xml:space="preserve"> Article 6</w:t>
      </w:r>
      <w:r w:rsidR="00D47734" w:rsidRPr="00B47DD9">
        <w:rPr>
          <w:rFonts w:eastAsia="Times New Roman" w:cs="Segoe UI"/>
          <w:lang w:eastAsia="en-GB"/>
        </w:rPr>
        <w:t xml:space="preserve"> jurisprudence of the ECtHR.</w:t>
      </w:r>
      <w:r w:rsidR="00121D23" w:rsidRPr="00B47DD9">
        <w:rPr>
          <w:rStyle w:val="FootnoteReference"/>
          <w:rFonts w:eastAsia="Times New Roman" w:cs="Segoe UI"/>
          <w:lang w:eastAsia="en-GB"/>
        </w:rPr>
        <w:footnoteReference w:id="60"/>
      </w:r>
      <w:r w:rsidR="00D47734" w:rsidRPr="00B47DD9">
        <w:rPr>
          <w:rFonts w:eastAsia="Times New Roman" w:cs="Segoe UI"/>
          <w:lang w:eastAsia="en-GB"/>
        </w:rPr>
        <w:t xml:space="preserve"> It is clear that this functional approach is helpful to many employees in gaining access to employment rights,</w:t>
      </w:r>
      <w:r w:rsidR="006F295E" w:rsidRPr="00B47DD9">
        <w:rPr>
          <w:rStyle w:val="FootnoteReference"/>
          <w:rFonts w:eastAsia="Times New Roman" w:cs="Segoe UI"/>
          <w:lang w:eastAsia="en-GB"/>
        </w:rPr>
        <w:footnoteReference w:id="61"/>
      </w:r>
      <w:r w:rsidR="00D47734" w:rsidRPr="00B47DD9">
        <w:rPr>
          <w:rFonts w:eastAsia="Times New Roman" w:cs="Segoe UI"/>
          <w:lang w:eastAsia="en-GB"/>
        </w:rPr>
        <w:t xml:space="preserve"> and it allowed the Claimants in </w:t>
      </w:r>
      <w:r w:rsidR="00D47734" w:rsidRPr="00B47DD9">
        <w:rPr>
          <w:rFonts w:eastAsia="Times New Roman" w:cs="Segoe UI"/>
          <w:i/>
          <w:lang w:eastAsia="en-GB"/>
        </w:rPr>
        <w:t>Benkarbouche</w:t>
      </w:r>
      <w:r w:rsidR="0059082C" w:rsidRPr="00B47DD9">
        <w:rPr>
          <w:rFonts w:eastAsia="Times New Roman" w:cs="Segoe UI"/>
          <w:lang w:eastAsia="en-GB"/>
        </w:rPr>
        <w:t xml:space="preserve"> to gain nominal recognition of their</w:t>
      </w:r>
      <w:r w:rsidR="00D47734" w:rsidRPr="00B47DD9">
        <w:rPr>
          <w:rFonts w:eastAsia="Times New Roman" w:cs="Segoe UI"/>
          <w:lang w:eastAsia="en-GB"/>
        </w:rPr>
        <w:t xml:space="preserve"> claims</w:t>
      </w:r>
      <w:r w:rsidR="0059082C" w:rsidRPr="00B47DD9">
        <w:rPr>
          <w:rFonts w:eastAsia="Times New Roman" w:cs="Segoe UI"/>
          <w:lang w:eastAsia="en-GB"/>
        </w:rPr>
        <w:t xml:space="preserve"> under Article 6</w:t>
      </w:r>
      <w:r w:rsidR="00D47734" w:rsidRPr="00B47DD9">
        <w:rPr>
          <w:rFonts w:eastAsia="Times New Roman" w:cs="Segoe UI"/>
          <w:lang w:eastAsia="en-GB"/>
        </w:rPr>
        <w:t xml:space="preserve">. </w:t>
      </w:r>
      <w:r w:rsidR="006F295E" w:rsidRPr="00B47DD9">
        <w:rPr>
          <w:rFonts w:eastAsia="Times New Roman" w:cs="Segoe UI"/>
          <w:lang w:eastAsia="en-GB"/>
        </w:rPr>
        <w:t>It still remains the case though that</w:t>
      </w:r>
      <w:r w:rsidRPr="00B47DD9">
        <w:rPr>
          <w:rFonts w:eastAsia="Times New Roman" w:cs="Segoe UI"/>
          <w:lang w:eastAsia="en-GB"/>
        </w:rPr>
        <w:t xml:space="preserve"> the functional approach remains a barrier to access to justice for the majority of public employees. </w:t>
      </w:r>
      <w:r w:rsidR="006F295E" w:rsidRPr="00B47DD9">
        <w:rPr>
          <w:rFonts w:eastAsia="Times New Roman" w:cs="Segoe UI"/>
          <w:lang w:eastAsia="en-GB"/>
        </w:rPr>
        <w:t xml:space="preserve">In particular, Article 6 will not be open to police or army personnel in light of the comments made in </w:t>
      </w:r>
      <w:r w:rsidR="006F295E" w:rsidRPr="00B47DD9">
        <w:rPr>
          <w:rFonts w:eastAsia="Times New Roman" w:cs="Segoe UI"/>
          <w:i/>
          <w:lang w:eastAsia="en-GB"/>
        </w:rPr>
        <w:t>Pellegrin v France.</w:t>
      </w:r>
      <w:r w:rsidR="006F295E" w:rsidRPr="00B47DD9">
        <w:rPr>
          <w:rFonts w:eastAsia="Times New Roman" w:cs="Segoe UI"/>
          <w:lang w:eastAsia="en-GB"/>
        </w:rPr>
        <w:t xml:space="preserve"> Second, there can be still be sovereign acts which take precedence over access to justice claims</w:t>
      </w:r>
      <w:r w:rsidR="0059082C" w:rsidRPr="00B47DD9">
        <w:rPr>
          <w:rFonts w:eastAsia="Times New Roman" w:cs="Segoe UI"/>
          <w:lang w:eastAsia="en-GB"/>
        </w:rPr>
        <w:t xml:space="preserve">, </w:t>
      </w:r>
      <w:r w:rsidR="007622E7" w:rsidRPr="00B47DD9">
        <w:rPr>
          <w:rFonts w:eastAsia="Times New Roman" w:cs="Segoe UI"/>
          <w:lang w:eastAsia="en-GB"/>
        </w:rPr>
        <w:t>even where employees fall on</w:t>
      </w:r>
      <w:r w:rsidR="0059082C" w:rsidRPr="00B47DD9">
        <w:rPr>
          <w:rFonts w:eastAsia="Times New Roman" w:cs="Segoe UI"/>
          <w:lang w:eastAsia="en-GB"/>
        </w:rPr>
        <w:t xml:space="preserve"> the right side of the functional di</w:t>
      </w:r>
      <w:r w:rsidR="006D2D3E" w:rsidRPr="00B47DD9">
        <w:rPr>
          <w:rFonts w:eastAsia="Times New Roman" w:cs="Segoe UI"/>
          <w:lang w:eastAsia="en-GB"/>
        </w:rPr>
        <w:t xml:space="preserve">stinction line. For example, the case of </w:t>
      </w:r>
      <w:r w:rsidR="006D2D3E" w:rsidRPr="00B47DD9">
        <w:rPr>
          <w:rFonts w:eastAsia="Times New Roman" w:cs="Segoe UI"/>
          <w:i/>
          <w:lang w:eastAsia="en-GB"/>
        </w:rPr>
        <w:t>USA v Nolan</w:t>
      </w:r>
      <w:r w:rsidR="002B14A9" w:rsidRPr="00B47DD9">
        <w:rPr>
          <w:rStyle w:val="FootnoteReference"/>
          <w:rFonts w:eastAsia="Times New Roman" w:cs="Segoe UI"/>
          <w:i/>
          <w:lang w:eastAsia="en-GB"/>
        </w:rPr>
        <w:footnoteReference w:id="62"/>
      </w:r>
      <w:r w:rsidR="006D2D3E" w:rsidRPr="00B47DD9">
        <w:rPr>
          <w:rFonts w:eastAsia="Times New Roman" w:cs="Segoe UI"/>
          <w:i/>
          <w:lang w:eastAsia="en-GB"/>
        </w:rPr>
        <w:t xml:space="preserve"> </w:t>
      </w:r>
      <w:r w:rsidR="006D2D3E" w:rsidRPr="00B47DD9">
        <w:rPr>
          <w:rFonts w:eastAsia="Times New Roman" w:cs="Segoe UI"/>
          <w:lang w:eastAsia="en-GB"/>
        </w:rPr>
        <w:t xml:space="preserve">concerned a claim by a civilian army employee that her employer (the USA) had failed to properly consult her in relation to </w:t>
      </w:r>
      <w:r w:rsidR="007622E7" w:rsidRPr="00B47DD9">
        <w:rPr>
          <w:rFonts w:eastAsia="Times New Roman" w:cs="Segoe UI"/>
          <w:lang w:eastAsia="en-GB"/>
        </w:rPr>
        <w:t>the</w:t>
      </w:r>
      <w:r w:rsidR="00C53BFD" w:rsidRPr="00B47DD9">
        <w:rPr>
          <w:rFonts w:eastAsia="Times New Roman" w:cs="Segoe UI"/>
          <w:lang w:eastAsia="en-GB"/>
        </w:rPr>
        <w:t xml:space="preserve"> redundancy implications of the</w:t>
      </w:r>
      <w:r w:rsidR="007622E7" w:rsidRPr="00B47DD9">
        <w:rPr>
          <w:rFonts w:eastAsia="Times New Roman" w:cs="Segoe UI"/>
          <w:lang w:eastAsia="en-GB"/>
        </w:rPr>
        <w:t xml:space="preserve"> closure of an army</w:t>
      </w:r>
      <w:r w:rsidR="006D2D3E" w:rsidRPr="00B47DD9">
        <w:rPr>
          <w:rFonts w:eastAsia="Times New Roman" w:cs="Segoe UI"/>
          <w:lang w:eastAsia="en-GB"/>
        </w:rPr>
        <w:t xml:space="preserve"> base</w:t>
      </w:r>
      <w:r w:rsidR="007622E7" w:rsidRPr="00B47DD9">
        <w:rPr>
          <w:rFonts w:eastAsia="Times New Roman" w:cs="Segoe UI"/>
          <w:lang w:eastAsia="en-GB"/>
        </w:rPr>
        <w:t xml:space="preserve"> in the UK</w:t>
      </w:r>
      <w:r w:rsidR="006D2D3E" w:rsidRPr="00B47DD9">
        <w:rPr>
          <w:rFonts w:eastAsia="Times New Roman" w:cs="Segoe UI"/>
          <w:lang w:eastAsia="en-GB"/>
        </w:rPr>
        <w:t xml:space="preserve">. State immunity was not pleaded in this case, although the Courts (at both domestic and European level) made it clear that the USA could have relied on their immunity to avoid the proceedings. The act complained of (closure of the army base) was an act </w:t>
      </w:r>
      <w:r w:rsidR="006D2D3E" w:rsidRPr="00B47DD9">
        <w:rPr>
          <w:rFonts w:eastAsia="Times New Roman" w:cs="Segoe UI"/>
          <w:i/>
          <w:lang w:eastAsia="en-GB"/>
        </w:rPr>
        <w:t>jure imperii</w:t>
      </w:r>
      <w:r w:rsidR="006D2D3E" w:rsidRPr="00B47DD9">
        <w:rPr>
          <w:rFonts w:eastAsia="Times New Roman" w:cs="Segoe UI"/>
          <w:lang w:eastAsia="en-GB"/>
        </w:rPr>
        <w:t xml:space="preserve"> and so outside the jurisdiction of the </w:t>
      </w:r>
      <w:r w:rsidR="007622E7" w:rsidRPr="00B47DD9">
        <w:rPr>
          <w:rFonts w:eastAsia="Times New Roman" w:cs="Segoe UI"/>
          <w:lang w:eastAsia="en-GB"/>
        </w:rPr>
        <w:t xml:space="preserve">Courts. Implicit in these findings was that the sovereign nature of the Defendant’s act outweighed any access to justice claim, and the functional distinction between the civilian nature of the Claimant’s activities and those of other army personnel made no difference to the outcome. </w:t>
      </w:r>
    </w:p>
    <w:p w:rsidR="00E13225" w:rsidRPr="00B47DD9" w:rsidRDefault="002B14A9" w:rsidP="00CE3AC2">
      <w:pPr>
        <w:spacing w:after="150" w:line="480" w:lineRule="auto"/>
        <w:ind w:firstLine="360"/>
        <w:jc w:val="both"/>
        <w:rPr>
          <w:rFonts w:eastAsia="Times New Roman" w:cs="Segoe UI"/>
          <w:lang w:eastAsia="en-GB"/>
        </w:rPr>
      </w:pPr>
      <w:r w:rsidRPr="00B47DD9">
        <w:rPr>
          <w:rFonts w:eastAsia="Times New Roman" w:cs="Segoe UI"/>
          <w:lang w:eastAsia="en-GB"/>
        </w:rPr>
        <w:t xml:space="preserve">A third point to make </w:t>
      </w:r>
      <w:r w:rsidR="005626BC" w:rsidRPr="00B47DD9">
        <w:rPr>
          <w:rFonts w:eastAsia="Times New Roman" w:cs="Segoe UI"/>
          <w:lang w:eastAsia="en-GB"/>
        </w:rPr>
        <w:t xml:space="preserve">is that the </w:t>
      </w:r>
      <w:r w:rsidR="00121D23" w:rsidRPr="00B47DD9">
        <w:rPr>
          <w:rFonts w:eastAsia="Times New Roman" w:cs="Segoe UI"/>
          <w:lang w:eastAsia="en-GB"/>
        </w:rPr>
        <w:t>courts have</w:t>
      </w:r>
      <w:r w:rsidR="00810BA6" w:rsidRPr="00B47DD9">
        <w:rPr>
          <w:rFonts w:eastAsia="Times New Roman" w:cs="Segoe UI"/>
          <w:lang w:eastAsia="en-GB"/>
        </w:rPr>
        <w:t xml:space="preserve"> recently</w:t>
      </w:r>
      <w:r w:rsidR="00121D23" w:rsidRPr="00B47DD9">
        <w:rPr>
          <w:rFonts w:eastAsia="Times New Roman" w:cs="Segoe UI"/>
          <w:lang w:eastAsia="en-GB"/>
        </w:rPr>
        <w:t xml:space="preserve"> approached the balancing exercise under Article 6 quite differently in relation to diplomatic</w:t>
      </w:r>
      <w:r w:rsidR="005626BC" w:rsidRPr="00B47DD9">
        <w:rPr>
          <w:rFonts w:eastAsia="Times New Roman" w:cs="Segoe UI"/>
          <w:lang w:eastAsia="en-GB"/>
        </w:rPr>
        <w:t xml:space="preserve"> (as opposed to state)</w:t>
      </w:r>
      <w:r w:rsidR="00121D23" w:rsidRPr="00B47DD9">
        <w:rPr>
          <w:rFonts w:eastAsia="Times New Roman" w:cs="Segoe UI"/>
          <w:lang w:eastAsia="en-GB"/>
        </w:rPr>
        <w:t xml:space="preserve"> immunity, with a negative outcome for public sector employees seeking to enforce private rights. </w:t>
      </w:r>
      <w:r w:rsidR="005626BC" w:rsidRPr="00B47DD9">
        <w:rPr>
          <w:rFonts w:eastAsia="Times New Roman" w:cs="Segoe UI"/>
          <w:lang w:eastAsia="en-GB"/>
        </w:rPr>
        <w:t>Diplomatic immunity in this context refers to the immunity of members of diplomatic staff as against claims by their personal employees.</w:t>
      </w:r>
      <w:r w:rsidR="00810BA6" w:rsidRPr="00B47DD9">
        <w:rPr>
          <w:rFonts w:eastAsia="Times New Roman" w:cs="Segoe UI"/>
          <w:lang w:eastAsia="en-GB"/>
        </w:rPr>
        <w:t xml:space="preserve"> In the case of </w:t>
      </w:r>
      <w:r w:rsidR="009941BC" w:rsidRPr="00B47DD9">
        <w:rPr>
          <w:rFonts w:eastAsia="Times New Roman" w:cs="Segoe UI"/>
          <w:i/>
          <w:lang w:eastAsia="en-GB"/>
        </w:rPr>
        <w:t>Abusabib v Taddese</w:t>
      </w:r>
      <w:r w:rsidR="009941BC" w:rsidRPr="00B47DD9">
        <w:rPr>
          <w:rFonts w:eastAsia="Times New Roman" w:cs="Segoe UI"/>
          <w:lang w:eastAsia="en-GB"/>
        </w:rPr>
        <w:t>,</w:t>
      </w:r>
      <w:r w:rsidR="009941BC" w:rsidRPr="00B47DD9">
        <w:rPr>
          <w:rStyle w:val="FootnoteReference"/>
          <w:rFonts w:eastAsia="Times New Roman" w:cs="Segoe UI"/>
          <w:lang w:eastAsia="en-GB"/>
        </w:rPr>
        <w:footnoteReference w:id="63"/>
      </w:r>
      <w:r w:rsidR="009941BC" w:rsidRPr="00B47DD9">
        <w:rPr>
          <w:rFonts w:eastAsia="Times New Roman" w:cs="Segoe UI"/>
          <w:lang w:eastAsia="en-GB"/>
        </w:rPr>
        <w:t xml:space="preserve"> the Court followed the state immunity line, allowing two domestic workers to bring employment claims against their diplomatic employers on the basis that their functions did not interfere with the performance of the diplomatic mission. However, a different approach was taken </w:t>
      </w:r>
      <w:r w:rsidR="00AC5B04" w:rsidRPr="00B47DD9">
        <w:rPr>
          <w:rFonts w:eastAsia="Times New Roman" w:cs="Segoe UI"/>
          <w:lang w:eastAsia="en-GB"/>
        </w:rPr>
        <w:t xml:space="preserve">in </w:t>
      </w:r>
      <w:r w:rsidR="00AC5B04" w:rsidRPr="00B47DD9">
        <w:rPr>
          <w:rFonts w:eastAsia="Times New Roman" w:cs="Segoe UI"/>
          <w:i/>
          <w:lang w:eastAsia="en-GB"/>
        </w:rPr>
        <w:t>Mr Jarallah Al-Malki</w:t>
      </w:r>
      <w:r w:rsidR="009941BC" w:rsidRPr="00B47DD9">
        <w:rPr>
          <w:rFonts w:eastAsia="Times New Roman" w:cs="Segoe UI"/>
          <w:lang w:eastAsia="en-GB"/>
        </w:rPr>
        <w:t>.</w:t>
      </w:r>
      <w:r w:rsidR="001D46A6" w:rsidRPr="00B47DD9">
        <w:rPr>
          <w:rStyle w:val="FootnoteReference"/>
          <w:rFonts w:eastAsia="Times New Roman" w:cs="Segoe UI"/>
          <w:lang w:eastAsia="en-GB"/>
        </w:rPr>
        <w:footnoteReference w:id="64"/>
      </w:r>
      <w:r w:rsidR="009941BC" w:rsidRPr="00B47DD9">
        <w:rPr>
          <w:rFonts w:eastAsia="Times New Roman" w:cs="Segoe UI"/>
          <w:lang w:eastAsia="en-GB"/>
        </w:rPr>
        <w:t xml:space="preserve"> In this case,</w:t>
      </w:r>
      <w:r w:rsidR="00AC5B04" w:rsidRPr="00B47DD9">
        <w:rPr>
          <w:rFonts w:eastAsia="Times New Roman" w:cs="Segoe UI"/>
          <w:lang w:eastAsia="en-GB"/>
        </w:rPr>
        <w:t xml:space="preserve"> the Court was as</w:t>
      </w:r>
      <w:r w:rsidR="009941BC" w:rsidRPr="00B47DD9">
        <w:rPr>
          <w:rFonts w:eastAsia="Times New Roman" w:cs="Segoe UI"/>
          <w:lang w:eastAsia="en-GB"/>
        </w:rPr>
        <w:t>ked to consider the claim by a cook and a domestic worker</w:t>
      </w:r>
      <w:r w:rsidR="00660C68" w:rsidRPr="00B47DD9">
        <w:rPr>
          <w:rFonts w:eastAsia="Times New Roman" w:cs="Segoe UI"/>
          <w:lang w:eastAsia="en-GB"/>
        </w:rPr>
        <w:t xml:space="preserve"> that the assertion</w:t>
      </w:r>
      <w:r w:rsidR="00AC5B04" w:rsidRPr="00B47DD9">
        <w:rPr>
          <w:rFonts w:eastAsia="Times New Roman" w:cs="Segoe UI"/>
          <w:lang w:eastAsia="en-GB"/>
        </w:rPr>
        <w:t xml:space="preserve"> of immunity by their</w:t>
      </w:r>
      <w:r w:rsidR="00660C68" w:rsidRPr="00B47DD9">
        <w:rPr>
          <w:rFonts w:eastAsia="Times New Roman" w:cs="Segoe UI"/>
          <w:lang w:eastAsia="en-GB"/>
        </w:rPr>
        <w:t xml:space="preserve"> diplomatic</w:t>
      </w:r>
      <w:r w:rsidR="00AC5B04" w:rsidRPr="00B47DD9">
        <w:rPr>
          <w:rFonts w:eastAsia="Times New Roman" w:cs="Segoe UI"/>
          <w:lang w:eastAsia="en-GB"/>
        </w:rPr>
        <w:t xml:space="preserve"> employer was a denial of their right to access a court under Article 6. The Court then proceeded to conduct the balancing exercise required under Article 6 in relation to their claim, namely whether diplomatic immunity was a legitimate aim and whether the court’s action in allowing diplomatic immunity was proportionate in relation to that aim. The Court considered that </w:t>
      </w:r>
      <w:r w:rsidR="00660C68" w:rsidRPr="00B47DD9">
        <w:rPr>
          <w:rFonts w:eastAsia="Times New Roman" w:cs="Segoe UI"/>
          <w:lang w:eastAsia="en-GB"/>
        </w:rPr>
        <w:t>diplomatic immunity should be given expansive treatment. In contrast to state immunity, diplomatic immunity was a personal immunity designed to protect the ‘special vulnerability’ of a diplomatic agent. Diplomatic agents should be entitled to ‘inviolability’ of their person in order not to interfere their official functions.</w:t>
      </w:r>
      <w:r w:rsidR="001D46A6" w:rsidRPr="00B47DD9">
        <w:rPr>
          <w:rStyle w:val="FootnoteReference"/>
          <w:rFonts w:eastAsia="Times New Roman" w:cs="Segoe UI"/>
          <w:lang w:eastAsia="en-GB"/>
        </w:rPr>
        <w:footnoteReference w:id="65"/>
      </w:r>
      <w:r w:rsidR="00660C68" w:rsidRPr="00B47DD9">
        <w:rPr>
          <w:rFonts w:eastAsia="Times New Roman" w:cs="Segoe UI"/>
          <w:lang w:eastAsia="en-GB"/>
        </w:rPr>
        <w:t xml:space="preserve"> Furthermore, </w:t>
      </w:r>
      <w:r w:rsidR="00B2508A" w:rsidRPr="00B47DD9">
        <w:rPr>
          <w:rFonts w:eastAsia="Times New Roman" w:cs="Segoe UI"/>
          <w:lang w:eastAsia="en-GB"/>
        </w:rPr>
        <w:t xml:space="preserve">the Court considered that </w:t>
      </w:r>
      <w:r w:rsidR="00660C68" w:rsidRPr="00B47DD9">
        <w:rPr>
          <w:rFonts w:eastAsia="Times New Roman" w:cs="Segoe UI"/>
          <w:lang w:eastAsia="en-GB"/>
        </w:rPr>
        <w:t>whilst there was a move in European and international law to interpret state immunity more restrictively and according to context, this move was not apparent in relation to diplomatic immunity. As a result, the Court found that in this case, the assertion of diplomatic immunity was a legitimate aim and that the restriction of court access which followed was a proportionate response to that aim.</w:t>
      </w:r>
    </w:p>
    <w:p w:rsidR="00E13225" w:rsidRPr="00B47DD9" w:rsidRDefault="00554817" w:rsidP="00CE3AC2">
      <w:pPr>
        <w:pStyle w:val="ListParagraph"/>
        <w:numPr>
          <w:ilvl w:val="0"/>
          <w:numId w:val="4"/>
        </w:numPr>
        <w:spacing w:after="150" w:line="480" w:lineRule="auto"/>
        <w:jc w:val="both"/>
        <w:rPr>
          <w:rFonts w:eastAsia="Times New Roman" w:cs="Segoe UI"/>
          <w:lang w:eastAsia="en-GB"/>
        </w:rPr>
      </w:pPr>
      <w:r w:rsidRPr="00B47DD9">
        <w:rPr>
          <w:rFonts w:eastAsia="Times New Roman" w:cs="Segoe UI"/>
          <w:lang w:eastAsia="en-GB"/>
        </w:rPr>
        <w:t>Making use of the public law regime</w:t>
      </w:r>
    </w:p>
    <w:p w:rsidR="00275832" w:rsidRPr="00B47DD9" w:rsidRDefault="00275832" w:rsidP="00CE3AC2">
      <w:pPr>
        <w:spacing w:after="150" w:line="480" w:lineRule="auto"/>
        <w:jc w:val="both"/>
        <w:rPr>
          <w:rFonts w:eastAsia="Times New Roman" w:cs="Segoe UI"/>
          <w:lang w:eastAsia="en-GB"/>
        </w:rPr>
      </w:pPr>
      <w:r w:rsidRPr="00B47DD9">
        <w:rPr>
          <w:rFonts w:eastAsia="Times New Roman" w:cs="Segoe UI"/>
          <w:lang w:eastAsia="en-GB"/>
        </w:rPr>
        <w:t>The previous section makes clear that despite a number of challenges to the existing regime, there are still a number of public sector employee groups who find themselves excluded from (some or all) ‘private’ employment law rights. As noted in the introduction, this exclusion is not necessarily problematic if those employees have equivalent, or even better, protection as a matter of public law. The next section discusses the availability of the public law system to</w:t>
      </w:r>
      <w:r w:rsidR="00C53BFD" w:rsidRPr="00B47DD9">
        <w:rPr>
          <w:rFonts w:eastAsia="Times New Roman" w:cs="Segoe UI"/>
          <w:lang w:eastAsia="en-GB"/>
        </w:rPr>
        <w:t xml:space="preserve"> those excluded from private rights</w:t>
      </w:r>
      <w:r w:rsidRPr="00B47DD9">
        <w:rPr>
          <w:rFonts w:eastAsia="Times New Roman" w:cs="Segoe UI"/>
          <w:lang w:eastAsia="en-GB"/>
        </w:rPr>
        <w:t xml:space="preserve"> and the advantages and disadvantages of relying on the public law regime for those who can access it. In particular there is a discussion of the different grounds of judicial review and the potential they provide for public sector employees seeking to challenge employment practice. The final part of the section analyses the potential of the judicial movement towards a relaxation of the ‘pure’ public regime in line with individual circumstances. It is argued that this provides an opportunity for public sector employees in the vindication of their rights.</w:t>
      </w:r>
    </w:p>
    <w:p w:rsidR="00275832" w:rsidRPr="00B47DD9" w:rsidRDefault="00275832" w:rsidP="00CE3AC2">
      <w:pPr>
        <w:spacing w:after="150" w:line="480" w:lineRule="auto"/>
        <w:ind w:firstLine="720"/>
        <w:jc w:val="both"/>
        <w:rPr>
          <w:rFonts w:eastAsia="Times New Roman" w:cs="Segoe UI"/>
          <w:lang w:eastAsia="en-GB"/>
        </w:rPr>
      </w:pPr>
      <w:r w:rsidRPr="00B47DD9">
        <w:rPr>
          <w:rFonts w:eastAsia="Times New Roman" w:cs="Segoe UI"/>
          <w:lang w:eastAsia="en-GB"/>
        </w:rPr>
        <w:t xml:space="preserve">The central concern of public sector employees in terms of the public law system is the availability of judicial review. The availability of judicial review, discussed in detail in section 2, is limited to those public sector employees who do not have a ‘contract of employment’ and can show further elements of ‘publicness’ in the operation of their employment relationship. These criteria dramatically limit the number of public sector employees who can bring a judicial review claim. However, for those groups who do have access to it, judicial review can operate to moderate unfairness in the conduct of public bodies and their exercise of statutory law. Judicial review proceeds on a number of grounds, and those grounds can be classified in a different ways. A good starting point is Lord Diplock’s formulation of three grounds of review in </w:t>
      </w:r>
      <w:r w:rsidRPr="00B47DD9">
        <w:rPr>
          <w:i/>
        </w:rPr>
        <w:t>Council of Civil Service v Minister for the Civil Service</w:t>
      </w:r>
      <w:r w:rsidRPr="00B47DD9">
        <w:t xml:space="preserve"> (GCHQ),</w:t>
      </w:r>
      <w:r w:rsidRPr="00B47DD9">
        <w:rPr>
          <w:rStyle w:val="FootnoteReference"/>
        </w:rPr>
        <w:footnoteReference w:id="66"/>
      </w:r>
      <w:r w:rsidRPr="00B47DD9">
        <w:t xml:space="preserve"> namely illegality, irrationality and procedural impropriety. The first ground</w:t>
      </w:r>
      <w:r w:rsidRPr="00B47DD9">
        <w:rPr>
          <w:rFonts w:eastAsia="Times New Roman" w:cs="Segoe UI"/>
          <w:lang w:eastAsia="en-GB"/>
        </w:rPr>
        <w:t xml:space="preserve"> of ‘illegality’ is concerned with whether decision makers have acted </w:t>
      </w:r>
      <w:r w:rsidRPr="00B47DD9">
        <w:rPr>
          <w:rFonts w:eastAsia="Times New Roman" w:cs="Segoe UI"/>
          <w:i/>
          <w:lang w:eastAsia="en-GB"/>
        </w:rPr>
        <w:t xml:space="preserve">ultra vires </w:t>
      </w:r>
      <w:r w:rsidRPr="00B47DD9">
        <w:rPr>
          <w:rFonts w:eastAsia="Times New Roman" w:cs="Segoe UI"/>
          <w:lang w:eastAsia="en-GB"/>
        </w:rPr>
        <w:t>or outside the bounds of their statutory or common law powers.</w:t>
      </w:r>
      <w:r w:rsidRPr="00B47DD9">
        <w:rPr>
          <w:rStyle w:val="FootnoteReference"/>
          <w:rFonts w:eastAsia="Times New Roman" w:cs="Segoe UI"/>
          <w:lang w:eastAsia="en-GB"/>
        </w:rPr>
        <w:footnoteReference w:id="67"/>
      </w:r>
      <w:r w:rsidRPr="00B47DD9">
        <w:rPr>
          <w:rFonts w:eastAsia="Times New Roman" w:cs="Segoe UI"/>
          <w:lang w:eastAsia="en-GB"/>
        </w:rPr>
        <w:t xml:space="preserve"> The second ground is ‘irrationality’. This investigates the quality of the decision made by the decision maker and assesses whether it is ‘so outrageous’ that ‘no sensible person who had applied his mind to the question’ could have arrived at it.</w:t>
      </w:r>
      <w:r w:rsidRPr="00B47DD9">
        <w:rPr>
          <w:rStyle w:val="FootnoteReference"/>
          <w:rFonts w:eastAsia="Times New Roman" w:cs="Segoe UI"/>
          <w:lang w:eastAsia="en-GB"/>
        </w:rPr>
        <w:footnoteReference w:id="68"/>
      </w:r>
      <w:r w:rsidRPr="00B47DD9">
        <w:rPr>
          <w:rFonts w:eastAsia="Times New Roman" w:cs="Segoe UI"/>
          <w:lang w:eastAsia="en-GB"/>
        </w:rPr>
        <w:t xml:space="preserve"> The final ground of judicial review is that of ‘procedural impropriety’. This ground looks at the fairness of the decision-making process by public authorities. It requires decision makers to follow certain procedural rules dictated by the principles of natural justice. To those grounds can now be added ‘proportionality’ in relation to the decision, following the dictates of the Human Rights Act 1998.</w:t>
      </w:r>
      <w:r w:rsidRPr="00B47DD9">
        <w:rPr>
          <w:rStyle w:val="FootnoteReference"/>
          <w:rFonts w:eastAsia="Times New Roman" w:cs="Segoe UI"/>
          <w:lang w:eastAsia="en-GB"/>
        </w:rPr>
        <w:footnoteReference w:id="69"/>
      </w:r>
      <w:r w:rsidRPr="00B47DD9">
        <w:rPr>
          <w:rFonts w:eastAsia="Times New Roman" w:cs="Segoe UI"/>
          <w:lang w:eastAsia="en-GB"/>
        </w:rPr>
        <w:t xml:space="preserve"> Of course, it must be noted that like any classification system, Lord Diplock’s formulation is somewhat artificial. As will become apparent later in this section, the different grounds of judicial review can overlap, and similar facts can give rise to different categorisations of review.</w:t>
      </w:r>
      <w:r w:rsidRPr="00B47DD9">
        <w:rPr>
          <w:rStyle w:val="FootnoteReference"/>
          <w:rFonts w:eastAsia="Times New Roman" w:cs="Segoe UI"/>
          <w:lang w:eastAsia="en-GB"/>
        </w:rPr>
        <w:footnoteReference w:id="70"/>
      </w:r>
      <w:r w:rsidRPr="00B47DD9">
        <w:rPr>
          <w:rFonts w:eastAsia="Times New Roman" w:cs="Segoe UI"/>
          <w:lang w:eastAsia="en-GB"/>
        </w:rPr>
        <w:t xml:space="preserve"> Nevertheless, for the purposes of this section, Lord Diplock’s formulation does provide a framework for the consideration of the different judicial review claims that have been brought by (or even against) public sector employees, and helps in understanding the outcomes of those claims.</w:t>
      </w:r>
    </w:p>
    <w:p w:rsidR="00275832" w:rsidRPr="00B47DD9" w:rsidRDefault="00275832" w:rsidP="00CE3AC2">
      <w:pPr>
        <w:spacing w:after="150" w:line="480" w:lineRule="auto"/>
        <w:ind w:firstLine="720"/>
        <w:jc w:val="both"/>
        <w:rPr>
          <w:rFonts w:eastAsia="Times New Roman" w:cs="Segoe UI"/>
          <w:lang w:eastAsia="en-GB"/>
        </w:rPr>
      </w:pPr>
      <w:r w:rsidRPr="00B47DD9">
        <w:rPr>
          <w:rFonts w:eastAsia="Times New Roman" w:cs="Segoe UI"/>
          <w:lang w:eastAsia="en-GB"/>
        </w:rPr>
        <w:t xml:space="preserve">The first ground of judicial review has not often arisen in the context of employment in the public sector. Employment contracts appear </w:t>
      </w:r>
      <w:r w:rsidR="008B52A0" w:rsidRPr="00B47DD9">
        <w:rPr>
          <w:rFonts w:eastAsia="Times New Roman" w:cs="Segoe UI"/>
          <w:lang w:eastAsia="en-GB"/>
        </w:rPr>
        <w:t>to come within the scope of a public authority’s power</w:t>
      </w:r>
      <w:r w:rsidRPr="00B47DD9">
        <w:rPr>
          <w:rFonts w:eastAsia="Times New Roman" w:cs="Segoe UI"/>
          <w:lang w:eastAsia="en-GB"/>
        </w:rPr>
        <w:t>,</w:t>
      </w:r>
      <w:r w:rsidR="008B52A0" w:rsidRPr="00B47DD9">
        <w:rPr>
          <w:rStyle w:val="FootnoteReference"/>
          <w:rFonts w:eastAsia="Times New Roman" w:cs="Segoe UI"/>
          <w:lang w:eastAsia="en-GB"/>
        </w:rPr>
        <w:footnoteReference w:id="71"/>
      </w:r>
      <w:r w:rsidRPr="00B47DD9">
        <w:rPr>
          <w:rFonts w:eastAsia="Times New Roman" w:cs="Segoe UI"/>
          <w:lang w:eastAsia="en-GB"/>
        </w:rPr>
        <w:t xml:space="preserve"> and so</w:t>
      </w:r>
      <w:r w:rsidR="00C53BFD" w:rsidRPr="00B47DD9">
        <w:rPr>
          <w:rFonts w:eastAsia="Times New Roman" w:cs="Segoe UI"/>
          <w:lang w:eastAsia="en-GB"/>
        </w:rPr>
        <w:t xml:space="preserve"> are not usually</w:t>
      </w:r>
      <w:r w:rsidRPr="00B47DD9">
        <w:rPr>
          <w:rFonts w:eastAsia="Times New Roman" w:cs="Segoe UI"/>
          <w:lang w:eastAsia="en-GB"/>
        </w:rPr>
        <w:t xml:space="preserve"> open to challenge through the </w:t>
      </w:r>
      <w:r w:rsidRPr="00B47DD9">
        <w:rPr>
          <w:rFonts w:eastAsia="Times New Roman" w:cs="Segoe UI"/>
          <w:i/>
          <w:lang w:eastAsia="en-GB"/>
        </w:rPr>
        <w:t>ultra vires</w:t>
      </w:r>
      <w:r w:rsidRPr="00B47DD9">
        <w:rPr>
          <w:rFonts w:eastAsia="Times New Roman" w:cs="Segoe UI"/>
          <w:lang w:eastAsia="en-GB"/>
        </w:rPr>
        <w:t xml:space="preserve"> doctrine. The</w:t>
      </w:r>
      <w:r w:rsidR="00C53BFD" w:rsidRPr="00B47DD9">
        <w:rPr>
          <w:rFonts w:eastAsia="Times New Roman" w:cs="Segoe UI"/>
          <w:lang w:eastAsia="en-GB"/>
        </w:rPr>
        <w:t xml:space="preserve"> main</w:t>
      </w:r>
      <w:r w:rsidRPr="00B47DD9">
        <w:rPr>
          <w:rFonts w:eastAsia="Times New Roman" w:cs="Segoe UI"/>
          <w:lang w:eastAsia="en-GB"/>
        </w:rPr>
        <w:t xml:space="preserve"> problem with this doctrine</w:t>
      </w:r>
      <w:r w:rsidR="00C53BFD" w:rsidRPr="00B47DD9">
        <w:rPr>
          <w:rFonts w:eastAsia="Times New Roman" w:cs="Segoe UI"/>
          <w:lang w:eastAsia="en-GB"/>
        </w:rPr>
        <w:t xml:space="preserve"> for public sector workers</w:t>
      </w:r>
      <w:r w:rsidRPr="00B47DD9">
        <w:rPr>
          <w:rFonts w:eastAsia="Times New Roman" w:cs="Segoe UI"/>
          <w:lang w:eastAsia="en-GB"/>
        </w:rPr>
        <w:t xml:space="preserve"> is that there is nothing to prevent a public sector body from relying on it to escape an unfavourable contract or unfavourable contract terms.</w:t>
      </w:r>
      <w:r w:rsidRPr="00B47DD9">
        <w:rPr>
          <w:rStyle w:val="FootnoteReference"/>
          <w:rFonts w:eastAsia="Times New Roman" w:cs="Segoe UI"/>
          <w:lang w:eastAsia="en-GB"/>
        </w:rPr>
        <w:footnoteReference w:id="72"/>
      </w:r>
      <w:r w:rsidRPr="00B47DD9">
        <w:rPr>
          <w:rFonts w:eastAsia="Times New Roman" w:cs="Segoe UI"/>
          <w:lang w:eastAsia="en-GB"/>
        </w:rPr>
        <w:t xml:space="preserve"> For example, in the case of </w:t>
      </w:r>
      <w:r w:rsidRPr="00B47DD9">
        <w:rPr>
          <w:rFonts w:eastAsia="Times New Roman" w:cs="Segoe UI"/>
          <w:i/>
          <w:lang w:eastAsia="en-GB"/>
        </w:rPr>
        <w:t>Gibb</w:t>
      </w:r>
      <w:r w:rsidRPr="00B47DD9">
        <w:rPr>
          <w:rFonts w:eastAsia="Times New Roman" w:cs="Segoe UI"/>
          <w:lang w:eastAsia="en-GB"/>
        </w:rPr>
        <w:t>,</w:t>
      </w:r>
      <w:r w:rsidRPr="00B47DD9">
        <w:rPr>
          <w:rStyle w:val="FootnoteReference"/>
          <w:rFonts w:eastAsia="Times New Roman" w:cs="Segoe UI"/>
          <w:i/>
          <w:lang w:eastAsia="en-GB"/>
        </w:rPr>
        <w:footnoteReference w:id="73"/>
      </w:r>
      <w:r w:rsidRPr="00B47DD9">
        <w:rPr>
          <w:rFonts w:eastAsia="Times New Roman" w:cs="Segoe UI"/>
          <w:lang w:eastAsia="en-GB"/>
        </w:rPr>
        <w:t xml:space="preserve"> the Claimant’s employer (an NHS Trust) sought to argue that its undertakings in a compromise agreement were </w:t>
      </w:r>
      <w:r w:rsidRPr="00B47DD9">
        <w:rPr>
          <w:rFonts w:eastAsia="Times New Roman" w:cs="Segoe UI"/>
          <w:i/>
          <w:lang w:eastAsia="en-GB"/>
        </w:rPr>
        <w:t xml:space="preserve">ultra vires </w:t>
      </w:r>
      <w:r w:rsidRPr="00B47DD9">
        <w:rPr>
          <w:rFonts w:eastAsia="Times New Roman" w:cs="Segoe UI"/>
          <w:lang w:eastAsia="en-GB"/>
        </w:rPr>
        <w:t xml:space="preserve">and therefore unenforceable. On the termination of the Claimant’s employment, the Trust had signed an agreement to the effect that the Claimant was entitled to £250,000 in settlement. It in fact only paid the Claimant £75,000 on, arguing that the £250,000 was ‘irrationally generous’ and an abuse of power. It asserted that the level of the award was contrary to statutory intervention, which provided that compromise payments should not exceed the value of statutory entitlement. Its assessment of the level of statutory entitlement (the maximum unfair dismissal award and contractual period of notice) was just £145,000. In the High Court, it had been decided that the terms of the compromise agreement were </w:t>
      </w:r>
      <w:r w:rsidRPr="00B47DD9">
        <w:rPr>
          <w:rFonts w:eastAsia="Times New Roman" w:cs="Segoe UI"/>
          <w:i/>
          <w:lang w:eastAsia="en-GB"/>
        </w:rPr>
        <w:t xml:space="preserve">ultra vires </w:t>
      </w:r>
      <w:r w:rsidRPr="00B47DD9">
        <w:rPr>
          <w:rFonts w:eastAsia="Times New Roman" w:cs="Segoe UI"/>
          <w:lang w:eastAsia="en-GB"/>
        </w:rPr>
        <w:t xml:space="preserve">because of the lack of financial rigour applied to the assessment of the sum. On appeal, the Court of Appeal overturned the decision on the basis that a lack of financial rigour did not make the decision </w:t>
      </w:r>
      <w:r w:rsidRPr="00B47DD9">
        <w:rPr>
          <w:rFonts w:eastAsia="Times New Roman" w:cs="Segoe UI"/>
          <w:i/>
          <w:lang w:eastAsia="en-GB"/>
        </w:rPr>
        <w:t xml:space="preserve">Wednesbury </w:t>
      </w:r>
      <w:r w:rsidRPr="00B47DD9">
        <w:rPr>
          <w:rFonts w:eastAsia="Times New Roman" w:cs="Segoe UI"/>
          <w:lang w:eastAsia="en-GB"/>
        </w:rPr>
        <w:t>unreasonable (irrational) and that the considerations (length of service, costs in defending an unfair dismissal claim) were not legally irrelevant. The Trust was therefore duty bound to pay the Claimant the relevant sum under the compromise agreement.</w:t>
      </w:r>
    </w:p>
    <w:p w:rsidR="00275832" w:rsidRPr="00B47DD9" w:rsidRDefault="00275832" w:rsidP="00CE3AC2">
      <w:pPr>
        <w:spacing w:after="150" w:line="480" w:lineRule="auto"/>
        <w:ind w:firstLine="720"/>
        <w:jc w:val="both"/>
        <w:rPr>
          <w:rFonts w:eastAsia="Times New Roman" w:cs="Segoe UI"/>
          <w:lang w:eastAsia="en-GB"/>
        </w:rPr>
      </w:pPr>
      <w:r w:rsidRPr="00B47DD9">
        <w:rPr>
          <w:rFonts w:eastAsia="Times New Roman" w:cs="Segoe UI"/>
          <w:lang w:eastAsia="en-GB"/>
        </w:rPr>
        <w:t xml:space="preserve">The second ground of judicial review is potentially of more assistance to public employees seeking to claim judicial review. It implies that public decisions are subject to the </w:t>
      </w:r>
      <w:r w:rsidRPr="00B47DD9">
        <w:rPr>
          <w:rFonts w:eastAsia="Times New Roman" w:cs="Segoe UI"/>
          <w:i/>
          <w:lang w:eastAsia="en-GB"/>
        </w:rPr>
        <w:t xml:space="preserve">Wednesbury </w:t>
      </w:r>
      <w:r w:rsidRPr="00B47DD9">
        <w:rPr>
          <w:rFonts w:eastAsia="Times New Roman" w:cs="Segoe UI"/>
          <w:lang w:eastAsia="en-GB"/>
        </w:rPr>
        <w:t>test: decisions will be unlawful if they are ‘so unreasonable that no reasonable authority could have come to it’.</w:t>
      </w:r>
      <w:r w:rsidRPr="00B47DD9">
        <w:rPr>
          <w:rStyle w:val="FootnoteReference"/>
          <w:rFonts w:eastAsia="Times New Roman" w:cs="Segoe UI"/>
          <w:lang w:eastAsia="en-GB"/>
        </w:rPr>
        <w:footnoteReference w:id="74"/>
      </w:r>
      <w:r w:rsidRPr="00B47DD9">
        <w:rPr>
          <w:rFonts w:eastAsia="Times New Roman" w:cs="Segoe UI"/>
          <w:lang w:eastAsia="en-GB"/>
        </w:rPr>
        <w:t xml:space="preserve"> Although it is widely accepted that the </w:t>
      </w:r>
      <w:r w:rsidRPr="00B47DD9">
        <w:rPr>
          <w:rFonts w:eastAsia="Times New Roman" w:cs="Segoe UI"/>
          <w:i/>
          <w:lang w:eastAsia="en-GB"/>
        </w:rPr>
        <w:t xml:space="preserve">Wednesbury </w:t>
      </w:r>
      <w:r w:rsidRPr="00B47DD9">
        <w:rPr>
          <w:rFonts w:eastAsia="Times New Roman" w:cs="Segoe UI"/>
          <w:lang w:eastAsia="en-GB"/>
        </w:rPr>
        <w:t>unreasonableness test provides only a weak standard of review,</w:t>
      </w:r>
      <w:r w:rsidRPr="00B47DD9">
        <w:rPr>
          <w:rStyle w:val="FootnoteReference"/>
          <w:rFonts w:eastAsia="Times New Roman" w:cs="Segoe UI"/>
          <w:lang w:eastAsia="en-GB"/>
        </w:rPr>
        <w:footnoteReference w:id="75"/>
      </w:r>
      <w:r w:rsidRPr="00B47DD9">
        <w:rPr>
          <w:rFonts w:eastAsia="Times New Roman" w:cs="Segoe UI"/>
          <w:lang w:eastAsia="en-GB"/>
        </w:rPr>
        <w:t xml:space="preserve"> there is evidence of a ‘</w:t>
      </w:r>
      <w:r w:rsidRPr="00B47DD9">
        <w:rPr>
          <w:rFonts w:eastAsia="Times New Roman" w:cs="Segoe UI"/>
          <w:i/>
          <w:lang w:eastAsia="en-GB"/>
        </w:rPr>
        <w:t>Wednesbury</w:t>
      </w:r>
      <w:r w:rsidRPr="00B47DD9">
        <w:rPr>
          <w:rFonts w:eastAsia="Times New Roman" w:cs="Segoe UI"/>
          <w:lang w:eastAsia="en-GB"/>
        </w:rPr>
        <w:t xml:space="preserve">-type test’ emerging in the case law which may help public sector employees. For example in the case of </w:t>
      </w:r>
      <w:r w:rsidRPr="00B47DD9">
        <w:rPr>
          <w:rFonts w:eastAsia="Times New Roman" w:cs="Segoe UI"/>
          <w:i/>
          <w:lang w:eastAsia="en-GB"/>
        </w:rPr>
        <w:t>Hampshire</w:t>
      </w:r>
      <w:r w:rsidRPr="00B47DD9">
        <w:rPr>
          <w:rStyle w:val="FootnoteReference"/>
          <w:rFonts w:eastAsia="Times New Roman" w:cs="Segoe UI"/>
          <w:i/>
          <w:lang w:eastAsia="en-GB"/>
        </w:rPr>
        <w:footnoteReference w:id="76"/>
      </w:r>
      <w:r w:rsidRPr="00B47DD9">
        <w:rPr>
          <w:rFonts w:eastAsia="Times New Roman" w:cs="Segoe UI"/>
          <w:lang w:eastAsia="en-GB"/>
        </w:rPr>
        <w:t xml:space="preserve"> a police officer was accused of making inappropriate sexual remarks to female colleagues and dismissed from office. He appealed under section 4 (4) (a) of the </w:t>
      </w:r>
      <w:r w:rsidR="008873FE" w:rsidRPr="00B47DD9">
        <w:rPr>
          <w:rFonts w:eastAsia="Times New Roman" w:cs="Segoe UI"/>
          <w:lang w:eastAsia="en-GB"/>
        </w:rPr>
        <w:t xml:space="preserve">Police </w:t>
      </w:r>
      <w:r w:rsidRPr="00B47DD9">
        <w:rPr>
          <w:rFonts w:eastAsia="Times New Roman" w:cs="Segoe UI"/>
          <w:lang w:eastAsia="en-GB"/>
        </w:rPr>
        <w:t>Appeals</w:t>
      </w:r>
      <w:r w:rsidR="008873FE" w:rsidRPr="00B47DD9">
        <w:rPr>
          <w:rFonts w:eastAsia="Times New Roman" w:cs="Segoe UI"/>
          <w:lang w:eastAsia="en-GB"/>
        </w:rPr>
        <w:t xml:space="preserve"> Tribunal</w:t>
      </w:r>
      <w:r w:rsidRPr="00B47DD9">
        <w:rPr>
          <w:rFonts w:eastAsia="Times New Roman" w:cs="Segoe UI"/>
          <w:lang w:eastAsia="en-GB"/>
        </w:rPr>
        <w:t xml:space="preserve"> Rules 2008 on the grounds that the misconduct finding was unreasonable.</w:t>
      </w:r>
      <w:r w:rsidR="008873FE" w:rsidRPr="00B47DD9">
        <w:rPr>
          <w:rStyle w:val="FootnoteReference"/>
          <w:rFonts w:eastAsia="Times New Roman" w:cs="Segoe UI"/>
          <w:lang w:eastAsia="en-GB"/>
        </w:rPr>
        <w:footnoteReference w:id="77"/>
      </w:r>
      <w:r w:rsidRPr="00B47DD9">
        <w:rPr>
          <w:rFonts w:eastAsia="Times New Roman" w:cs="Segoe UI"/>
          <w:lang w:eastAsia="en-GB"/>
        </w:rPr>
        <w:t xml:space="preserve"> The Court considered the standard of reasonableness required under section 4 (4) (a). It concluded that the test was a ‘</w:t>
      </w:r>
      <w:r w:rsidRPr="00B47DD9">
        <w:rPr>
          <w:rFonts w:eastAsia="Times New Roman" w:cs="Segoe UI"/>
          <w:i/>
          <w:lang w:eastAsia="en-GB"/>
        </w:rPr>
        <w:t>Wednesbury</w:t>
      </w:r>
      <w:r w:rsidRPr="00B47DD9">
        <w:rPr>
          <w:rFonts w:eastAsia="Times New Roman" w:cs="Segoe UI"/>
          <w:lang w:eastAsia="en-GB"/>
        </w:rPr>
        <w:t xml:space="preserve"> test shorn of technicality’. This allowed a Tribunal to ‘</w:t>
      </w:r>
      <w:r w:rsidRPr="00B47DD9">
        <w:t>decide for itself, whether the Conduct Regulations were breached and, if not, whether there was other unfairness’.</w:t>
      </w:r>
      <w:r w:rsidRPr="00B47DD9">
        <w:rPr>
          <w:rStyle w:val="FootnoteReference"/>
        </w:rPr>
        <w:footnoteReference w:id="78"/>
      </w:r>
      <w:r w:rsidRPr="00B47DD9">
        <w:t xml:space="preserve"> On this formulation, the standard of review surpasses that under a traditional </w:t>
      </w:r>
      <w:r w:rsidRPr="00B47DD9">
        <w:rPr>
          <w:i/>
        </w:rPr>
        <w:t>Wednesbury</w:t>
      </w:r>
      <w:r w:rsidRPr="00B47DD9">
        <w:t xml:space="preserve"> test, which does not normally allow a court to step into substitute its own view on the merits of decision.</w:t>
      </w:r>
      <w:r w:rsidRPr="00B47DD9">
        <w:rPr>
          <w:rStyle w:val="FootnoteReference"/>
        </w:rPr>
        <w:footnoteReference w:id="79"/>
      </w:r>
      <w:r w:rsidRPr="00B47DD9">
        <w:t xml:space="preserve"> This case was followed by </w:t>
      </w:r>
      <w:r w:rsidRPr="00B47DD9">
        <w:rPr>
          <w:i/>
        </w:rPr>
        <w:t>Derbyshire</w:t>
      </w:r>
      <w:r w:rsidRPr="00B47DD9">
        <w:rPr>
          <w:rStyle w:val="FootnoteReference"/>
          <w:rFonts w:eastAsia="Times New Roman" w:cs="Segoe UI"/>
          <w:i/>
          <w:lang w:eastAsia="en-GB"/>
        </w:rPr>
        <w:footnoteReference w:id="80"/>
      </w:r>
      <w:r w:rsidRPr="00B47DD9">
        <w:rPr>
          <w:rFonts w:eastAsia="Times New Roman" w:cs="Segoe UI"/>
          <w:lang w:eastAsia="en-GB"/>
        </w:rPr>
        <w:t xml:space="preserve">, which also concerned an appeal by police officers against a finding of misconduct. The Court adopted a similar stance on the question of reasonableness to that put forward in </w:t>
      </w:r>
      <w:r w:rsidRPr="00B47DD9">
        <w:rPr>
          <w:rFonts w:eastAsia="Times New Roman" w:cs="Segoe UI"/>
          <w:i/>
          <w:lang w:eastAsia="en-GB"/>
        </w:rPr>
        <w:t>Hampshire</w:t>
      </w:r>
      <w:r w:rsidRPr="00B47DD9">
        <w:rPr>
          <w:rFonts w:eastAsia="Times New Roman" w:cs="Segoe UI"/>
          <w:lang w:eastAsia="en-GB"/>
        </w:rPr>
        <w:t>. It found that the standard was ‘whether the decision on finding or outcome was within the range of reasonable findings or outcomes to which the Panel could have arrived’.</w:t>
      </w:r>
      <w:r w:rsidR="00C53BFD" w:rsidRPr="00B47DD9">
        <w:rPr>
          <w:rStyle w:val="FootnoteReference"/>
          <w:rFonts w:eastAsia="Times New Roman" w:cs="Segoe UI"/>
          <w:lang w:eastAsia="en-GB"/>
        </w:rPr>
        <w:footnoteReference w:id="81"/>
      </w:r>
      <w:r w:rsidRPr="00B47DD9">
        <w:rPr>
          <w:rFonts w:eastAsia="Times New Roman" w:cs="Segoe UI"/>
          <w:lang w:eastAsia="en-GB"/>
        </w:rPr>
        <w:t xml:space="preserve"> The similarity of this test to that adopted in private dismissals is striking.  </w:t>
      </w:r>
    </w:p>
    <w:p w:rsidR="00275832" w:rsidRPr="00B47DD9" w:rsidRDefault="00275832" w:rsidP="00CE3AC2">
      <w:pPr>
        <w:spacing w:after="150" w:line="480" w:lineRule="auto"/>
        <w:ind w:firstLine="720"/>
        <w:jc w:val="both"/>
        <w:rPr>
          <w:rFonts w:eastAsia="Times New Roman" w:cs="Segoe UI"/>
          <w:lang w:eastAsia="en-GB"/>
        </w:rPr>
      </w:pPr>
      <w:r w:rsidRPr="00B47DD9">
        <w:rPr>
          <w:rFonts w:eastAsia="Times New Roman" w:cs="Segoe UI"/>
          <w:lang w:eastAsia="en-GB"/>
        </w:rPr>
        <w:t xml:space="preserve">The </w:t>
      </w:r>
      <w:r w:rsidRPr="00B47DD9">
        <w:rPr>
          <w:rFonts w:eastAsia="Times New Roman" w:cs="Segoe UI"/>
          <w:i/>
          <w:lang w:eastAsia="en-GB"/>
        </w:rPr>
        <w:t xml:space="preserve">Derbyshire </w:t>
      </w:r>
      <w:r w:rsidRPr="00B47DD9">
        <w:rPr>
          <w:rFonts w:eastAsia="Times New Roman" w:cs="Segoe UI"/>
          <w:lang w:eastAsia="en-GB"/>
        </w:rPr>
        <w:t>case also considered claims under the third ground of judicial review. The third ground relates to claims of</w:t>
      </w:r>
      <w:r w:rsidR="007B486A" w:rsidRPr="00B47DD9">
        <w:rPr>
          <w:rFonts w:eastAsia="Times New Roman" w:cs="Segoe UI"/>
          <w:lang w:eastAsia="en-GB"/>
        </w:rPr>
        <w:t xml:space="preserve"> natural justice, which require</w:t>
      </w:r>
      <w:r w:rsidRPr="00B47DD9">
        <w:rPr>
          <w:rFonts w:eastAsia="Times New Roman" w:cs="Segoe UI"/>
          <w:lang w:eastAsia="en-GB"/>
        </w:rPr>
        <w:t xml:space="preserve"> both that the individual concerned is given adequate notice of the charge and an adequate hearing, and also that there is no bias on the part of the adjudicator.</w:t>
      </w:r>
      <w:r w:rsidRPr="00B47DD9">
        <w:rPr>
          <w:rStyle w:val="FootnoteReference"/>
          <w:rFonts w:eastAsia="Times New Roman" w:cs="Segoe UI"/>
          <w:lang w:eastAsia="en-GB"/>
        </w:rPr>
        <w:footnoteReference w:id="82"/>
      </w:r>
      <w:r w:rsidRPr="00B47DD9">
        <w:rPr>
          <w:rFonts w:eastAsia="Times New Roman" w:cs="Segoe UI"/>
          <w:lang w:eastAsia="en-GB"/>
        </w:rPr>
        <w:t xml:space="preserve"> In </w:t>
      </w:r>
      <w:r w:rsidRPr="00B47DD9">
        <w:rPr>
          <w:rFonts w:eastAsia="Times New Roman" w:cs="Segoe UI"/>
          <w:i/>
          <w:lang w:eastAsia="en-GB"/>
        </w:rPr>
        <w:t>Derbyshire</w:t>
      </w:r>
      <w:r w:rsidRPr="00B47DD9">
        <w:rPr>
          <w:rFonts w:eastAsia="Times New Roman" w:cs="Segoe UI"/>
          <w:lang w:eastAsia="en-GB"/>
        </w:rPr>
        <w:t>, the police officers claimed that they had not been given adequate notice of the claims against them. In particular they took issue with the fact that the Misconduct Panel which finally decided their fate referred to breaches of standards of professional behaviour which were not detailed in the initial notices of misconduct served upon them.</w:t>
      </w:r>
      <w:r w:rsidRPr="00B47DD9">
        <w:rPr>
          <w:rStyle w:val="FootnoteReference"/>
          <w:rFonts w:eastAsia="Times New Roman" w:cs="Segoe UI"/>
          <w:lang w:eastAsia="en-GB"/>
        </w:rPr>
        <w:footnoteReference w:id="83"/>
      </w:r>
      <w:r w:rsidRPr="00B47DD9">
        <w:rPr>
          <w:rFonts w:eastAsia="Times New Roman" w:cs="Segoe UI"/>
          <w:lang w:eastAsia="en-GB"/>
        </w:rPr>
        <w:t xml:space="preserve"> The officers argued that if the Panel did decide during the course of the hearing that there were further conduct issues to be raised against them, the proper procedure would have been to give notice of that further ground and adjourn proceedings to allow the officers to respond. The Court found that there had been a breach of natural justice, on the basis that all of the alleged breaches of professional behaviour by the officers should have been included in the initial notice. Whilst the </w:t>
      </w:r>
      <w:r w:rsidRPr="00B47DD9">
        <w:rPr>
          <w:rFonts w:eastAsia="Times New Roman" w:cs="Segoe UI"/>
          <w:i/>
          <w:lang w:eastAsia="en-GB"/>
        </w:rPr>
        <w:t xml:space="preserve">Derbyshire </w:t>
      </w:r>
      <w:r w:rsidRPr="00B47DD9">
        <w:rPr>
          <w:rFonts w:eastAsia="Times New Roman" w:cs="Segoe UI"/>
          <w:lang w:eastAsia="en-GB"/>
        </w:rPr>
        <w:t xml:space="preserve">case dealt with the first limb of natural justice claims, there have also been claims by public employees that their treatment </w:t>
      </w:r>
      <w:r w:rsidR="007B486A" w:rsidRPr="00B47DD9">
        <w:rPr>
          <w:rFonts w:eastAsia="Times New Roman" w:cs="Segoe UI"/>
          <w:lang w:eastAsia="en-GB"/>
        </w:rPr>
        <w:t xml:space="preserve">was in </w:t>
      </w:r>
      <w:r w:rsidRPr="00B47DD9">
        <w:rPr>
          <w:rFonts w:eastAsia="Times New Roman" w:cs="Segoe UI"/>
          <w:lang w:eastAsia="en-GB"/>
        </w:rPr>
        <w:t>breach</w:t>
      </w:r>
      <w:r w:rsidR="007B486A" w:rsidRPr="00B47DD9">
        <w:rPr>
          <w:rFonts w:eastAsia="Times New Roman" w:cs="Segoe UI"/>
          <w:lang w:eastAsia="en-GB"/>
        </w:rPr>
        <w:t xml:space="preserve"> of</w:t>
      </w:r>
      <w:r w:rsidRPr="00B47DD9">
        <w:rPr>
          <w:rFonts w:eastAsia="Times New Roman" w:cs="Segoe UI"/>
          <w:lang w:eastAsia="en-GB"/>
        </w:rPr>
        <w:t xml:space="preserve"> the second limb, namely there was bias in the adjudication of their dispute. This particular claim arose in the case of </w:t>
      </w:r>
      <w:r w:rsidRPr="00B47DD9">
        <w:rPr>
          <w:rFonts w:eastAsia="Times New Roman" w:cs="Segoe UI"/>
          <w:i/>
          <w:lang w:eastAsia="en-GB"/>
        </w:rPr>
        <w:t>Crosbie</w:t>
      </w:r>
      <w:r w:rsidRPr="00B47DD9">
        <w:rPr>
          <w:rFonts w:eastAsia="Times New Roman" w:cs="Segoe UI"/>
          <w:lang w:eastAsia="en-GB"/>
        </w:rPr>
        <w:t>.</w:t>
      </w:r>
      <w:r w:rsidRPr="00B47DD9">
        <w:rPr>
          <w:rStyle w:val="FootnoteReference"/>
          <w:rFonts w:eastAsia="Times New Roman" w:cs="Segoe UI"/>
          <w:i/>
          <w:lang w:eastAsia="en-GB"/>
        </w:rPr>
        <w:footnoteReference w:id="84"/>
      </w:r>
      <w:r w:rsidRPr="00B47DD9">
        <w:rPr>
          <w:rFonts w:eastAsia="Times New Roman" w:cs="Segoe UI"/>
          <w:lang w:eastAsia="en-GB"/>
        </w:rPr>
        <w:t xml:space="preserve"> In this case, an army chaplain challenged the decisions of various army bodies (Army Commissioning Board and the Army Commissionin</w:t>
      </w:r>
      <w:r w:rsidR="007B486A" w:rsidRPr="00B47DD9">
        <w:rPr>
          <w:rFonts w:eastAsia="Times New Roman" w:cs="Segoe UI"/>
          <w:lang w:eastAsia="en-GB"/>
        </w:rPr>
        <w:t xml:space="preserve">g Appeals Board) not to extend </w:t>
      </w:r>
      <w:r w:rsidRPr="00B47DD9">
        <w:rPr>
          <w:rFonts w:eastAsia="Times New Roman" w:cs="Segoe UI"/>
          <w:lang w:eastAsia="en-GB"/>
        </w:rPr>
        <w:t xml:space="preserve">his Commission. Central to his case was that these decisions had been prejudiced by material given to the army by a Church of England official. He argued that this information was wrong and that, in any event, he had not been given the opportunity to comment on it. However, the Court held that, although bias was a potential ground for review, the requirements of natural justice had been met by his opportunity to raise these complaints at the Army Board, and that the Board had not erred in law in rejecting his Commission. </w:t>
      </w:r>
    </w:p>
    <w:p w:rsidR="00275832" w:rsidRPr="00B47DD9" w:rsidRDefault="00275832" w:rsidP="00CE3AC2">
      <w:pPr>
        <w:spacing w:after="150" w:line="480" w:lineRule="auto"/>
        <w:ind w:firstLine="720"/>
        <w:jc w:val="both"/>
        <w:rPr>
          <w:rFonts w:eastAsia="Times New Roman" w:cs="Segoe UI"/>
          <w:lang w:eastAsia="en-GB"/>
        </w:rPr>
      </w:pPr>
      <w:r w:rsidRPr="00B47DD9">
        <w:rPr>
          <w:rFonts w:eastAsia="Times New Roman" w:cs="Segoe UI"/>
          <w:lang w:eastAsia="en-GB"/>
        </w:rPr>
        <w:t>The above discussion presents a very mixed picture. On the one hand, it appears that public law claims can ensure that procedural safeguards are maintained in relation to the adjudication of employment disputes. On the other hand, the traditional standards of review under public law traditionally provide only a minimum benchmark, considerably below the standards required under (private) employment law. Furthermore, that standard is procedural rather than substantive in nature. Perhaps the best outcome for public employees has arisen when the courts have</w:t>
      </w:r>
      <w:r w:rsidR="007B486A" w:rsidRPr="00B47DD9">
        <w:rPr>
          <w:rFonts w:eastAsia="Times New Roman" w:cs="Segoe UI"/>
          <w:lang w:eastAsia="en-GB"/>
        </w:rPr>
        <w:t xml:space="preserve"> been</w:t>
      </w:r>
      <w:r w:rsidRPr="00B47DD9">
        <w:rPr>
          <w:rFonts w:eastAsia="Times New Roman" w:cs="Segoe UI"/>
          <w:lang w:eastAsia="en-GB"/>
        </w:rPr>
        <w:t xml:space="preserve"> willing to adjust the public law standards to the particular context by for example, the construction of ‘</w:t>
      </w:r>
      <w:r w:rsidRPr="00B47DD9">
        <w:rPr>
          <w:rFonts w:eastAsia="Times New Roman" w:cs="Segoe UI"/>
          <w:i/>
          <w:lang w:eastAsia="en-GB"/>
        </w:rPr>
        <w:t>Wednesbury</w:t>
      </w:r>
      <w:r w:rsidRPr="00B47DD9">
        <w:rPr>
          <w:rFonts w:eastAsia="Times New Roman" w:cs="Segoe UI"/>
          <w:lang w:eastAsia="en-GB"/>
        </w:rPr>
        <w:t>-type test’ which allows the court to assess the range of reasonable responses required by a public body. This approach moves the standard closer to that required in private law, and is perhaps a recognition of the artificiality of the distinction between public standards as applied to public employees and private standards applied to private employees. It is an approach which not only offers a greater possibility of access to justice for public employees, but makes more sense in theoretical terms: both public and private actions can amount to an abuse of power against which individuals must be protected.</w:t>
      </w:r>
    </w:p>
    <w:p w:rsidR="00275832" w:rsidRPr="00B47DD9" w:rsidRDefault="00275832" w:rsidP="00CE3AC2">
      <w:pPr>
        <w:spacing w:after="150" w:line="480" w:lineRule="auto"/>
        <w:ind w:firstLine="720"/>
        <w:jc w:val="both"/>
        <w:rPr>
          <w:rFonts w:eastAsia="Times New Roman" w:cs="Segoe UI"/>
          <w:lang w:eastAsia="en-GB"/>
        </w:rPr>
      </w:pPr>
      <w:r w:rsidRPr="00B47DD9">
        <w:rPr>
          <w:rFonts w:eastAsia="Times New Roman" w:cs="Segoe UI"/>
          <w:lang w:eastAsia="en-GB"/>
        </w:rPr>
        <w:t xml:space="preserve">The relaxation of public law standards in line with individual circumstances is also demonstrated in the case </w:t>
      </w:r>
      <w:r w:rsidRPr="00B47DD9">
        <w:rPr>
          <w:rFonts w:eastAsia="Times New Roman" w:cs="Segoe UI"/>
          <w:i/>
          <w:lang w:eastAsia="en-GB"/>
        </w:rPr>
        <w:t>Shoesmith</w:t>
      </w:r>
      <w:r w:rsidRPr="00B47DD9">
        <w:rPr>
          <w:rFonts w:eastAsia="Times New Roman" w:cs="Segoe UI"/>
          <w:lang w:eastAsia="en-GB"/>
        </w:rPr>
        <w:t>.</w:t>
      </w:r>
      <w:r w:rsidRPr="00B47DD9">
        <w:rPr>
          <w:rStyle w:val="FootnoteReference"/>
          <w:rFonts w:eastAsia="Times New Roman" w:cs="Segoe UI"/>
          <w:lang w:eastAsia="en-GB"/>
        </w:rPr>
        <w:footnoteReference w:id="85"/>
      </w:r>
      <w:r w:rsidRPr="00B47DD9">
        <w:rPr>
          <w:rFonts w:eastAsia="Times New Roman" w:cs="Segoe UI"/>
          <w:lang w:eastAsia="en-GB"/>
        </w:rPr>
        <w:t xml:space="preserve"> The outcome of this relaxation was extremely beneficial for the employee, not least because it gave her access to very extensive remedies not available in the private context. The case concerned the dismissal from office of the Director of Children’s Services (DCS) for Haringey Council following a number</w:t>
      </w:r>
      <w:r w:rsidR="00BF18F8">
        <w:rPr>
          <w:rFonts w:eastAsia="Times New Roman" w:cs="Segoe UI"/>
          <w:lang w:eastAsia="en-GB"/>
        </w:rPr>
        <w:t xml:space="preserve"> of</w:t>
      </w:r>
      <w:r w:rsidRPr="00B47DD9">
        <w:rPr>
          <w:rFonts w:eastAsia="Times New Roman" w:cs="Segoe UI"/>
          <w:lang w:eastAsia="en-GB"/>
        </w:rPr>
        <w:t xml:space="preserve"> very high profile child abuse convictions within the Haringey district. The Claimant brought judicial review proceedings against those bodies involved in her dismissal, namely the Office for Standards in Education, Children’s Services and Skills (OFSTED), Haringey Council and the Secretary of State. The claim against OFSTED concerned a Joint Area Review conducted in the wake of the convictions and on the request of the Secretary of State. The Claimant challenged the fairness of this report, and claimed a breach of natural justice as she had no opportunity to raise comments or discuss the report. This particular claim was not upheld in the Court of Appeal on the basis that there were no personalised findings or recommendations relating to the Claimant in the report and so the requirements of natural justice did not require her to be able to comment on it. The claim in relation to the Secretary of State concerned the exercise of its powers under section 497 (4B) of the Education Act 1996, which essentially involved the replacement of the Claimant by alternative office holders.</w:t>
      </w:r>
      <w:r w:rsidRPr="00B47DD9">
        <w:rPr>
          <w:rStyle w:val="FootnoteReference"/>
          <w:rFonts w:eastAsia="Times New Roman" w:cs="Segoe UI"/>
          <w:lang w:eastAsia="en-GB"/>
        </w:rPr>
        <w:footnoteReference w:id="86"/>
      </w:r>
      <w:r w:rsidRPr="00B47DD9">
        <w:rPr>
          <w:rFonts w:eastAsia="Times New Roman" w:cs="Segoe UI"/>
          <w:lang w:eastAsia="en-GB"/>
        </w:rPr>
        <w:t xml:space="preserve"> The Claimant’s argument was that this exercise did not observe the requisite standards of procedural fairness. In the High Court, Foskett J had rejected these claims on a number of grounds. First, he referred to the fact that the Secretary of State was not involved in a disciplinary process as such in the exercise of section 497 (4B) and so was not subject to the natural justice rules. Second, and in any event, the traditional safeguards concerning the rights of an individual to a fair hearing necessarily assumed a ‘considerably lower profile’ than they might otherwise have done given the urgency of the issue (the protection of vulnerable children).</w:t>
      </w:r>
      <w:r w:rsidRPr="00B47DD9">
        <w:rPr>
          <w:rStyle w:val="FootnoteReference"/>
          <w:rFonts w:eastAsia="Times New Roman" w:cs="Segoe UI"/>
          <w:lang w:eastAsia="en-GB"/>
        </w:rPr>
        <w:footnoteReference w:id="87"/>
      </w:r>
      <w:r w:rsidR="007B486A" w:rsidRPr="00B47DD9">
        <w:rPr>
          <w:rFonts w:eastAsia="Times New Roman" w:cs="Segoe UI"/>
          <w:lang w:eastAsia="en-GB"/>
        </w:rPr>
        <w:t xml:space="preserve"> Finally, </w:t>
      </w:r>
      <w:r w:rsidRPr="00B47DD9">
        <w:rPr>
          <w:rFonts w:eastAsia="Times New Roman" w:cs="Segoe UI"/>
          <w:lang w:eastAsia="en-GB"/>
        </w:rPr>
        <w:t>even though the Claimant was not given the opportunity to express an opinion on her fitness for office, that it would have made no difference to the outcome. The Court of Appeal disagreed with these findings. In particular it noted that in considering the context of judicial review, it was not only the social context which was important (the protection of vulnerable children) but also the individual context of the potential ‘catastrophic consequences’ of the Secretary of State’s finding.</w:t>
      </w:r>
      <w:r w:rsidR="00725361" w:rsidRPr="00B47DD9">
        <w:rPr>
          <w:rStyle w:val="FootnoteReference"/>
          <w:rFonts w:eastAsia="Times New Roman" w:cs="Segoe UI"/>
          <w:lang w:eastAsia="en-GB"/>
        </w:rPr>
        <w:footnoteReference w:id="88"/>
      </w:r>
      <w:r w:rsidRPr="00B47DD9">
        <w:rPr>
          <w:rFonts w:eastAsia="Times New Roman" w:cs="Segoe UI"/>
          <w:lang w:eastAsia="en-GB"/>
        </w:rPr>
        <w:t xml:space="preserve"> The Court stated that although there was some degree of urgency, it was not ‘such as to necessitate a truncation of the requirements of fairness to the extent that occurred here’. The Claimant was still entitled to the ‘protections that have long been accorded to responsible and accountable office holders’.</w:t>
      </w:r>
      <w:r w:rsidR="00725361" w:rsidRPr="00B47DD9">
        <w:rPr>
          <w:rStyle w:val="FootnoteReference"/>
          <w:rFonts w:eastAsia="Times New Roman" w:cs="Segoe UI"/>
          <w:lang w:eastAsia="en-GB"/>
        </w:rPr>
        <w:footnoteReference w:id="89"/>
      </w:r>
      <w:r w:rsidRPr="00B47DD9">
        <w:rPr>
          <w:rFonts w:eastAsia="Times New Roman" w:cs="Segoe UI"/>
          <w:lang w:eastAsia="en-GB"/>
        </w:rPr>
        <w:t xml:space="preserve"> Furthermore the ‘no difference’ argument could not stand up to the scrutiny of natural justice because that involved the judge making assumptions about the outcome of a process before it had been conducted. The final claim raised was against Haringey Council. The Court found that the Council’s actions on dismissal did constitute a breach of natural justice. Again, the special status of ‘office-holders’ as a matter of public law was raised: ‘There is an unbroken line of authority to the effect that an officer cannot lawfully be dismissed without first telling him what is alleged against him and hearing his defence in explanation’.</w:t>
      </w:r>
      <w:r w:rsidR="007B486A" w:rsidRPr="00B47DD9">
        <w:rPr>
          <w:rStyle w:val="FootnoteReference"/>
          <w:rFonts w:eastAsia="Times New Roman" w:cs="Segoe UI"/>
          <w:lang w:eastAsia="en-GB"/>
        </w:rPr>
        <w:footnoteReference w:id="90"/>
      </w:r>
      <w:r w:rsidRPr="00B47DD9">
        <w:rPr>
          <w:rFonts w:eastAsia="Times New Roman" w:cs="Segoe UI"/>
          <w:lang w:eastAsia="en-GB"/>
        </w:rPr>
        <w:t xml:space="preserve"> </w:t>
      </w:r>
    </w:p>
    <w:p w:rsidR="00C21476" w:rsidRPr="00B47DD9" w:rsidRDefault="00275832" w:rsidP="00CE3AC2">
      <w:pPr>
        <w:spacing w:after="150" w:line="480" w:lineRule="auto"/>
        <w:ind w:firstLine="360"/>
        <w:jc w:val="both"/>
        <w:rPr>
          <w:rFonts w:eastAsia="Times New Roman" w:cs="Segoe UI"/>
          <w:lang w:eastAsia="en-GB"/>
        </w:rPr>
      </w:pPr>
      <w:r w:rsidRPr="00B47DD9">
        <w:rPr>
          <w:rFonts w:eastAsia="Times New Roman" w:cs="Segoe UI"/>
          <w:lang w:eastAsia="en-GB"/>
        </w:rPr>
        <w:t xml:space="preserve">This office holder status was particularly important when it came to a consideration of the remedies available to the Claimant under judicial review. In the High Court, Foskett J found that the claim against Haringey was not amendable to judicial review because an alternative and equivalent remedy was available (unfair dismissal compensation). The Court disagreed. It found that more extensive remedies were available to the Claimant under public as opposed to private law as a result of her office holder status. It referred to the case of </w:t>
      </w:r>
      <w:r w:rsidRPr="00B47DD9">
        <w:rPr>
          <w:rFonts w:eastAsia="Times New Roman" w:cs="Segoe UI"/>
          <w:i/>
          <w:lang w:eastAsia="en-GB"/>
        </w:rPr>
        <w:t>McLaug</w:t>
      </w:r>
      <w:r w:rsidR="006C73DC">
        <w:rPr>
          <w:rFonts w:eastAsia="Times New Roman" w:cs="Segoe UI"/>
          <w:i/>
          <w:lang w:eastAsia="en-GB"/>
        </w:rPr>
        <w:t>h</w:t>
      </w:r>
      <w:r w:rsidRPr="00B47DD9">
        <w:rPr>
          <w:rFonts w:eastAsia="Times New Roman" w:cs="Segoe UI"/>
          <w:i/>
          <w:lang w:eastAsia="en-GB"/>
        </w:rPr>
        <w:t>lin</w:t>
      </w:r>
      <w:r w:rsidRPr="00B47DD9">
        <w:rPr>
          <w:rFonts w:eastAsia="Times New Roman" w:cs="Segoe UI"/>
          <w:lang w:eastAsia="en-GB"/>
        </w:rPr>
        <w:t>,</w:t>
      </w:r>
      <w:r w:rsidRPr="00B47DD9">
        <w:rPr>
          <w:rStyle w:val="FootnoteReference"/>
          <w:rFonts w:eastAsia="Times New Roman" w:cs="Segoe UI"/>
          <w:lang w:eastAsia="en-GB"/>
        </w:rPr>
        <w:footnoteReference w:id="91"/>
      </w:r>
      <w:r w:rsidRPr="00B47DD9">
        <w:rPr>
          <w:rFonts w:eastAsia="Times New Roman" w:cs="Segoe UI"/>
          <w:lang w:eastAsia="en-GB"/>
        </w:rPr>
        <w:t xml:space="preserve"> in which it was stated</w:t>
      </w:r>
      <w:r w:rsidR="00640F3A">
        <w:rPr>
          <w:rFonts w:eastAsia="Times New Roman" w:cs="Segoe UI"/>
          <w:lang w:eastAsia="en-GB"/>
        </w:rPr>
        <w:t xml:space="preserve"> that</w:t>
      </w:r>
      <w:r w:rsidRPr="00B47DD9">
        <w:rPr>
          <w:rFonts w:eastAsia="Times New Roman" w:cs="Segoe UI"/>
          <w:lang w:eastAsia="en-GB"/>
        </w:rPr>
        <w:t xml:space="preserve"> if a public authority dismisses a holder of public office in breach of natural justice, that dismissal is ‘null, void and without legal effect’.</w:t>
      </w:r>
      <w:r w:rsidRPr="00B47DD9">
        <w:rPr>
          <w:rStyle w:val="FootnoteReference"/>
          <w:rFonts w:eastAsia="Times New Roman" w:cs="Segoe UI"/>
          <w:lang w:eastAsia="en-GB"/>
        </w:rPr>
        <w:footnoteReference w:id="92"/>
      </w:r>
      <w:r w:rsidRPr="00B47DD9">
        <w:rPr>
          <w:rFonts w:eastAsia="Times New Roman" w:cs="Segoe UI"/>
          <w:lang w:eastAsia="en-GB"/>
        </w:rPr>
        <w:t xml:space="preserve"> Thus the office-holder remains in office, entitled to the remuneration attaching to his office until the tenure is lawfully brought to an end. Although the Court did not make a final ruling on relief (which was remitted back to the Administrative Court), it stated that a </w:t>
      </w:r>
      <w:r w:rsidRPr="00B47DD9">
        <w:rPr>
          <w:rFonts w:eastAsia="Times New Roman" w:cs="Segoe UI"/>
          <w:i/>
          <w:lang w:eastAsia="en-GB"/>
        </w:rPr>
        <w:t>McLaug</w:t>
      </w:r>
      <w:r w:rsidR="00640F3A">
        <w:rPr>
          <w:rFonts w:eastAsia="Times New Roman" w:cs="Segoe UI"/>
          <w:i/>
          <w:lang w:eastAsia="en-GB"/>
        </w:rPr>
        <w:t>h</w:t>
      </w:r>
      <w:r w:rsidRPr="00B47DD9">
        <w:rPr>
          <w:rFonts w:eastAsia="Times New Roman" w:cs="Segoe UI"/>
          <w:i/>
          <w:lang w:eastAsia="en-GB"/>
        </w:rPr>
        <w:t>lin</w:t>
      </w:r>
      <w:r w:rsidRPr="00B47DD9">
        <w:rPr>
          <w:rFonts w:eastAsia="Times New Roman" w:cs="Segoe UI"/>
          <w:lang w:eastAsia="en-GB"/>
        </w:rPr>
        <w:t>-type ruling was a possibility. The compensation arising from that ruling would exceed any unfair di</w:t>
      </w:r>
      <w:r w:rsidR="007B486A" w:rsidRPr="00B47DD9">
        <w:rPr>
          <w:rFonts w:eastAsia="Times New Roman" w:cs="Segoe UI"/>
          <w:lang w:eastAsia="en-GB"/>
        </w:rPr>
        <w:t>smissal compensation because the Claimant</w:t>
      </w:r>
      <w:r w:rsidRPr="00B47DD9">
        <w:rPr>
          <w:rFonts w:eastAsia="Times New Roman" w:cs="Segoe UI"/>
          <w:lang w:eastAsia="en-GB"/>
        </w:rPr>
        <w:t xml:space="preserve"> would be entitled to her salary and any other benefits from the date of the dismissal to the date of the Court of Appeal ruling (£150,000 plus benefits over two years).</w:t>
      </w:r>
    </w:p>
    <w:p w:rsidR="00632B6D" w:rsidRPr="00B47DD9" w:rsidRDefault="00275832" w:rsidP="00CE3AC2">
      <w:pPr>
        <w:pStyle w:val="ListParagraph"/>
        <w:numPr>
          <w:ilvl w:val="0"/>
          <w:numId w:val="4"/>
        </w:numPr>
        <w:spacing w:after="150" w:line="480" w:lineRule="auto"/>
        <w:jc w:val="both"/>
        <w:rPr>
          <w:rFonts w:eastAsia="Times New Roman" w:cs="Segoe UI"/>
          <w:lang w:eastAsia="en-GB"/>
        </w:rPr>
      </w:pPr>
      <w:r w:rsidRPr="00B47DD9">
        <w:rPr>
          <w:rFonts w:eastAsia="Times New Roman" w:cs="Segoe UI"/>
          <w:lang w:eastAsia="en-GB"/>
        </w:rPr>
        <w:t>Conclusions</w:t>
      </w:r>
    </w:p>
    <w:p w:rsidR="00E00558" w:rsidRPr="00B47DD9" w:rsidRDefault="00617BD7" w:rsidP="00CE3AC2">
      <w:pPr>
        <w:spacing w:after="150" w:line="480" w:lineRule="auto"/>
        <w:jc w:val="both"/>
        <w:rPr>
          <w:rFonts w:eastAsia="Times New Roman" w:cs="Segoe UI"/>
          <w:lang w:eastAsia="en-GB"/>
        </w:rPr>
      </w:pPr>
      <w:r w:rsidRPr="00B47DD9">
        <w:rPr>
          <w:rFonts w:eastAsia="Times New Roman" w:cs="Segoe UI"/>
          <w:lang w:eastAsia="en-GB"/>
        </w:rPr>
        <w:t>Access to justice for public sector employees is both fra</w:t>
      </w:r>
      <w:r w:rsidR="00640F3A">
        <w:rPr>
          <w:rFonts w:eastAsia="Times New Roman" w:cs="Segoe UI"/>
          <w:lang w:eastAsia="en-GB"/>
        </w:rPr>
        <w:t>gmented and partial. S</w:t>
      </w:r>
      <w:r w:rsidRPr="00B47DD9">
        <w:rPr>
          <w:rFonts w:eastAsia="Times New Roman" w:cs="Segoe UI"/>
          <w:lang w:eastAsia="en-GB"/>
        </w:rPr>
        <w:t xml:space="preserve">ome public sector groups have access to the majority of private law rights. Other public sector groups are largely excluded from the private law regime. As far as public law is </w:t>
      </w:r>
      <w:r w:rsidR="00632B6D" w:rsidRPr="00B47DD9">
        <w:rPr>
          <w:rFonts w:eastAsia="Times New Roman" w:cs="Segoe UI"/>
          <w:lang w:eastAsia="en-GB"/>
        </w:rPr>
        <w:t>concerned, there are also considerable discrepancies between those public sector employees who are able to claim judicial review and those who are not. The reasons for this fragmented picture are at once historical, theoretical and practical. Historically speaking, the starting point for the</w:t>
      </w:r>
      <w:r w:rsidR="00625401" w:rsidRPr="00B47DD9">
        <w:rPr>
          <w:rFonts w:eastAsia="Times New Roman" w:cs="Segoe UI"/>
          <w:lang w:eastAsia="en-GB"/>
        </w:rPr>
        <w:t xml:space="preserve"> formation of</w:t>
      </w:r>
      <w:r w:rsidR="00632B6D" w:rsidRPr="00B47DD9">
        <w:rPr>
          <w:rFonts w:eastAsia="Times New Roman" w:cs="Segoe UI"/>
          <w:lang w:eastAsia="en-GB"/>
        </w:rPr>
        <w:t xml:space="preserve"> </w:t>
      </w:r>
      <w:r w:rsidR="00625401" w:rsidRPr="00B47DD9">
        <w:rPr>
          <w:rFonts w:eastAsia="Times New Roman" w:cs="Segoe UI"/>
          <w:lang w:eastAsia="en-GB"/>
        </w:rPr>
        <w:t xml:space="preserve">the </w:t>
      </w:r>
      <w:r w:rsidR="00632B6D" w:rsidRPr="00B47DD9">
        <w:rPr>
          <w:rFonts w:eastAsia="Times New Roman" w:cs="Segoe UI"/>
          <w:lang w:eastAsia="en-GB"/>
        </w:rPr>
        <w:t xml:space="preserve">employment law regime in the UK was the Diceyan understanding that, in principle everyone should be equal before the law. As a result there was no special public law regime for public sector employees.  </w:t>
      </w:r>
      <w:r w:rsidR="00625401" w:rsidRPr="00B47DD9">
        <w:rPr>
          <w:rFonts w:eastAsia="Times New Roman" w:cs="Segoe UI"/>
          <w:lang w:eastAsia="en-GB"/>
        </w:rPr>
        <w:t xml:space="preserve">At the same time, </w:t>
      </w:r>
      <w:r w:rsidR="0079234D" w:rsidRPr="00B47DD9">
        <w:rPr>
          <w:rFonts w:eastAsia="Times New Roman" w:cs="Segoe UI"/>
          <w:lang w:eastAsia="en-GB"/>
        </w:rPr>
        <w:t xml:space="preserve">certain groups were excluded from the private regime on the basis of their functional requirements, and </w:t>
      </w:r>
      <w:r w:rsidR="00625401" w:rsidRPr="00B47DD9">
        <w:rPr>
          <w:rFonts w:eastAsia="Times New Roman" w:cs="Segoe UI"/>
          <w:lang w:eastAsia="en-GB"/>
        </w:rPr>
        <w:t xml:space="preserve">the particular public law rules which concerned the abuse of power by public sector employees continued to apply. From the very start then, </w:t>
      </w:r>
      <w:r w:rsidR="0079234D" w:rsidRPr="00B47DD9">
        <w:rPr>
          <w:rFonts w:eastAsia="Times New Roman" w:cs="Segoe UI"/>
          <w:lang w:eastAsia="en-GB"/>
        </w:rPr>
        <w:t xml:space="preserve">there was a </w:t>
      </w:r>
      <w:r w:rsidR="00625401" w:rsidRPr="00B47DD9">
        <w:rPr>
          <w:rFonts w:eastAsia="Times New Roman" w:cs="Segoe UI"/>
          <w:lang w:eastAsia="en-GB"/>
        </w:rPr>
        <w:t>fragmented picture</w:t>
      </w:r>
      <w:r w:rsidR="0076146B" w:rsidRPr="00B47DD9">
        <w:rPr>
          <w:rFonts w:eastAsia="Times New Roman" w:cs="Segoe UI"/>
          <w:lang w:eastAsia="en-GB"/>
        </w:rPr>
        <w:t xml:space="preserve"> in terms of access to justice for public sector employees. However, this fragmented picture</w:t>
      </w:r>
      <w:r w:rsidR="00625401" w:rsidRPr="00B47DD9">
        <w:rPr>
          <w:rFonts w:eastAsia="Times New Roman" w:cs="Segoe UI"/>
          <w:lang w:eastAsia="en-GB"/>
        </w:rPr>
        <w:t xml:space="preserve"> </w:t>
      </w:r>
      <w:r w:rsidR="0076146B" w:rsidRPr="00B47DD9">
        <w:rPr>
          <w:rFonts w:eastAsia="Times New Roman" w:cs="Segoe UI"/>
          <w:lang w:eastAsia="en-GB"/>
        </w:rPr>
        <w:t xml:space="preserve">was </w:t>
      </w:r>
      <w:r w:rsidR="00625401" w:rsidRPr="00B47DD9">
        <w:rPr>
          <w:rFonts w:eastAsia="Times New Roman" w:cs="Segoe UI"/>
          <w:lang w:eastAsia="en-GB"/>
        </w:rPr>
        <w:t>not simply a quirk</w:t>
      </w:r>
      <w:r w:rsidR="00257DEE" w:rsidRPr="00B47DD9">
        <w:rPr>
          <w:rFonts w:eastAsia="Times New Roman" w:cs="Segoe UI"/>
          <w:lang w:eastAsia="en-GB"/>
        </w:rPr>
        <w:t xml:space="preserve"> of history. It has persisted and even intensified over time. One possible explanation for this pattern is the difficulty in the theoretical separation</w:t>
      </w:r>
      <w:r w:rsidR="0076146B" w:rsidRPr="00B47DD9">
        <w:rPr>
          <w:rFonts w:eastAsia="Times New Roman" w:cs="Segoe UI"/>
          <w:lang w:eastAsia="en-GB"/>
        </w:rPr>
        <w:t>s which underpin</w:t>
      </w:r>
      <w:r w:rsidR="00257DEE" w:rsidRPr="00B47DD9">
        <w:rPr>
          <w:rFonts w:eastAsia="Times New Roman" w:cs="Segoe UI"/>
          <w:lang w:eastAsia="en-GB"/>
        </w:rPr>
        <w:t xml:space="preserve"> the public/private divide. Dichotomies such as public versus private power, contractual versus non-contractual status are very difficult to sustain in practice. The ‘functional’ distinction between public and private employees is also difficult to sustain in light of the privatisation of many previously public functions, and the move towards more and more compl</w:t>
      </w:r>
      <w:r w:rsidR="00640F3A">
        <w:rPr>
          <w:rFonts w:eastAsia="Times New Roman" w:cs="Segoe UI"/>
          <w:lang w:eastAsia="en-GB"/>
        </w:rPr>
        <w:t>icated public/private</w:t>
      </w:r>
      <w:r w:rsidR="00257DEE" w:rsidRPr="00B47DD9">
        <w:rPr>
          <w:rFonts w:eastAsia="Times New Roman" w:cs="Segoe UI"/>
          <w:lang w:eastAsia="en-GB"/>
        </w:rPr>
        <w:t xml:space="preserve"> partnerships.</w:t>
      </w:r>
    </w:p>
    <w:p w:rsidR="00257DEE" w:rsidRPr="00B47DD9" w:rsidRDefault="00F740A1" w:rsidP="00CE3AC2">
      <w:pPr>
        <w:spacing w:after="150" w:line="480" w:lineRule="auto"/>
        <w:ind w:firstLine="720"/>
        <w:jc w:val="both"/>
        <w:rPr>
          <w:rFonts w:eastAsia="Times New Roman" w:cs="Segoe UI"/>
          <w:lang w:eastAsia="en-GB"/>
        </w:rPr>
      </w:pPr>
      <w:r w:rsidRPr="00B47DD9">
        <w:rPr>
          <w:rFonts w:eastAsia="Times New Roman" w:cs="Segoe UI"/>
          <w:lang w:eastAsia="en-GB"/>
        </w:rPr>
        <w:t xml:space="preserve">The </w:t>
      </w:r>
      <w:r w:rsidR="00AB2AFC" w:rsidRPr="00B47DD9">
        <w:rPr>
          <w:rFonts w:eastAsia="Times New Roman" w:cs="Segoe UI"/>
          <w:lang w:eastAsia="en-GB"/>
        </w:rPr>
        <w:t>weaknesses of the theoretical underpinnings of the public private divide are well demonstrated by recent legal challenges to the employment law exclusions as a matter of private law. The ‘non contractual’ exclusion has been successfully challenged by ‘office-holders’ such as local council Registrars, on the basis that</w:t>
      </w:r>
      <w:r w:rsidR="0076146B" w:rsidRPr="00B47DD9">
        <w:rPr>
          <w:rFonts w:eastAsia="Times New Roman" w:cs="Segoe UI"/>
          <w:lang w:eastAsia="en-GB"/>
        </w:rPr>
        <w:t xml:space="preserve"> the</w:t>
      </w:r>
      <w:r w:rsidR="00AB2AFC" w:rsidRPr="00B47DD9">
        <w:rPr>
          <w:rFonts w:eastAsia="Times New Roman" w:cs="Segoe UI"/>
          <w:lang w:eastAsia="en-GB"/>
        </w:rPr>
        <w:t xml:space="preserve"> ‘office-holder’ label </w:t>
      </w:r>
      <w:r w:rsidR="0076146B" w:rsidRPr="00B47DD9">
        <w:rPr>
          <w:rFonts w:eastAsia="Times New Roman" w:cs="Segoe UI"/>
          <w:lang w:eastAsia="en-GB"/>
        </w:rPr>
        <w:t>should not denote a</w:t>
      </w:r>
      <w:r w:rsidR="00AB2AFC" w:rsidRPr="00B47DD9">
        <w:rPr>
          <w:rFonts w:eastAsia="Times New Roman" w:cs="Segoe UI"/>
          <w:lang w:eastAsia="en-GB"/>
        </w:rPr>
        <w:t xml:space="preserve"> lesser contractual status</w:t>
      </w:r>
      <w:r w:rsidR="0076146B" w:rsidRPr="00B47DD9">
        <w:rPr>
          <w:rFonts w:eastAsia="Times New Roman" w:cs="Segoe UI"/>
          <w:lang w:eastAsia="en-GB"/>
        </w:rPr>
        <w:t xml:space="preserve"> for Registrars compared to</w:t>
      </w:r>
      <w:r w:rsidR="00AB2AFC" w:rsidRPr="00B47DD9">
        <w:rPr>
          <w:rFonts w:eastAsia="Times New Roman" w:cs="Segoe UI"/>
          <w:lang w:eastAsia="en-GB"/>
        </w:rPr>
        <w:t xml:space="preserve"> other council employees. The functional exclusion has been challenged by council employed ‘constables’ who are excluded from (unfair dismissal) protection as a result of their ‘special status’.</w:t>
      </w:r>
      <w:r w:rsidR="009A7202" w:rsidRPr="00B47DD9">
        <w:rPr>
          <w:rFonts w:eastAsia="Times New Roman" w:cs="Segoe UI"/>
          <w:lang w:eastAsia="en-GB"/>
        </w:rPr>
        <w:t xml:space="preserve"> T</w:t>
      </w:r>
      <w:r w:rsidR="00AB2AFC" w:rsidRPr="00B47DD9">
        <w:rPr>
          <w:rFonts w:eastAsia="Times New Roman" w:cs="Segoe UI"/>
          <w:lang w:eastAsia="en-GB"/>
        </w:rPr>
        <w:t>his functional exclusion was</w:t>
      </w:r>
      <w:r w:rsidR="009A7202" w:rsidRPr="00B47DD9">
        <w:rPr>
          <w:rFonts w:eastAsia="Times New Roman" w:cs="Segoe UI"/>
          <w:lang w:eastAsia="en-GB"/>
        </w:rPr>
        <w:t xml:space="preserve"> found</w:t>
      </w:r>
      <w:r w:rsidR="00AB2AFC" w:rsidRPr="00B47DD9">
        <w:rPr>
          <w:rFonts w:eastAsia="Times New Roman" w:cs="Segoe UI"/>
          <w:lang w:eastAsia="en-GB"/>
        </w:rPr>
        <w:t xml:space="preserve"> inconsistent with the treatment of other similar groups (for example </w:t>
      </w:r>
      <w:r w:rsidR="009A7202" w:rsidRPr="00B47DD9">
        <w:rPr>
          <w:rFonts w:eastAsia="Times New Roman" w:cs="Segoe UI"/>
          <w:lang w:eastAsia="en-GB"/>
        </w:rPr>
        <w:t>prison officers), but the challenge was ultimately unsuccessful (it required Parliamentary intervention). Finally, the distinction between public and private power as the basis for</w:t>
      </w:r>
      <w:r w:rsidR="0076146B" w:rsidRPr="00B47DD9">
        <w:rPr>
          <w:rFonts w:eastAsia="Times New Roman" w:cs="Segoe UI"/>
          <w:lang w:eastAsia="en-GB"/>
        </w:rPr>
        <w:t xml:space="preserve"> the</w:t>
      </w:r>
      <w:r w:rsidR="009A7202" w:rsidRPr="00B47DD9">
        <w:rPr>
          <w:rFonts w:eastAsia="Times New Roman" w:cs="Segoe UI"/>
          <w:lang w:eastAsia="en-GB"/>
        </w:rPr>
        <w:t xml:space="preserve"> exclusion of public sector employees from employment rights has also been subject to challenge. For example, the employees of </w:t>
      </w:r>
      <w:r w:rsidR="0076146B" w:rsidRPr="00B47DD9">
        <w:rPr>
          <w:rFonts w:eastAsia="Times New Roman" w:cs="Segoe UI"/>
          <w:lang w:eastAsia="en-GB"/>
        </w:rPr>
        <w:t>UK based state embassies</w:t>
      </w:r>
      <w:r w:rsidR="009A7202" w:rsidRPr="00B47DD9">
        <w:rPr>
          <w:rFonts w:eastAsia="Times New Roman" w:cs="Segoe UI"/>
          <w:lang w:eastAsia="en-GB"/>
        </w:rPr>
        <w:t xml:space="preserve"> have successfully challenged their inability to bring employment law claims as a result of the operation of the doctrine of state immunity. They have argued that by entering into contracts of employment with civilian staff, a state is exercising powers which are private rather than public. As a result these rights can be ‘balanced’ with an employee’s individual right to a fair trial under the ECHR, and where th</w:t>
      </w:r>
      <w:r w:rsidR="00F31CF4">
        <w:rPr>
          <w:rFonts w:eastAsia="Times New Roman" w:cs="Segoe UI"/>
          <w:lang w:eastAsia="en-GB"/>
        </w:rPr>
        <w:t>e functions of the employee do</w:t>
      </w:r>
      <w:r w:rsidR="009A7202" w:rsidRPr="00B47DD9">
        <w:rPr>
          <w:rFonts w:eastAsia="Times New Roman" w:cs="Segoe UI"/>
          <w:lang w:eastAsia="en-GB"/>
        </w:rPr>
        <w:t xml:space="preserve"> not interfere with the exercise of sovereign power, the individual’s rights should prevail. </w:t>
      </w:r>
    </w:p>
    <w:p w:rsidR="00257DEE" w:rsidRPr="00B47DD9" w:rsidRDefault="000C7A5A" w:rsidP="00CE3AC2">
      <w:pPr>
        <w:spacing w:after="150" w:line="480" w:lineRule="auto"/>
        <w:ind w:firstLine="720"/>
        <w:jc w:val="both"/>
        <w:rPr>
          <w:rFonts w:eastAsia="Times New Roman" w:cs="Segoe UI"/>
          <w:lang w:eastAsia="en-GB"/>
        </w:rPr>
      </w:pPr>
      <w:r w:rsidRPr="00B47DD9">
        <w:rPr>
          <w:rFonts w:eastAsia="Times New Roman" w:cs="Segoe UI"/>
          <w:lang w:eastAsia="en-GB"/>
        </w:rPr>
        <w:t>Despite the successful (theoretical) challenge to the public/private divide by some public sector employees, it appears that certain public sector groups are likely to remain excluded from (the majority of) private law rights. For these groups, it may be argued that the greatest potential lies in the recognition within the public law regime of the particular private context. On occasion, this recognition has allowed a relaxation of certain strict public law rules, and has even brought certain of those rules more in line with the standards of private law. This approach is valuable because it recognises that in reality the separation of public from private standards rests on rath</w:t>
      </w:r>
      <w:r w:rsidR="00EB058E" w:rsidRPr="00B47DD9">
        <w:rPr>
          <w:rFonts w:eastAsia="Times New Roman" w:cs="Segoe UI"/>
          <w:lang w:eastAsia="en-GB"/>
        </w:rPr>
        <w:t xml:space="preserve">er shaky theoretical ground. The approach </w:t>
      </w:r>
      <w:r w:rsidRPr="00B47DD9">
        <w:rPr>
          <w:rFonts w:eastAsia="Times New Roman" w:cs="Segoe UI"/>
          <w:lang w:eastAsia="en-GB"/>
        </w:rPr>
        <w:t xml:space="preserve">opens up the possibility of thinking about the divide in a more pragmatic way and according to what justice demands. </w:t>
      </w:r>
      <w:r w:rsidR="00EB058E" w:rsidRPr="00B47DD9">
        <w:rPr>
          <w:rFonts w:eastAsia="Times New Roman" w:cs="Segoe UI"/>
          <w:lang w:eastAsia="en-GB"/>
        </w:rPr>
        <w:t xml:space="preserve">It suggests that, at base, the law of employment is united by just one principle: that abuse of power is not to be tolerated. That principle </w:t>
      </w:r>
      <w:r w:rsidR="00EB058E" w:rsidRPr="00B47DD9">
        <w:rPr>
          <w:rFonts w:eastAsia="Times New Roman" w:cs="Segoe UI"/>
          <w:i/>
          <w:lang w:eastAsia="en-GB"/>
        </w:rPr>
        <w:t xml:space="preserve">applies </w:t>
      </w:r>
      <w:r w:rsidR="00EB058E" w:rsidRPr="00B47DD9">
        <w:rPr>
          <w:rFonts w:eastAsia="Times New Roman" w:cs="Segoe UI"/>
          <w:lang w:eastAsia="en-GB"/>
        </w:rPr>
        <w:t>in different ways in different situations, but that application is simply a recognition of the particular priority given to employee freedom in a</w:t>
      </w:r>
      <w:r w:rsidR="0076146B" w:rsidRPr="00B47DD9">
        <w:rPr>
          <w:rFonts w:eastAsia="Times New Roman" w:cs="Segoe UI"/>
          <w:lang w:eastAsia="en-GB"/>
        </w:rPr>
        <w:t>ny</w:t>
      </w:r>
      <w:r w:rsidR="00EB058E" w:rsidRPr="00B47DD9">
        <w:rPr>
          <w:rFonts w:eastAsia="Times New Roman" w:cs="Segoe UI"/>
          <w:lang w:eastAsia="en-GB"/>
        </w:rPr>
        <w:t xml:space="preserve"> particular context. </w:t>
      </w:r>
      <w:r w:rsidR="00EB058E" w:rsidRPr="00B47DD9">
        <w:rPr>
          <w:rStyle w:val="FootnoteReference"/>
          <w:rFonts w:eastAsia="Times New Roman" w:cs="Segoe UI"/>
          <w:lang w:eastAsia="en-GB"/>
        </w:rPr>
        <w:footnoteReference w:id="93"/>
      </w:r>
    </w:p>
    <w:p w:rsidR="00625401" w:rsidRPr="00B47DD9" w:rsidRDefault="00625401" w:rsidP="00CE3AC2">
      <w:pPr>
        <w:spacing w:after="150" w:line="480" w:lineRule="auto"/>
        <w:jc w:val="both"/>
        <w:rPr>
          <w:rFonts w:eastAsia="Times New Roman" w:cs="Segoe UI"/>
          <w:lang w:eastAsia="en-GB"/>
        </w:rPr>
      </w:pPr>
    </w:p>
    <w:p w:rsidR="00617BD7" w:rsidRPr="00B47DD9" w:rsidRDefault="00617BD7" w:rsidP="00CE3AC2">
      <w:pPr>
        <w:spacing w:after="150" w:line="480" w:lineRule="auto"/>
        <w:jc w:val="both"/>
        <w:rPr>
          <w:rFonts w:eastAsia="Times New Roman" w:cs="Segoe UI"/>
          <w:lang w:eastAsia="en-GB"/>
        </w:rPr>
      </w:pPr>
    </w:p>
    <w:p w:rsidR="002B274A" w:rsidRPr="00B47DD9" w:rsidRDefault="002B274A" w:rsidP="00CE3AC2">
      <w:pPr>
        <w:spacing w:after="150" w:line="480" w:lineRule="auto"/>
        <w:jc w:val="both"/>
        <w:rPr>
          <w:rFonts w:eastAsia="Times New Roman" w:cs="Segoe UI"/>
          <w:lang w:eastAsia="en-GB"/>
        </w:rPr>
      </w:pPr>
    </w:p>
    <w:p w:rsidR="002B274A" w:rsidRPr="00B47DD9" w:rsidRDefault="002B274A" w:rsidP="00CE3AC2">
      <w:pPr>
        <w:spacing w:after="150" w:line="480" w:lineRule="auto"/>
        <w:jc w:val="both"/>
        <w:rPr>
          <w:rFonts w:eastAsia="Times New Roman" w:cs="Segoe UI"/>
          <w:lang w:eastAsia="en-GB"/>
        </w:rPr>
      </w:pPr>
    </w:p>
    <w:p w:rsidR="002B274A" w:rsidRPr="00B47DD9" w:rsidRDefault="002B274A" w:rsidP="00CE3AC2">
      <w:pPr>
        <w:spacing w:after="150" w:line="480" w:lineRule="auto"/>
        <w:jc w:val="both"/>
        <w:rPr>
          <w:rFonts w:eastAsia="Times New Roman" w:cs="Segoe UI"/>
          <w:lang w:eastAsia="en-GB"/>
        </w:rPr>
      </w:pPr>
    </w:p>
    <w:p w:rsidR="002B274A" w:rsidRPr="00B47DD9" w:rsidRDefault="002B274A" w:rsidP="00CE3AC2">
      <w:pPr>
        <w:spacing w:after="150" w:line="480" w:lineRule="auto"/>
        <w:jc w:val="both"/>
        <w:rPr>
          <w:rFonts w:eastAsia="Times New Roman" w:cs="Segoe UI"/>
          <w:lang w:eastAsia="en-GB"/>
        </w:rPr>
      </w:pPr>
    </w:p>
    <w:p w:rsidR="002B274A" w:rsidRPr="00B47DD9" w:rsidRDefault="002B274A" w:rsidP="00CE3AC2">
      <w:pPr>
        <w:spacing w:after="150" w:line="480" w:lineRule="auto"/>
        <w:jc w:val="both"/>
        <w:rPr>
          <w:rFonts w:eastAsia="Times New Roman" w:cs="Segoe UI"/>
          <w:lang w:eastAsia="en-GB"/>
        </w:rPr>
      </w:pPr>
    </w:p>
    <w:p w:rsidR="002B274A" w:rsidRPr="00B47DD9" w:rsidRDefault="002B274A" w:rsidP="00CE3AC2">
      <w:pPr>
        <w:spacing w:after="150" w:line="480" w:lineRule="auto"/>
        <w:jc w:val="both"/>
        <w:rPr>
          <w:rFonts w:eastAsia="Times New Roman" w:cs="Segoe UI"/>
          <w:lang w:eastAsia="en-GB"/>
        </w:rPr>
      </w:pPr>
    </w:p>
    <w:p w:rsidR="002B274A" w:rsidRPr="00B47DD9" w:rsidRDefault="002B274A" w:rsidP="00CE3AC2">
      <w:pPr>
        <w:spacing w:after="150" w:line="480" w:lineRule="auto"/>
        <w:jc w:val="both"/>
        <w:rPr>
          <w:rFonts w:eastAsia="Times New Roman" w:cs="Segoe UI"/>
          <w:lang w:eastAsia="en-GB"/>
        </w:rPr>
      </w:pPr>
    </w:p>
    <w:p w:rsidR="002B274A" w:rsidRPr="00B47DD9" w:rsidRDefault="002B274A" w:rsidP="00CE3AC2">
      <w:pPr>
        <w:spacing w:after="150" w:line="480" w:lineRule="auto"/>
        <w:jc w:val="both"/>
        <w:rPr>
          <w:rFonts w:eastAsia="Times New Roman" w:cs="Segoe UI"/>
          <w:lang w:eastAsia="en-GB"/>
        </w:rPr>
      </w:pPr>
    </w:p>
    <w:p w:rsidR="002B274A" w:rsidRPr="00B47DD9" w:rsidRDefault="002B274A" w:rsidP="00CE3AC2">
      <w:pPr>
        <w:spacing w:after="150" w:line="480" w:lineRule="auto"/>
        <w:jc w:val="both"/>
        <w:rPr>
          <w:rFonts w:eastAsia="Times New Roman" w:cs="Segoe UI"/>
          <w:lang w:eastAsia="en-GB"/>
        </w:rPr>
      </w:pPr>
    </w:p>
    <w:p w:rsidR="002B274A" w:rsidRPr="00B47DD9" w:rsidRDefault="002B274A" w:rsidP="00CE3AC2">
      <w:pPr>
        <w:spacing w:after="150" w:line="480" w:lineRule="auto"/>
        <w:jc w:val="both"/>
        <w:rPr>
          <w:rFonts w:eastAsia="Times New Roman" w:cs="Segoe UI"/>
          <w:lang w:eastAsia="en-GB"/>
        </w:rPr>
      </w:pPr>
    </w:p>
    <w:p w:rsidR="002B274A" w:rsidRPr="00B47DD9" w:rsidRDefault="002B274A" w:rsidP="00CE3AC2">
      <w:pPr>
        <w:spacing w:after="150" w:line="480" w:lineRule="auto"/>
        <w:jc w:val="both"/>
        <w:rPr>
          <w:rFonts w:eastAsia="Times New Roman" w:cs="Segoe UI"/>
          <w:lang w:eastAsia="en-GB"/>
        </w:rPr>
      </w:pPr>
    </w:p>
    <w:p w:rsidR="002B274A" w:rsidRPr="00B47DD9" w:rsidRDefault="002B274A" w:rsidP="00CE3AC2">
      <w:pPr>
        <w:spacing w:after="150" w:line="480" w:lineRule="auto"/>
        <w:jc w:val="both"/>
        <w:rPr>
          <w:rFonts w:eastAsia="Times New Roman" w:cs="Segoe UI"/>
          <w:lang w:eastAsia="en-GB"/>
        </w:rPr>
      </w:pPr>
    </w:p>
    <w:p w:rsidR="002B274A" w:rsidRPr="00B47DD9" w:rsidRDefault="002B274A" w:rsidP="00CE3AC2">
      <w:pPr>
        <w:spacing w:after="150" w:line="480" w:lineRule="auto"/>
        <w:jc w:val="both"/>
        <w:rPr>
          <w:rFonts w:eastAsia="Times New Roman" w:cs="Segoe UI"/>
          <w:lang w:eastAsia="en-GB"/>
        </w:rPr>
      </w:pPr>
    </w:p>
    <w:p w:rsidR="004E703A" w:rsidRPr="00B47DD9" w:rsidRDefault="004E703A" w:rsidP="00CE3AC2">
      <w:pPr>
        <w:spacing w:after="150" w:line="480" w:lineRule="auto"/>
        <w:jc w:val="both"/>
        <w:rPr>
          <w:rFonts w:eastAsia="Times New Roman" w:cs="Segoe UI"/>
          <w:lang w:eastAsia="en-GB"/>
        </w:rPr>
      </w:pPr>
    </w:p>
    <w:p w:rsidR="004E703A" w:rsidRPr="00B47DD9" w:rsidRDefault="004E703A" w:rsidP="00CE3AC2">
      <w:pPr>
        <w:spacing w:after="150" w:line="480" w:lineRule="auto"/>
        <w:jc w:val="both"/>
        <w:rPr>
          <w:rFonts w:eastAsia="Times New Roman" w:cs="Segoe UI"/>
          <w:lang w:eastAsia="en-GB"/>
        </w:rPr>
      </w:pPr>
    </w:p>
    <w:p w:rsidR="004E703A" w:rsidRPr="00B47DD9" w:rsidRDefault="004E703A" w:rsidP="00CE3AC2">
      <w:pPr>
        <w:spacing w:after="150" w:line="480" w:lineRule="auto"/>
        <w:jc w:val="both"/>
        <w:rPr>
          <w:rFonts w:eastAsia="Times New Roman" w:cs="Segoe UI"/>
          <w:lang w:eastAsia="en-GB"/>
        </w:rPr>
      </w:pPr>
    </w:p>
    <w:p w:rsidR="004E703A" w:rsidRPr="00B47DD9" w:rsidRDefault="004E703A" w:rsidP="00CE3AC2">
      <w:pPr>
        <w:spacing w:after="150" w:line="480" w:lineRule="auto"/>
        <w:jc w:val="both"/>
        <w:rPr>
          <w:rFonts w:eastAsia="Times New Roman" w:cs="Segoe UI"/>
          <w:lang w:eastAsia="en-GB"/>
        </w:rPr>
      </w:pPr>
    </w:p>
    <w:p w:rsidR="004E703A" w:rsidRPr="00B47DD9" w:rsidRDefault="004E703A" w:rsidP="00CE3AC2">
      <w:pPr>
        <w:spacing w:after="150" w:line="480" w:lineRule="auto"/>
        <w:jc w:val="both"/>
        <w:rPr>
          <w:rFonts w:eastAsia="Times New Roman" w:cs="Segoe UI"/>
          <w:lang w:eastAsia="en-GB"/>
        </w:rPr>
      </w:pPr>
    </w:p>
    <w:p w:rsidR="00E13A60" w:rsidRPr="00B47DD9" w:rsidRDefault="00E13A60" w:rsidP="00CE3AC2">
      <w:pPr>
        <w:spacing w:after="150" w:line="480" w:lineRule="auto"/>
        <w:jc w:val="both"/>
        <w:rPr>
          <w:rFonts w:ascii="Segoe UI" w:eastAsia="Times New Roman" w:hAnsi="Segoe UI" w:cs="Segoe UI"/>
          <w:sz w:val="27"/>
          <w:szCs w:val="27"/>
          <w:lang w:eastAsia="en-GB"/>
        </w:rPr>
      </w:pPr>
    </w:p>
    <w:p w:rsidR="00816FE6" w:rsidRPr="00B47DD9" w:rsidRDefault="008900A1" w:rsidP="00CE3AC2">
      <w:pPr>
        <w:spacing w:line="480" w:lineRule="auto"/>
        <w:jc w:val="both"/>
      </w:pPr>
    </w:p>
    <w:sectPr w:rsidR="00816FE6" w:rsidRPr="00B47DD9">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00A1" w:rsidRDefault="008900A1" w:rsidP="0075405D">
      <w:pPr>
        <w:spacing w:after="0" w:line="240" w:lineRule="auto"/>
      </w:pPr>
      <w:r>
        <w:separator/>
      </w:r>
    </w:p>
  </w:endnote>
  <w:endnote w:type="continuationSeparator" w:id="0">
    <w:p w:rsidR="008900A1" w:rsidRDefault="008900A1" w:rsidP="007540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7011253"/>
      <w:docPartObj>
        <w:docPartGallery w:val="Page Numbers (Bottom of Page)"/>
        <w:docPartUnique/>
      </w:docPartObj>
    </w:sdtPr>
    <w:sdtEndPr>
      <w:rPr>
        <w:noProof/>
      </w:rPr>
    </w:sdtEndPr>
    <w:sdtContent>
      <w:p w:rsidR="003A5DA9" w:rsidRDefault="003A5DA9">
        <w:pPr>
          <w:pStyle w:val="Footer"/>
          <w:jc w:val="center"/>
        </w:pPr>
        <w:r>
          <w:fldChar w:fldCharType="begin"/>
        </w:r>
        <w:r>
          <w:instrText xml:space="preserve"> PAGE   \* MERGEFORMAT </w:instrText>
        </w:r>
        <w:r>
          <w:fldChar w:fldCharType="separate"/>
        </w:r>
        <w:r w:rsidR="003A10E4">
          <w:rPr>
            <w:noProof/>
          </w:rPr>
          <w:t>1</w:t>
        </w:r>
        <w:r>
          <w:rPr>
            <w:noProof/>
          </w:rPr>
          <w:fldChar w:fldCharType="end"/>
        </w:r>
      </w:p>
    </w:sdtContent>
  </w:sdt>
  <w:p w:rsidR="003A5DA9" w:rsidRDefault="003A5D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00A1" w:rsidRDefault="008900A1" w:rsidP="0075405D">
      <w:pPr>
        <w:spacing w:after="0" w:line="240" w:lineRule="auto"/>
      </w:pPr>
      <w:r>
        <w:separator/>
      </w:r>
    </w:p>
  </w:footnote>
  <w:footnote w:type="continuationSeparator" w:id="0">
    <w:p w:rsidR="008900A1" w:rsidRDefault="008900A1" w:rsidP="0075405D">
      <w:pPr>
        <w:spacing w:after="0" w:line="240" w:lineRule="auto"/>
      </w:pPr>
      <w:r>
        <w:continuationSeparator/>
      </w:r>
    </w:p>
  </w:footnote>
  <w:footnote w:id="1">
    <w:p w:rsidR="00826D56" w:rsidRPr="00826D56" w:rsidRDefault="00826D56">
      <w:pPr>
        <w:pStyle w:val="FootnoteText"/>
      </w:pPr>
      <w:r>
        <w:rPr>
          <w:rStyle w:val="FootnoteReference"/>
        </w:rPr>
        <w:footnoteRef/>
      </w:r>
      <w:r>
        <w:t xml:space="preserve"> Indeed this separation is pervasive throughout the liberal democratic world. For an interesting discussion of the position in the USA, and its effect on labour law see: K E Klare, ‘The Public/Private Distinction in Labor Law’ (1982) 130 (6) </w:t>
      </w:r>
      <w:r>
        <w:rPr>
          <w:i/>
        </w:rPr>
        <w:t xml:space="preserve">University of Pennsylvania Law Review </w:t>
      </w:r>
      <w:r>
        <w:t>1358. For a discussion of the position in France see</w:t>
      </w:r>
      <w:r w:rsidR="00640F3A">
        <w:t>:</w:t>
      </w:r>
      <w:r>
        <w:t xml:space="preserve"> M Troper, ‘La distinction entre droit public et privé et la structure de l’ordre juridique’ in M Troper (ed)</w:t>
      </w:r>
      <w:r w:rsidR="00AC1915">
        <w:t>,</w:t>
      </w:r>
      <w:r>
        <w:t xml:space="preserve"> </w:t>
      </w:r>
      <w:r>
        <w:rPr>
          <w:i/>
        </w:rPr>
        <w:t xml:space="preserve">Pour une théorie juridique de l’Etat </w:t>
      </w:r>
      <w:r>
        <w:t>(PUF 1995)</w:t>
      </w:r>
    </w:p>
  </w:footnote>
  <w:footnote w:id="2">
    <w:p w:rsidR="00371BD4" w:rsidRPr="00B47DD9" w:rsidRDefault="00371BD4">
      <w:pPr>
        <w:pStyle w:val="FootnoteText"/>
      </w:pPr>
      <w:r w:rsidRPr="00B47DD9">
        <w:rPr>
          <w:rStyle w:val="FootnoteReference"/>
        </w:rPr>
        <w:footnoteRef/>
      </w:r>
      <w:r w:rsidRPr="00B47DD9">
        <w:t xml:space="preserve"> This is discussed in section 5 of this article.</w:t>
      </w:r>
    </w:p>
  </w:footnote>
  <w:footnote w:id="3">
    <w:p w:rsidR="00E306B9" w:rsidRPr="00B47DD9" w:rsidRDefault="00E306B9">
      <w:pPr>
        <w:pStyle w:val="FootnoteText"/>
      </w:pPr>
      <w:r w:rsidRPr="00B47DD9">
        <w:rPr>
          <w:rStyle w:val="FootnoteReference"/>
        </w:rPr>
        <w:footnoteRef/>
      </w:r>
      <w:r w:rsidRPr="00B47DD9">
        <w:t xml:space="preserve"> </w:t>
      </w:r>
      <w:r w:rsidR="00265513">
        <w:t>For an overview of the level of inclusion of public sector groups in the (private) employment law regime see:</w:t>
      </w:r>
      <w:r w:rsidR="003540E6" w:rsidRPr="00B47DD9">
        <w:t xml:space="preserve"> S Deakin and G Morris, </w:t>
      </w:r>
      <w:r w:rsidR="003540E6" w:rsidRPr="00B47DD9">
        <w:rPr>
          <w:i/>
        </w:rPr>
        <w:t xml:space="preserve">Labour Law </w:t>
      </w:r>
      <w:r w:rsidR="003540E6" w:rsidRPr="00B47DD9">
        <w:t>(Hart Publishing 2012) 191-200</w:t>
      </w:r>
    </w:p>
  </w:footnote>
  <w:footnote w:id="4">
    <w:p w:rsidR="003B5D3D" w:rsidRDefault="003B5D3D">
      <w:pPr>
        <w:pStyle w:val="FootnoteText"/>
      </w:pPr>
      <w:r w:rsidRPr="00B47DD9">
        <w:rPr>
          <w:rStyle w:val="FootnoteReference"/>
        </w:rPr>
        <w:footnoteRef/>
      </w:r>
      <w:r w:rsidRPr="00B47DD9">
        <w:t xml:space="preserve"> This particular challenge is discussed in detail in section 4 of this article.</w:t>
      </w:r>
    </w:p>
  </w:footnote>
  <w:footnote w:id="5">
    <w:p w:rsidR="00190A1A" w:rsidRPr="00B47DD9" w:rsidRDefault="00190A1A">
      <w:pPr>
        <w:pStyle w:val="FootnoteText"/>
      </w:pPr>
      <w:r w:rsidRPr="00B47DD9">
        <w:rPr>
          <w:rStyle w:val="FootnoteReference"/>
        </w:rPr>
        <w:footnoteRef/>
      </w:r>
      <w:r w:rsidRPr="00B47DD9">
        <w:t xml:space="preserve"> For example, on a national level, prison officers who were once excluded from the majority of employment law rights are now largely included within this regime. However, they remain excluded from the right to take part in industrial action as a result of a statutory duty established in the Criminal Justice and Public Order Act 1994. At EU level, in a series of cases at the European Court of Human Rights, employees have successfully challenged their exclusion from employment rights on the basis that the exclusion constitutes a breach of their rights under Article 6 of the European Convention on Human Rights (right to a fair trial). However, their inclusion only extends to those rights ‘within the scope of EU law’, and therefore does not include unfair dismissal protection</w:t>
      </w:r>
      <w:r w:rsidR="00350407" w:rsidRPr="00B47DD9">
        <w:t xml:space="preserve"> for example (see section 4 for further discussion on this point).</w:t>
      </w:r>
    </w:p>
  </w:footnote>
  <w:footnote w:id="6">
    <w:p w:rsidR="00350407" w:rsidRPr="00EE395B" w:rsidRDefault="00350407">
      <w:pPr>
        <w:pStyle w:val="FootnoteText"/>
        <w:rPr>
          <w:color w:val="FF0000"/>
        </w:rPr>
      </w:pPr>
      <w:r w:rsidRPr="00B47DD9">
        <w:rPr>
          <w:rStyle w:val="FootnoteReference"/>
        </w:rPr>
        <w:footnoteRef/>
      </w:r>
      <w:r w:rsidRPr="00B47DD9">
        <w:t xml:space="preserve"> For example, domestic workers employed by diplomatic staff (see section 4 for further discussion).</w:t>
      </w:r>
    </w:p>
  </w:footnote>
  <w:footnote w:id="7">
    <w:p w:rsidR="001E126D" w:rsidRPr="001E126D" w:rsidRDefault="001E126D">
      <w:pPr>
        <w:pStyle w:val="FootnoteText"/>
      </w:pPr>
      <w:r>
        <w:rPr>
          <w:rStyle w:val="FootnoteReference"/>
        </w:rPr>
        <w:footnoteRef/>
      </w:r>
      <w:r>
        <w:t xml:space="preserve"> A C L Davies, ‘Ultra Vires Problems in Government Contracts’ (2006) </w:t>
      </w:r>
      <w:r>
        <w:rPr>
          <w:i/>
        </w:rPr>
        <w:t xml:space="preserve">Law Quarterly Review </w:t>
      </w:r>
      <w:r>
        <w:t>98, 99</w:t>
      </w:r>
    </w:p>
  </w:footnote>
  <w:footnote w:id="8">
    <w:p w:rsidR="00CF5418" w:rsidRPr="00CF5418" w:rsidRDefault="00CF5418">
      <w:pPr>
        <w:pStyle w:val="FootnoteText"/>
      </w:pPr>
      <w:r>
        <w:rPr>
          <w:rStyle w:val="FootnoteReference"/>
        </w:rPr>
        <w:footnoteRef/>
      </w:r>
      <w:r>
        <w:t xml:space="preserve"> J Laws, ‘Public law and employment law: abuse of power’ (1997) </w:t>
      </w:r>
      <w:r>
        <w:rPr>
          <w:i/>
        </w:rPr>
        <w:t xml:space="preserve">Public Law </w:t>
      </w:r>
      <w:r>
        <w:t>455, 456</w:t>
      </w:r>
    </w:p>
  </w:footnote>
  <w:footnote w:id="9">
    <w:p w:rsidR="00242A56" w:rsidRDefault="00242A56">
      <w:pPr>
        <w:pStyle w:val="FootnoteText"/>
      </w:pPr>
      <w:r>
        <w:rPr>
          <w:rStyle w:val="FootnoteReference"/>
        </w:rPr>
        <w:footnoteRef/>
      </w:r>
      <w:r w:rsidR="008F5CAD">
        <w:t xml:space="preserve"> A C L Davies (n 7</w:t>
      </w:r>
      <w:r>
        <w:t>) 99</w:t>
      </w:r>
    </w:p>
  </w:footnote>
  <w:footnote w:id="10">
    <w:p w:rsidR="00B40A97" w:rsidRDefault="00B40A97">
      <w:pPr>
        <w:pStyle w:val="FootnoteText"/>
      </w:pPr>
      <w:r>
        <w:rPr>
          <w:rStyle w:val="FootnoteReference"/>
        </w:rPr>
        <w:footnoteRef/>
      </w:r>
      <w:r>
        <w:t xml:space="preserve"> See for example the terms of the Civil Service Management Code discussed later in this section. </w:t>
      </w:r>
    </w:p>
  </w:footnote>
  <w:footnote w:id="11">
    <w:p w:rsidR="00242A56" w:rsidRPr="00242A56" w:rsidRDefault="00242A56">
      <w:pPr>
        <w:pStyle w:val="FootnoteText"/>
      </w:pPr>
      <w:r>
        <w:rPr>
          <w:rStyle w:val="FootnoteReference"/>
        </w:rPr>
        <w:footnoteRef/>
      </w:r>
      <w:r>
        <w:t xml:space="preserve"> G S Morris, ‘Employment in Public Services: The Case for Special Treatment’ (2000) 20 (2) </w:t>
      </w:r>
      <w:r>
        <w:rPr>
          <w:i/>
        </w:rPr>
        <w:t xml:space="preserve">Oxford Journal of Legal Studies </w:t>
      </w:r>
      <w:r>
        <w:t>167, 176</w:t>
      </w:r>
    </w:p>
  </w:footnote>
  <w:footnote w:id="12">
    <w:p w:rsidR="00825C0A" w:rsidRDefault="00825C0A">
      <w:pPr>
        <w:pStyle w:val="FootnoteText"/>
      </w:pPr>
      <w:r>
        <w:rPr>
          <w:rStyle w:val="FootnoteReference"/>
        </w:rPr>
        <w:footnoteRef/>
      </w:r>
      <w:r>
        <w:t xml:space="preserve"> Baroness Hale of Richmond in </w:t>
      </w:r>
      <w:r w:rsidRPr="00B40A97">
        <w:rPr>
          <w:i/>
        </w:rPr>
        <w:t>Preston (formerly Moore) v President of the Methodist Conference</w:t>
      </w:r>
      <w:r>
        <w:t xml:space="preserve"> [2013] UKSC 29, para 37</w:t>
      </w:r>
    </w:p>
  </w:footnote>
  <w:footnote w:id="13">
    <w:p w:rsidR="00B40A97" w:rsidRDefault="00B40A97">
      <w:pPr>
        <w:pStyle w:val="FootnoteText"/>
      </w:pPr>
      <w:r>
        <w:rPr>
          <w:rStyle w:val="FootnoteReference"/>
        </w:rPr>
        <w:footnoteRef/>
      </w:r>
      <w:r>
        <w:t xml:space="preserve"> </w:t>
      </w:r>
      <w:r w:rsidRPr="00B40A97">
        <w:rPr>
          <w:i/>
        </w:rPr>
        <w:t>Ridge v Baldwin</w:t>
      </w:r>
      <w:r>
        <w:t xml:space="preserve"> [1963] 2 All ER 66, HL</w:t>
      </w:r>
    </w:p>
  </w:footnote>
  <w:footnote w:id="14">
    <w:p w:rsidR="00DD49AC" w:rsidRDefault="00DD49AC">
      <w:pPr>
        <w:pStyle w:val="FootnoteText"/>
      </w:pPr>
      <w:r>
        <w:rPr>
          <w:rStyle w:val="FootnoteReference"/>
        </w:rPr>
        <w:footnoteRef/>
      </w:r>
      <w:r>
        <w:t xml:space="preserve"> M Freedland, ‘Status and Contract in the Law of Public Employment’ (1991) 20 ILJ 72, 72</w:t>
      </w:r>
    </w:p>
  </w:footnote>
  <w:footnote w:id="15">
    <w:p w:rsidR="008C598A" w:rsidRDefault="008C598A">
      <w:pPr>
        <w:pStyle w:val="FootnoteText"/>
      </w:pPr>
      <w:r>
        <w:rPr>
          <w:rStyle w:val="FootnoteReference"/>
        </w:rPr>
        <w:footnoteRef/>
      </w:r>
      <w:r>
        <w:t xml:space="preserve"> </w:t>
      </w:r>
      <w:r w:rsidR="00DD49AC">
        <w:t>Ibid 72</w:t>
      </w:r>
    </w:p>
  </w:footnote>
  <w:footnote w:id="16">
    <w:p w:rsidR="00191C32" w:rsidRPr="005740F0" w:rsidRDefault="00191C32">
      <w:pPr>
        <w:pStyle w:val="FootnoteText"/>
      </w:pPr>
      <w:r>
        <w:rPr>
          <w:rStyle w:val="FootnoteReference"/>
        </w:rPr>
        <w:footnoteRef/>
      </w:r>
      <w:r>
        <w:t xml:space="preserve"> </w:t>
      </w:r>
      <w:r w:rsidRPr="00B47DD9">
        <w:rPr>
          <w:i/>
        </w:rPr>
        <w:t>R v East Berkshire Health Authority ex parte</w:t>
      </w:r>
      <w:r w:rsidRPr="00B47DD9">
        <w:t xml:space="preserve"> </w:t>
      </w:r>
      <w:r w:rsidRPr="00B47DD9">
        <w:rPr>
          <w:i/>
        </w:rPr>
        <w:t>Walsh</w:t>
      </w:r>
      <w:r w:rsidRPr="00B47DD9">
        <w:t xml:space="preserve"> [1985] QB 152 CA</w:t>
      </w:r>
      <w:r w:rsidR="00DD49AC" w:rsidRPr="00B47DD9">
        <w:t xml:space="preserve">; </w:t>
      </w:r>
      <w:r w:rsidR="00DD49AC" w:rsidRPr="00B47DD9">
        <w:rPr>
          <w:i/>
        </w:rPr>
        <w:t>Johnson v Ryan</w:t>
      </w:r>
      <w:r w:rsidR="00DD49AC" w:rsidRPr="00B47DD9">
        <w:t xml:space="preserve"> [2000] ICR 236</w:t>
      </w:r>
      <w:r w:rsidR="005740F0" w:rsidRPr="00B47DD9">
        <w:t xml:space="preserve">. That said, problems still remain for certain groups. The situation of the clergy is particularly contentious, and in the recent case of </w:t>
      </w:r>
      <w:r w:rsidR="005740F0" w:rsidRPr="00B47DD9">
        <w:rPr>
          <w:i/>
        </w:rPr>
        <w:t xml:space="preserve">The President of the Methodist Conference v Preston </w:t>
      </w:r>
      <w:r w:rsidR="005740F0" w:rsidRPr="00B47DD9">
        <w:t xml:space="preserve">[2013] UKSC 39, a Minister of the Methodist Church was denied </w:t>
      </w:r>
      <w:r w:rsidR="00323DA5" w:rsidRPr="00B47DD9">
        <w:t>employee</w:t>
      </w:r>
      <w:r w:rsidR="005740F0" w:rsidRPr="00B47DD9">
        <w:t xml:space="preserve"> status on the basis </w:t>
      </w:r>
      <w:r w:rsidR="00323DA5" w:rsidRPr="00B47DD9">
        <w:t xml:space="preserve">that she was an office holder and had no contract of employment. </w:t>
      </w:r>
    </w:p>
  </w:footnote>
  <w:footnote w:id="17">
    <w:p w:rsidR="00B1663E" w:rsidRDefault="00B1663E">
      <w:pPr>
        <w:pStyle w:val="FootnoteText"/>
      </w:pPr>
      <w:r>
        <w:rPr>
          <w:rStyle w:val="FootnoteReference"/>
        </w:rPr>
        <w:footnoteRef/>
      </w:r>
      <w:r>
        <w:t xml:space="preserve"> </w:t>
      </w:r>
      <w:r w:rsidRPr="006B3F7F">
        <w:rPr>
          <w:i/>
        </w:rPr>
        <w:t>R v Lord Chancellor’s Department ex parte</w:t>
      </w:r>
      <w:r>
        <w:t xml:space="preserve"> </w:t>
      </w:r>
      <w:r w:rsidRPr="006B3F7F">
        <w:rPr>
          <w:i/>
        </w:rPr>
        <w:t>Nangle</w:t>
      </w:r>
      <w:r>
        <w:t xml:space="preserve"> [1991] IRLR 343</w:t>
      </w:r>
    </w:p>
  </w:footnote>
  <w:footnote w:id="18">
    <w:p w:rsidR="00A6199E" w:rsidRPr="006B3F7F" w:rsidRDefault="00A6199E">
      <w:pPr>
        <w:pStyle w:val="FootnoteText"/>
      </w:pPr>
      <w:r>
        <w:rPr>
          <w:rStyle w:val="FootnoteReference"/>
        </w:rPr>
        <w:footnoteRef/>
      </w:r>
      <w:r>
        <w:t xml:space="preserve"> G S  Morris, ‘The Future of the Public/Private Labour Law Divide’ in</w:t>
      </w:r>
      <w:r w:rsidR="006B3F7F">
        <w:t xml:space="preserve"> C Barnard, S Deakin and G S Morris (eds)</w:t>
      </w:r>
      <w:r>
        <w:t xml:space="preserve"> </w:t>
      </w:r>
      <w:r w:rsidR="003D360A">
        <w:rPr>
          <w:i/>
        </w:rPr>
        <w:t>The Future of Labour Law: Liber Amicorum Bob Hepple QC</w:t>
      </w:r>
      <w:r w:rsidR="006B3F7F">
        <w:rPr>
          <w:i/>
        </w:rPr>
        <w:t xml:space="preserve"> </w:t>
      </w:r>
      <w:r w:rsidR="006B3F7F">
        <w:t>(Hart Publishing 2004) 165</w:t>
      </w:r>
    </w:p>
  </w:footnote>
  <w:footnote w:id="19">
    <w:p w:rsidR="006B3F7F" w:rsidRDefault="006B3F7F">
      <w:pPr>
        <w:pStyle w:val="FootnoteText"/>
      </w:pPr>
      <w:r>
        <w:rPr>
          <w:rStyle w:val="FootnoteReference"/>
        </w:rPr>
        <w:footnoteRef/>
      </w:r>
      <w:r>
        <w:t xml:space="preserve"> </w:t>
      </w:r>
      <w:r w:rsidRPr="006B3F7F">
        <w:rPr>
          <w:i/>
        </w:rPr>
        <w:t>R (on the Application of Tucker) v Director General of the National Crime Squad</w:t>
      </w:r>
      <w:r>
        <w:t xml:space="preserve"> [2003] EWCA Civ 57 [2003] IRLR 439</w:t>
      </w:r>
    </w:p>
  </w:footnote>
  <w:footnote w:id="20">
    <w:p w:rsidR="004D3A87" w:rsidRDefault="004D3A87">
      <w:pPr>
        <w:pStyle w:val="FootnoteText"/>
      </w:pPr>
      <w:r>
        <w:rPr>
          <w:rStyle w:val="FootnoteReference"/>
        </w:rPr>
        <w:footnoteRef/>
      </w:r>
      <w:r w:rsidR="008F5CAD">
        <w:t xml:space="preserve"> Morris (n 18</w:t>
      </w:r>
      <w:r>
        <w:t>)</w:t>
      </w:r>
      <w:r w:rsidR="002C73CA">
        <w:t xml:space="preserve"> 160</w:t>
      </w:r>
    </w:p>
  </w:footnote>
  <w:footnote w:id="21">
    <w:p w:rsidR="000B1A2B" w:rsidRPr="00C43D19" w:rsidRDefault="000B1A2B">
      <w:pPr>
        <w:pStyle w:val="FootnoteText"/>
        <w:rPr>
          <w:lang w:val="en"/>
        </w:rPr>
      </w:pPr>
      <w:r>
        <w:rPr>
          <w:rStyle w:val="FootnoteReference"/>
        </w:rPr>
        <w:footnoteRef/>
      </w:r>
      <w:r>
        <w:t xml:space="preserve"> For example in France, private contracts are regulated through the Code du Travail, whereas public sector contracts are regulated through a specific statute</w:t>
      </w:r>
      <w:r w:rsidR="00C43D19">
        <w:t xml:space="preserve"> </w:t>
      </w:r>
      <w:r w:rsidR="006B535C">
        <w:t xml:space="preserve">for public sector employees </w:t>
      </w:r>
      <w:r w:rsidR="00C43D19">
        <w:t>(law number</w:t>
      </w:r>
      <w:r>
        <w:rPr>
          <w:lang w:val="en"/>
        </w:rPr>
        <w:t xml:space="preserve"> </w:t>
      </w:r>
      <w:r>
        <w:rPr>
          <w:rStyle w:val="surlignage"/>
          <w:lang w:val="en"/>
        </w:rPr>
        <w:t>84-16</w:t>
      </w:r>
      <w:r w:rsidR="002C73CA">
        <w:rPr>
          <w:lang w:val="en"/>
        </w:rPr>
        <w:t>, 11 January</w:t>
      </w:r>
      <w:r>
        <w:rPr>
          <w:lang w:val="en"/>
        </w:rPr>
        <w:t xml:space="preserve"> </w:t>
      </w:r>
      <w:r>
        <w:rPr>
          <w:rStyle w:val="surlignage"/>
          <w:lang w:val="en"/>
        </w:rPr>
        <w:t>1984</w:t>
      </w:r>
      <w:r w:rsidR="00C43D19">
        <w:rPr>
          <w:lang w:val="en"/>
        </w:rPr>
        <w:t>)</w:t>
      </w:r>
    </w:p>
  </w:footnote>
  <w:footnote w:id="22">
    <w:p w:rsidR="00683D85" w:rsidRPr="00683D85" w:rsidRDefault="00683D85">
      <w:pPr>
        <w:pStyle w:val="FootnoteText"/>
      </w:pPr>
      <w:r>
        <w:rPr>
          <w:rStyle w:val="FootnoteReference"/>
        </w:rPr>
        <w:footnoteRef/>
      </w:r>
      <w:r w:rsidR="00323DA5">
        <w:t xml:space="preserve"> </w:t>
      </w:r>
      <w:r w:rsidR="00323DA5" w:rsidRPr="00323DA5">
        <w:t>G S Morris, ‘Fragmenting the State: implications for accountability for employment practices in public ser</w:t>
      </w:r>
      <w:r w:rsidR="00323DA5">
        <w:t xml:space="preserve">vices’ (1999) Public Law 64, </w:t>
      </w:r>
      <w:r w:rsidR="002C73CA">
        <w:t>64</w:t>
      </w:r>
      <w:r w:rsidR="004D3A87">
        <w:t xml:space="preserve"> </w:t>
      </w:r>
    </w:p>
  </w:footnote>
  <w:footnote w:id="23">
    <w:p w:rsidR="00687B80" w:rsidRPr="00687B80" w:rsidRDefault="00687B80">
      <w:pPr>
        <w:pStyle w:val="FootnoteText"/>
      </w:pPr>
      <w:r>
        <w:rPr>
          <w:rStyle w:val="FootnoteReference"/>
        </w:rPr>
        <w:footnoteRef/>
      </w:r>
      <w:r>
        <w:t xml:space="preserve"> Police officers are explicitly excluded from the right to claim unfair dismissal in ERA 1996, s 200. The courts have also taken the view that they are implicitly excluded from the ERA for those rights on which their position is silent as a result of the absence of a contract of employment between a polic</w:t>
      </w:r>
      <w:r w:rsidR="005810FF">
        <w:t>e officer and their employer. Deakin and</w:t>
      </w:r>
      <w:r>
        <w:t xml:space="preserve"> Morris</w:t>
      </w:r>
      <w:r w:rsidR="003540E6">
        <w:rPr>
          <w:i/>
        </w:rPr>
        <w:t xml:space="preserve"> </w:t>
      </w:r>
      <w:r w:rsidR="008F5CAD">
        <w:t>(n 3</w:t>
      </w:r>
      <w:r w:rsidR="003540E6">
        <w:t>)</w:t>
      </w:r>
      <w:r>
        <w:t xml:space="preserve"> 196</w:t>
      </w:r>
    </w:p>
  </w:footnote>
  <w:footnote w:id="24">
    <w:p w:rsidR="00687B80" w:rsidRDefault="00687B80">
      <w:pPr>
        <w:pStyle w:val="FootnoteText"/>
      </w:pPr>
      <w:r>
        <w:rPr>
          <w:rStyle w:val="FootnoteReference"/>
        </w:rPr>
        <w:footnoteRef/>
      </w:r>
      <w:r>
        <w:t xml:space="preserve"> </w:t>
      </w:r>
      <w:r w:rsidRPr="00687B80">
        <w:rPr>
          <w:i/>
        </w:rPr>
        <w:t xml:space="preserve">R (Chief Constable of </w:t>
      </w:r>
      <w:r>
        <w:rPr>
          <w:i/>
        </w:rPr>
        <w:t>t</w:t>
      </w:r>
      <w:r w:rsidRPr="00687B80">
        <w:rPr>
          <w:i/>
        </w:rPr>
        <w:t>he Hampshire Constabulary) v Police Appeals Tribunal</w:t>
      </w:r>
      <w:r>
        <w:t xml:space="preserve"> [2012] EWHC 746 (Admin); </w:t>
      </w:r>
      <w:r w:rsidRPr="00687B80">
        <w:rPr>
          <w:i/>
        </w:rPr>
        <w:t>R (Montgomery) v Police Appeals Tribunal</w:t>
      </w:r>
      <w:r>
        <w:t xml:space="preserve"> [2012] EWHC 936 (Admin); </w:t>
      </w:r>
      <w:r w:rsidRPr="00687B80">
        <w:rPr>
          <w:i/>
        </w:rPr>
        <w:t>R (Chief Constable of the Derbyshire Constabulary) v Police Appeals Tribunal</w:t>
      </w:r>
      <w:r>
        <w:t xml:space="preserve"> [2012] EWHC 2280 (Admin).</w:t>
      </w:r>
    </w:p>
  </w:footnote>
  <w:footnote w:id="25">
    <w:p w:rsidR="002C73CA" w:rsidRDefault="002C73CA">
      <w:pPr>
        <w:pStyle w:val="FootnoteText"/>
      </w:pPr>
      <w:r>
        <w:rPr>
          <w:rStyle w:val="FootnoteReference"/>
        </w:rPr>
        <w:footnoteRef/>
      </w:r>
      <w:r w:rsidR="008F5CAD">
        <w:t xml:space="preserve"> Deakin and Morris (n 3</w:t>
      </w:r>
      <w:r>
        <w:t>) 192</w:t>
      </w:r>
    </w:p>
  </w:footnote>
  <w:footnote w:id="26">
    <w:p w:rsidR="00BE4532" w:rsidRDefault="00BE4532">
      <w:pPr>
        <w:pStyle w:val="FootnoteText"/>
      </w:pPr>
      <w:r>
        <w:rPr>
          <w:rStyle w:val="FootnoteReference"/>
        </w:rPr>
        <w:footnoteRef/>
      </w:r>
      <w:r>
        <w:t xml:space="preserve"> The Civil Service Management Code is derived from the Powers set out in the Constitutional Reform Act Part 1 and is available at </w:t>
      </w:r>
      <w:hyperlink r:id="rId1" w:history="1">
        <w:r w:rsidRPr="00B47DD9">
          <w:rPr>
            <w:rStyle w:val="Hyperlink"/>
            <w:color w:val="2E74B5" w:themeColor="accent1" w:themeShade="BF"/>
          </w:rPr>
          <w:t>http://www.civilservice.gov.uk/wp-content/uploads/2011/09/civil-service-code-2010.pdf</w:t>
        </w:r>
      </w:hyperlink>
      <w:r w:rsidR="006B535C" w:rsidRPr="00B47DD9">
        <w:rPr>
          <w:color w:val="2E74B5" w:themeColor="accent1" w:themeShade="BF"/>
        </w:rPr>
        <w:t xml:space="preserve"> </w:t>
      </w:r>
      <w:r w:rsidR="006B535C">
        <w:t>last accessed 30</w:t>
      </w:r>
      <w:r>
        <w:t xml:space="preserve"> March 2014</w:t>
      </w:r>
    </w:p>
  </w:footnote>
  <w:footnote w:id="27">
    <w:p w:rsidR="00830932" w:rsidRDefault="00830932">
      <w:pPr>
        <w:pStyle w:val="FootnoteText"/>
      </w:pPr>
      <w:r>
        <w:rPr>
          <w:rStyle w:val="FootnoteReference"/>
        </w:rPr>
        <w:footnoteRef/>
      </w:r>
      <w:r>
        <w:t xml:space="preserve"> The Criminal Justice and Public Order Act 1994, s 126 provides that prison officers are not to be treated as being in ‘police service’ for the purposes of the Employment Protection (Consolidation) Act 1978 (now the Employment Rights Act 1996 and the Trade Union Labour Relations (Consolidation) Act 1992.</w:t>
      </w:r>
    </w:p>
  </w:footnote>
  <w:footnote w:id="28">
    <w:p w:rsidR="00830932" w:rsidRDefault="00830932">
      <w:pPr>
        <w:pStyle w:val="FootnoteText"/>
      </w:pPr>
      <w:r>
        <w:rPr>
          <w:rStyle w:val="FootnoteReference"/>
        </w:rPr>
        <w:footnoteRef/>
      </w:r>
      <w:r>
        <w:t xml:space="preserve"> </w:t>
      </w:r>
      <w:r w:rsidRPr="007E4603">
        <w:rPr>
          <w:i/>
        </w:rPr>
        <w:t>R v King (Rebecca Mary)</w:t>
      </w:r>
      <w:r>
        <w:t xml:space="preserve"> [2013] EWCA Crim 1599. </w:t>
      </w:r>
    </w:p>
  </w:footnote>
  <w:footnote w:id="29">
    <w:p w:rsidR="00E131BF" w:rsidRDefault="00E131BF">
      <w:pPr>
        <w:pStyle w:val="FootnoteText"/>
      </w:pPr>
      <w:r>
        <w:rPr>
          <w:rStyle w:val="FootnoteReference"/>
        </w:rPr>
        <w:footnoteRef/>
      </w:r>
      <w:r>
        <w:t xml:space="preserve"> </w:t>
      </w:r>
      <w:r w:rsidR="00287CB2">
        <w:t>ILO</w:t>
      </w:r>
      <w:r w:rsidR="00287CB2" w:rsidRPr="00287CB2">
        <w:rPr>
          <w:i/>
        </w:rPr>
        <w:t>, General Survey on the Fundamental Conventions concerning rights at work in light of the ILO Declaration on Social Justice and Fair Globalisation 2008: Report of the Committee of Experts on the Application of Conventions and Regulations</w:t>
      </w:r>
      <w:r w:rsidR="00287CB2">
        <w:t xml:space="preserve"> (Geneva 2012) para 131</w:t>
      </w:r>
    </w:p>
  </w:footnote>
  <w:footnote w:id="30">
    <w:p w:rsidR="00287CB2" w:rsidRDefault="00287CB2">
      <w:pPr>
        <w:pStyle w:val="FootnoteText"/>
      </w:pPr>
      <w:r>
        <w:rPr>
          <w:rStyle w:val="FootnoteReference"/>
        </w:rPr>
        <w:footnoteRef/>
      </w:r>
      <w:r>
        <w:t xml:space="preserve"> Ibid </w:t>
      </w:r>
      <w:r w:rsidR="0078277A">
        <w:t>130</w:t>
      </w:r>
    </w:p>
  </w:footnote>
  <w:footnote w:id="31">
    <w:p w:rsidR="0078277A" w:rsidRDefault="0078277A">
      <w:pPr>
        <w:pStyle w:val="FootnoteText"/>
      </w:pPr>
      <w:r>
        <w:rPr>
          <w:rStyle w:val="FootnoteReference"/>
        </w:rPr>
        <w:footnoteRef/>
      </w:r>
      <w:r>
        <w:t xml:space="preserve"> Ibid 127</w:t>
      </w:r>
    </w:p>
  </w:footnote>
  <w:footnote w:id="32">
    <w:p w:rsidR="0078277A" w:rsidRDefault="0078277A">
      <w:pPr>
        <w:pStyle w:val="FootnoteText"/>
      </w:pPr>
      <w:r>
        <w:rPr>
          <w:rStyle w:val="FootnoteReference"/>
        </w:rPr>
        <w:footnoteRef/>
      </w:r>
      <w:r>
        <w:t xml:space="preserve"> </w:t>
      </w:r>
      <w:r>
        <w:rPr>
          <w:i/>
        </w:rPr>
        <w:t xml:space="preserve">Pellegrin v France </w:t>
      </w:r>
      <w:r>
        <w:t>(2001) 31 EHRR 26</w:t>
      </w:r>
    </w:p>
  </w:footnote>
  <w:footnote w:id="33">
    <w:p w:rsidR="0078277A" w:rsidRDefault="0078277A">
      <w:pPr>
        <w:pStyle w:val="FootnoteText"/>
      </w:pPr>
      <w:r>
        <w:rPr>
          <w:rStyle w:val="FootnoteReference"/>
        </w:rPr>
        <w:footnoteRef/>
      </w:r>
      <w:r>
        <w:t>Ibid para 66</w:t>
      </w:r>
    </w:p>
  </w:footnote>
  <w:footnote w:id="34">
    <w:p w:rsidR="009420D5" w:rsidRPr="009420D5" w:rsidRDefault="009420D5">
      <w:pPr>
        <w:pStyle w:val="FootnoteText"/>
      </w:pPr>
      <w:r>
        <w:rPr>
          <w:rStyle w:val="FootnoteReference"/>
        </w:rPr>
        <w:footnoteRef/>
      </w:r>
      <w:r>
        <w:t xml:space="preserve"> </w:t>
      </w:r>
      <w:r w:rsidR="0078277A">
        <w:t>Ibid para 66</w:t>
      </w:r>
    </w:p>
  </w:footnote>
  <w:footnote w:id="35">
    <w:p w:rsidR="00BA7E24" w:rsidRDefault="00BA7E24">
      <w:pPr>
        <w:pStyle w:val="FootnoteText"/>
      </w:pPr>
      <w:r>
        <w:rPr>
          <w:rStyle w:val="FootnoteReference"/>
        </w:rPr>
        <w:footnoteRef/>
      </w:r>
      <w:r>
        <w:t xml:space="preserve"> </w:t>
      </w:r>
      <w:r w:rsidR="0078277A">
        <w:rPr>
          <w:i/>
        </w:rPr>
        <w:t xml:space="preserve">Derbyshire </w:t>
      </w:r>
      <w:r w:rsidR="0063207F">
        <w:t xml:space="preserve">(n </w:t>
      </w:r>
      <w:r w:rsidR="008F5CAD">
        <w:t>24</w:t>
      </w:r>
      <w:r w:rsidR="0063207F">
        <w:t>) para 31</w:t>
      </w:r>
    </w:p>
  </w:footnote>
  <w:footnote w:id="36">
    <w:p w:rsidR="0078277A" w:rsidRDefault="0078277A">
      <w:pPr>
        <w:pStyle w:val="FootnoteText"/>
      </w:pPr>
      <w:r>
        <w:rPr>
          <w:rStyle w:val="FootnoteReference"/>
        </w:rPr>
        <w:footnoteRef/>
      </w:r>
      <w:r>
        <w:t xml:space="preserve"> T Poole, ‘Judicial Review and Public Employment: Decision-Making on the Public/Private Divide’ (2000) 29 ILJ 61, 62</w:t>
      </w:r>
    </w:p>
  </w:footnote>
  <w:footnote w:id="37">
    <w:p w:rsidR="002451EF" w:rsidRPr="00B47DD9" w:rsidRDefault="002451EF" w:rsidP="002451EF">
      <w:pPr>
        <w:pStyle w:val="FootnoteText"/>
      </w:pPr>
      <w:r>
        <w:rPr>
          <w:rStyle w:val="FootnoteReference"/>
        </w:rPr>
        <w:footnoteRef/>
      </w:r>
      <w:r>
        <w:t xml:space="preserve"> </w:t>
      </w:r>
      <w:r w:rsidR="003C0F24" w:rsidRPr="00B47DD9">
        <w:t xml:space="preserve">Education Act 2002, s 35. </w:t>
      </w:r>
      <w:r w:rsidR="006E212B" w:rsidRPr="00B47DD9">
        <w:t>In fact,</w:t>
      </w:r>
      <w:r w:rsidR="003C0F24" w:rsidRPr="00B47DD9">
        <w:t xml:space="preserve"> with increasing fragmentation in the provision of public sector education, governing bodies have gained more and more power. In the case of free schools and academies, the governing body now acts as the employer of the school’s staff (rather than the local education authority), as well as having other</w:t>
      </w:r>
      <w:r w:rsidR="006E212B" w:rsidRPr="00B47DD9">
        <w:t xml:space="preserve"> admissions responsibilities</w:t>
      </w:r>
      <w:r w:rsidR="003C0F24" w:rsidRPr="00B47DD9">
        <w:t xml:space="preserve"> and the ability to own school land. For more detail on the functions of governing bodies across the range of school types see Department for Education, ‘Governor’s Handbook: For governors in maintained schools, academies and free schools’</w:t>
      </w:r>
      <w:r w:rsidR="006E212B" w:rsidRPr="00B47DD9">
        <w:t xml:space="preserve"> (January 2014) available at </w:t>
      </w:r>
      <w:hyperlink r:id="rId2" w:history="1">
        <w:r w:rsidR="006E212B" w:rsidRPr="00B47DD9">
          <w:rPr>
            <w:rStyle w:val="Hyperlink"/>
            <w:color w:val="2E74B5" w:themeColor="accent1" w:themeShade="BF"/>
          </w:rPr>
          <w:t>https://www.gov.uk/government/uploads/system/uploads/attachment_data/file/270398/Governors-Handbook-January-2014.pdf</w:t>
        </w:r>
      </w:hyperlink>
      <w:r w:rsidR="006E212B" w:rsidRPr="00B47DD9">
        <w:t xml:space="preserve"> last accessed 24 June 2014</w:t>
      </w:r>
    </w:p>
  </w:footnote>
  <w:footnote w:id="38">
    <w:p w:rsidR="00620E3A" w:rsidRPr="00BB3C1F" w:rsidRDefault="00620E3A">
      <w:pPr>
        <w:pStyle w:val="FootnoteText"/>
        <w:rPr>
          <w:color w:val="FF0000"/>
        </w:rPr>
      </w:pPr>
      <w:r w:rsidRPr="00B47DD9">
        <w:rPr>
          <w:rStyle w:val="FootnoteReference"/>
        </w:rPr>
        <w:footnoteRef/>
      </w:r>
      <w:r w:rsidRPr="00B47DD9">
        <w:t xml:space="preserve"> Education Act 2002, s 122</w:t>
      </w:r>
      <w:r w:rsidR="002451EF" w:rsidRPr="00B47DD9">
        <w:t xml:space="preserve">. It is worth noting however, the increased flexibility given to governing bodies in the determination of teachers’ pay (for example the introduction of performance-related pay). For further details see Department for Education, ‘Reviewing and Revising your School’s Approach to Teachers Pay’ (August 2013) available at </w:t>
      </w:r>
      <w:hyperlink r:id="rId3" w:history="1">
        <w:r w:rsidR="002451EF" w:rsidRPr="00B47DD9">
          <w:rPr>
            <w:rStyle w:val="Hyperlink"/>
            <w:color w:val="2E74B5" w:themeColor="accent1" w:themeShade="BF"/>
          </w:rPr>
          <w:t>https://www.gov.uk/government/uploads/system/uploads/attachment_data/file/277766/130807_2013_stpcd_accompanying_advice_master_final.pdf</w:t>
        </w:r>
      </w:hyperlink>
      <w:r w:rsidR="002451EF" w:rsidRPr="00B47DD9">
        <w:t xml:space="preserve"> last accessed 24 June 2014 </w:t>
      </w:r>
    </w:p>
  </w:footnote>
  <w:footnote w:id="39">
    <w:p w:rsidR="005D7FAA" w:rsidRPr="005D7FAA" w:rsidRDefault="005D7FAA">
      <w:pPr>
        <w:pStyle w:val="FootnoteText"/>
      </w:pPr>
      <w:r>
        <w:rPr>
          <w:rStyle w:val="FootnoteReference"/>
        </w:rPr>
        <w:footnoteRef/>
      </w:r>
      <w:r>
        <w:t xml:space="preserve"> </w:t>
      </w:r>
      <w:r>
        <w:rPr>
          <w:i/>
        </w:rPr>
        <w:t xml:space="preserve">Rederiaktiebolaget Amphitrite v R </w:t>
      </w:r>
      <w:r>
        <w:t>[192</w:t>
      </w:r>
      <w:r w:rsidR="005810FF">
        <w:t>1] 3 KB 500. See discussion in  Deakin and</w:t>
      </w:r>
      <w:r>
        <w:t xml:space="preserve"> Morris (n</w:t>
      </w:r>
      <w:r w:rsidR="008F5CAD">
        <w:t xml:space="preserve"> 3</w:t>
      </w:r>
      <w:r>
        <w:t>) 192</w:t>
      </w:r>
    </w:p>
  </w:footnote>
  <w:footnote w:id="40">
    <w:p w:rsidR="006345D8" w:rsidRPr="006345D8" w:rsidRDefault="006345D8">
      <w:pPr>
        <w:pStyle w:val="FootnoteText"/>
      </w:pPr>
      <w:r>
        <w:rPr>
          <w:rStyle w:val="FootnoteReference"/>
        </w:rPr>
        <w:footnoteRef/>
      </w:r>
      <w:r>
        <w:t xml:space="preserve"> </w:t>
      </w:r>
      <w:r w:rsidRPr="006345D8">
        <w:rPr>
          <w:i/>
        </w:rPr>
        <w:t>R v Lord Chancellor’s Department ex p Nangle</w:t>
      </w:r>
      <w:r>
        <w:t xml:space="preserve"> [1991] IRLR 343</w:t>
      </w:r>
    </w:p>
  </w:footnote>
  <w:footnote w:id="41">
    <w:p w:rsidR="00DB11A7" w:rsidRPr="00DB11A7" w:rsidRDefault="00DB11A7">
      <w:pPr>
        <w:pStyle w:val="FootnoteText"/>
      </w:pPr>
      <w:r>
        <w:rPr>
          <w:rStyle w:val="FootnoteReference"/>
        </w:rPr>
        <w:footnoteRef/>
      </w:r>
      <w:r>
        <w:t xml:space="preserve"> </w:t>
      </w:r>
      <w:r>
        <w:rPr>
          <w:i/>
        </w:rPr>
        <w:t xml:space="preserve">Chief Constable of Lincolnshire Police v Stubbs </w:t>
      </w:r>
      <w:r>
        <w:t>[1999] ICR 547, para 552</w:t>
      </w:r>
    </w:p>
  </w:footnote>
  <w:footnote w:id="42">
    <w:p w:rsidR="00EF4F80" w:rsidRDefault="00EF4F80">
      <w:pPr>
        <w:pStyle w:val="FootnoteText"/>
      </w:pPr>
      <w:r>
        <w:rPr>
          <w:rStyle w:val="FootnoteReference"/>
        </w:rPr>
        <w:footnoteRef/>
      </w:r>
      <w:r>
        <w:t xml:space="preserve"> </w:t>
      </w:r>
      <w:r w:rsidR="00323DA5">
        <w:t xml:space="preserve">Morris (n </w:t>
      </w:r>
      <w:r w:rsidR="008F5CAD">
        <w:t>18</w:t>
      </w:r>
      <w:r w:rsidR="0078277A">
        <w:t>) 163</w:t>
      </w:r>
    </w:p>
  </w:footnote>
  <w:footnote w:id="43">
    <w:p w:rsidR="00B63031" w:rsidRDefault="00B63031">
      <w:pPr>
        <w:pStyle w:val="FootnoteText"/>
      </w:pPr>
      <w:r>
        <w:rPr>
          <w:rStyle w:val="FootnoteReference"/>
        </w:rPr>
        <w:footnoteRef/>
      </w:r>
      <w:r w:rsidR="00067ADD">
        <w:t xml:space="preserve"> A good example is provided by Registrars of births, deaths and marriages.</w:t>
      </w:r>
      <w:r>
        <w:t xml:space="preserve"> </w:t>
      </w:r>
      <w:r w:rsidR="0078277A">
        <w:t xml:space="preserve">The relevant law is found in </w:t>
      </w:r>
      <w:r w:rsidR="00982EE2">
        <w:t>Section 69 (1) Statistics and Registration Services Act 2007</w:t>
      </w:r>
      <w:r w:rsidR="0078277A">
        <w:t>, which</w:t>
      </w:r>
      <w:r w:rsidR="00982EE2">
        <w:t xml:space="preserve"> provides that</w:t>
      </w:r>
      <w:r w:rsidR="00596E41">
        <w:t xml:space="preserve"> ‘every person who immediately before commencement of this section hold a relevant office becomes an em</w:t>
      </w:r>
      <w:r w:rsidR="00067ADD">
        <w:t>ployee of the local authority’.</w:t>
      </w:r>
    </w:p>
  </w:footnote>
  <w:footnote w:id="44">
    <w:p w:rsidR="00B2508A" w:rsidRDefault="00B2508A" w:rsidP="00B2508A">
      <w:pPr>
        <w:pStyle w:val="FootnoteText"/>
      </w:pPr>
      <w:r>
        <w:rPr>
          <w:rStyle w:val="FootnoteReference"/>
        </w:rPr>
        <w:footnoteRef/>
      </w:r>
      <w:r>
        <w:t xml:space="preserve"> </w:t>
      </w:r>
      <w:r w:rsidRPr="00E81C7E">
        <w:rPr>
          <w:i/>
        </w:rPr>
        <w:t>Gordon McKinnon v The London Borough of Redbridge</w:t>
      </w:r>
      <w:r>
        <w:t xml:space="preserve"> [2014] EWCA Civ 178</w:t>
      </w:r>
    </w:p>
  </w:footnote>
  <w:footnote w:id="45">
    <w:p w:rsidR="00B2508A" w:rsidRDefault="00B2508A" w:rsidP="00B2508A">
      <w:pPr>
        <w:pStyle w:val="FootnoteText"/>
      </w:pPr>
      <w:r>
        <w:rPr>
          <w:rStyle w:val="FootnoteReference"/>
        </w:rPr>
        <w:footnoteRef/>
      </w:r>
      <w:r>
        <w:t xml:space="preserve"> The relevant law appears in section 77 of the Public Health Acts Amendment Acts 1907, which gives local authorities the powers to appoint officers to be sworn in as constables for the purposes of maintaining public health, and article 18 of the London Parks Order provided in Schedule 1 of the Ministry of Housing and Local Government Provisional Order Confirmation (Greater London Parks and Open Spaces) Act 1967.</w:t>
      </w:r>
    </w:p>
  </w:footnote>
  <w:footnote w:id="46">
    <w:p w:rsidR="00B2508A" w:rsidRPr="00B2508A" w:rsidRDefault="00B2508A">
      <w:pPr>
        <w:pStyle w:val="FootnoteText"/>
      </w:pPr>
      <w:r>
        <w:rPr>
          <w:rStyle w:val="FootnoteReference"/>
        </w:rPr>
        <w:footnoteRef/>
      </w:r>
      <w:r>
        <w:t xml:space="preserve"> </w:t>
      </w:r>
      <w:r>
        <w:rPr>
          <w:i/>
        </w:rPr>
        <w:t xml:space="preserve">Gordon McKinnon </w:t>
      </w:r>
      <w:r>
        <w:t>(n</w:t>
      </w:r>
      <w:r w:rsidR="008F5CAD">
        <w:t xml:space="preserve"> 44</w:t>
      </w:r>
      <w:r>
        <w:t>)</w:t>
      </w:r>
      <w:r w:rsidR="0078277A">
        <w:t xml:space="preserve"> para 68</w:t>
      </w:r>
    </w:p>
  </w:footnote>
  <w:footnote w:id="47">
    <w:p w:rsidR="0078277A" w:rsidRDefault="0078277A">
      <w:pPr>
        <w:pStyle w:val="FootnoteText"/>
      </w:pPr>
      <w:r>
        <w:rPr>
          <w:rStyle w:val="FootnoteReference"/>
        </w:rPr>
        <w:footnoteRef/>
      </w:r>
      <w:r>
        <w:t xml:space="preserve"> Ibid para 68</w:t>
      </w:r>
    </w:p>
  </w:footnote>
  <w:footnote w:id="48">
    <w:p w:rsidR="00B2508A" w:rsidRDefault="00B2508A" w:rsidP="00B2508A">
      <w:pPr>
        <w:pStyle w:val="FootnoteText"/>
      </w:pPr>
      <w:r>
        <w:rPr>
          <w:rStyle w:val="FootnoteReference"/>
        </w:rPr>
        <w:footnoteRef/>
      </w:r>
      <w:r>
        <w:t xml:space="preserve"> To that argument could also be added the contention that the exclusion of Parks Police on functional grounds does not sit well with the ability the Chief Officer of Police is able to grant police powers to civilians, so that those civilians can fulfil the same functions as police officers, but still maintain employment protection status.</w:t>
      </w:r>
    </w:p>
  </w:footnote>
  <w:footnote w:id="49">
    <w:p w:rsidR="0078277A" w:rsidRPr="0078277A" w:rsidRDefault="0078277A">
      <w:pPr>
        <w:pStyle w:val="FootnoteText"/>
      </w:pPr>
      <w:r>
        <w:rPr>
          <w:rStyle w:val="FootnoteReference"/>
        </w:rPr>
        <w:footnoteRef/>
      </w:r>
      <w:r>
        <w:t xml:space="preserve"> </w:t>
      </w:r>
      <w:r>
        <w:rPr>
          <w:i/>
        </w:rPr>
        <w:t xml:space="preserve">Gordon McKinnon </w:t>
      </w:r>
      <w:r w:rsidR="008F5CAD">
        <w:t>(n 44</w:t>
      </w:r>
      <w:r>
        <w:t>) 68</w:t>
      </w:r>
    </w:p>
  </w:footnote>
  <w:footnote w:id="50">
    <w:p w:rsidR="00083A38" w:rsidRDefault="00083A38">
      <w:pPr>
        <w:pStyle w:val="FootnoteText"/>
      </w:pPr>
      <w:r>
        <w:rPr>
          <w:rStyle w:val="FootnoteReference"/>
        </w:rPr>
        <w:footnoteRef/>
      </w:r>
      <w:r>
        <w:t xml:space="preserve"> [1983] ICR 221</w:t>
      </w:r>
    </w:p>
  </w:footnote>
  <w:footnote w:id="51">
    <w:p w:rsidR="00083A38" w:rsidRDefault="00083A38">
      <w:pPr>
        <w:pStyle w:val="FootnoteText"/>
      </w:pPr>
      <w:r>
        <w:rPr>
          <w:rStyle w:val="FootnoteReference"/>
        </w:rPr>
        <w:footnoteRef/>
      </w:r>
      <w:r>
        <w:t xml:space="preserve"> Ibid 228</w:t>
      </w:r>
    </w:p>
  </w:footnote>
  <w:footnote w:id="52">
    <w:p w:rsidR="003129BD" w:rsidRDefault="003129BD">
      <w:pPr>
        <w:pStyle w:val="FootnoteText"/>
      </w:pPr>
      <w:r>
        <w:rPr>
          <w:rStyle w:val="FootnoteReference"/>
        </w:rPr>
        <w:footnoteRef/>
      </w:r>
      <w:r>
        <w:t xml:space="preserve"> R Garnett, ‘State immunity in employment matters’ (1997) </w:t>
      </w:r>
      <w:r>
        <w:rPr>
          <w:i/>
        </w:rPr>
        <w:t xml:space="preserve">International and Comparative Law Quarterly </w:t>
      </w:r>
      <w:r>
        <w:t>81, 81</w:t>
      </w:r>
    </w:p>
  </w:footnote>
  <w:footnote w:id="53">
    <w:p w:rsidR="00083A38" w:rsidRPr="00083A38" w:rsidRDefault="00083A38">
      <w:pPr>
        <w:pStyle w:val="FootnoteText"/>
      </w:pPr>
      <w:r>
        <w:rPr>
          <w:rStyle w:val="FootnoteReference"/>
        </w:rPr>
        <w:footnoteRef/>
      </w:r>
      <w:r w:rsidR="003129BD">
        <w:t xml:space="preserve"> Ibid 82</w:t>
      </w:r>
    </w:p>
  </w:footnote>
  <w:footnote w:id="54">
    <w:p w:rsidR="003129BD" w:rsidRDefault="003129BD">
      <w:pPr>
        <w:pStyle w:val="FootnoteText"/>
      </w:pPr>
      <w:r>
        <w:rPr>
          <w:rStyle w:val="FootnoteReference"/>
        </w:rPr>
        <w:footnoteRef/>
      </w:r>
      <w:r>
        <w:t xml:space="preserve"> </w:t>
      </w:r>
      <w:r w:rsidRPr="003129BD">
        <w:rPr>
          <w:i/>
        </w:rPr>
        <w:t>Fogarty v United Kingdom</w:t>
      </w:r>
      <w:r>
        <w:t xml:space="preserve"> (2002) EHRR 12; </w:t>
      </w:r>
      <w:r w:rsidRPr="003129BD">
        <w:rPr>
          <w:i/>
        </w:rPr>
        <w:t>Cudak v Lithuania</w:t>
      </w:r>
      <w:r>
        <w:t xml:space="preserve"> (2010) EHRR 15</w:t>
      </w:r>
    </w:p>
  </w:footnote>
  <w:footnote w:id="55">
    <w:p w:rsidR="005105A0" w:rsidRDefault="005105A0">
      <w:pPr>
        <w:pStyle w:val="FootnoteText"/>
      </w:pPr>
      <w:r>
        <w:rPr>
          <w:rStyle w:val="FootnoteReference"/>
        </w:rPr>
        <w:footnoteRef/>
      </w:r>
      <w:r>
        <w:t xml:space="preserve"> </w:t>
      </w:r>
      <w:r w:rsidRPr="005105A0">
        <w:rPr>
          <w:i/>
        </w:rPr>
        <w:t xml:space="preserve">Ms F Benkarbouche v Embassy of the Republic of Sudan; Ms Janah v Libya </w:t>
      </w:r>
      <w:r>
        <w:t>(2013) WL 5336838</w:t>
      </w:r>
    </w:p>
  </w:footnote>
  <w:footnote w:id="56">
    <w:p w:rsidR="00AC5B04" w:rsidRPr="003129BD" w:rsidRDefault="00AC5B04">
      <w:pPr>
        <w:pStyle w:val="FootnoteText"/>
      </w:pPr>
      <w:r>
        <w:rPr>
          <w:rStyle w:val="FootnoteReference"/>
        </w:rPr>
        <w:footnoteRef/>
      </w:r>
      <w:r>
        <w:t xml:space="preserve"> </w:t>
      </w:r>
      <w:r w:rsidR="003129BD">
        <w:rPr>
          <w:i/>
        </w:rPr>
        <w:t xml:space="preserve">Fogarty </w:t>
      </w:r>
      <w:r w:rsidR="008F5CAD">
        <w:t>(n 54</w:t>
      </w:r>
      <w:r w:rsidR="003129BD">
        <w:t xml:space="preserve">); </w:t>
      </w:r>
      <w:r w:rsidR="003129BD">
        <w:rPr>
          <w:i/>
        </w:rPr>
        <w:t xml:space="preserve">Cudak </w:t>
      </w:r>
      <w:r w:rsidR="008F5CAD">
        <w:t>(n 54</w:t>
      </w:r>
      <w:r w:rsidR="003129BD">
        <w:t>)</w:t>
      </w:r>
    </w:p>
  </w:footnote>
  <w:footnote w:id="57">
    <w:p w:rsidR="00C54CB2" w:rsidRDefault="00C54CB2">
      <w:pPr>
        <w:pStyle w:val="FootnoteText"/>
      </w:pPr>
      <w:r>
        <w:rPr>
          <w:rStyle w:val="FootnoteReference"/>
        </w:rPr>
        <w:footnoteRef/>
      </w:r>
      <w:r>
        <w:t xml:space="preserve"> </w:t>
      </w:r>
      <w:r w:rsidR="003129BD">
        <w:rPr>
          <w:i/>
        </w:rPr>
        <w:t xml:space="preserve">Benkarbouche </w:t>
      </w:r>
      <w:r w:rsidR="008F5CAD">
        <w:t>(n 55</w:t>
      </w:r>
      <w:r w:rsidR="003129BD">
        <w:t xml:space="preserve">) </w:t>
      </w:r>
      <w:r>
        <w:t>para 33</w:t>
      </w:r>
    </w:p>
  </w:footnote>
  <w:footnote w:id="58">
    <w:p w:rsidR="003129BD" w:rsidRDefault="003129BD">
      <w:pPr>
        <w:pStyle w:val="FootnoteText"/>
      </w:pPr>
      <w:r>
        <w:rPr>
          <w:rStyle w:val="FootnoteReference"/>
        </w:rPr>
        <w:footnoteRef/>
      </w:r>
      <w:r>
        <w:t xml:space="preserve"> Case C-555/07, </w:t>
      </w:r>
      <w:r w:rsidRPr="00C53BFD">
        <w:rPr>
          <w:i/>
        </w:rPr>
        <w:t>Kücükdeveci v Swedex GmbH &amp; Co Limited</w:t>
      </w:r>
      <w:r>
        <w:t xml:space="preserve"> [2010] IRLR 346</w:t>
      </w:r>
    </w:p>
  </w:footnote>
  <w:footnote w:id="59">
    <w:p w:rsidR="001D46A6" w:rsidRDefault="001D46A6">
      <w:pPr>
        <w:pStyle w:val="FootnoteText"/>
      </w:pPr>
      <w:r>
        <w:rPr>
          <w:rStyle w:val="FootnoteReference"/>
        </w:rPr>
        <w:footnoteRef/>
      </w:r>
      <w:r>
        <w:t xml:space="preserve"> It should be noted however, that this case is currently subject to appeal given the sensitive and potentially wide-reaching nature of the findings. </w:t>
      </w:r>
    </w:p>
  </w:footnote>
  <w:footnote w:id="60">
    <w:p w:rsidR="00121D23" w:rsidRPr="006B535C" w:rsidRDefault="00121D23">
      <w:pPr>
        <w:pStyle w:val="FootnoteText"/>
      </w:pPr>
      <w:r>
        <w:rPr>
          <w:rStyle w:val="FootnoteReference"/>
        </w:rPr>
        <w:footnoteRef/>
      </w:r>
      <w:r>
        <w:t xml:space="preserve"> </w:t>
      </w:r>
      <w:r>
        <w:rPr>
          <w:rFonts w:eastAsia="Times New Roman" w:cs="Segoe UI"/>
          <w:lang w:eastAsia="en-GB"/>
        </w:rPr>
        <w:t>This jurisprudence provides that in relation to the applicability of Article 6 to public servants, there should not be blanket exclusion from rights. A functional approach should be adopted which assesses the nature of the employee’s duties and respon</w:t>
      </w:r>
      <w:r w:rsidR="006B535C">
        <w:rPr>
          <w:rFonts w:eastAsia="Times New Roman" w:cs="Segoe UI"/>
          <w:lang w:eastAsia="en-GB"/>
        </w:rPr>
        <w:t xml:space="preserve">sibilities. Where those duties </w:t>
      </w:r>
      <w:r>
        <w:rPr>
          <w:rFonts w:eastAsia="Times New Roman" w:cs="Segoe UI"/>
          <w:lang w:eastAsia="en-GB"/>
        </w:rPr>
        <w:t>typify the specific a</w:t>
      </w:r>
      <w:r w:rsidR="006B535C">
        <w:rPr>
          <w:rFonts w:eastAsia="Times New Roman" w:cs="Segoe UI"/>
          <w:lang w:eastAsia="en-GB"/>
        </w:rPr>
        <w:t>ctivities of the public service</w:t>
      </w:r>
      <w:r>
        <w:rPr>
          <w:rFonts w:eastAsia="Times New Roman" w:cs="Segoe UI"/>
          <w:lang w:eastAsia="en-GB"/>
        </w:rPr>
        <w:t xml:space="preserve"> then the employee will be excluded from scope of Article 6. Where an em</w:t>
      </w:r>
      <w:r w:rsidR="006B535C">
        <w:rPr>
          <w:rFonts w:eastAsia="Times New Roman" w:cs="Segoe UI"/>
          <w:lang w:eastAsia="en-GB"/>
        </w:rPr>
        <w:t xml:space="preserve">ployee’s post does not involve </w:t>
      </w:r>
      <w:r>
        <w:rPr>
          <w:rFonts w:eastAsia="Times New Roman" w:cs="Segoe UI"/>
          <w:lang w:eastAsia="en-GB"/>
        </w:rPr>
        <w:t xml:space="preserve">participation </w:t>
      </w:r>
      <w:r w:rsidR="006B535C">
        <w:rPr>
          <w:rFonts w:eastAsia="Times New Roman" w:cs="Segoe UI"/>
          <w:lang w:eastAsia="en-GB"/>
        </w:rPr>
        <w:t>in the exercise of public power</w:t>
      </w:r>
      <w:r>
        <w:rPr>
          <w:rFonts w:eastAsia="Times New Roman" w:cs="Segoe UI"/>
          <w:lang w:eastAsia="en-GB"/>
        </w:rPr>
        <w:t xml:space="preserve"> they will not be excluded.</w:t>
      </w:r>
      <w:r w:rsidR="006B535C">
        <w:rPr>
          <w:rFonts w:eastAsia="Times New Roman" w:cs="Segoe UI"/>
          <w:lang w:eastAsia="en-GB"/>
        </w:rPr>
        <w:t xml:space="preserve"> See </w:t>
      </w:r>
      <w:r w:rsidR="006B535C">
        <w:rPr>
          <w:rFonts w:eastAsia="Times New Roman" w:cs="Segoe UI"/>
          <w:i/>
          <w:lang w:eastAsia="en-GB"/>
        </w:rPr>
        <w:t xml:space="preserve">Pellegrin v France </w:t>
      </w:r>
      <w:r w:rsidR="00323DA5">
        <w:rPr>
          <w:rFonts w:eastAsia="Times New Roman" w:cs="Segoe UI"/>
          <w:lang w:eastAsia="en-GB"/>
        </w:rPr>
        <w:t>(n 31</w:t>
      </w:r>
      <w:r w:rsidR="006B535C">
        <w:rPr>
          <w:rFonts w:eastAsia="Times New Roman" w:cs="Segoe UI"/>
          <w:lang w:eastAsia="en-GB"/>
        </w:rPr>
        <w:t>)</w:t>
      </w:r>
    </w:p>
  </w:footnote>
  <w:footnote w:id="61">
    <w:p w:rsidR="006F295E" w:rsidRPr="006F295E" w:rsidRDefault="006F295E">
      <w:pPr>
        <w:pStyle w:val="FootnoteText"/>
      </w:pPr>
      <w:r>
        <w:rPr>
          <w:rStyle w:val="FootnoteReference"/>
        </w:rPr>
        <w:footnoteRef/>
      </w:r>
      <w:r>
        <w:t xml:space="preserve"> For example in the case of </w:t>
      </w:r>
      <w:r>
        <w:rPr>
          <w:i/>
        </w:rPr>
        <w:t xml:space="preserve">Devlin v United Kingdom </w:t>
      </w:r>
      <w:r>
        <w:t>(2002) 34 EHRR 43 an applicant for an administrative assistant post in the Northern Ireland civil service was permitted to bring a claim under Article 6. It was held that the post of administrative assistant could not be described as a post wh</w:t>
      </w:r>
      <w:r w:rsidR="00C53BFD">
        <w:t>ere the incumbent was wielding a portion of the State’s power</w:t>
      </w:r>
      <w:r>
        <w:t>.</w:t>
      </w:r>
    </w:p>
  </w:footnote>
  <w:footnote w:id="62">
    <w:p w:rsidR="002B14A9" w:rsidRDefault="002B14A9">
      <w:pPr>
        <w:pStyle w:val="FootnoteText"/>
      </w:pPr>
      <w:r>
        <w:rPr>
          <w:rStyle w:val="FootnoteReference"/>
        </w:rPr>
        <w:footnoteRef/>
      </w:r>
      <w:r>
        <w:t xml:space="preserve"> [2014] EWCA Civ 71</w:t>
      </w:r>
    </w:p>
  </w:footnote>
  <w:footnote w:id="63">
    <w:p w:rsidR="009941BC" w:rsidRDefault="009941BC">
      <w:pPr>
        <w:pStyle w:val="FootnoteText"/>
      </w:pPr>
      <w:r>
        <w:rPr>
          <w:rStyle w:val="FootnoteReference"/>
        </w:rPr>
        <w:footnoteRef/>
      </w:r>
      <w:r>
        <w:t xml:space="preserve"> [2013] ICR 603</w:t>
      </w:r>
    </w:p>
  </w:footnote>
  <w:footnote w:id="64">
    <w:p w:rsidR="001D46A6" w:rsidRDefault="001D46A6">
      <w:pPr>
        <w:pStyle w:val="FootnoteText"/>
      </w:pPr>
      <w:r>
        <w:rPr>
          <w:rStyle w:val="FootnoteReference"/>
        </w:rPr>
        <w:footnoteRef/>
      </w:r>
      <w:r>
        <w:t xml:space="preserve"> </w:t>
      </w:r>
      <w:r w:rsidRPr="001D46A6">
        <w:rPr>
          <w:i/>
        </w:rPr>
        <w:t>Mr Jarallah Al-Malki, Mrs Al-Malki v Ms Cherrylyn Rees, Ms Titin Suryadi</w:t>
      </w:r>
      <w:r>
        <w:t xml:space="preserve"> [2013] WL 5338237</w:t>
      </w:r>
    </w:p>
  </w:footnote>
  <w:footnote w:id="65">
    <w:p w:rsidR="001D46A6" w:rsidRDefault="001D46A6">
      <w:pPr>
        <w:pStyle w:val="FootnoteText"/>
      </w:pPr>
      <w:r>
        <w:rPr>
          <w:rStyle w:val="FootnoteReference"/>
        </w:rPr>
        <w:footnoteRef/>
      </w:r>
      <w:r>
        <w:t xml:space="preserve"> Ibid para 34</w:t>
      </w:r>
    </w:p>
  </w:footnote>
  <w:footnote w:id="66">
    <w:p w:rsidR="00275832" w:rsidRDefault="00275832" w:rsidP="00275832">
      <w:pPr>
        <w:pStyle w:val="FootnoteText"/>
      </w:pPr>
      <w:r>
        <w:rPr>
          <w:rStyle w:val="FootnoteReference"/>
        </w:rPr>
        <w:footnoteRef/>
      </w:r>
      <w:r>
        <w:t xml:space="preserve"> [1985] AC 374, para 401. </w:t>
      </w:r>
      <w:r>
        <w:rPr>
          <w:rFonts w:eastAsia="Times New Roman" w:cs="Segoe UI"/>
          <w:lang w:eastAsia="en-GB"/>
        </w:rPr>
        <w:t xml:space="preserve"> </w:t>
      </w:r>
    </w:p>
  </w:footnote>
  <w:footnote w:id="67">
    <w:p w:rsidR="00275832" w:rsidRPr="00235BED" w:rsidRDefault="00275832" w:rsidP="00275832">
      <w:pPr>
        <w:pStyle w:val="FootnoteText"/>
      </w:pPr>
      <w:r>
        <w:rPr>
          <w:rStyle w:val="FootnoteReference"/>
        </w:rPr>
        <w:footnoteRef/>
      </w:r>
      <w:r>
        <w:t xml:space="preserve"> P Craig, </w:t>
      </w:r>
      <w:r>
        <w:rPr>
          <w:i/>
        </w:rPr>
        <w:t xml:space="preserve">Administrative Law </w:t>
      </w:r>
      <w:r>
        <w:t>(Sweet and Maxwell, 7</w:t>
      </w:r>
      <w:r w:rsidRPr="00235BED">
        <w:rPr>
          <w:vertAlign w:val="superscript"/>
        </w:rPr>
        <w:t>th</w:t>
      </w:r>
      <w:r>
        <w:t xml:space="preserve"> edition 2013) 567</w:t>
      </w:r>
    </w:p>
  </w:footnote>
  <w:footnote w:id="68">
    <w:p w:rsidR="00275832" w:rsidRDefault="00275832" w:rsidP="00275832">
      <w:pPr>
        <w:pStyle w:val="FootnoteText"/>
      </w:pPr>
      <w:r>
        <w:rPr>
          <w:rStyle w:val="FootnoteReference"/>
        </w:rPr>
        <w:footnoteRef/>
      </w:r>
      <w:r w:rsidR="005810FF">
        <w:t xml:space="preserve"> GCHQ (n 66</w:t>
      </w:r>
      <w:r>
        <w:t>) para 401</w:t>
      </w:r>
    </w:p>
  </w:footnote>
  <w:footnote w:id="69">
    <w:p w:rsidR="00275832" w:rsidRPr="00F05C34" w:rsidRDefault="00275832" w:rsidP="00275832">
      <w:pPr>
        <w:pStyle w:val="FootnoteText"/>
      </w:pPr>
      <w:r>
        <w:rPr>
          <w:rStyle w:val="FootnoteReference"/>
        </w:rPr>
        <w:footnoteRef/>
      </w:r>
      <w:r>
        <w:t xml:space="preserve"> M O’Brien, ‘Judicial Review’ (</w:t>
      </w:r>
      <w:r w:rsidRPr="00C53BFD">
        <w:rPr>
          <w:i/>
        </w:rPr>
        <w:t>Insight</w:t>
      </w:r>
      <w:r w:rsidR="00C53BFD">
        <w:t xml:space="preserve">, 15 November 2013) </w:t>
      </w:r>
    </w:p>
  </w:footnote>
  <w:footnote w:id="70">
    <w:p w:rsidR="00275832" w:rsidRDefault="00275832" w:rsidP="00275832">
      <w:pPr>
        <w:pStyle w:val="FootnoteText"/>
      </w:pPr>
      <w:r>
        <w:rPr>
          <w:rStyle w:val="FootnoteReference"/>
        </w:rPr>
        <w:footnoteRef/>
      </w:r>
      <w:r>
        <w:t xml:space="preserve"> W Elliot, ‘Judicial Review: grounds’ (</w:t>
      </w:r>
      <w:r w:rsidRPr="00C53BFD">
        <w:rPr>
          <w:i/>
        </w:rPr>
        <w:t>Insight</w:t>
      </w:r>
      <w:r>
        <w:t xml:space="preserve">, 6 November 2013) </w:t>
      </w:r>
    </w:p>
  </w:footnote>
  <w:footnote w:id="71">
    <w:p w:rsidR="008B52A0" w:rsidRDefault="008B52A0" w:rsidP="008B52A0">
      <w:pPr>
        <w:pStyle w:val="FootnoteText"/>
      </w:pPr>
      <w:r>
        <w:rPr>
          <w:rStyle w:val="FootnoteReference"/>
        </w:rPr>
        <w:footnoteRef/>
      </w:r>
      <w:r>
        <w:t xml:space="preserve"> Generally speaking, a public authority’s contracting powers are widely given and broadly construed. </w:t>
      </w:r>
      <w:r w:rsidR="00323DA5">
        <w:rPr>
          <w:rFonts w:eastAsia="Times New Roman" w:cs="Segoe UI"/>
          <w:lang w:eastAsia="en-GB"/>
        </w:rPr>
        <w:t>For example,</w:t>
      </w:r>
      <w:r>
        <w:rPr>
          <w:rFonts w:eastAsia="Times New Roman" w:cs="Segoe UI"/>
          <w:lang w:eastAsia="en-GB"/>
        </w:rPr>
        <w:t xml:space="preserve"> section 111 (1) of the</w:t>
      </w:r>
      <w:r w:rsidR="00323DA5">
        <w:rPr>
          <w:rFonts w:eastAsia="Times New Roman" w:cs="Segoe UI"/>
          <w:lang w:eastAsia="en-GB"/>
        </w:rPr>
        <w:t xml:space="preserve"> Local Government Act 1972</w:t>
      </w:r>
      <w:r>
        <w:rPr>
          <w:rFonts w:eastAsia="Times New Roman" w:cs="Segoe UI"/>
          <w:lang w:eastAsia="en-GB"/>
        </w:rPr>
        <w:t xml:space="preserve"> provides that ‘..a local authority shall have power to do any thing (whether or not involving the expenditure, borrowing or lending of money or the acquisition or disposal of any property or rights) which is calculated to facilitate, or is conducive or incidental to, the discharge of any of their functions.’</w:t>
      </w:r>
    </w:p>
  </w:footnote>
  <w:footnote w:id="72">
    <w:p w:rsidR="00275832" w:rsidRDefault="00275832" w:rsidP="00275832">
      <w:pPr>
        <w:pStyle w:val="FootnoteText"/>
      </w:pPr>
      <w:r>
        <w:rPr>
          <w:rStyle w:val="FootnoteReference"/>
        </w:rPr>
        <w:footnoteRef/>
      </w:r>
      <w:r>
        <w:t xml:space="preserve"> A C L Davies (n</w:t>
      </w:r>
      <w:r w:rsidR="008F5CAD">
        <w:t xml:space="preserve"> 7</w:t>
      </w:r>
      <w:r>
        <w:t>)</w:t>
      </w:r>
      <w:r w:rsidR="00C53BFD">
        <w:t xml:space="preserve"> 101</w:t>
      </w:r>
    </w:p>
  </w:footnote>
  <w:footnote w:id="73">
    <w:p w:rsidR="00275832" w:rsidRDefault="00275832" w:rsidP="00275832">
      <w:pPr>
        <w:pStyle w:val="FootnoteText"/>
      </w:pPr>
      <w:r>
        <w:rPr>
          <w:rStyle w:val="FootnoteReference"/>
        </w:rPr>
        <w:footnoteRef/>
      </w:r>
      <w:r>
        <w:t xml:space="preserve"> Rose Gibb v Maidstone &amp; Tunbridge Wells NHS Trust [2010] EWCA Civ 678</w:t>
      </w:r>
    </w:p>
  </w:footnote>
  <w:footnote w:id="74">
    <w:p w:rsidR="00275832" w:rsidRDefault="00275832" w:rsidP="00275832">
      <w:pPr>
        <w:pStyle w:val="FootnoteText"/>
      </w:pPr>
      <w:r>
        <w:rPr>
          <w:rStyle w:val="FootnoteReference"/>
        </w:rPr>
        <w:footnoteRef/>
      </w:r>
      <w:r>
        <w:t xml:space="preserve"> </w:t>
      </w:r>
      <w:r w:rsidRPr="0044009A">
        <w:rPr>
          <w:i/>
        </w:rPr>
        <w:t>Associated Provincial Picture Houses Ltd v Wednesbury Corp</w:t>
      </w:r>
      <w:r>
        <w:t xml:space="preserve"> [1948] 1 KB 223, para 230</w:t>
      </w:r>
    </w:p>
  </w:footnote>
  <w:footnote w:id="75">
    <w:p w:rsidR="00275832" w:rsidRPr="009E2212" w:rsidRDefault="00275832" w:rsidP="00275832">
      <w:pPr>
        <w:pStyle w:val="FootnoteText"/>
      </w:pPr>
      <w:r>
        <w:rPr>
          <w:rStyle w:val="FootnoteReference"/>
        </w:rPr>
        <w:footnoteRef/>
      </w:r>
      <w:r>
        <w:t xml:space="preserve"> The approach in</w:t>
      </w:r>
      <w:r w:rsidRPr="00C655E0">
        <w:rPr>
          <w:i/>
        </w:rPr>
        <w:t xml:space="preserve"> </w:t>
      </w:r>
      <w:r w:rsidRPr="00513AD8">
        <w:rPr>
          <w:i/>
        </w:rPr>
        <w:t>Andrew Crosbie v Secretary of State for Defence</w:t>
      </w:r>
      <w:r>
        <w:t xml:space="preserve"> [2011] EWHC 879 (Admin) is illustrative (discussed in more detail below). In that case it was consistently pointed out by the Court that any claim of irrationality did not allow it to interfere in the Army board’s decision. For example, in relation to the Claimant’s drunken behaviour as a factor in the dismissal, the Court stated (at para 68) that ‘it was a matter which the Army Board itself could properly take into account. Doing so was not contrary to the earlier decision. Doing so did not make the decision irrational’.</w:t>
      </w:r>
    </w:p>
  </w:footnote>
  <w:footnote w:id="76">
    <w:p w:rsidR="00275832" w:rsidRPr="00C53BFD" w:rsidRDefault="00275832" w:rsidP="00275832">
      <w:pPr>
        <w:pStyle w:val="FootnoteText"/>
      </w:pPr>
      <w:r>
        <w:rPr>
          <w:rStyle w:val="FootnoteReference"/>
        </w:rPr>
        <w:footnoteRef/>
      </w:r>
      <w:r>
        <w:t xml:space="preserve"> </w:t>
      </w:r>
      <w:r w:rsidR="00C53BFD">
        <w:rPr>
          <w:i/>
        </w:rPr>
        <w:t xml:space="preserve">Hampshire </w:t>
      </w:r>
      <w:r w:rsidR="008F5CAD">
        <w:t>(n 24</w:t>
      </w:r>
      <w:r w:rsidR="00C53BFD">
        <w:t>)</w:t>
      </w:r>
    </w:p>
  </w:footnote>
  <w:footnote w:id="77">
    <w:p w:rsidR="008873FE" w:rsidRPr="008873FE" w:rsidRDefault="008873FE">
      <w:pPr>
        <w:pStyle w:val="FootnoteText"/>
        <w:rPr>
          <w:color w:val="FF0000"/>
        </w:rPr>
      </w:pPr>
      <w:r>
        <w:rPr>
          <w:rStyle w:val="FootnoteReference"/>
        </w:rPr>
        <w:footnoteRef/>
      </w:r>
      <w:r>
        <w:t xml:space="preserve"> </w:t>
      </w:r>
      <w:r w:rsidRPr="00BF18F8">
        <w:t>The Police Appeals Tribunal Rules</w:t>
      </w:r>
      <w:r w:rsidR="00640F3A">
        <w:t xml:space="preserve"> have recently been superseded by the</w:t>
      </w:r>
      <w:r w:rsidRPr="00BF18F8">
        <w:t xml:space="preserve"> Police Appeals Tribunal Rules 2012. </w:t>
      </w:r>
    </w:p>
  </w:footnote>
  <w:footnote w:id="78">
    <w:p w:rsidR="00275832" w:rsidRDefault="00275832" w:rsidP="00275832">
      <w:pPr>
        <w:pStyle w:val="FootnoteText"/>
      </w:pPr>
      <w:r>
        <w:rPr>
          <w:rStyle w:val="FootnoteReference"/>
        </w:rPr>
        <w:footnoteRef/>
      </w:r>
      <w:r>
        <w:t xml:space="preserve"> Ibid para 25</w:t>
      </w:r>
    </w:p>
  </w:footnote>
  <w:footnote w:id="79">
    <w:p w:rsidR="00275832" w:rsidRDefault="00275832" w:rsidP="00275832">
      <w:pPr>
        <w:pStyle w:val="FootnoteText"/>
      </w:pPr>
      <w:r>
        <w:rPr>
          <w:rStyle w:val="FootnoteReference"/>
        </w:rPr>
        <w:footnoteRef/>
      </w:r>
      <w:r>
        <w:t xml:space="preserve"> </w:t>
      </w:r>
      <w:r w:rsidRPr="00B0633C">
        <w:rPr>
          <w:i/>
        </w:rPr>
        <w:t>Great Northern Eastern Railway Limited v Office of Rail Regulation</w:t>
      </w:r>
      <w:r>
        <w:t xml:space="preserve"> [2006] EWHC 1942 (Admin)</w:t>
      </w:r>
    </w:p>
  </w:footnote>
  <w:footnote w:id="80">
    <w:p w:rsidR="00275832" w:rsidRDefault="00275832" w:rsidP="00275832">
      <w:pPr>
        <w:pStyle w:val="FootnoteText"/>
      </w:pPr>
      <w:r>
        <w:rPr>
          <w:rStyle w:val="FootnoteReference"/>
        </w:rPr>
        <w:footnoteRef/>
      </w:r>
      <w:r w:rsidR="00C53BFD">
        <w:t xml:space="preserve"> </w:t>
      </w:r>
      <w:r w:rsidR="00C53BFD">
        <w:rPr>
          <w:i/>
        </w:rPr>
        <w:t xml:space="preserve">Derbyshire </w:t>
      </w:r>
      <w:r w:rsidR="008F5CAD">
        <w:t>(n 24</w:t>
      </w:r>
      <w:r>
        <w:t xml:space="preserve">) </w:t>
      </w:r>
    </w:p>
  </w:footnote>
  <w:footnote w:id="81">
    <w:p w:rsidR="00C53BFD" w:rsidRDefault="00C53BFD">
      <w:pPr>
        <w:pStyle w:val="FootnoteText"/>
      </w:pPr>
      <w:r>
        <w:rPr>
          <w:rStyle w:val="FootnoteReference"/>
        </w:rPr>
        <w:footnoteRef/>
      </w:r>
      <w:r>
        <w:t xml:space="preserve"> Ibid para 37</w:t>
      </w:r>
    </w:p>
  </w:footnote>
  <w:footnote w:id="82">
    <w:p w:rsidR="00275832" w:rsidRDefault="00275832" w:rsidP="00275832">
      <w:pPr>
        <w:pStyle w:val="FootnoteText"/>
      </w:pPr>
      <w:r>
        <w:rPr>
          <w:rStyle w:val="FootnoteReference"/>
        </w:rPr>
        <w:footnoteRef/>
      </w:r>
      <w:r>
        <w:t xml:space="preserve"> Craig (n</w:t>
      </w:r>
      <w:r w:rsidR="005810FF">
        <w:t xml:space="preserve"> 67</w:t>
      </w:r>
      <w:r>
        <w:t>) 339</w:t>
      </w:r>
    </w:p>
  </w:footnote>
  <w:footnote w:id="83">
    <w:p w:rsidR="00275832" w:rsidRDefault="00275832" w:rsidP="00275832">
      <w:pPr>
        <w:pStyle w:val="FootnoteText"/>
      </w:pPr>
      <w:r>
        <w:rPr>
          <w:rStyle w:val="FootnoteReference"/>
        </w:rPr>
        <w:footnoteRef/>
      </w:r>
      <w:r>
        <w:t xml:space="preserve"> The Police (Conduct) Regulations 2008, Regulation 21 provides the requirement for such a notice as follows: ‘Where a case is referred to misconduct proceedings, the appropriate authority shall as soon as practicable given the officer concerned (a) written notice of (i) the referral (ii) the conduct that is the subject matter of the case and how that conduct is alleged to amount to misconduct or gross misconduct as the case may be’.</w:t>
      </w:r>
    </w:p>
  </w:footnote>
  <w:footnote w:id="84">
    <w:p w:rsidR="00275832" w:rsidRPr="00C655E0" w:rsidRDefault="00275832" w:rsidP="00275832">
      <w:pPr>
        <w:pStyle w:val="FootnoteText"/>
      </w:pPr>
      <w:r>
        <w:rPr>
          <w:rStyle w:val="FootnoteReference"/>
        </w:rPr>
        <w:footnoteRef/>
      </w:r>
      <w:r>
        <w:t xml:space="preserve"> </w:t>
      </w:r>
      <w:r>
        <w:rPr>
          <w:i/>
        </w:rPr>
        <w:t xml:space="preserve">Crosbie </w:t>
      </w:r>
      <w:r>
        <w:t>(</w:t>
      </w:r>
      <w:r w:rsidR="005810FF">
        <w:t>n 75</w:t>
      </w:r>
      <w:r>
        <w:t xml:space="preserve">) </w:t>
      </w:r>
    </w:p>
  </w:footnote>
  <w:footnote w:id="85">
    <w:p w:rsidR="00275832" w:rsidRDefault="00275832" w:rsidP="00275832">
      <w:pPr>
        <w:pStyle w:val="FootnoteText"/>
      </w:pPr>
      <w:r>
        <w:rPr>
          <w:rStyle w:val="FootnoteReference"/>
        </w:rPr>
        <w:footnoteRef/>
      </w:r>
      <w:r>
        <w:t xml:space="preserve"> </w:t>
      </w:r>
      <w:r w:rsidRPr="00275832">
        <w:rPr>
          <w:i/>
        </w:rPr>
        <w:t>The Queen (on the application of) Sharon Shoesmith v Ofstead &amp; Ors</w:t>
      </w:r>
      <w:r>
        <w:t xml:space="preserve"> [2011] EWCA Civ 642</w:t>
      </w:r>
    </w:p>
  </w:footnote>
  <w:footnote w:id="86">
    <w:p w:rsidR="00275832" w:rsidRDefault="00275832" w:rsidP="00275832">
      <w:pPr>
        <w:pStyle w:val="FootnoteText"/>
      </w:pPr>
      <w:r>
        <w:rPr>
          <w:rStyle w:val="FootnoteReference"/>
        </w:rPr>
        <w:footnoteRef/>
      </w:r>
      <w:r>
        <w:t xml:space="preserve"> Section 497 (4B) states that ‘The Secretary of State may under this subsection …give the authority or an officer of the authority such other directions as the Secretary of State thinks expedient for the purpose of securing that the function is performed to an adequate standard.’</w:t>
      </w:r>
    </w:p>
  </w:footnote>
  <w:footnote w:id="87">
    <w:p w:rsidR="00275832" w:rsidRPr="00275832" w:rsidRDefault="00275832">
      <w:pPr>
        <w:pStyle w:val="FootnoteText"/>
      </w:pPr>
      <w:r>
        <w:rPr>
          <w:rStyle w:val="FootnoteReference"/>
        </w:rPr>
        <w:footnoteRef/>
      </w:r>
      <w:r>
        <w:t xml:space="preserve"> </w:t>
      </w:r>
      <w:r w:rsidR="005E3516">
        <w:rPr>
          <w:i/>
        </w:rPr>
        <w:t xml:space="preserve">R </w:t>
      </w:r>
      <w:r w:rsidR="00725361">
        <w:rPr>
          <w:i/>
        </w:rPr>
        <w:t xml:space="preserve">(on the application of Shoesmith) v Ofsted </w:t>
      </w:r>
      <w:r w:rsidR="00725361">
        <w:t>[2010] EWHC 852,</w:t>
      </w:r>
      <w:r>
        <w:t xml:space="preserve"> para</w:t>
      </w:r>
      <w:r w:rsidR="00725361">
        <w:t xml:space="preserve"> 387</w:t>
      </w:r>
      <w:r>
        <w:t xml:space="preserve"> </w:t>
      </w:r>
    </w:p>
  </w:footnote>
  <w:footnote w:id="88">
    <w:p w:rsidR="00725361" w:rsidRPr="00725361" w:rsidRDefault="00725361">
      <w:pPr>
        <w:pStyle w:val="FootnoteText"/>
      </w:pPr>
      <w:r>
        <w:rPr>
          <w:rStyle w:val="FootnoteReference"/>
        </w:rPr>
        <w:footnoteRef/>
      </w:r>
      <w:r>
        <w:t xml:space="preserve"> </w:t>
      </w:r>
      <w:r w:rsidR="001E428B">
        <w:rPr>
          <w:i/>
        </w:rPr>
        <w:t xml:space="preserve">Shoesmith </w:t>
      </w:r>
      <w:r w:rsidR="005810FF">
        <w:t>(n 85</w:t>
      </w:r>
      <w:r w:rsidR="001E428B">
        <w:t>)</w:t>
      </w:r>
      <w:r>
        <w:t xml:space="preserve"> para 60</w:t>
      </w:r>
    </w:p>
  </w:footnote>
  <w:footnote w:id="89">
    <w:p w:rsidR="00725361" w:rsidRDefault="00725361">
      <w:pPr>
        <w:pStyle w:val="FootnoteText"/>
      </w:pPr>
      <w:r>
        <w:rPr>
          <w:rStyle w:val="FootnoteReference"/>
        </w:rPr>
        <w:footnoteRef/>
      </w:r>
      <w:r>
        <w:t xml:space="preserve"> Ibid para 65</w:t>
      </w:r>
    </w:p>
  </w:footnote>
  <w:footnote w:id="90">
    <w:p w:rsidR="007B486A" w:rsidRPr="007B486A" w:rsidRDefault="007B486A">
      <w:pPr>
        <w:pStyle w:val="FootnoteText"/>
      </w:pPr>
      <w:r>
        <w:rPr>
          <w:rStyle w:val="FootnoteReference"/>
        </w:rPr>
        <w:footnoteRef/>
      </w:r>
      <w:r>
        <w:t xml:space="preserve"> Ibid para 77 quoting Reid L in </w:t>
      </w:r>
      <w:r>
        <w:rPr>
          <w:i/>
        </w:rPr>
        <w:t xml:space="preserve">Ridge v Baldwin </w:t>
      </w:r>
      <w:r w:rsidR="008F5CAD">
        <w:t>(n 13</w:t>
      </w:r>
      <w:r>
        <w:t xml:space="preserve">) 66 </w:t>
      </w:r>
    </w:p>
  </w:footnote>
  <w:footnote w:id="91">
    <w:p w:rsidR="00275832" w:rsidRDefault="00275832">
      <w:pPr>
        <w:pStyle w:val="FootnoteText"/>
      </w:pPr>
      <w:r>
        <w:rPr>
          <w:rStyle w:val="FootnoteReference"/>
        </w:rPr>
        <w:footnoteRef/>
      </w:r>
      <w:r>
        <w:t xml:space="preserve"> </w:t>
      </w:r>
      <w:r w:rsidRPr="00AF54E0">
        <w:rPr>
          <w:i/>
        </w:rPr>
        <w:t>McLaug</w:t>
      </w:r>
      <w:r w:rsidR="006C73DC">
        <w:rPr>
          <w:i/>
        </w:rPr>
        <w:t>h</w:t>
      </w:r>
      <w:r w:rsidRPr="00AF54E0">
        <w:rPr>
          <w:i/>
        </w:rPr>
        <w:t>lin v Governor of the Cayman Islands</w:t>
      </w:r>
      <w:r>
        <w:t xml:space="preserve"> [2007] 1 WLR 2839</w:t>
      </w:r>
    </w:p>
  </w:footnote>
  <w:footnote w:id="92">
    <w:p w:rsidR="00275832" w:rsidRDefault="00275832">
      <w:pPr>
        <w:pStyle w:val="FootnoteText"/>
      </w:pPr>
      <w:r>
        <w:rPr>
          <w:rStyle w:val="FootnoteReference"/>
        </w:rPr>
        <w:footnoteRef/>
      </w:r>
      <w:r>
        <w:t xml:space="preserve"> Ibi</w:t>
      </w:r>
      <w:r w:rsidR="001E428B">
        <w:t>d</w:t>
      </w:r>
      <w:r>
        <w:t xml:space="preserve"> para 14</w:t>
      </w:r>
    </w:p>
  </w:footnote>
  <w:footnote w:id="93">
    <w:p w:rsidR="00EB058E" w:rsidRDefault="00EB058E">
      <w:pPr>
        <w:pStyle w:val="FootnoteText"/>
      </w:pPr>
      <w:r>
        <w:rPr>
          <w:rStyle w:val="FootnoteReference"/>
        </w:rPr>
        <w:footnoteRef/>
      </w:r>
      <w:r>
        <w:t xml:space="preserve"> Laws</w:t>
      </w:r>
      <w:r w:rsidR="008F5CAD">
        <w:t xml:space="preserve"> (n 8</w:t>
      </w:r>
      <w:r w:rsidR="0076146B">
        <w:t>) 466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BE24C8"/>
    <w:multiLevelType w:val="hybridMultilevel"/>
    <w:tmpl w:val="89BC69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EBD4FDD"/>
    <w:multiLevelType w:val="hybridMultilevel"/>
    <w:tmpl w:val="965CC9D0"/>
    <w:lvl w:ilvl="0" w:tplc="C11CCF62">
      <w:start w:val="2"/>
      <w:numFmt w:val="bullet"/>
      <w:lvlText w:val="-"/>
      <w:lvlJc w:val="left"/>
      <w:pPr>
        <w:ind w:left="720" w:hanging="360"/>
      </w:pPr>
      <w:rPr>
        <w:rFonts w:ascii="Calibri" w:eastAsia="Times New Roman" w:hAnsi="Calibr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5FB1652"/>
    <w:multiLevelType w:val="hybridMultilevel"/>
    <w:tmpl w:val="E228AB8A"/>
    <w:lvl w:ilvl="0" w:tplc="0809000F">
      <w:start w:val="1"/>
      <w:numFmt w:val="decimal"/>
      <w:lvlText w:val="%1."/>
      <w:lvlJc w:val="left"/>
      <w:pPr>
        <w:ind w:left="765" w:hanging="360"/>
      </w:p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3" w15:restartNumberingAfterBreak="0">
    <w:nsid w:val="39F123E2"/>
    <w:multiLevelType w:val="hybridMultilevel"/>
    <w:tmpl w:val="9D0691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D917F88"/>
    <w:multiLevelType w:val="hybridMultilevel"/>
    <w:tmpl w:val="1D7EEBB8"/>
    <w:lvl w:ilvl="0" w:tplc="AE601746">
      <w:start w:val="1"/>
      <w:numFmt w:val="decimal"/>
      <w:lvlText w:val="%1."/>
      <w:lvlJc w:val="left"/>
      <w:pPr>
        <w:ind w:left="720" w:hanging="360"/>
      </w:pPr>
      <w:rPr>
        <w:rFonts w:asciiTheme="minorHAnsi" w:hAnsiTheme="minorHAnsi"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93B77F0"/>
    <w:multiLevelType w:val="hybridMultilevel"/>
    <w:tmpl w:val="210C2E48"/>
    <w:lvl w:ilvl="0" w:tplc="C8502EF8">
      <w:start w:val="1"/>
      <w:numFmt w:val="decimal"/>
      <w:lvlText w:val="%1."/>
      <w:lvlJc w:val="left"/>
      <w:pPr>
        <w:ind w:left="720" w:hanging="360"/>
      </w:pPr>
      <w:rPr>
        <w:rFonts w:asciiTheme="minorHAnsi" w:hAnsiTheme="minorHAnsi"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5E4251C"/>
    <w:multiLevelType w:val="hybridMultilevel"/>
    <w:tmpl w:val="D6F89E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5"/>
  </w:num>
  <w:num w:numId="5">
    <w:abstractNumId w:val="1"/>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3AB"/>
    <w:rsid w:val="0000018A"/>
    <w:rsid w:val="00012859"/>
    <w:rsid w:val="00067ADD"/>
    <w:rsid w:val="00076CF7"/>
    <w:rsid w:val="00080F80"/>
    <w:rsid w:val="00083A38"/>
    <w:rsid w:val="000A013B"/>
    <w:rsid w:val="000B1A2B"/>
    <w:rsid w:val="000B6220"/>
    <w:rsid w:val="000C7A5A"/>
    <w:rsid w:val="000E6C13"/>
    <w:rsid w:val="000F6358"/>
    <w:rsid w:val="00100A24"/>
    <w:rsid w:val="0010164D"/>
    <w:rsid w:val="001071D1"/>
    <w:rsid w:val="00120ABC"/>
    <w:rsid w:val="00121C06"/>
    <w:rsid w:val="00121D23"/>
    <w:rsid w:val="00152892"/>
    <w:rsid w:val="00163E22"/>
    <w:rsid w:val="00175574"/>
    <w:rsid w:val="00181F08"/>
    <w:rsid w:val="00185BA3"/>
    <w:rsid w:val="00187075"/>
    <w:rsid w:val="00190A1A"/>
    <w:rsid w:val="00191C32"/>
    <w:rsid w:val="00196111"/>
    <w:rsid w:val="001A6101"/>
    <w:rsid w:val="001B25C7"/>
    <w:rsid w:val="001B2800"/>
    <w:rsid w:val="001C1F11"/>
    <w:rsid w:val="001D3896"/>
    <w:rsid w:val="001D46A6"/>
    <w:rsid w:val="001E126D"/>
    <w:rsid w:val="001E428B"/>
    <w:rsid w:val="001F5FA3"/>
    <w:rsid w:val="001F6338"/>
    <w:rsid w:val="001F70B2"/>
    <w:rsid w:val="001F71C1"/>
    <w:rsid w:val="00205DD6"/>
    <w:rsid w:val="00216590"/>
    <w:rsid w:val="002232DD"/>
    <w:rsid w:val="00235BED"/>
    <w:rsid w:val="00242A56"/>
    <w:rsid w:val="002451EF"/>
    <w:rsid w:val="00257DEE"/>
    <w:rsid w:val="00263E77"/>
    <w:rsid w:val="00265513"/>
    <w:rsid w:val="00275832"/>
    <w:rsid w:val="00276F22"/>
    <w:rsid w:val="00286206"/>
    <w:rsid w:val="00287CB2"/>
    <w:rsid w:val="002949CF"/>
    <w:rsid w:val="0029671C"/>
    <w:rsid w:val="002A5767"/>
    <w:rsid w:val="002A6F9F"/>
    <w:rsid w:val="002A7E36"/>
    <w:rsid w:val="002B14A9"/>
    <w:rsid w:val="002B274A"/>
    <w:rsid w:val="002B7EC8"/>
    <w:rsid w:val="002C73CA"/>
    <w:rsid w:val="002E3555"/>
    <w:rsid w:val="002F2850"/>
    <w:rsid w:val="002F2E87"/>
    <w:rsid w:val="002F65E7"/>
    <w:rsid w:val="002F7C32"/>
    <w:rsid w:val="003067D2"/>
    <w:rsid w:val="003129BD"/>
    <w:rsid w:val="00317A0F"/>
    <w:rsid w:val="00323DA5"/>
    <w:rsid w:val="00324874"/>
    <w:rsid w:val="0033582D"/>
    <w:rsid w:val="00350407"/>
    <w:rsid w:val="003540E6"/>
    <w:rsid w:val="00354756"/>
    <w:rsid w:val="00371BD4"/>
    <w:rsid w:val="003745CB"/>
    <w:rsid w:val="00375402"/>
    <w:rsid w:val="00386D11"/>
    <w:rsid w:val="003923BD"/>
    <w:rsid w:val="00392540"/>
    <w:rsid w:val="00392F35"/>
    <w:rsid w:val="003A02CA"/>
    <w:rsid w:val="003A10E4"/>
    <w:rsid w:val="003A5DA9"/>
    <w:rsid w:val="003B5D3D"/>
    <w:rsid w:val="003C0F24"/>
    <w:rsid w:val="003D360A"/>
    <w:rsid w:val="003D40F6"/>
    <w:rsid w:val="00403E45"/>
    <w:rsid w:val="004128D4"/>
    <w:rsid w:val="0041380B"/>
    <w:rsid w:val="00417099"/>
    <w:rsid w:val="00417955"/>
    <w:rsid w:val="004219B0"/>
    <w:rsid w:val="00426879"/>
    <w:rsid w:val="004364F5"/>
    <w:rsid w:val="0044009A"/>
    <w:rsid w:val="0044247F"/>
    <w:rsid w:val="00445874"/>
    <w:rsid w:val="004523EC"/>
    <w:rsid w:val="00460418"/>
    <w:rsid w:val="00464028"/>
    <w:rsid w:val="0047012E"/>
    <w:rsid w:val="0047652A"/>
    <w:rsid w:val="004A146A"/>
    <w:rsid w:val="004A39E0"/>
    <w:rsid w:val="004A5E48"/>
    <w:rsid w:val="004A6A1A"/>
    <w:rsid w:val="004C263F"/>
    <w:rsid w:val="004C48CE"/>
    <w:rsid w:val="004C7906"/>
    <w:rsid w:val="004C7E2A"/>
    <w:rsid w:val="004D3A87"/>
    <w:rsid w:val="004E157F"/>
    <w:rsid w:val="004E703A"/>
    <w:rsid w:val="004F2AD3"/>
    <w:rsid w:val="004F70EF"/>
    <w:rsid w:val="005035D3"/>
    <w:rsid w:val="005103DC"/>
    <w:rsid w:val="005105A0"/>
    <w:rsid w:val="00513AD8"/>
    <w:rsid w:val="00520C80"/>
    <w:rsid w:val="00527CE4"/>
    <w:rsid w:val="0053198E"/>
    <w:rsid w:val="00554817"/>
    <w:rsid w:val="00556006"/>
    <w:rsid w:val="005626BC"/>
    <w:rsid w:val="0056602A"/>
    <w:rsid w:val="005671DD"/>
    <w:rsid w:val="005740F0"/>
    <w:rsid w:val="00575CED"/>
    <w:rsid w:val="005810FF"/>
    <w:rsid w:val="00581E04"/>
    <w:rsid w:val="00585E2A"/>
    <w:rsid w:val="0059082C"/>
    <w:rsid w:val="00590EC1"/>
    <w:rsid w:val="005957CB"/>
    <w:rsid w:val="00596E41"/>
    <w:rsid w:val="005C1150"/>
    <w:rsid w:val="005C19FB"/>
    <w:rsid w:val="005C342A"/>
    <w:rsid w:val="005D16E5"/>
    <w:rsid w:val="005D7FAA"/>
    <w:rsid w:val="005E3516"/>
    <w:rsid w:val="00606231"/>
    <w:rsid w:val="006104CD"/>
    <w:rsid w:val="00612089"/>
    <w:rsid w:val="006157C1"/>
    <w:rsid w:val="00617BD7"/>
    <w:rsid w:val="00620B7E"/>
    <w:rsid w:val="00620E3A"/>
    <w:rsid w:val="00625401"/>
    <w:rsid w:val="00626719"/>
    <w:rsid w:val="0063207F"/>
    <w:rsid w:val="00632B6D"/>
    <w:rsid w:val="006345D8"/>
    <w:rsid w:val="006409AC"/>
    <w:rsid w:val="00640F3A"/>
    <w:rsid w:val="00646E9F"/>
    <w:rsid w:val="00652B1B"/>
    <w:rsid w:val="00660C68"/>
    <w:rsid w:val="00670345"/>
    <w:rsid w:val="00672FF7"/>
    <w:rsid w:val="00683D85"/>
    <w:rsid w:val="00687B80"/>
    <w:rsid w:val="006952E4"/>
    <w:rsid w:val="006B3F7F"/>
    <w:rsid w:val="006B535C"/>
    <w:rsid w:val="006C6580"/>
    <w:rsid w:val="006C73DC"/>
    <w:rsid w:val="006D2D3E"/>
    <w:rsid w:val="006E212B"/>
    <w:rsid w:val="006E4316"/>
    <w:rsid w:val="006F295E"/>
    <w:rsid w:val="00711F4C"/>
    <w:rsid w:val="0071381A"/>
    <w:rsid w:val="00720A6C"/>
    <w:rsid w:val="00725361"/>
    <w:rsid w:val="00727337"/>
    <w:rsid w:val="00751250"/>
    <w:rsid w:val="00753245"/>
    <w:rsid w:val="0075405D"/>
    <w:rsid w:val="0075476C"/>
    <w:rsid w:val="0076146B"/>
    <w:rsid w:val="007622E7"/>
    <w:rsid w:val="00764364"/>
    <w:rsid w:val="0076515F"/>
    <w:rsid w:val="007670F6"/>
    <w:rsid w:val="007675C3"/>
    <w:rsid w:val="0077525F"/>
    <w:rsid w:val="0078072C"/>
    <w:rsid w:val="0078277A"/>
    <w:rsid w:val="0079234D"/>
    <w:rsid w:val="007A40BB"/>
    <w:rsid w:val="007A5108"/>
    <w:rsid w:val="007A629D"/>
    <w:rsid w:val="007B486A"/>
    <w:rsid w:val="007C3A95"/>
    <w:rsid w:val="007D0854"/>
    <w:rsid w:val="007D556F"/>
    <w:rsid w:val="007D57C6"/>
    <w:rsid w:val="007D67B6"/>
    <w:rsid w:val="007E4603"/>
    <w:rsid w:val="007F23B9"/>
    <w:rsid w:val="007F31E8"/>
    <w:rsid w:val="00810BA6"/>
    <w:rsid w:val="00824E36"/>
    <w:rsid w:val="00825C0A"/>
    <w:rsid w:val="00826D56"/>
    <w:rsid w:val="008300A9"/>
    <w:rsid w:val="00830932"/>
    <w:rsid w:val="00846ED3"/>
    <w:rsid w:val="00857ACB"/>
    <w:rsid w:val="00866E60"/>
    <w:rsid w:val="008677DC"/>
    <w:rsid w:val="00877519"/>
    <w:rsid w:val="008873FE"/>
    <w:rsid w:val="008900A1"/>
    <w:rsid w:val="0089148C"/>
    <w:rsid w:val="008A6CCD"/>
    <w:rsid w:val="008B4322"/>
    <w:rsid w:val="008B52A0"/>
    <w:rsid w:val="008C598A"/>
    <w:rsid w:val="008D39B4"/>
    <w:rsid w:val="008D44B4"/>
    <w:rsid w:val="008E1916"/>
    <w:rsid w:val="008F5CAD"/>
    <w:rsid w:val="00900771"/>
    <w:rsid w:val="00910473"/>
    <w:rsid w:val="00911DCD"/>
    <w:rsid w:val="00923205"/>
    <w:rsid w:val="00923781"/>
    <w:rsid w:val="009258CE"/>
    <w:rsid w:val="009420D5"/>
    <w:rsid w:val="00944E28"/>
    <w:rsid w:val="009508D1"/>
    <w:rsid w:val="00955236"/>
    <w:rsid w:val="00982EE2"/>
    <w:rsid w:val="009878C4"/>
    <w:rsid w:val="009941BC"/>
    <w:rsid w:val="0099557F"/>
    <w:rsid w:val="009972C1"/>
    <w:rsid w:val="009A233E"/>
    <w:rsid w:val="009A67D7"/>
    <w:rsid w:val="009A7202"/>
    <w:rsid w:val="009B5EA7"/>
    <w:rsid w:val="009C256E"/>
    <w:rsid w:val="009C6720"/>
    <w:rsid w:val="009E2212"/>
    <w:rsid w:val="009E7E73"/>
    <w:rsid w:val="00A04585"/>
    <w:rsid w:val="00A2063A"/>
    <w:rsid w:val="00A27159"/>
    <w:rsid w:val="00A6077A"/>
    <w:rsid w:val="00A6199E"/>
    <w:rsid w:val="00A86FA6"/>
    <w:rsid w:val="00AB2AFC"/>
    <w:rsid w:val="00AB4F09"/>
    <w:rsid w:val="00AC1915"/>
    <w:rsid w:val="00AC4698"/>
    <w:rsid w:val="00AC5A65"/>
    <w:rsid w:val="00AC5B04"/>
    <w:rsid w:val="00AD5B01"/>
    <w:rsid w:val="00AE1F3D"/>
    <w:rsid w:val="00AF54E0"/>
    <w:rsid w:val="00B0399B"/>
    <w:rsid w:val="00B056E5"/>
    <w:rsid w:val="00B0633C"/>
    <w:rsid w:val="00B10D55"/>
    <w:rsid w:val="00B151F5"/>
    <w:rsid w:val="00B1663E"/>
    <w:rsid w:val="00B16FEC"/>
    <w:rsid w:val="00B21D9D"/>
    <w:rsid w:val="00B2508A"/>
    <w:rsid w:val="00B27E5C"/>
    <w:rsid w:val="00B40A97"/>
    <w:rsid w:val="00B47DD9"/>
    <w:rsid w:val="00B54C1B"/>
    <w:rsid w:val="00B63031"/>
    <w:rsid w:val="00B771A8"/>
    <w:rsid w:val="00B913F5"/>
    <w:rsid w:val="00BA19A4"/>
    <w:rsid w:val="00BA7E24"/>
    <w:rsid w:val="00BB3065"/>
    <w:rsid w:val="00BB3C1F"/>
    <w:rsid w:val="00BD580A"/>
    <w:rsid w:val="00BE2F38"/>
    <w:rsid w:val="00BE4532"/>
    <w:rsid w:val="00BF18F8"/>
    <w:rsid w:val="00C14829"/>
    <w:rsid w:val="00C21476"/>
    <w:rsid w:val="00C21AB8"/>
    <w:rsid w:val="00C22A7B"/>
    <w:rsid w:val="00C333AB"/>
    <w:rsid w:val="00C43D19"/>
    <w:rsid w:val="00C52204"/>
    <w:rsid w:val="00C52569"/>
    <w:rsid w:val="00C52A9D"/>
    <w:rsid w:val="00C53BFD"/>
    <w:rsid w:val="00C54CB2"/>
    <w:rsid w:val="00C627FC"/>
    <w:rsid w:val="00C62E0C"/>
    <w:rsid w:val="00C655E0"/>
    <w:rsid w:val="00C90B80"/>
    <w:rsid w:val="00C94032"/>
    <w:rsid w:val="00CE3AC2"/>
    <w:rsid w:val="00CF1638"/>
    <w:rsid w:val="00CF5418"/>
    <w:rsid w:val="00D01116"/>
    <w:rsid w:val="00D0303E"/>
    <w:rsid w:val="00D06B34"/>
    <w:rsid w:val="00D164E6"/>
    <w:rsid w:val="00D166A6"/>
    <w:rsid w:val="00D16B43"/>
    <w:rsid w:val="00D35C6B"/>
    <w:rsid w:val="00D47734"/>
    <w:rsid w:val="00D55D49"/>
    <w:rsid w:val="00D5602C"/>
    <w:rsid w:val="00D66DDB"/>
    <w:rsid w:val="00D67DE3"/>
    <w:rsid w:val="00DA4A1F"/>
    <w:rsid w:val="00DB11A7"/>
    <w:rsid w:val="00DB55F0"/>
    <w:rsid w:val="00DB7F35"/>
    <w:rsid w:val="00DC58EB"/>
    <w:rsid w:val="00DD49AC"/>
    <w:rsid w:val="00DE1CCC"/>
    <w:rsid w:val="00DE3E71"/>
    <w:rsid w:val="00DE7101"/>
    <w:rsid w:val="00DF2559"/>
    <w:rsid w:val="00E00558"/>
    <w:rsid w:val="00E131BF"/>
    <w:rsid w:val="00E13225"/>
    <w:rsid w:val="00E13A60"/>
    <w:rsid w:val="00E2172A"/>
    <w:rsid w:val="00E23B71"/>
    <w:rsid w:val="00E306B9"/>
    <w:rsid w:val="00E5440B"/>
    <w:rsid w:val="00E60889"/>
    <w:rsid w:val="00E720D0"/>
    <w:rsid w:val="00E7328A"/>
    <w:rsid w:val="00E818A7"/>
    <w:rsid w:val="00E81C7E"/>
    <w:rsid w:val="00E8624D"/>
    <w:rsid w:val="00EB058E"/>
    <w:rsid w:val="00EB1B80"/>
    <w:rsid w:val="00EB3C4A"/>
    <w:rsid w:val="00EC0A1B"/>
    <w:rsid w:val="00ED2348"/>
    <w:rsid w:val="00EE395B"/>
    <w:rsid w:val="00EE7A82"/>
    <w:rsid w:val="00EF4F80"/>
    <w:rsid w:val="00EF712E"/>
    <w:rsid w:val="00F0249E"/>
    <w:rsid w:val="00F04ABD"/>
    <w:rsid w:val="00F05C34"/>
    <w:rsid w:val="00F0746E"/>
    <w:rsid w:val="00F14096"/>
    <w:rsid w:val="00F237FD"/>
    <w:rsid w:val="00F26615"/>
    <w:rsid w:val="00F31CF4"/>
    <w:rsid w:val="00F41D1D"/>
    <w:rsid w:val="00F44D4E"/>
    <w:rsid w:val="00F57B11"/>
    <w:rsid w:val="00F62448"/>
    <w:rsid w:val="00F63D5C"/>
    <w:rsid w:val="00F740A1"/>
    <w:rsid w:val="00F874F0"/>
    <w:rsid w:val="00F955DF"/>
    <w:rsid w:val="00FA6360"/>
    <w:rsid w:val="00FC4211"/>
    <w:rsid w:val="00FE12E4"/>
    <w:rsid w:val="00FE57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59750B-E22F-476C-B33B-B1FC83DA4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3A60"/>
    <w:pPr>
      <w:ind w:left="720"/>
      <w:contextualSpacing/>
    </w:pPr>
  </w:style>
  <w:style w:type="paragraph" w:styleId="FootnoteText">
    <w:name w:val="footnote text"/>
    <w:basedOn w:val="Normal"/>
    <w:link w:val="FootnoteTextChar"/>
    <w:uiPriority w:val="99"/>
    <w:semiHidden/>
    <w:unhideWhenUsed/>
    <w:rsid w:val="0075405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5405D"/>
    <w:rPr>
      <w:sz w:val="20"/>
      <w:szCs w:val="20"/>
    </w:rPr>
  </w:style>
  <w:style w:type="character" w:styleId="FootnoteReference">
    <w:name w:val="footnote reference"/>
    <w:basedOn w:val="DefaultParagraphFont"/>
    <w:uiPriority w:val="99"/>
    <w:semiHidden/>
    <w:unhideWhenUsed/>
    <w:rsid w:val="0075405D"/>
    <w:rPr>
      <w:vertAlign w:val="superscript"/>
    </w:rPr>
  </w:style>
  <w:style w:type="paragraph" w:styleId="Header">
    <w:name w:val="header"/>
    <w:basedOn w:val="Normal"/>
    <w:link w:val="HeaderChar"/>
    <w:uiPriority w:val="99"/>
    <w:unhideWhenUsed/>
    <w:rsid w:val="003A5D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3A5DA9"/>
  </w:style>
  <w:style w:type="paragraph" w:styleId="Footer">
    <w:name w:val="footer"/>
    <w:basedOn w:val="Normal"/>
    <w:link w:val="FooterChar"/>
    <w:uiPriority w:val="99"/>
    <w:unhideWhenUsed/>
    <w:rsid w:val="003A5D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3A5DA9"/>
  </w:style>
  <w:style w:type="paragraph" w:styleId="BalloonText">
    <w:name w:val="Balloon Text"/>
    <w:basedOn w:val="Normal"/>
    <w:link w:val="BalloonTextChar"/>
    <w:uiPriority w:val="99"/>
    <w:semiHidden/>
    <w:unhideWhenUsed/>
    <w:rsid w:val="003A5D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5DA9"/>
    <w:rPr>
      <w:rFonts w:ascii="Tahoma" w:hAnsi="Tahoma" w:cs="Tahoma"/>
      <w:sz w:val="16"/>
      <w:szCs w:val="16"/>
    </w:rPr>
  </w:style>
  <w:style w:type="character" w:styleId="Hyperlink">
    <w:name w:val="Hyperlink"/>
    <w:basedOn w:val="DefaultParagraphFont"/>
    <w:uiPriority w:val="99"/>
    <w:unhideWhenUsed/>
    <w:rsid w:val="00BE4532"/>
    <w:rPr>
      <w:color w:val="0563C1" w:themeColor="hyperlink"/>
      <w:u w:val="single"/>
    </w:rPr>
  </w:style>
  <w:style w:type="character" w:customStyle="1" w:styleId="surlignage">
    <w:name w:val="surlignage"/>
    <w:basedOn w:val="DefaultParagraphFont"/>
    <w:rsid w:val="000B1A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319579">
      <w:bodyDiv w:val="1"/>
      <w:marLeft w:val="0"/>
      <w:marRight w:val="0"/>
      <w:marTop w:val="0"/>
      <w:marBottom w:val="0"/>
      <w:divBdr>
        <w:top w:val="none" w:sz="0" w:space="0" w:color="auto"/>
        <w:left w:val="none" w:sz="0" w:space="0" w:color="auto"/>
        <w:bottom w:val="none" w:sz="0" w:space="0" w:color="auto"/>
        <w:right w:val="none" w:sz="0" w:space="0" w:color="auto"/>
      </w:divBdr>
      <w:divsChild>
        <w:div w:id="225144076">
          <w:marLeft w:val="0"/>
          <w:marRight w:val="0"/>
          <w:marTop w:val="0"/>
          <w:marBottom w:val="0"/>
          <w:divBdr>
            <w:top w:val="none" w:sz="0" w:space="0" w:color="auto"/>
            <w:left w:val="none" w:sz="0" w:space="0" w:color="auto"/>
            <w:bottom w:val="none" w:sz="0" w:space="0" w:color="auto"/>
            <w:right w:val="none" w:sz="0" w:space="0" w:color="auto"/>
          </w:divBdr>
          <w:divsChild>
            <w:div w:id="1977756275">
              <w:marLeft w:val="0"/>
              <w:marRight w:val="0"/>
              <w:marTop w:val="0"/>
              <w:marBottom w:val="0"/>
              <w:divBdr>
                <w:top w:val="none" w:sz="0" w:space="0" w:color="auto"/>
                <w:left w:val="none" w:sz="0" w:space="0" w:color="auto"/>
                <w:bottom w:val="none" w:sz="0" w:space="0" w:color="auto"/>
                <w:right w:val="none" w:sz="0" w:space="0" w:color="auto"/>
              </w:divBdr>
              <w:divsChild>
                <w:div w:id="278071903">
                  <w:marLeft w:val="0"/>
                  <w:marRight w:val="0"/>
                  <w:marTop w:val="0"/>
                  <w:marBottom w:val="0"/>
                  <w:divBdr>
                    <w:top w:val="none" w:sz="0" w:space="0" w:color="auto"/>
                    <w:left w:val="none" w:sz="0" w:space="0" w:color="auto"/>
                    <w:bottom w:val="none" w:sz="0" w:space="0" w:color="auto"/>
                    <w:right w:val="none" w:sz="0" w:space="0" w:color="auto"/>
                  </w:divBdr>
                  <w:divsChild>
                    <w:div w:id="916331149">
                      <w:marLeft w:val="0"/>
                      <w:marRight w:val="0"/>
                      <w:marTop w:val="0"/>
                      <w:marBottom w:val="0"/>
                      <w:divBdr>
                        <w:top w:val="none" w:sz="0" w:space="0" w:color="auto"/>
                        <w:left w:val="none" w:sz="0" w:space="0" w:color="auto"/>
                        <w:bottom w:val="none" w:sz="0" w:space="0" w:color="auto"/>
                        <w:right w:val="none" w:sz="0" w:space="0" w:color="auto"/>
                      </w:divBdr>
                      <w:divsChild>
                        <w:div w:id="358120782">
                          <w:marLeft w:val="0"/>
                          <w:marRight w:val="0"/>
                          <w:marTop w:val="0"/>
                          <w:marBottom w:val="0"/>
                          <w:divBdr>
                            <w:top w:val="none" w:sz="0" w:space="0" w:color="auto"/>
                            <w:left w:val="none" w:sz="0" w:space="0" w:color="auto"/>
                            <w:bottom w:val="none" w:sz="0" w:space="0" w:color="auto"/>
                            <w:right w:val="none" w:sz="0" w:space="0" w:color="auto"/>
                          </w:divBdr>
                          <w:divsChild>
                            <w:div w:id="212230892">
                              <w:marLeft w:val="0"/>
                              <w:marRight w:val="0"/>
                              <w:marTop w:val="0"/>
                              <w:marBottom w:val="0"/>
                              <w:divBdr>
                                <w:top w:val="none" w:sz="0" w:space="0" w:color="auto"/>
                                <w:left w:val="none" w:sz="0" w:space="0" w:color="auto"/>
                                <w:bottom w:val="none" w:sz="0" w:space="0" w:color="auto"/>
                                <w:right w:val="none" w:sz="0" w:space="0" w:color="auto"/>
                              </w:divBdr>
                              <w:divsChild>
                                <w:div w:id="223568519">
                                  <w:marLeft w:val="0"/>
                                  <w:marRight w:val="0"/>
                                  <w:marTop w:val="0"/>
                                  <w:marBottom w:val="0"/>
                                  <w:divBdr>
                                    <w:top w:val="none" w:sz="0" w:space="0" w:color="auto"/>
                                    <w:left w:val="none" w:sz="0" w:space="0" w:color="auto"/>
                                    <w:bottom w:val="none" w:sz="0" w:space="0" w:color="auto"/>
                                    <w:right w:val="none" w:sz="0" w:space="0" w:color="auto"/>
                                  </w:divBdr>
                                  <w:divsChild>
                                    <w:div w:id="140658800">
                                      <w:marLeft w:val="0"/>
                                      <w:marRight w:val="0"/>
                                      <w:marTop w:val="0"/>
                                      <w:marBottom w:val="0"/>
                                      <w:divBdr>
                                        <w:top w:val="none" w:sz="0" w:space="0" w:color="auto"/>
                                        <w:left w:val="none" w:sz="0" w:space="0" w:color="auto"/>
                                        <w:bottom w:val="none" w:sz="0" w:space="0" w:color="auto"/>
                                        <w:right w:val="none" w:sz="0" w:space="0" w:color="auto"/>
                                      </w:divBdr>
                                      <w:divsChild>
                                        <w:div w:id="1564680875">
                                          <w:marLeft w:val="0"/>
                                          <w:marRight w:val="0"/>
                                          <w:marTop w:val="0"/>
                                          <w:marBottom w:val="0"/>
                                          <w:divBdr>
                                            <w:top w:val="none" w:sz="0" w:space="0" w:color="auto"/>
                                            <w:left w:val="none" w:sz="0" w:space="0" w:color="auto"/>
                                            <w:bottom w:val="none" w:sz="0" w:space="0" w:color="auto"/>
                                            <w:right w:val="none" w:sz="0" w:space="0" w:color="auto"/>
                                          </w:divBdr>
                                          <w:divsChild>
                                            <w:div w:id="1544906722">
                                              <w:marLeft w:val="0"/>
                                              <w:marRight w:val="0"/>
                                              <w:marTop w:val="0"/>
                                              <w:marBottom w:val="0"/>
                                              <w:divBdr>
                                                <w:top w:val="none" w:sz="0" w:space="0" w:color="auto"/>
                                                <w:left w:val="none" w:sz="0" w:space="0" w:color="auto"/>
                                                <w:bottom w:val="none" w:sz="0" w:space="0" w:color="auto"/>
                                                <w:right w:val="none" w:sz="0" w:space="0" w:color="auto"/>
                                              </w:divBdr>
                                              <w:divsChild>
                                                <w:div w:id="1566795432">
                                                  <w:marLeft w:val="0"/>
                                                  <w:marRight w:val="0"/>
                                                  <w:marTop w:val="0"/>
                                                  <w:marBottom w:val="0"/>
                                                  <w:divBdr>
                                                    <w:top w:val="none" w:sz="0" w:space="0" w:color="auto"/>
                                                    <w:left w:val="none" w:sz="0" w:space="0" w:color="auto"/>
                                                    <w:bottom w:val="none" w:sz="0" w:space="0" w:color="auto"/>
                                                    <w:right w:val="none" w:sz="0" w:space="0" w:color="auto"/>
                                                  </w:divBdr>
                                                  <w:divsChild>
                                                    <w:div w:id="641619052">
                                                      <w:marLeft w:val="0"/>
                                                      <w:marRight w:val="0"/>
                                                      <w:marTop w:val="0"/>
                                                      <w:marBottom w:val="0"/>
                                                      <w:divBdr>
                                                        <w:top w:val="none" w:sz="0" w:space="0" w:color="auto"/>
                                                        <w:left w:val="none" w:sz="0" w:space="0" w:color="auto"/>
                                                        <w:bottom w:val="none" w:sz="0" w:space="0" w:color="auto"/>
                                                        <w:right w:val="none" w:sz="0" w:space="0" w:color="auto"/>
                                                      </w:divBdr>
                                                      <w:divsChild>
                                                        <w:div w:id="1845046513">
                                                          <w:marLeft w:val="0"/>
                                                          <w:marRight w:val="0"/>
                                                          <w:marTop w:val="0"/>
                                                          <w:marBottom w:val="0"/>
                                                          <w:divBdr>
                                                            <w:top w:val="none" w:sz="0" w:space="0" w:color="auto"/>
                                                            <w:left w:val="none" w:sz="0" w:space="0" w:color="auto"/>
                                                            <w:bottom w:val="none" w:sz="0" w:space="0" w:color="auto"/>
                                                            <w:right w:val="none" w:sz="0" w:space="0" w:color="auto"/>
                                                          </w:divBdr>
                                                          <w:divsChild>
                                                            <w:div w:id="75901327">
                                                              <w:marLeft w:val="0"/>
                                                              <w:marRight w:val="150"/>
                                                              <w:marTop w:val="0"/>
                                                              <w:marBottom w:val="150"/>
                                                              <w:divBdr>
                                                                <w:top w:val="none" w:sz="0" w:space="0" w:color="auto"/>
                                                                <w:left w:val="none" w:sz="0" w:space="0" w:color="auto"/>
                                                                <w:bottom w:val="none" w:sz="0" w:space="0" w:color="auto"/>
                                                                <w:right w:val="none" w:sz="0" w:space="0" w:color="auto"/>
                                                              </w:divBdr>
                                                              <w:divsChild>
                                                                <w:div w:id="1125737646">
                                                                  <w:marLeft w:val="0"/>
                                                                  <w:marRight w:val="0"/>
                                                                  <w:marTop w:val="0"/>
                                                                  <w:marBottom w:val="0"/>
                                                                  <w:divBdr>
                                                                    <w:top w:val="none" w:sz="0" w:space="0" w:color="auto"/>
                                                                    <w:left w:val="none" w:sz="0" w:space="0" w:color="auto"/>
                                                                    <w:bottom w:val="none" w:sz="0" w:space="0" w:color="auto"/>
                                                                    <w:right w:val="none" w:sz="0" w:space="0" w:color="auto"/>
                                                                  </w:divBdr>
                                                                  <w:divsChild>
                                                                    <w:div w:id="672342507">
                                                                      <w:marLeft w:val="0"/>
                                                                      <w:marRight w:val="0"/>
                                                                      <w:marTop w:val="0"/>
                                                                      <w:marBottom w:val="0"/>
                                                                      <w:divBdr>
                                                                        <w:top w:val="none" w:sz="0" w:space="0" w:color="auto"/>
                                                                        <w:left w:val="none" w:sz="0" w:space="0" w:color="auto"/>
                                                                        <w:bottom w:val="none" w:sz="0" w:space="0" w:color="auto"/>
                                                                        <w:right w:val="none" w:sz="0" w:space="0" w:color="auto"/>
                                                                      </w:divBdr>
                                                                      <w:divsChild>
                                                                        <w:div w:id="1926111188">
                                                                          <w:marLeft w:val="0"/>
                                                                          <w:marRight w:val="0"/>
                                                                          <w:marTop w:val="0"/>
                                                                          <w:marBottom w:val="0"/>
                                                                          <w:divBdr>
                                                                            <w:top w:val="none" w:sz="0" w:space="0" w:color="auto"/>
                                                                            <w:left w:val="none" w:sz="0" w:space="0" w:color="auto"/>
                                                                            <w:bottom w:val="none" w:sz="0" w:space="0" w:color="auto"/>
                                                                            <w:right w:val="none" w:sz="0" w:space="0" w:color="auto"/>
                                                                          </w:divBdr>
                                                                          <w:divsChild>
                                                                            <w:div w:id="1669140517">
                                                                              <w:marLeft w:val="0"/>
                                                                              <w:marRight w:val="0"/>
                                                                              <w:marTop w:val="0"/>
                                                                              <w:marBottom w:val="0"/>
                                                                              <w:divBdr>
                                                                                <w:top w:val="none" w:sz="0" w:space="0" w:color="auto"/>
                                                                                <w:left w:val="none" w:sz="0" w:space="0" w:color="auto"/>
                                                                                <w:bottom w:val="none" w:sz="0" w:space="0" w:color="auto"/>
                                                                                <w:right w:val="none" w:sz="0" w:space="0" w:color="auto"/>
                                                                              </w:divBdr>
                                                                              <w:divsChild>
                                                                                <w:div w:id="2248639">
                                                                                  <w:marLeft w:val="0"/>
                                                                                  <w:marRight w:val="0"/>
                                                                                  <w:marTop w:val="0"/>
                                                                                  <w:marBottom w:val="0"/>
                                                                                  <w:divBdr>
                                                                                    <w:top w:val="none" w:sz="0" w:space="0" w:color="auto"/>
                                                                                    <w:left w:val="none" w:sz="0" w:space="0" w:color="auto"/>
                                                                                    <w:bottom w:val="none" w:sz="0" w:space="0" w:color="auto"/>
                                                                                    <w:right w:val="none" w:sz="0" w:space="0" w:color="auto"/>
                                                                                  </w:divBdr>
                                                                                  <w:divsChild>
                                                                                    <w:div w:id="690254822">
                                                                                      <w:marLeft w:val="0"/>
                                                                                      <w:marRight w:val="0"/>
                                                                                      <w:marTop w:val="0"/>
                                                                                      <w:marBottom w:val="0"/>
                                                                                      <w:divBdr>
                                                                                        <w:top w:val="none" w:sz="0" w:space="0" w:color="auto"/>
                                                                                        <w:left w:val="none" w:sz="0" w:space="0" w:color="auto"/>
                                                                                        <w:bottom w:val="none" w:sz="0" w:space="0" w:color="auto"/>
                                                                                        <w:right w:val="none" w:sz="0" w:space="0" w:color="auto"/>
                                                                                      </w:divBdr>
                                                                                    </w:div>
                                                                                    <w:div w:id="159890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gov.uk/government/uploads/system/uploads/attachment_data/file/277766/130807_2013_stpcd_accompanying_advice_master_final.pdf" TargetMode="External"/><Relationship Id="rId2" Type="http://schemas.openxmlformats.org/officeDocument/2006/relationships/hyperlink" Target="https://www.gov.uk/government/uploads/system/uploads/attachment_data/file/270398/Governors-Handbook-January-2014.pdf" TargetMode="External"/><Relationship Id="rId1" Type="http://schemas.openxmlformats.org/officeDocument/2006/relationships/hyperlink" Target="http://www.civilservice.gov.uk/wp-content/uploads/2011/09/civil-service-code-201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D794B2-035F-448F-9693-AC1FDEE8E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8460</Words>
  <Characters>48222</Characters>
  <Application>Microsoft Office Word</Application>
  <DocSecurity>0</DocSecurity>
  <Lines>401</Lines>
  <Paragraphs>113</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56569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Ian Godfrey</dc:creator>
  <cp:lastModifiedBy>Ian Godfrey</cp:lastModifiedBy>
  <cp:revision>2</cp:revision>
  <cp:lastPrinted>2014-06-24T12:57:00Z</cp:lastPrinted>
  <dcterms:created xsi:type="dcterms:W3CDTF">2015-09-28T09:36:00Z</dcterms:created>
  <dcterms:modified xsi:type="dcterms:W3CDTF">2015-09-28T09:36:00Z</dcterms:modified>
</cp:coreProperties>
</file>