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CA6" w:rsidRDefault="00337CA6" w:rsidP="00337CA6">
      <w:pPr>
        <w:ind w:left="851" w:right="946"/>
        <w:jc w:val="center"/>
        <w:rPr>
          <w:rFonts w:ascii="Bookman Old Style" w:hAnsi="Bookman Old Style"/>
          <w:b/>
          <w:sz w:val="36"/>
          <w:szCs w:val="36"/>
          <w:lang w:val="en-US"/>
        </w:rPr>
      </w:pPr>
    </w:p>
    <w:p w:rsidR="00337CA6" w:rsidRDefault="00337CA6" w:rsidP="00337CA6">
      <w:pPr>
        <w:ind w:left="851" w:right="946"/>
        <w:jc w:val="center"/>
        <w:rPr>
          <w:rFonts w:ascii="Bookman Old Style" w:hAnsi="Bookman Old Style"/>
          <w:b/>
          <w:sz w:val="36"/>
          <w:szCs w:val="36"/>
          <w:lang w:val="en-US"/>
        </w:rPr>
      </w:pPr>
    </w:p>
    <w:p w:rsidR="00337CA6" w:rsidRPr="00160D96" w:rsidRDefault="00337CA6" w:rsidP="00337CA6">
      <w:pPr>
        <w:ind w:left="851" w:right="946"/>
        <w:jc w:val="center"/>
        <w:rPr>
          <w:rFonts w:ascii="Bookman Old Style" w:hAnsi="Bookman Old Style"/>
          <w:b/>
          <w:sz w:val="36"/>
          <w:szCs w:val="36"/>
          <w:lang w:val="en-US"/>
        </w:rPr>
      </w:pPr>
      <w:r>
        <w:rPr>
          <w:rFonts w:ascii="Bookman Old Style" w:hAnsi="Bookman Old Style"/>
          <w:b/>
          <w:sz w:val="36"/>
          <w:szCs w:val="36"/>
          <w:lang w:val="en-US"/>
        </w:rPr>
        <w:t>Diversifying away the Risk of War and Cross-Border Political Crisis</w:t>
      </w:r>
    </w:p>
    <w:p w:rsidR="00337CA6" w:rsidRDefault="00337CA6" w:rsidP="00337CA6">
      <w:pPr>
        <w:jc w:val="center"/>
        <w:rPr>
          <w:rFonts w:ascii="Bookman Old Style" w:hAnsi="Bookman Old Style"/>
          <w:b/>
          <w:sz w:val="28"/>
          <w:szCs w:val="28"/>
          <w:lang w:val="en-US"/>
        </w:rPr>
      </w:pPr>
    </w:p>
    <w:p w:rsidR="00337CA6" w:rsidRDefault="00337CA6" w:rsidP="00337CA6">
      <w:pPr>
        <w:jc w:val="center"/>
        <w:rPr>
          <w:rFonts w:ascii="Bookman Old Style" w:hAnsi="Bookman Old Style"/>
          <w:b/>
          <w:sz w:val="28"/>
          <w:szCs w:val="28"/>
          <w:lang w:val="en-US"/>
        </w:rPr>
      </w:pPr>
    </w:p>
    <w:p w:rsidR="00337CA6" w:rsidRDefault="00337CA6" w:rsidP="00337CA6">
      <w:pPr>
        <w:spacing w:after="0" w:line="240" w:lineRule="auto"/>
        <w:jc w:val="center"/>
        <w:rPr>
          <w:rFonts w:ascii="Times New Roman" w:hAnsi="Times New Roman"/>
          <w:b/>
          <w:sz w:val="24"/>
          <w:szCs w:val="24"/>
          <w:lang w:val="en-US"/>
        </w:rPr>
      </w:pPr>
      <w:r>
        <w:rPr>
          <w:rFonts w:ascii="Times New Roman" w:hAnsi="Times New Roman"/>
          <w:b/>
          <w:sz w:val="24"/>
          <w:szCs w:val="24"/>
          <w:lang w:val="en-US"/>
        </w:rPr>
        <w:t>Ayman M.A. Omar</w:t>
      </w:r>
    </w:p>
    <w:p w:rsidR="00337CA6" w:rsidRDefault="007F6D55"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Coventry University</w:t>
      </w:r>
    </w:p>
    <w:p w:rsidR="00337CA6" w:rsidRDefault="007F6D55"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School of Economics, Finance and Accounting</w:t>
      </w:r>
    </w:p>
    <w:p w:rsidR="00337CA6" w:rsidRDefault="007F6D55"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William Morris Building</w:t>
      </w:r>
    </w:p>
    <w:p w:rsidR="00337CA6" w:rsidRDefault="007F6D55"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Priory Street</w:t>
      </w:r>
    </w:p>
    <w:p w:rsidR="00337CA6" w:rsidRDefault="007F6D55"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Coventry, CV1 5FB</w:t>
      </w:r>
      <w:r w:rsidR="00337CA6">
        <w:rPr>
          <w:rFonts w:ascii="Times New Roman" w:hAnsi="Times New Roman"/>
          <w:sz w:val="24"/>
          <w:szCs w:val="24"/>
          <w:lang w:val="en-US"/>
        </w:rPr>
        <w:t>, UK</w:t>
      </w:r>
    </w:p>
    <w:p w:rsidR="00337CA6" w:rsidRDefault="00337CA6" w:rsidP="00337CA6">
      <w:pPr>
        <w:spacing w:after="0" w:line="240" w:lineRule="auto"/>
        <w:jc w:val="center"/>
        <w:rPr>
          <w:rFonts w:ascii="Times New Roman" w:hAnsi="Times New Roman"/>
          <w:sz w:val="24"/>
          <w:szCs w:val="24"/>
          <w:lang w:val="en-US"/>
        </w:rPr>
      </w:pPr>
      <w:r w:rsidRPr="00A364E2">
        <w:rPr>
          <w:rFonts w:ascii="Times New Roman" w:hAnsi="Times New Roman"/>
          <w:sz w:val="24"/>
          <w:szCs w:val="24"/>
          <w:lang w:val="en-US"/>
        </w:rPr>
        <w:t>E-mail: a</w:t>
      </w:r>
      <w:r w:rsidR="007F6D55">
        <w:rPr>
          <w:rFonts w:ascii="Times New Roman" w:hAnsi="Times New Roman"/>
          <w:sz w:val="24"/>
          <w:szCs w:val="24"/>
          <w:lang w:val="en-US"/>
        </w:rPr>
        <w:t>c1604</w:t>
      </w:r>
      <w:r w:rsidRPr="00A364E2">
        <w:rPr>
          <w:rFonts w:ascii="Times New Roman" w:hAnsi="Times New Roman"/>
          <w:sz w:val="24"/>
          <w:szCs w:val="24"/>
          <w:lang w:val="en-US"/>
        </w:rPr>
        <w:t>@</w:t>
      </w:r>
      <w:r w:rsidR="007F6D55">
        <w:rPr>
          <w:rFonts w:ascii="Times New Roman" w:hAnsi="Times New Roman"/>
          <w:sz w:val="24"/>
          <w:szCs w:val="24"/>
          <w:lang w:val="en-US"/>
        </w:rPr>
        <w:t>coventry</w:t>
      </w:r>
      <w:r w:rsidRPr="00A364E2">
        <w:rPr>
          <w:rFonts w:ascii="Times New Roman" w:hAnsi="Times New Roman"/>
          <w:sz w:val="24"/>
          <w:szCs w:val="24"/>
          <w:lang w:val="en-US"/>
        </w:rPr>
        <w:t>.ac.uk</w:t>
      </w:r>
    </w:p>
    <w:p w:rsidR="00337CA6" w:rsidRDefault="007F6D55"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Phone: 0044 24 7765 7461</w:t>
      </w:r>
    </w:p>
    <w:p w:rsidR="00337CA6" w:rsidRDefault="00337CA6" w:rsidP="00337CA6">
      <w:pPr>
        <w:spacing w:after="0" w:line="240" w:lineRule="auto"/>
        <w:jc w:val="center"/>
        <w:rPr>
          <w:rFonts w:ascii="Times New Roman" w:hAnsi="Times New Roman"/>
          <w:sz w:val="24"/>
          <w:szCs w:val="24"/>
          <w:lang w:val="en-US"/>
        </w:rPr>
      </w:pPr>
    </w:p>
    <w:p w:rsidR="00337CA6" w:rsidRDefault="00337CA6" w:rsidP="00337CA6">
      <w:pPr>
        <w:spacing w:after="0" w:line="240" w:lineRule="auto"/>
        <w:jc w:val="center"/>
        <w:rPr>
          <w:rFonts w:ascii="Times New Roman" w:hAnsi="Times New Roman"/>
          <w:b/>
          <w:sz w:val="24"/>
          <w:szCs w:val="24"/>
          <w:lang w:val="en-US"/>
        </w:rPr>
      </w:pPr>
    </w:p>
    <w:p w:rsidR="00337CA6" w:rsidRPr="00A364E2" w:rsidRDefault="00337CA6" w:rsidP="00337CA6">
      <w:pPr>
        <w:spacing w:after="0" w:line="240" w:lineRule="auto"/>
        <w:jc w:val="center"/>
        <w:rPr>
          <w:rFonts w:ascii="Times New Roman" w:hAnsi="Times New Roman"/>
          <w:b/>
          <w:sz w:val="24"/>
          <w:szCs w:val="24"/>
          <w:lang w:val="en-US"/>
        </w:rPr>
      </w:pPr>
      <w:r w:rsidRPr="00A364E2">
        <w:rPr>
          <w:rFonts w:ascii="Times New Roman" w:hAnsi="Times New Roman"/>
          <w:b/>
          <w:sz w:val="24"/>
          <w:szCs w:val="24"/>
          <w:lang w:val="en-US"/>
        </w:rPr>
        <w:t>Tomasz Piotr Wisniewski</w:t>
      </w:r>
    </w:p>
    <w:p w:rsidR="00337CA6" w:rsidRDefault="00337CA6"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University of Leicester</w:t>
      </w:r>
    </w:p>
    <w:p w:rsidR="00337CA6" w:rsidRDefault="00337CA6"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School of Management</w:t>
      </w:r>
    </w:p>
    <w:p w:rsidR="00337CA6" w:rsidRDefault="00337CA6"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Ken Edwards Building</w:t>
      </w:r>
    </w:p>
    <w:p w:rsidR="00337CA6" w:rsidRDefault="00337CA6"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University Road</w:t>
      </w:r>
    </w:p>
    <w:p w:rsidR="00337CA6" w:rsidRDefault="00337CA6"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Leicester, LE1 7RH, UK</w:t>
      </w:r>
    </w:p>
    <w:p w:rsidR="00337CA6" w:rsidRDefault="00337CA6"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 xml:space="preserve">E-mail: </w:t>
      </w:r>
      <w:r w:rsidRPr="00A364E2">
        <w:rPr>
          <w:rFonts w:ascii="Times New Roman" w:hAnsi="Times New Roman"/>
          <w:sz w:val="24"/>
          <w:szCs w:val="24"/>
          <w:lang w:val="en-US"/>
        </w:rPr>
        <w:t>t.wisniewski@le.ac.uk</w:t>
      </w:r>
    </w:p>
    <w:p w:rsidR="00337CA6" w:rsidRDefault="00337CA6"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Phone: 0044 116 252 3958</w:t>
      </w:r>
    </w:p>
    <w:p w:rsidR="00337CA6" w:rsidRDefault="00337CA6" w:rsidP="00337CA6">
      <w:pPr>
        <w:spacing w:after="0" w:line="240" w:lineRule="auto"/>
        <w:jc w:val="center"/>
        <w:rPr>
          <w:rFonts w:ascii="Times New Roman" w:hAnsi="Times New Roman"/>
          <w:sz w:val="24"/>
          <w:szCs w:val="24"/>
          <w:lang w:val="en-US"/>
        </w:rPr>
      </w:pPr>
    </w:p>
    <w:p w:rsidR="00337CA6" w:rsidRDefault="00337CA6" w:rsidP="00337CA6">
      <w:pPr>
        <w:spacing w:after="0" w:line="240" w:lineRule="auto"/>
        <w:jc w:val="center"/>
        <w:rPr>
          <w:rFonts w:ascii="Times New Roman" w:hAnsi="Times New Roman"/>
          <w:b/>
          <w:sz w:val="24"/>
          <w:szCs w:val="24"/>
          <w:lang w:val="en-US"/>
        </w:rPr>
      </w:pPr>
    </w:p>
    <w:p w:rsidR="00337CA6" w:rsidRDefault="00337CA6" w:rsidP="00337CA6">
      <w:pPr>
        <w:spacing w:after="0" w:line="240" w:lineRule="auto"/>
        <w:jc w:val="center"/>
        <w:rPr>
          <w:rFonts w:ascii="Times New Roman" w:hAnsi="Times New Roman"/>
          <w:b/>
          <w:sz w:val="24"/>
          <w:szCs w:val="24"/>
          <w:lang w:val="en-US"/>
        </w:rPr>
      </w:pPr>
      <w:r>
        <w:rPr>
          <w:rFonts w:ascii="Times New Roman" w:hAnsi="Times New Roman"/>
          <w:b/>
          <w:sz w:val="24"/>
          <w:szCs w:val="24"/>
          <w:lang w:val="en-US"/>
        </w:rPr>
        <w:t>Sandra Nolte</w:t>
      </w:r>
      <w:r>
        <w:rPr>
          <w:rStyle w:val="FootnoteReference"/>
          <w:rFonts w:ascii="Times New Roman" w:hAnsi="Times New Roman"/>
          <w:b/>
          <w:sz w:val="24"/>
          <w:szCs w:val="24"/>
          <w:lang w:val="en-US"/>
        </w:rPr>
        <w:footnoteReference w:id="1"/>
      </w:r>
    </w:p>
    <w:p w:rsidR="00337CA6" w:rsidRDefault="00337CA6"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Lancaster University</w:t>
      </w:r>
    </w:p>
    <w:p w:rsidR="00337CA6" w:rsidRDefault="00B422A2" w:rsidP="00337CA6">
      <w:pPr>
        <w:spacing w:after="0" w:line="240" w:lineRule="auto"/>
        <w:jc w:val="center"/>
        <w:rPr>
          <w:rFonts w:ascii="Times New Roman" w:hAnsi="Times New Roman"/>
          <w:sz w:val="24"/>
          <w:szCs w:val="24"/>
          <w:lang w:val="en-US"/>
        </w:rPr>
      </w:pPr>
      <w:r w:rsidRPr="00B422A2">
        <w:rPr>
          <w:rFonts w:ascii="Times New Roman" w:hAnsi="Times New Roman"/>
          <w:sz w:val="24"/>
          <w:szCs w:val="24"/>
          <w:lang w:val="en-US"/>
        </w:rPr>
        <w:t>Lancaster University</w:t>
      </w:r>
      <w:r w:rsidR="00337CA6">
        <w:rPr>
          <w:rFonts w:ascii="Times New Roman" w:hAnsi="Times New Roman"/>
          <w:sz w:val="24"/>
          <w:szCs w:val="24"/>
          <w:lang w:val="en-US"/>
        </w:rPr>
        <w:t xml:space="preserve"> Management School</w:t>
      </w:r>
    </w:p>
    <w:p w:rsidR="00337CA6" w:rsidRDefault="00337CA6" w:rsidP="00337CA6">
      <w:pPr>
        <w:spacing w:after="0" w:line="240" w:lineRule="auto"/>
        <w:jc w:val="center"/>
        <w:rPr>
          <w:rFonts w:ascii="Times New Roman" w:hAnsi="Times New Roman"/>
          <w:sz w:val="24"/>
          <w:szCs w:val="24"/>
          <w:lang w:val="en-US"/>
        </w:rPr>
      </w:pPr>
      <w:proofErr w:type="spellStart"/>
      <w:r>
        <w:rPr>
          <w:rFonts w:ascii="Times New Roman" w:hAnsi="Times New Roman"/>
          <w:sz w:val="24"/>
          <w:szCs w:val="24"/>
          <w:lang w:val="en-US"/>
        </w:rPr>
        <w:t>Bailrigg</w:t>
      </w:r>
      <w:proofErr w:type="spellEnd"/>
    </w:p>
    <w:p w:rsidR="00337CA6" w:rsidRDefault="00337CA6"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Lancaster, LA1 4YX, UK</w:t>
      </w:r>
    </w:p>
    <w:p w:rsidR="00337CA6" w:rsidRDefault="00337CA6"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 xml:space="preserve">E-mail: </w:t>
      </w:r>
      <w:r w:rsidRPr="004D4622">
        <w:rPr>
          <w:rFonts w:ascii="Times New Roman" w:hAnsi="Times New Roman"/>
          <w:sz w:val="24"/>
          <w:szCs w:val="24"/>
          <w:lang w:val="en-US"/>
        </w:rPr>
        <w:t>s.nolte@lancaster.ac.uk</w:t>
      </w:r>
    </w:p>
    <w:p w:rsidR="00337CA6" w:rsidRDefault="00337CA6" w:rsidP="00337CA6">
      <w:pPr>
        <w:spacing w:after="0" w:line="240" w:lineRule="auto"/>
        <w:jc w:val="center"/>
        <w:rPr>
          <w:rFonts w:ascii="Times New Roman" w:hAnsi="Times New Roman"/>
          <w:sz w:val="24"/>
          <w:szCs w:val="24"/>
          <w:lang w:val="en-US"/>
        </w:rPr>
      </w:pPr>
      <w:r>
        <w:rPr>
          <w:rFonts w:ascii="Times New Roman" w:hAnsi="Times New Roman"/>
          <w:sz w:val="24"/>
          <w:szCs w:val="24"/>
          <w:lang w:val="en-US"/>
        </w:rPr>
        <w:t>Phone: 0044 152 459 3634</w:t>
      </w:r>
    </w:p>
    <w:p w:rsidR="00337CA6" w:rsidRPr="00A364E2" w:rsidRDefault="00337CA6" w:rsidP="00337CA6">
      <w:pPr>
        <w:spacing w:after="0" w:line="240" w:lineRule="auto"/>
        <w:jc w:val="center"/>
        <w:rPr>
          <w:rFonts w:ascii="Times New Roman" w:hAnsi="Times New Roman"/>
          <w:sz w:val="24"/>
          <w:szCs w:val="24"/>
          <w:lang w:val="en-US"/>
        </w:rPr>
      </w:pPr>
    </w:p>
    <w:p w:rsidR="00337CA6" w:rsidRPr="00A364E2" w:rsidRDefault="00337CA6" w:rsidP="00337CA6">
      <w:pPr>
        <w:jc w:val="center"/>
        <w:rPr>
          <w:rFonts w:ascii="Times New Roman" w:hAnsi="Times New Roman"/>
          <w:sz w:val="24"/>
          <w:szCs w:val="24"/>
          <w:lang w:val="en-US"/>
        </w:rPr>
      </w:pPr>
      <w:r>
        <w:rPr>
          <w:rFonts w:ascii="Bookman Old Style" w:hAnsi="Bookman Old Style"/>
          <w:b/>
          <w:sz w:val="28"/>
          <w:szCs w:val="28"/>
          <w:lang w:val="en-US"/>
        </w:rPr>
        <w:br w:type="page"/>
      </w:r>
    </w:p>
    <w:p w:rsidR="00337CA6" w:rsidRDefault="00337CA6" w:rsidP="00337CA6">
      <w:pPr>
        <w:jc w:val="center"/>
        <w:rPr>
          <w:rFonts w:ascii="Bookman Old Style" w:hAnsi="Bookman Old Style"/>
          <w:b/>
          <w:sz w:val="28"/>
          <w:szCs w:val="28"/>
          <w:lang w:val="en-US"/>
        </w:rPr>
      </w:pPr>
    </w:p>
    <w:p w:rsidR="003C5DA3" w:rsidRPr="00470E8F" w:rsidRDefault="003C5DA3" w:rsidP="00337CA6">
      <w:pPr>
        <w:jc w:val="center"/>
        <w:rPr>
          <w:rFonts w:ascii="Bookman Old Style" w:hAnsi="Bookman Old Style"/>
          <w:b/>
          <w:sz w:val="28"/>
          <w:szCs w:val="28"/>
          <w:lang w:val="en-US"/>
        </w:rPr>
      </w:pPr>
    </w:p>
    <w:p w:rsidR="00337CA6" w:rsidRPr="00160D96" w:rsidRDefault="00337CA6" w:rsidP="00337CA6">
      <w:pPr>
        <w:ind w:left="851" w:right="946"/>
        <w:jc w:val="center"/>
        <w:rPr>
          <w:rFonts w:ascii="Bookman Old Style" w:hAnsi="Bookman Old Style"/>
          <w:b/>
          <w:sz w:val="36"/>
          <w:szCs w:val="36"/>
          <w:lang w:val="en-US"/>
        </w:rPr>
      </w:pPr>
      <w:r>
        <w:rPr>
          <w:rFonts w:ascii="Bookman Old Style" w:hAnsi="Bookman Old Style"/>
          <w:b/>
          <w:sz w:val="36"/>
          <w:szCs w:val="36"/>
          <w:lang w:val="en-US"/>
        </w:rPr>
        <w:t>Diversifying away the Risk of War and Cross-Border Political Crisis</w:t>
      </w:r>
    </w:p>
    <w:p w:rsidR="00337CA6" w:rsidRPr="00470E8F" w:rsidRDefault="00337CA6" w:rsidP="00337CA6">
      <w:pPr>
        <w:ind w:left="851" w:right="946"/>
        <w:jc w:val="center"/>
        <w:rPr>
          <w:rFonts w:ascii="Bookman Old Style" w:hAnsi="Bookman Old Style"/>
          <w:b/>
          <w:sz w:val="36"/>
          <w:szCs w:val="36"/>
          <w:lang w:val="en-US"/>
        </w:rPr>
      </w:pPr>
      <w:r w:rsidRPr="00470E8F">
        <w:rPr>
          <w:rFonts w:ascii="Bookman Old Style" w:hAnsi="Bookman Old Style"/>
          <w:b/>
          <w:sz w:val="36"/>
          <w:szCs w:val="36"/>
          <w:lang w:val="en-US"/>
        </w:rPr>
        <w:t xml:space="preserve"> </w:t>
      </w:r>
    </w:p>
    <w:p w:rsidR="00337CA6" w:rsidRPr="00470E8F" w:rsidRDefault="00337CA6" w:rsidP="00337CA6">
      <w:pPr>
        <w:jc w:val="center"/>
        <w:rPr>
          <w:rFonts w:ascii="Bookman Old Style" w:hAnsi="Bookman Old Style"/>
          <w:b/>
          <w:sz w:val="28"/>
          <w:szCs w:val="28"/>
          <w:lang w:val="en-US"/>
        </w:rPr>
      </w:pPr>
    </w:p>
    <w:p w:rsidR="00337CA6" w:rsidRPr="00470E8F" w:rsidRDefault="00337CA6" w:rsidP="00337CA6">
      <w:pPr>
        <w:jc w:val="center"/>
        <w:rPr>
          <w:rFonts w:ascii="Bookman Old Style" w:hAnsi="Bookman Old Style"/>
          <w:b/>
          <w:sz w:val="28"/>
          <w:szCs w:val="28"/>
          <w:lang w:val="en-US"/>
        </w:rPr>
      </w:pPr>
    </w:p>
    <w:p w:rsidR="00337CA6" w:rsidRPr="00470E8F" w:rsidRDefault="00337CA6" w:rsidP="00337CA6">
      <w:pPr>
        <w:jc w:val="center"/>
        <w:rPr>
          <w:rFonts w:ascii="Times New Roman" w:hAnsi="Times New Roman"/>
          <w:b/>
          <w:sz w:val="24"/>
          <w:szCs w:val="24"/>
          <w:lang w:val="en-US"/>
        </w:rPr>
      </w:pPr>
      <w:r w:rsidRPr="00470E8F">
        <w:rPr>
          <w:rFonts w:ascii="Times New Roman" w:hAnsi="Times New Roman"/>
          <w:b/>
          <w:sz w:val="24"/>
          <w:szCs w:val="24"/>
          <w:lang w:val="en-US"/>
        </w:rPr>
        <w:t>Abstract</w:t>
      </w:r>
    </w:p>
    <w:p w:rsidR="00337CA6" w:rsidRPr="00470E8F" w:rsidRDefault="00337CA6" w:rsidP="00337CA6">
      <w:pPr>
        <w:ind w:left="851" w:right="946"/>
        <w:jc w:val="both"/>
        <w:rPr>
          <w:rFonts w:ascii="Times New Roman" w:hAnsi="Times New Roman"/>
          <w:sz w:val="24"/>
          <w:szCs w:val="24"/>
          <w:lang w:val="en-US"/>
        </w:rPr>
      </w:pPr>
      <w:r>
        <w:rPr>
          <w:rFonts w:ascii="Times New Roman" w:hAnsi="Times New Roman"/>
          <w:sz w:val="24"/>
          <w:szCs w:val="24"/>
          <w:lang w:val="en-US"/>
        </w:rPr>
        <w:t xml:space="preserve">This paper investigates the behavior of crude oil prices, government bonds and stock market indices around outbreaks of severe international crises and wars. Using a constant-mean-return event study, we show that these events are associated with positive and significant abnormal returns on oil and bonds, which means that these two asset classes can potentially shelter shareholders from plummeting equity values during international crises. </w:t>
      </w:r>
      <w:r w:rsidRPr="00625760">
        <w:rPr>
          <w:rFonts w:ascii="Times New Roman" w:hAnsi="Times New Roman"/>
          <w:sz w:val="24"/>
          <w:szCs w:val="24"/>
          <w:lang w:val="en-US"/>
        </w:rPr>
        <w:t>A formal safe haven analysis confirms this insight</w:t>
      </w:r>
      <w:r>
        <w:rPr>
          <w:rFonts w:ascii="Times New Roman" w:hAnsi="Times New Roman"/>
          <w:sz w:val="24"/>
          <w:szCs w:val="24"/>
          <w:lang w:val="en-US"/>
        </w:rPr>
        <w:t>. Such price movements may reflect a reallocation of funds across asset classes in response to the events, as well as shifts in the demand for oil due to precautionary</w:t>
      </w:r>
      <w:r w:rsidR="00647F11">
        <w:rPr>
          <w:rFonts w:ascii="Times New Roman" w:hAnsi="Times New Roman"/>
          <w:sz w:val="24"/>
          <w:szCs w:val="24"/>
          <w:lang w:val="en-US"/>
        </w:rPr>
        <w:t>, speculative</w:t>
      </w:r>
      <w:r>
        <w:rPr>
          <w:rFonts w:ascii="Times New Roman" w:hAnsi="Times New Roman"/>
          <w:sz w:val="24"/>
          <w:szCs w:val="24"/>
          <w:lang w:val="en-US"/>
        </w:rPr>
        <w:t xml:space="preserve"> and military motives. We also calculate the weights for optimal portfolios, which could provide insurance against conflict risk</w:t>
      </w:r>
      <w:r w:rsidRPr="00470E8F">
        <w:rPr>
          <w:rFonts w:ascii="Times New Roman" w:hAnsi="Times New Roman"/>
          <w:sz w:val="24"/>
          <w:szCs w:val="24"/>
          <w:lang w:val="en-US"/>
        </w:rPr>
        <w:t xml:space="preserve">. </w:t>
      </w:r>
    </w:p>
    <w:p w:rsidR="00337CA6" w:rsidRPr="00470E8F" w:rsidRDefault="00337CA6" w:rsidP="00337CA6">
      <w:pPr>
        <w:jc w:val="center"/>
        <w:rPr>
          <w:rFonts w:ascii="Times New Roman" w:hAnsi="Times New Roman"/>
          <w:sz w:val="24"/>
          <w:szCs w:val="24"/>
          <w:lang w:val="en-US"/>
        </w:rPr>
      </w:pPr>
    </w:p>
    <w:p w:rsidR="00337CA6" w:rsidRPr="00470E8F" w:rsidRDefault="00337CA6" w:rsidP="00337CA6">
      <w:pPr>
        <w:ind w:left="851"/>
        <w:rPr>
          <w:rFonts w:ascii="Times New Roman" w:hAnsi="Times New Roman"/>
          <w:sz w:val="24"/>
          <w:szCs w:val="24"/>
          <w:lang w:val="en-US"/>
        </w:rPr>
      </w:pPr>
      <w:r w:rsidRPr="00470E8F">
        <w:rPr>
          <w:rFonts w:ascii="Times New Roman" w:hAnsi="Times New Roman"/>
          <w:i/>
          <w:sz w:val="24"/>
          <w:szCs w:val="24"/>
          <w:lang w:val="en-US"/>
        </w:rPr>
        <w:t>JEL classification:</w:t>
      </w:r>
      <w:r w:rsidRPr="00470E8F">
        <w:rPr>
          <w:rFonts w:ascii="Times New Roman" w:hAnsi="Times New Roman"/>
          <w:sz w:val="24"/>
          <w:szCs w:val="24"/>
          <w:lang w:val="en-US"/>
        </w:rPr>
        <w:t xml:space="preserve"> G11, G12, Q34 </w:t>
      </w:r>
    </w:p>
    <w:p w:rsidR="00337CA6" w:rsidRPr="00470E8F" w:rsidRDefault="00337CA6" w:rsidP="00337CA6">
      <w:pPr>
        <w:ind w:left="851"/>
        <w:rPr>
          <w:rFonts w:ascii="Times New Roman" w:hAnsi="Times New Roman"/>
          <w:sz w:val="24"/>
          <w:szCs w:val="24"/>
          <w:lang w:val="en-US"/>
        </w:rPr>
      </w:pPr>
      <w:r w:rsidRPr="00470E8F">
        <w:rPr>
          <w:rFonts w:ascii="Times New Roman" w:hAnsi="Times New Roman"/>
          <w:i/>
          <w:sz w:val="24"/>
          <w:szCs w:val="24"/>
          <w:lang w:val="en-US"/>
        </w:rPr>
        <w:t>Keywords:</w:t>
      </w:r>
      <w:r w:rsidRPr="00470E8F">
        <w:rPr>
          <w:rFonts w:ascii="Times New Roman" w:hAnsi="Times New Roman"/>
          <w:sz w:val="24"/>
          <w:szCs w:val="24"/>
          <w:lang w:val="en-US"/>
        </w:rPr>
        <w:t xml:space="preserve"> Crude Oil Price, Safe Haven, International Crises, Wars</w:t>
      </w:r>
      <w:r w:rsidRPr="00470E8F">
        <w:rPr>
          <w:rFonts w:ascii="Times New Roman" w:hAnsi="Times New Roman"/>
          <w:sz w:val="24"/>
          <w:szCs w:val="24"/>
          <w:lang w:val="en-US"/>
        </w:rPr>
        <w:br w:type="page"/>
      </w:r>
    </w:p>
    <w:p w:rsidR="00337CA6" w:rsidRPr="00470E8F" w:rsidRDefault="00337CA6" w:rsidP="00337CA6">
      <w:pPr>
        <w:ind w:left="360"/>
        <w:rPr>
          <w:rFonts w:ascii="Times New Roman" w:hAnsi="Times New Roman"/>
          <w:b/>
          <w:sz w:val="24"/>
          <w:szCs w:val="24"/>
          <w:lang w:val="en-US"/>
        </w:rPr>
      </w:pPr>
      <w:r w:rsidRPr="00470E8F">
        <w:rPr>
          <w:rFonts w:ascii="Times New Roman" w:hAnsi="Times New Roman"/>
          <w:b/>
          <w:sz w:val="24"/>
          <w:szCs w:val="24"/>
          <w:lang w:val="en-US"/>
        </w:rPr>
        <w:lastRenderedPageBreak/>
        <w:t>I. Introduction</w:t>
      </w:r>
    </w:p>
    <w:p w:rsidR="00337CA6" w:rsidRPr="00470E8F" w:rsidRDefault="00337CA6" w:rsidP="00337CA6">
      <w:pPr>
        <w:spacing w:line="480" w:lineRule="auto"/>
        <w:jc w:val="both"/>
        <w:rPr>
          <w:rFonts w:ascii="Times New Roman" w:hAnsi="Times New Roman"/>
          <w:sz w:val="24"/>
          <w:szCs w:val="24"/>
          <w:lang w:val="en-US"/>
        </w:rPr>
      </w:pPr>
      <w:r w:rsidRPr="00470E8F">
        <w:rPr>
          <w:rFonts w:ascii="Times New Roman" w:hAnsi="Times New Roman"/>
          <w:sz w:val="24"/>
          <w:szCs w:val="24"/>
          <w:lang w:val="en-US"/>
        </w:rPr>
        <w:t xml:space="preserve">        The effects of wars </w:t>
      </w:r>
      <w:r>
        <w:rPr>
          <w:rFonts w:ascii="Times New Roman" w:hAnsi="Times New Roman"/>
          <w:sz w:val="24"/>
          <w:szCs w:val="24"/>
          <w:lang w:val="en-US"/>
        </w:rPr>
        <w:t xml:space="preserve">and conflicts </w:t>
      </w:r>
      <w:r w:rsidRPr="00470E8F">
        <w:rPr>
          <w:rFonts w:ascii="Times New Roman" w:hAnsi="Times New Roman"/>
          <w:sz w:val="24"/>
          <w:szCs w:val="24"/>
          <w:lang w:val="en-US"/>
        </w:rPr>
        <w:t>go beyond battlefields and inflict severe damage to human and physical capital with shattering economic consequences (</w:t>
      </w:r>
      <w:proofErr w:type="spellStart"/>
      <w:r w:rsidRPr="00470E8F">
        <w:rPr>
          <w:rFonts w:ascii="Times New Roman" w:hAnsi="Times New Roman"/>
          <w:sz w:val="24"/>
          <w:szCs w:val="24"/>
          <w:lang w:val="en-US"/>
        </w:rPr>
        <w:t>Nordhaus</w:t>
      </w:r>
      <w:proofErr w:type="spellEnd"/>
      <w:r w:rsidRPr="00470E8F">
        <w:rPr>
          <w:rFonts w:ascii="Times New Roman" w:hAnsi="Times New Roman"/>
          <w:sz w:val="24"/>
          <w:szCs w:val="24"/>
          <w:lang w:val="en-US"/>
        </w:rPr>
        <w:t xml:space="preserve">, 2002; </w:t>
      </w:r>
      <w:proofErr w:type="spellStart"/>
      <w:r w:rsidRPr="00470E8F">
        <w:rPr>
          <w:rFonts w:ascii="Times New Roman" w:hAnsi="Times New Roman"/>
          <w:sz w:val="24"/>
          <w:szCs w:val="24"/>
          <w:lang w:val="en-US"/>
        </w:rPr>
        <w:t>Cappelen</w:t>
      </w:r>
      <w:proofErr w:type="spellEnd"/>
      <w:r w:rsidRPr="00470E8F">
        <w:rPr>
          <w:rFonts w:ascii="Times New Roman" w:hAnsi="Times New Roman"/>
          <w:sz w:val="24"/>
          <w:szCs w:val="24"/>
          <w:lang w:val="en-US"/>
        </w:rPr>
        <w:t xml:space="preserve">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1984; </w:t>
      </w:r>
      <w:proofErr w:type="spellStart"/>
      <w:r w:rsidRPr="00470E8F">
        <w:rPr>
          <w:rFonts w:ascii="Times New Roman" w:hAnsi="Times New Roman"/>
          <w:sz w:val="24"/>
          <w:szCs w:val="24"/>
          <w:lang w:val="en-US"/>
        </w:rPr>
        <w:t>Deger</w:t>
      </w:r>
      <w:proofErr w:type="spellEnd"/>
      <w:r w:rsidRPr="00470E8F">
        <w:rPr>
          <w:rFonts w:ascii="Times New Roman" w:hAnsi="Times New Roman"/>
          <w:sz w:val="24"/>
          <w:szCs w:val="24"/>
          <w:lang w:val="en-US"/>
        </w:rPr>
        <w:t xml:space="preserve"> and Smith, 1983). Consequently, one may expect the impact of such events </w:t>
      </w:r>
      <w:r>
        <w:rPr>
          <w:rFonts w:ascii="Times New Roman" w:hAnsi="Times New Roman"/>
          <w:sz w:val="24"/>
          <w:szCs w:val="24"/>
          <w:lang w:val="en-US"/>
        </w:rPr>
        <w:t>to</w:t>
      </w:r>
      <w:r w:rsidRPr="00470E8F">
        <w:rPr>
          <w:rFonts w:ascii="Times New Roman" w:hAnsi="Times New Roman"/>
          <w:sz w:val="24"/>
          <w:szCs w:val="24"/>
          <w:lang w:val="en-US"/>
        </w:rPr>
        <w:t xml:space="preserve"> resonate in financial markets in general and stock markets in particular</w:t>
      </w:r>
      <w:r>
        <w:rPr>
          <w:rFonts w:ascii="Times New Roman" w:hAnsi="Times New Roman"/>
          <w:sz w:val="24"/>
          <w:szCs w:val="24"/>
          <w:lang w:val="en-US"/>
        </w:rPr>
        <w:t xml:space="preserve"> (Berkman </w:t>
      </w:r>
      <w:r w:rsidRPr="00E51801">
        <w:rPr>
          <w:rFonts w:ascii="Times New Roman" w:hAnsi="Times New Roman"/>
          <w:i/>
          <w:sz w:val="24"/>
          <w:szCs w:val="24"/>
          <w:lang w:val="en-US"/>
        </w:rPr>
        <w:t>et al.,</w:t>
      </w:r>
      <w:r>
        <w:rPr>
          <w:rFonts w:ascii="Times New Roman" w:hAnsi="Times New Roman"/>
          <w:sz w:val="24"/>
          <w:szCs w:val="24"/>
          <w:lang w:val="en-US"/>
        </w:rPr>
        <w:t xml:space="preserve"> 2011)</w:t>
      </w:r>
      <w:r w:rsidRPr="00470E8F">
        <w:rPr>
          <w:rFonts w:ascii="Times New Roman" w:hAnsi="Times New Roman"/>
          <w:sz w:val="24"/>
          <w:szCs w:val="24"/>
          <w:lang w:val="en-US"/>
        </w:rPr>
        <w:t xml:space="preserve">. The financial integration of markets within a country or across national borders exacerbates the devastating </w:t>
      </w:r>
      <w:r>
        <w:rPr>
          <w:rFonts w:ascii="Times New Roman" w:hAnsi="Times New Roman"/>
          <w:sz w:val="24"/>
          <w:szCs w:val="24"/>
          <w:lang w:val="en-US"/>
        </w:rPr>
        <w:t>effect</w:t>
      </w:r>
      <w:r w:rsidRPr="00470E8F">
        <w:rPr>
          <w:rFonts w:ascii="Times New Roman" w:hAnsi="Times New Roman"/>
          <w:sz w:val="24"/>
          <w:szCs w:val="24"/>
          <w:lang w:val="en-US"/>
        </w:rPr>
        <w:t xml:space="preserve"> of violent conflicts through a reduction in diversification benefits. As people flee warzones and seek safe shelter, so </w:t>
      </w:r>
      <w:r>
        <w:rPr>
          <w:rFonts w:ascii="Times New Roman" w:hAnsi="Times New Roman"/>
          <w:sz w:val="24"/>
          <w:szCs w:val="24"/>
          <w:lang w:val="en-US"/>
        </w:rPr>
        <w:t>too does</w:t>
      </w:r>
      <w:r w:rsidRPr="00470E8F">
        <w:rPr>
          <w:rFonts w:ascii="Times New Roman" w:hAnsi="Times New Roman"/>
          <w:sz w:val="24"/>
          <w:szCs w:val="24"/>
          <w:lang w:val="en-US"/>
        </w:rPr>
        <w:t xml:space="preserve"> the financial capital. Thus, it becomes an imperative to search for safe haven assets during such political events, as the capital escapes tumbling equity markets. It is the potential presence of such assets and the associated diversification benefits that motivate our paper. More specifically, we consider crude oil and government bonds as potential safe havens for those investing in US and World equities. </w:t>
      </w:r>
      <w:r>
        <w:rPr>
          <w:rFonts w:ascii="Times New Roman" w:hAnsi="Times New Roman"/>
          <w:sz w:val="24"/>
          <w:szCs w:val="24"/>
          <w:lang w:val="en-US"/>
        </w:rPr>
        <w:t>By ‘safe havens’, we mean assets with returns uncorrelated or negatively correlated with the stock market index returns around the time of conflict or political crisis outbreak. A ‘hedge’ would be an asset that would exhibit such property throughout the entire sample period, rather than during crises periods alone, while a ‘diversifier’ is a non-hedge asset less than perfectly correlated with the stock market index on average (</w:t>
      </w:r>
      <w:proofErr w:type="spellStart"/>
      <w:r w:rsidRPr="000817E2">
        <w:rPr>
          <w:rFonts w:ascii="Times New Roman" w:hAnsi="Times New Roman"/>
          <w:sz w:val="24"/>
          <w:szCs w:val="24"/>
          <w:lang w:val="en-US"/>
        </w:rPr>
        <w:t>Baur</w:t>
      </w:r>
      <w:proofErr w:type="spellEnd"/>
      <w:r w:rsidRPr="000817E2">
        <w:rPr>
          <w:rFonts w:ascii="Times New Roman" w:hAnsi="Times New Roman"/>
          <w:sz w:val="24"/>
          <w:szCs w:val="24"/>
          <w:lang w:val="en-US"/>
        </w:rPr>
        <w:t xml:space="preserve"> </w:t>
      </w:r>
      <w:r>
        <w:rPr>
          <w:rFonts w:ascii="Times New Roman" w:hAnsi="Times New Roman"/>
          <w:sz w:val="24"/>
          <w:szCs w:val="24"/>
          <w:lang w:val="en-US"/>
        </w:rPr>
        <w:t xml:space="preserve">and Lucey, 2010). </w:t>
      </w:r>
    </w:p>
    <w:p w:rsidR="00337CA6" w:rsidRPr="00470E8F" w:rsidRDefault="00337CA6" w:rsidP="00337CA6">
      <w:pPr>
        <w:spacing w:line="480" w:lineRule="auto"/>
        <w:jc w:val="both"/>
        <w:rPr>
          <w:rFonts w:ascii="Times New Roman" w:hAnsi="Times New Roman"/>
          <w:sz w:val="24"/>
          <w:szCs w:val="24"/>
          <w:lang w:val="en-US"/>
        </w:rPr>
      </w:pPr>
      <w:r w:rsidRPr="00470E8F">
        <w:rPr>
          <w:rFonts w:ascii="Times New Roman" w:hAnsi="Times New Roman"/>
          <w:sz w:val="24"/>
          <w:szCs w:val="24"/>
          <w:lang w:val="en-US"/>
        </w:rPr>
        <w:t xml:space="preserve">        The strategic importance of petroleum in the global economic system (Hamilton, 1983), in addition to its current and historical association with wars and political conflicts (Liddell- Hart,</w:t>
      </w:r>
      <w:r>
        <w:rPr>
          <w:rFonts w:ascii="Times New Roman" w:hAnsi="Times New Roman"/>
          <w:sz w:val="24"/>
          <w:szCs w:val="24"/>
          <w:lang w:val="en-US"/>
        </w:rPr>
        <w:t xml:space="preserve"> </w:t>
      </w:r>
      <w:r w:rsidRPr="00470E8F">
        <w:rPr>
          <w:rFonts w:ascii="Times New Roman" w:hAnsi="Times New Roman"/>
          <w:sz w:val="24"/>
          <w:szCs w:val="24"/>
          <w:lang w:val="en-US"/>
        </w:rPr>
        <w:t xml:space="preserve">1953; </w:t>
      </w:r>
      <w:proofErr w:type="spellStart"/>
      <w:r w:rsidRPr="00470E8F">
        <w:rPr>
          <w:rFonts w:ascii="Times New Roman" w:hAnsi="Times New Roman"/>
          <w:sz w:val="24"/>
          <w:szCs w:val="24"/>
          <w:lang w:val="en-US"/>
        </w:rPr>
        <w:t>Lieber</w:t>
      </w:r>
      <w:proofErr w:type="spellEnd"/>
      <w:r w:rsidRPr="00470E8F">
        <w:rPr>
          <w:rFonts w:ascii="Times New Roman" w:hAnsi="Times New Roman"/>
          <w:sz w:val="24"/>
          <w:szCs w:val="24"/>
          <w:lang w:val="en-US"/>
        </w:rPr>
        <w:t xml:space="preserve">, 1992; </w:t>
      </w:r>
      <w:proofErr w:type="spellStart"/>
      <w:r w:rsidRPr="00470E8F">
        <w:rPr>
          <w:rFonts w:ascii="Times New Roman" w:hAnsi="Times New Roman"/>
          <w:sz w:val="24"/>
          <w:szCs w:val="24"/>
          <w:lang w:val="en-US"/>
        </w:rPr>
        <w:t>Yergin</w:t>
      </w:r>
      <w:proofErr w:type="spellEnd"/>
      <w:r w:rsidRPr="00470E8F">
        <w:rPr>
          <w:rFonts w:ascii="Times New Roman" w:hAnsi="Times New Roman"/>
          <w:sz w:val="24"/>
          <w:szCs w:val="24"/>
          <w:lang w:val="en-US"/>
        </w:rPr>
        <w:t>, 2012), suggest that it may be a possible safeguard against  falling stock market valuations during such turbulent periods. Secondly, the theoretical, empirical and anecdotal evidence document</w:t>
      </w:r>
      <w:r>
        <w:rPr>
          <w:rFonts w:ascii="Times New Roman" w:hAnsi="Times New Roman"/>
          <w:sz w:val="24"/>
          <w:szCs w:val="24"/>
          <w:lang w:val="en-US"/>
        </w:rPr>
        <w:t>s</w:t>
      </w:r>
      <w:r w:rsidRPr="00470E8F">
        <w:rPr>
          <w:rFonts w:ascii="Times New Roman" w:hAnsi="Times New Roman"/>
          <w:sz w:val="24"/>
          <w:szCs w:val="24"/>
          <w:lang w:val="en-US"/>
        </w:rPr>
        <w:t xml:space="preserve"> flights from equities to the quality and liquidity of sovereign bonds during financial crises (Hartmann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2004; Caballero and Krishnamurthy, 2008; </w:t>
      </w:r>
      <w:proofErr w:type="spellStart"/>
      <w:r w:rsidRPr="00470E8F">
        <w:rPr>
          <w:rFonts w:ascii="Times New Roman" w:hAnsi="Times New Roman"/>
          <w:sz w:val="24"/>
          <w:szCs w:val="24"/>
          <w:lang w:val="en-US"/>
        </w:rPr>
        <w:t>Baur</w:t>
      </w:r>
      <w:proofErr w:type="spellEnd"/>
      <w:r w:rsidRPr="00470E8F">
        <w:rPr>
          <w:rFonts w:ascii="Times New Roman" w:hAnsi="Times New Roman"/>
          <w:sz w:val="24"/>
          <w:szCs w:val="24"/>
          <w:lang w:val="en-US"/>
        </w:rPr>
        <w:t xml:space="preserve"> and Lucey, 2009). </w:t>
      </w:r>
      <w:r>
        <w:rPr>
          <w:rFonts w:ascii="Times New Roman" w:hAnsi="Times New Roman"/>
          <w:sz w:val="24"/>
          <w:szCs w:val="24"/>
          <w:lang w:val="en-US"/>
        </w:rPr>
        <w:t>W</w:t>
      </w:r>
      <w:r w:rsidRPr="00470E8F">
        <w:rPr>
          <w:rFonts w:ascii="Times New Roman" w:hAnsi="Times New Roman"/>
          <w:sz w:val="24"/>
          <w:szCs w:val="24"/>
          <w:lang w:val="en-US"/>
        </w:rPr>
        <w:t xml:space="preserve">e </w:t>
      </w:r>
      <w:r>
        <w:rPr>
          <w:rFonts w:ascii="Times New Roman" w:hAnsi="Times New Roman"/>
          <w:sz w:val="24"/>
          <w:szCs w:val="24"/>
          <w:lang w:val="en-US"/>
        </w:rPr>
        <w:t xml:space="preserve">therefore </w:t>
      </w:r>
      <w:r w:rsidRPr="00470E8F">
        <w:rPr>
          <w:rFonts w:ascii="Times New Roman" w:hAnsi="Times New Roman"/>
          <w:sz w:val="24"/>
          <w:szCs w:val="24"/>
          <w:lang w:val="en-US"/>
        </w:rPr>
        <w:t xml:space="preserve">postulate that a </w:t>
      </w:r>
      <w:r>
        <w:rPr>
          <w:rFonts w:ascii="Times New Roman" w:hAnsi="Times New Roman"/>
          <w:sz w:val="24"/>
          <w:szCs w:val="24"/>
          <w:lang w:val="en-US"/>
        </w:rPr>
        <w:t>positive</w:t>
      </w:r>
      <w:r w:rsidRPr="00470E8F">
        <w:rPr>
          <w:rFonts w:ascii="Times New Roman" w:hAnsi="Times New Roman"/>
          <w:sz w:val="24"/>
          <w:szCs w:val="24"/>
          <w:lang w:val="en-US"/>
        </w:rPr>
        <w:t xml:space="preserve"> market reaction may take place for </w:t>
      </w:r>
      <w:r>
        <w:rPr>
          <w:rFonts w:ascii="Times New Roman" w:hAnsi="Times New Roman"/>
          <w:sz w:val="24"/>
          <w:szCs w:val="24"/>
          <w:lang w:val="en-US"/>
        </w:rPr>
        <w:t xml:space="preserve">sovereign </w:t>
      </w:r>
      <w:r w:rsidRPr="00470E8F">
        <w:rPr>
          <w:rFonts w:ascii="Times New Roman" w:hAnsi="Times New Roman"/>
          <w:sz w:val="24"/>
          <w:szCs w:val="24"/>
          <w:lang w:val="en-US"/>
        </w:rPr>
        <w:t xml:space="preserve">bonds in times of political disarray. </w:t>
      </w:r>
      <w:r w:rsidRPr="00605A2E">
        <w:rPr>
          <w:rFonts w:ascii="Times New Roman" w:hAnsi="Times New Roman"/>
          <w:sz w:val="24"/>
          <w:szCs w:val="24"/>
          <w:lang w:val="en-US"/>
        </w:rPr>
        <w:t>Sovereign debt is an important asset class, as it serves as a benchmark for corporate debt (</w:t>
      </w:r>
      <w:proofErr w:type="spellStart"/>
      <w:r w:rsidRPr="00605A2E">
        <w:rPr>
          <w:rFonts w:ascii="Times New Roman" w:hAnsi="Times New Roman"/>
          <w:sz w:val="24"/>
          <w:szCs w:val="24"/>
          <w:lang w:val="en-US"/>
        </w:rPr>
        <w:t>Fabella</w:t>
      </w:r>
      <w:proofErr w:type="spellEnd"/>
      <w:r w:rsidRPr="00605A2E">
        <w:rPr>
          <w:rFonts w:ascii="Times New Roman" w:hAnsi="Times New Roman"/>
          <w:sz w:val="24"/>
          <w:szCs w:val="24"/>
          <w:lang w:val="en-US"/>
        </w:rPr>
        <w:t xml:space="preserve"> and </w:t>
      </w:r>
      <w:proofErr w:type="spellStart"/>
      <w:r w:rsidRPr="00605A2E">
        <w:rPr>
          <w:rFonts w:ascii="Times New Roman" w:hAnsi="Times New Roman"/>
          <w:sz w:val="24"/>
          <w:szCs w:val="24"/>
          <w:lang w:val="en-US"/>
        </w:rPr>
        <w:t>Madhur</w:t>
      </w:r>
      <w:proofErr w:type="spellEnd"/>
      <w:r w:rsidRPr="00605A2E">
        <w:rPr>
          <w:rFonts w:ascii="Times New Roman" w:hAnsi="Times New Roman"/>
          <w:sz w:val="24"/>
          <w:szCs w:val="24"/>
          <w:lang w:val="en-US"/>
        </w:rPr>
        <w:t xml:space="preserve">, </w:t>
      </w:r>
      <w:r w:rsidRPr="00605A2E">
        <w:rPr>
          <w:rFonts w:ascii="Times New Roman" w:hAnsi="Times New Roman"/>
          <w:sz w:val="24"/>
          <w:szCs w:val="24"/>
          <w:lang w:val="en-US"/>
        </w:rPr>
        <w:lastRenderedPageBreak/>
        <w:t xml:space="preserve">2003; </w:t>
      </w:r>
      <w:proofErr w:type="spellStart"/>
      <w:r w:rsidRPr="00605A2E">
        <w:rPr>
          <w:rFonts w:ascii="Times New Roman" w:hAnsi="Times New Roman"/>
          <w:sz w:val="24"/>
          <w:szCs w:val="24"/>
          <w:lang w:val="en-US"/>
        </w:rPr>
        <w:t>Dittmar</w:t>
      </w:r>
      <w:proofErr w:type="spellEnd"/>
      <w:r w:rsidRPr="00605A2E">
        <w:rPr>
          <w:rFonts w:ascii="Times New Roman" w:hAnsi="Times New Roman"/>
          <w:sz w:val="24"/>
          <w:szCs w:val="24"/>
          <w:lang w:val="en-US"/>
        </w:rPr>
        <w:t xml:space="preserve"> and Yuan, 2008)</w:t>
      </w:r>
      <w:r w:rsidR="00647F11">
        <w:rPr>
          <w:rFonts w:ascii="Times New Roman" w:hAnsi="Times New Roman"/>
          <w:sz w:val="24"/>
          <w:szCs w:val="24"/>
          <w:lang w:val="en-US"/>
        </w:rPr>
        <w:t>,</w:t>
      </w:r>
      <w:r w:rsidRPr="00605A2E">
        <w:rPr>
          <w:rFonts w:ascii="Times New Roman" w:hAnsi="Times New Roman"/>
          <w:sz w:val="24"/>
          <w:szCs w:val="24"/>
          <w:lang w:val="en-US"/>
        </w:rPr>
        <w:t xml:space="preserve"> which tends to be less liquid (</w:t>
      </w:r>
      <w:proofErr w:type="spellStart"/>
      <w:r w:rsidRPr="00605A2E">
        <w:rPr>
          <w:rFonts w:ascii="Times New Roman" w:hAnsi="Times New Roman"/>
          <w:sz w:val="24"/>
          <w:szCs w:val="24"/>
          <w:lang w:val="en-US"/>
        </w:rPr>
        <w:t>Hund</w:t>
      </w:r>
      <w:proofErr w:type="spellEnd"/>
      <w:r w:rsidRPr="00605A2E">
        <w:rPr>
          <w:rFonts w:ascii="Times New Roman" w:hAnsi="Times New Roman"/>
          <w:sz w:val="24"/>
          <w:szCs w:val="24"/>
          <w:lang w:val="en-US"/>
        </w:rPr>
        <w:t xml:space="preserve"> and </w:t>
      </w:r>
      <w:proofErr w:type="spellStart"/>
      <w:r w:rsidRPr="00605A2E">
        <w:rPr>
          <w:rFonts w:ascii="Times New Roman" w:hAnsi="Times New Roman"/>
          <w:sz w:val="24"/>
          <w:szCs w:val="24"/>
          <w:lang w:val="en-US"/>
        </w:rPr>
        <w:t>Lesmond</w:t>
      </w:r>
      <w:proofErr w:type="spellEnd"/>
      <w:r w:rsidRPr="00605A2E">
        <w:rPr>
          <w:rFonts w:ascii="Times New Roman" w:hAnsi="Times New Roman"/>
          <w:sz w:val="24"/>
          <w:szCs w:val="24"/>
          <w:lang w:val="en-US"/>
        </w:rPr>
        <w:t>, 2008).</w:t>
      </w:r>
      <w:r>
        <w:rPr>
          <w:rFonts w:ascii="Times New Roman" w:hAnsi="Times New Roman"/>
          <w:sz w:val="24"/>
          <w:szCs w:val="24"/>
          <w:lang w:val="en-US"/>
        </w:rPr>
        <w:t xml:space="preserve"> </w:t>
      </w:r>
      <w:r w:rsidRPr="00605A2E">
        <w:rPr>
          <w:rFonts w:ascii="Times New Roman" w:hAnsi="Times New Roman"/>
          <w:sz w:val="24"/>
          <w:szCs w:val="24"/>
          <w:lang w:val="en-US"/>
        </w:rPr>
        <w:t>Furthermore, bonds</w:t>
      </w:r>
      <w:r>
        <w:rPr>
          <w:rFonts w:ascii="Times New Roman" w:hAnsi="Times New Roman"/>
          <w:sz w:val="24"/>
          <w:szCs w:val="24"/>
          <w:lang w:val="en-US"/>
        </w:rPr>
        <w:t xml:space="preserve"> issued by governments in</w:t>
      </w:r>
      <w:r w:rsidRPr="00605A2E">
        <w:rPr>
          <w:rFonts w:ascii="Times New Roman" w:hAnsi="Times New Roman"/>
          <w:sz w:val="24"/>
          <w:szCs w:val="24"/>
          <w:lang w:val="en-US"/>
        </w:rPr>
        <w:t xml:space="preserve"> international markets appear to lead other bonds in terms of price discovery (</w:t>
      </w:r>
      <w:proofErr w:type="spellStart"/>
      <w:r w:rsidRPr="00605A2E">
        <w:rPr>
          <w:rFonts w:ascii="Times New Roman" w:hAnsi="Times New Roman"/>
          <w:sz w:val="24"/>
          <w:szCs w:val="24"/>
          <w:lang w:val="en-US"/>
        </w:rPr>
        <w:t>Dittmar</w:t>
      </w:r>
      <w:proofErr w:type="spellEnd"/>
      <w:r w:rsidRPr="00605A2E">
        <w:rPr>
          <w:rFonts w:ascii="Times New Roman" w:hAnsi="Times New Roman"/>
          <w:sz w:val="24"/>
          <w:szCs w:val="24"/>
          <w:lang w:val="en-US"/>
        </w:rPr>
        <w:t xml:space="preserve"> and Yuan, 2008).</w:t>
      </w:r>
      <w:r>
        <w:rPr>
          <w:rFonts w:ascii="Times New Roman" w:hAnsi="Times New Roman"/>
          <w:sz w:val="24"/>
          <w:szCs w:val="24"/>
          <w:lang w:val="en-US"/>
        </w:rPr>
        <w:t xml:space="preserve"> </w:t>
      </w:r>
    </w:p>
    <w:p w:rsidR="00337CA6" w:rsidRPr="00470E8F" w:rsidRDefault="00337CA6" w:rsidP="00337CA6">
      <w:pPr>
        <w:spacing w:line="480" w:lineRule="auto"/>
        <w:ind w:firstLine="360"/>
        <w:jc w:val="both"/>
        <w:rPr>
          <w:rFonts w:ascii="Times New Roman" w:hAnsi="Times New Roman"/>
          <w:color w:val="00B050"/>
          <w:sz w:val="24"/>
          <w:szCs w:val="24"/>
          <w:lang w:val="en-US"/>
        </w:rPr>
      </w:pPr>
      <w:r w:rsidRPr="00470E8F">
        <w:rPr>
          <w:rFonts w:ascii="Times New Roman" w:hAnsi="Times New Roman"/>
          <w:sz w:val="24"/>
          <w:szCs w:val="24"/>
          <w:lang w:val="en-US"/>
        </w:rPr>
        <w:t xml:space="preserve">This paper documents </w:t>
      </w:r>
      <w:r>
        <w:rPr>
          <w:rFonts w:ascii="Times New Roman" w:hAnsi="Times New Roman"/>
          <w:sz w:val="24"/>
          <w:szCs w:val="24"/>
          <w:lang w:val="en-US"/>
        </w:rPr>
        <w:t xml:space="preserve">substantial increases in </w:t>
      </w:r>
      <w:r w:rsidRPr="00470E8F">
        <w:rPr>
          <w:rFonts w:ascii="Times New Roman" w:hAnsi="Times New Roman"/>
          <w:sz w:val="24"/>
          <w:szCs w:val="24"/>
          <w:lang w:val="en-US"/>
        </w:rPr>
        <w:t>price of crude oil during periods surrounding the outbreaks of wars and international crises. Several authors have observed oil price reactions in response to specific events, like the Gulf War (</w:t>
      </w:r>
      <w:proofErr w:type="spellStart"/>
      <w:r w:rsidRPr="00470E8F">
        <w:rPr>
          <w:rFonts w:ascii="Times New Roman" w:hAnsi="Times New Roman"/>
          <w:sz w:val="24"/>
          <w:szCs w:val="24"/>
          <w:lang w:val="en-US"/>
        </w:rPr>
        <w:t>Lieber</w:t>
      </w:r>
      <w:proofErr w:type="spellEnd"/>
      <w:r w:rsidRPr="00470E8F">
        <w:rPr>
          <w:rFonts w:ascii="Times New Roman" w:hAnsi="Times New Roman"/>
          <w:sz w:val="24"/>
          <w:szCs w:val="24"/>
          <w:lang w:val="en-US"/>
        </w:rPr>
        <w:t xml:space="preserve">, 1992) and the war in Iraq (Leigh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2003; </w:t>
      </w:r>
      <w:proofErr w:type="spellStart"/>
      <w:r w:rsidRPr="00470E8F">
        <w:rPr>
          <w:rFonts w:ascii="Times New Roman" w:hAnsi="Times New Roman"/>
          <w:sz w:val="24"/>
          <w:szCs w:val="24"/>
          <w:lang w:val="en-US"/>
        </w:rPr>
        <w:t>Rigobon</w:t>
      </w:r>
      <w:proofErr w:type="spellEnd"/>
      <w:r w:rsidRPr="00470E8F">
        <w:rPr>
          <w:rFonts w:ascii="Times New Roman" w:hAnsi="Times New Roman"/>
          <w:sz w:val="24"/>
          <w:szCs w:val="24"/>
          <w:lang w:val="en-US"/>
        </w:rPr>
        <w:t xml:space="preserve"> and Sack, 2005).</w:t>
      </w:r>
      <w:r>
        <w:rPr>
          <w:rFonts w:ascii="Times New Roman" w:hAnsi="Times New Roman"/>
          <w:sz w:val="24"/>
          <w:szCs w:val="24"/>
          <w:lang w:val="en-US"/>
        </w:rPr>
        <w:t xml:space="preserve"> Notwithstanding the importance of these two events,</w:t>
      </w:r>
      <w:r w:rsidRPr="00470E8F">
        <w:rPr>
          <w:rFonts w:ascii="Times New Roman" w:hAnsi="Times New Roman"/>
          <w:sz w:val="24"/>
          <w:szCs w:val="24"/>
          <w:lang w:val="en-US"/>
        </w:rPr>
        <w:t xml:space="preserve"> </w:t>
      </w:r>
      <w:r>
        <w:rPr>
          <w:rFonts w:ascii="Times New Roman" w:hAnsi="Times New Roman"/>
          <w:sz w:val="24"/>
          <w:szCs w:val="24"/>
          <w:lang w:val="en-US"/>
        </w:rPr>
        <w:t>o</w:t>
      </w:r>
      <w:r w:rsidRPr="00254512">
        <w:rPr>
          <w:rFonts w:ascii="Times New Roman" w:hAnsi="Times New Roman"/>
          <w:sz w:val="24"/>
          <w:szCs w:val="24"/>
          <w:lang w:val="en-US"/>
        </w:rPr>
        <w:t xml:space="preserve">ur </w:t>
      </w:r>
      <w:r>
        <w:rPr>
          <w:rFonts w:ascii="Times New Roman" w:hAnsi="Times New Roman"/>
          <w:sz w:val="24"/>
          <w:szCs w:val="24"/>
          <w:lang w:val="en-US"/>
        </w:rPr>
        <w:t xml:space="preserve">investigation </w:t>
      </w:r>
      <w:r w:rsidRPr="00254512">
        <w:rPr>
          <w:rFonts w:ascii="Times New Roman" w:hAnsi="Times New Roman"/>
          <w:sz w:val="24"/>
          <w:szCs w:val="24"/>
          <w:lang w:val="en-US"/>
        </w:rPr>
        <w:t>cover</w:t>
      </w:r>
      <w:r>
        <w:rPr>
          <w:rFonts w:ascii="Times New Roman" w:hAnsi="Times New Roman"/>
          <w:sz w:val="24"/>
          <w:szCs w:val="24"/>
          <w:lang w:val="en-US"/>
        </w:rPr>
        <w:t>s</w:t>
      </w:r>
      <w:r w:rsidRPr="00254512">
        <w:rPr>
          <w:rFonts w:ascii="Times New Roman" w:hAnsi="Times New Roman"/>
          <w:sz w:val="24"/>
          <w:szCs w:val="24"/>
          <w:lang w:val="en-US"/>
        </w:rPr>
        <w:t xml:space="preserve"> a more comprehensive sample of international conflicts, which allows us to derive</w:t>
      </w:r>
      <w:r w:rsidRPr="00470E8F">
        <w:rPr>
          <w:rFonts w:ascii="Times New Roman" w:hAnsi="Times New Roman"/>
          <w:sz w:val="24"/>
          <w:szCs w:val="24"/>
          <w:lang w:val="en-US"/>
        </w:rPr>
        <w:t xml:space="preserve"> general conclusions regarding the nexus between war and the market value of crude petroleum. We go on to argue that there may be several reasons why hostilities lead to oil price inflation. First, the demand from the military increases, as large quantities of fuel are required for the </w:t>
      </w:r>
      <w:r>
        <w:rPr>
          <w:rFonts w:ascii="Times New Roman" w:hAnsi="Times New Roman"/>
          <w:sz w:val="24"/>
          <w:szCs w:val="24"/>
          <w:lang w:val="en-US"/>
        </w:rPr>
        <w:t>navy</w:t>
      </w:r>
      <w:r w:rsidRPr="00470E8F">
        <w:rPr>
          <w:rFonts w:ascii="Times New Roman" w:hAnsi="Times New Roman"/>
          <w:sz w:val="24"/>
          <w:szCs w:val="24"/>
          <w:lang w:val="en-US"/>
        </w:rPr>
        <w:t>, aircraft</w:t>
      </w:r>
      <w:r>
        <w:rPr>
          <w:rFonts w:ascii="Times New Roman" w:hAnsi="Times New Roman"/>
          <w:sz w:val="24"/>
          <w:szCs w:val="24"/>
          <w:lang w:val="en-US"/>
        </w:rPr>
        <w:t>s</w:t>
      </w:r>
      <w:r w:rsidRPr="00470E8F">
        <w:rPr>
          <w:rFonts w:ascii="Times New Roman" w:hAnsi="Times New Roman"/>
          <w:sz w:val="24"/>
          <w:szCs w:val="24"/>
          <w:lang w:val="en-US"/>
        </w:rPr>
        <w:t xml:space="preserve"> and armored fighting vehicles. Second, the uncertainty surrounding future supply</w:t>
      </w:r>
      <w:r>
        <w:rPr>
          <w:rFonts w:ascii="Times New Roman" w:hAnsi="Times New Roman"/>
          <w:sz w:val="24"/>
          <w:szCs w:val="24"/>
          <w:lang w:val="en-US"/>
        </w:rPr>
        <w:t>,</w:t>
      </w:r>
      <w:r w:rsidRPr="00470E8F">
        <w:rPr>
          <w:rFonts w:ascii="Times New Roman" w:hAnsi="Times New Roman"/>
          <w:sz w:val="24"/>
          <w:szCs w:val="24"/>
          <w:lang w:val="en-US"/>
        </w:rPr>
        <w:t xml:space="preserve"> and questions regarding the safety of transportation routes</w:t>
      </w:r>
      <w:r>
        <w:rPr>
          <w:rFonts w:ascii="Times New Roman" w:hAnsi="Times New Roman"/>
          <w:sz w:val="24"/>
          <w:szCs w:val="24"/>
          <w:lang w:val="en-US"/>
        </w:rPr>
        <w:t>,</w:t>
      </w:r>
      <w:r w:rsidRPr="00470E8F">
        <w:rPr>
          <w:rFonts w:ascii="Times New Roman" w:hAnsi="Times New Roman"/>
          <w:sz w:val="24"/>
          <w:szCs w:val="24"/>
          <w:lang w:val="en-US"/>
        </w:rPr>
        <w:t xml:space="preserve"> can provoke market participants to engage in panic buying. Third, there may be rational stockpiling on the part of countries striving to preserve their sovereignty and maintain energy security in </w:t>
      </w:r>
      <w:r>
        <w:rPr>
          <w:rFonts w:ascii="Times New Roman" w:hAnsi="Times New Roman"/>
          <w:sz w:val="24"/>
          <w:szCs w:val="24"/>
          <w:lang w:val="en-US"/>
        </w:rPr>
        <w:t xml:space="preserve">the </w:t>
      </w:r>
      <w:r w:rsidRPr="00470E8F">
        <w:rPr>
          <w:rFonts w:ascii="Times New Roman" w:hAnsi="Times New Roman"/>
          <w:sz w:val="24"/>
          <w:szCs w:val="24"/>
          <w:lang w:val="en-US"/>
        </w:rPr>
        <w:t>face of political turmoil</w:t>
      </w:r>
      <w:r w:rsidRPr="00470E8F">
        <w:rPr>
          <w:rFonts w:ascii="Times New Roman" w:hAnsi="Times New Roman"/>
          <w:color w:val="00B050"/>
          <w:sz w:val="24"/>
          <w:szCs w:val="24"/>
          <w:lang w:val="en-US"/>
        </w:rPr>
        <w:t xml:space="preserve">. </w:t>
      </w:r>
      <w:r w:rsidRPr="00470E8F">
        <w:rPr>
          <w:rFonts w:ascii="Times New Roman" w:hAnsi="Times New Roman"/>
          <w:sz w:val="24"/>
          <w:szCs w:val="24"/>
          <w:lang w:val="en-US"/>
        </w:rPr>
        <w:t xml:space="preserve">Last but not least, cross-border conflicts increase the probability of oil embargoes and the use of oil as a tool of warfare. For instance, a number of Arab </w:t>
      </w:r>
      <w:r>
        <w:rPr>
          <w:rFonts w:ascii="Times New Roman" w:hAnsi="Times New Roman"/>
          <w:sz w:val="24"/>
          <w:szCs w:val="24"/>
          <w:lang w:val="en-US"/>
        </w:rPr>
        <w:t xml:space="preserve">OPEC </w:t>
      </w:r>
      <w:r w:rsidRPr="00470E8F">
        <w:rPr>
          <w:rFonts w:ascii="Times New Roman" w:hAnsi="Times New Roman"/>
          <w:sz w:val="24"/>
          <w:szCs w:val="24"/>
          <w:lang w:val="en-US"/>
        </w:rPr>
        <w:t xml:space="preserve">members imposed an embargo on oil exports to the US in retaliation for US help extended to Israel in the 1973 Arab-Israeli war (Smith, 2009). As a consequence, oil prices soared and this became known as the first oil </w:t>
      </w:r>
      <w:r>
        <w:rPr>
          <w:rFonts w:ascii="Times New Roman" w:hAnsi="Times New Roman"/>
          <w:sz w:val="24"/>
          <w:szCs w:val="24"/>
          <w:lang w:val="en-US"/>
        </w:rPr>
        <w:t>crisis</w:t>
      </w:r>
      <w:r w:rsidRPr="00470E8F">
        <w:rPr>
          <w:rFonts w:ascii="Times New Roman" w:hAnsi="Times New Roman"/>
          <w:sz w:val="24"/>
          <w:szCs w:val="24"/>
          <w:lang w:val="en-US"/>
        </w:rPr>
        <w:t xml:space="preserve">. </w:t>
      </w:r>
    </w:p>
    <w:p w:rsidR="00337CA6" w:rsidRPr="00470E8F" w:rsidRDefault="00337CA6" w:rsidP="00337CA6">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 xml:space="preserve">The paper further shows that sovereign bonds exhibit similar behavior to that of crude oil around eruptions of international conflicts. The fact that market prices are sensitive to political and military actions may have important implications for international investors seeking to diversify their portfolios effectively. The desperate diversification search and risk avoidance often turns into the flight-to-quality, a phenomenon defined as the movement of funds from equities to highly-rated bonds in times of turmoil. The existence of this effect </w:t>
      </w:r>
      <w:r w:rsidRPr="00470E8F">
        <w:rPr>
          <w:rFonts w:ascii="Times New Roman" w:hAnsi="Times New Roman"/>
          <w:sz w:val="24"/>
          <w:szCs w:val="24"/>
          <w:lang w:val="en-US"/>
        </w:rPr>
        <w:lastRenderedPageBreak/>
        <w:t xml:space="preserve">renders bonds an effective instrument for diversification, as pointed out by </w:t>
      </w:r>
      <w:proofErr w:type="spellStart"/>
      <w:r w:rsidRPr="00470E8F">
        <w:rPr>
          <w:rFonts w:ascii="Times New Roman" w:hAnsi="Times New Roman"/>
          <w:sz w:val="24"/>
          <w:szCs w:val="24"/>
          <w:lang w:val="en-US"/>
        </w:rPr>
        <w:t>Baur</w:t>
      </w:r>
      <w:proofErr w:type="spellEnd"/>
      <w:r w:rsidRPr="00470E8F">
        <w:rPr>
          <w:rFonts w:ascii="Times New Roman" w:hAnsi="Times New Roman"/>
          <w:sz w:val="24"/>
          <w:szCs w:val="24"/>
          <w:lang w:val="en-US"/>
        </w:rPr>
        <w:t xml:space="preserve"> and Lucey (2009). Furthermore, they show that diversification benefits arising from the flight-to-quality are shown to enhance the financial system’s resilience and stability. Similarly, the systemic propagation of financial market crises between</w:t>
      </w:r>
      <w:r>
        <w:rPr>
          <w:rFonts w:ascii="Times New Roman" w:hAnsi="Times New Roman"/>
          <w:sz w:val="24"/>
          <w:szCs w:val="24"/>
          <w:lang w:val="en-US"/>
        </w:rPr>
        <w:t>,</w:t>
      </w:r>
      <w:r w:rsidRPr="00470E8F">
        <w:rPr>
          <w:rFonts w:ascii="Times New Roman" w:hAnsi="Times New Roman"/>
          <w:sz w:val="24"/>
          <w:szCs w:val="24"/>
          <w:lang w:val="en-US"/>
        </w:rPr>
        <w:t xml:space="preserve"> and within</w:t>
      </w:r>
      <w:r>
        <w:rPr>
          <w:rFonts w:ascii="Times New Roman" w:hAnsi="Times New Roman"/>
          <w:sz w:val="24"/>
          <w:szCs w:val="24"/>
          <w:lang w:val="en-US"/>
        </w:rPr>
        <w:t>,</w:t>
      </w:r>
      <w:r w:rsidRPr="00470E8F">
        <w:rPr>
          <w:rFonts w:ascii="Times New Roman" w:hAnsi="Times New Roman"/>
          <w:sz w:val="24"/>
          <w:szCs w:val="24"/>
          <w:lang w:val="en-US"/>
        </w:rPr>
        <w:t xml:space="preserve"> G5 countries is limited by the presence of the flight-to-quality phenomenon (Hartmann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2004). </w:t>
      </w:r>
    </w:p>
    <w:p w:rsidR="00337CA6" w:rsidRPr="00470E8F" w:rsidRDefault="00337CA6" w:rsidP="00337CA6">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 xml:space="preserve">Importantly, the effectiveness of cross-border equity diversification is found to decline during periods of heightened uncertainty in stock markets, while the effectiveness of bonds in diversification is shown to increase during the same periods (Connolly </w:t>
      </w:r>
      <w:r w:rsidRPr="00470E8F">
        <w:rPr>
          <w:rFonts w:ascii="Times New Roman" w:hAnsi="Times New Roman"/>
          <w:i/>
          <w:sz w:val="24"/>
          <w:szCs w:val="24"/>
          <w:lang w:val="en-US"/>
        </w:rPr>
        <w:t>et al.</w:t>
      </w:r>
      <w:r w:rsidRPr="00470E8F">
        <w:rPr>
          <w:rFonts w:ascii="Times New Roman" w:hAnsi="Times New Roman"/>
          <w:sz w:val="24"/>
          <w:szCs w:val="24"/>
          <w:lang w:val="en-US"/>
        </w:rPr>
        <w:t>, 2005). The growing integration between different equity markets has meant that a shock in one market is easily transmitted to another one (</w:t>
      </w:r>
      <w:proofErr w:type="spellStart"/>
      <w:r w:rsidRPr="00470E8F">
        <w:rPr>
          <w:rFonts w:ascii="Times New Roman" w:hAnsi="Times New Roman"/>
          <w:sz w:val="24"/>
          <w:szCs w:val="24"/>
          <w:lang w:val="en-US"/>
        </w:rPr>
        <w:t>Asgharian</w:t>
      </w:r>
      <w:proofErr w:type="spellEnd"/>
      <w:r w:rsidRPr="00470E8F">
        <w:rPr>
          <w:rFonts w:ascii="Times New Roman" w:hAnsi="Times New Roman"/>
          <w:sz w:val="24"/>
          <w:szCs w:val="24"/>
          <w:lang w:val="en-US"/>
        </w:rPr>
        <w:t xml:space="preserve"> and </w:t>
      </w:r>
      <w:proofErr w:type="spellStart"/>
      <w:r w:rsidRPr="00470E8F">
        <w:rPr>
          <w:rFonts w:ascii="Times New Roman" w:hAnsi="Times New Roman"/>
          <w:sz w:val="24"/>
          <w:szCs w:val="24"/>
          <w:lang w:val="en-US"/>
        </w:rPr>
        <w:t>Nossman</w:t>
      </w:r>
      <w:proofErr w:type="spellEnd"/>
      <w:r w:rsidRPr="00470E8F">
        <w:rPr>
          <w:rFonts w:ascii="Times New Roman" w:hAnsi="Times New Roman"/>
          <w:sz w:val="24"/>
          <w:szCs w:val="24"/>
          <w:lang w:val="en-US"/>
        </w:rPr>
        <w:t xml:space="preserve">, 2011; </w:t>
      </w:r>
      <w:proofErr w:type="spellStart"/>
      <w:r w:rsidRPr="00470E8F">
        <w:rPr>
          <w:rFonts w:ascii="Times New Roman" w:hAnsi="Times New Roman"/>
          <w:sz w:val="24"/>
          <w:szCs w:val="24"/>
          <w:lang w:val="en-US"/>
        </w:rPr>
        <w:t>Koutmos</w:t>
      </w:r>
      <w:proofErr w:type="spellEnd"/>
      <w:r w:rsidRPr="00470E8F">
        <w:rPr>
          <w:rFonts w:ascii="Times New Roman" w:hAnsi="Times New Roman"/>
          <w:sz w:val="24"/>
          <w:szCs w:val="24"/>
          <w:lang w:val="en-US"/>
        </w:rPr>
        <w:t xml:space="preserve"> and Booth, 1995; </w:t>
      </w:r>
      <w:proofErr w:type="spellStart"/>
      <w:r w:rsidRPr="00470E8F">
        <w:rPr>
          <w:rFonts w:ascii="Times New Roman" w:hAnsi="Times New Roman"/>
          <w:sz w:val="24"/>
          <w:szCs w:val="24"/>
          <w:lang w:val="en-US"/>
        </w:rPr>
        <w:t>Arshanapalli</w:t>
      </w:r>
      <w:proofErr w:type="spellEnd"/>
      <w:r w:rsidRPr="00470E8F">
        <w:rPr>
          <w:rFonts w:ascii="Times New Roman" w:hAnsi="Times New Roman"/>
          <w:sz w:val="24"/>
          <w:szCs w:val="24"/>
          <w:lang w:val="en-US"/>
        </w:rPr>
        <w:t xml:space="preserve"> and </w:t>
      </w:r>
      <w:proofErr w:type="spellStart"/>
      <w:r w:rsidRPr="00470E8F">
        <w:rPr>
          <w:rFonts w:ascii="Times New Roman" w:hAnsi="Times New Roman"/>
          <w:sz w:val="24"/>
          <w:szCs w:val="24"/>
          <w:lang w:val="en-US"/>
        </w:rPr>
        <w:t>Doukas</w:t>
      </w:r>
      <w:proofErr w:type="spellEnd"/>
      <w:r w:rsidRPr="00470E8F">
        <w:rPr>
          <w:rFonts w:ascii="Times New Roman" w:hAnsi="Times New Roman"/>
          <w:sz w:val="24"/>
          <w:szCs w:val="24"/>
          <w:lang w:val="en-US"/>
        </w:rPr>
        <w:t xml:space="preserve">, 1993). Thus, the search for an effective diversification tool in times of international political crises becomes an imperative in </w:t>
      </w:r>
      <w:r>
        <w:rPr>
          <w:rFonts w:ascii="Times New Roman" w:hAnsi="Times New Roman"/>
          <w:sz w:val="24"/>
          <w:szCs w:val="24"/>
          <w:lang w:val="en-US"/>
        </w:rPr>
        <w:t xml:space="preserve">the </w:t>
      </w:r>
      <w:r w:rsidRPr="00470E8F">
        <w:rPr>
          <w:rFonts w:ascii="Times New Roman" w:hAnsi="Times New Roman"/>
          <w:sz w:val="24"/>
          <w:szCs w:val="24"/>
          <w:lang w:val="en-US"/>
        </w:rPr>
        <w:t xml:space="preserve">light of evidence that suggests higher systemic risk in equity markets.  </w:t>
      </w:r>
    </w:p>
    <w:p w:rsidR="00337CA6" w:rsidRPr="00470E8F" w:rsidRDefault="00337CA6" w:rsidP="00337CA6">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Interestingly, our results also attest to the fact that conflicts depress the values of stock market indices worldwide. This corroborates earlier findings reported in the literature (see</w:t>
      </w:r>
      <w:r>
        <w:rPr>
          <w:rFonts w:ascii="Times New Roman" w:hAnsi="Times New Roman"/>
          <w:sz w:val="24"/>
          <w:szCs w:val="24"/>
          <w:lang w:val="en-US"/>
        </w:rPr>
        <w:t>,</w:t>
      </w:r>
      <w:r w:rsidRPr="00470E8F">
        <w:rPr>
          <w:rFonts w:ascii="Times New Roman" w:hAnsi="Times New Roman"/>
          <w:sz w:val="24"/>
          <w:szCs w:val="24"/>
          <w:lang w:val="en-US"/>
        </w:rPr>
        <w:t xml:space="preserve"> for example</w:t>
      </w:r>
      <w:r>
        <w:rPr>
          <w:rFonts w:ascii="Times New Roman" w:hAnsi="Times New Roman"/>
          <w:sz w:val="24"/>
          <w:szCs w:val="24"/>
          <w:lang w:val="en-US"/>
        </w:rPr>
        <w:t>,</w:t>
      </w:r>
      <w:r w:rsidRPr="00470E8F">
        <w:rPr>
          <w:rFonts w:ascii="Times New Roman" w:hAnsi="Times New Roman"/>
          <w:sz w:val="24"/>
          <w:szCs w:val="24"/>
          <w:lang w:val="en-US"/>
        </w:rPr>
        <w:t xml:space="preserve"> </w:t>
      </w:r>
      <w:proofErr w:type="spellStart"/>
      <w:r w:rsidRPr="00470E8F">
        <w:rPr>
          <w:rFonts w:ascii="Times New Roman" w:hAnsi="Times New Roman"/>
          <w:sz w:val="24"/>
          <w:szCs w:val="24"/>
          <w:lang w:val="en-US"/>
        </w:rPr>
        <w:t>Rigobon</w:t>
      </w:r>
      <w:proofErr w:type="spellEnd"/>
      <w:r w:rsidRPr="00470E8F">
        <w:rPr>
          <w:rFonts w:ascii="Times New Roman" w:hAnsi="Times New Roman"/>
          <w:sz w:val="24"/>
          <w:szCs w:val="24"/>
          <w:lang w:val="en-US"/>
        </w:rPr>
        <w:t xml:space="preserve"> and Sack, 2005; Wisniewski 2009; Berkman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2011). The logical implication for stock market investors is that crude oil and sovereign bonds </w:t>
      </w:r>
      <w:r>
        <w:rPr>
          <w:rFonts w:ascii="Times New Roman" w:hAnsi="Times New Roman"/>
          <w:sz w:val="24"/>
          <w:szCs w:val="24"/>
          <w:lang w:val="en-US"/>
        </w:rPr>
        <w:t>could</w:t>
      </w:r>
      <w:r w:rsidRPr="00470E8F">
        <w:rPr>
          <w:rFonts w:ascii="Times New Roman" w:hAnsi="Times New Roman"/>
          <w:sz w:val="24"/>
          <w:szCs w:val="24"/>
          <w:lang w:val="en-US"/>
        </w:rPr>
        <w:t xml:space="preserve"> be useful assets with which to diversify away the price risk associated with war </w:t>
      </w:r>
      <w:r w:rsidR="00647F11">
        <w:rPr>
          <w:rFonts w:ascii="Times New Roman" w:hAnsi="Times New Roman"/>
          <w:sz w:val="24"/>
          <w:szCs w:val="24"/>
          <w:lang w:val="en-US"/>
        </w:rPr>
        <w:t xml:space="preserve">and crisis </w:t>
      </w:r>
      <w:r w:rsidRPr="00470E8F">
        <w:rPr>
          <w:rFonts w:ascii="Times New Roman" w:hAnsi="Times New Roman"/>
          <w:sz w:val="24"/>
          <w:szCs w:val="24"/>
          <w:lang w:val="en-US"/>
        </w:rPr>
        <w:t>outbreaks. To verify this idea</w:t>
      </w:r>
      <w:r>
        <w:rPr>
          <w:rFonts w:ascii="Times New Roman" w:hAnsi="Times New Roman"/>
          <w:sz w:val="24"/>
          <w:szCs w:val="24"/>
          <w:lang w:val="en-US"/>
        </w:rPr>
        <w:t>,</w:t>
      </w:r>
      <w:r w:rsidRPr="00470E8F">
        <w:rPr>
          <w:rFonts w:ascii="Times New Roman" w:hAnsi="Times New Roman"/>
          <w:sz w:val="24"/>
          <w:szCs w:val="24"/>
          <w:lang w:val="en-US"/>
        </w:rPr>
        <w:t xml:space="preserve"> we present a formal test for the safe haven property. We adopt a definition of safe haven which is similar to that </w:t>
      </w:r>
      <w:r>
        <w:rPr>
          <w:rFonts w:ascii="Times New Roman" w:hAnsi="Times New Roman"/>
          <w:sz w:val="24"/>
          <w:szCs w:val="24"/>
          <w:lang w:val="en-US"/>
        </w:rPr>
        <w:t>proposed</w:t>
      </w:r>
      <w:r w:rsidRPr="00470E8F">
        <w:rPr>
          <w:rFonts w:ascii="Times New Roman" w:hAnsi="Times New Roman"/>
          <w:sz w:val="24"/>
          <w:szCs w:val="24"/>
          <w:lang w:val="en-US"/>
        </w:rPr>
        <w:t xml:space="preserve"> by </w:t>
      </w:r>
      <w:proofErr w:type="spellStart"/>
      <w:r w:rsidRPr="00470E8F">
        <w:rPr>
          <w:rFonts w:ascii="Times New Roman" w:hAnsi="Times New Roman"/>
          <w:sz w:val="24"/>
          <w:szCs w:val="24"/>
          <w:lang w:val="en-US"/>
        </w:rPr>
        <w:t>Baur</w:t>
      </w:r>
      <w:proofErr w:type="spellEnd"/>
      <w:r w:rsidRPr="00470E8F">
        <w:rPr>
          <w:rFonts w:ascii="Times New Roman" w:hAnsi="Times New Roman"/>
          <w:sz w:val="24"/>
          <w:szCs w:val="24"/>
          <w:lang w:val="en-US"/>
        </w:rPr>
        <w:t xml:space="preserve"> and Lucey (2010). Our results confirm the predictions that, from the perspective of stockholders, crude oil and government bonds provide refuge from the risk of war and international crisis. Consequently, investors are advised to take advantage of the unique diversification benefits offered by these two assets. With regard to crude oil, taking delivery in the spot market and storing this commodity is</w:t>
      </w:r>
      <w:r>
        <w:rPr>
          <w:rFonts w:ascii="Times New Roman" w:hAnsi="Times New Roman"/>
          <w:sz w:val="24"/>
          <w:szCs w:val="24"/>
          <w:lang w:val="en-US"/>
        </w:rPr>
        <w:t>,</w:t>
      </w:r>
      <w:r w:rsidRPr="00470E8F">
        <w:rPr>
          <w:rFonts w:ascii="Times New Roman" w:hAnsi="Times New Roman"/>
          <w:sz w:val="24"/>
          <w:szCs w:val="24"/>
          <w:lang w:val="en-US"/>
        </w:rPr>
        <w:t xml:space="preserve"> admittedly</w:t>
      </w:r>
      <w:r>
        <w:rPr>
          <w:rFonts w:ascii="Times New Roman" w:hAnsi="Times New Roman"/>
          <w:sz w:val="24"/>
          <w:szCs w:val="24"/>
          <w:lang w:val="en-US"/>
        </w:rPr>
        <w:t>,</w:t>
      </w:r>
      <w:r w:rsidRPr="00470E8F">
        <w:rPr>
          <w:rFonts w:ascii="Times New Roman" w:hAnsi="Times New Roman"/>
          <w:sz w:val="24"/>
          <w:szCs w:val="24"/>
          <w:lang w:val="en-US"/>
        </w:rPr>
        <w:t xml:space="preserve"> not particularly convenient</w:t>
      </w:r>
      <w:r>
        <w:rPr>
          <w:rFonts w:ascii="Times New Roman" w:hAnsi="Times New Roman"/>
          <w:sz w:val="24"/>
          <w:szCs w:val="24"/>
          <w:lang w:val="en-US"/>
        </w:rPr>
        <w:t>.</w:t>
      </w:r>
      <w:r w:rsidRPr="00470E8F">
        <w:rPr>
          <w:rFonts w:ascii="Times New Roman" w:hAnsi="Times New Roman"/>
          <w:sz w:val="24"/>
          <w:szCs w:val="24"/>
          <w:lang w:val="en-US"/>
        </w:rPr>
        <w:t xml:space="preserve"> </w:t>
      </w:r>
      <w:r>
        <w:rPr>
          <w:rFonts w:ascii="Times New Roman" w:hAnsi="Times New Roman"/>
          <w:sz w:val="24"/>
          <w:szCs w:val="24"/>
          <w:lang w:val="en-US"/>
        </w:rPr>
        <w:t>H</w:t>
      </w:r>
      <w:r w:rsidRPr="00470E8F">
        <w:rPr>
          <w:rFonts w:ascii="Times New Roman" w:hAnsi="Times New Roman"/>
          <w:sz w:val="24"/>
          <w:szCs w:val="24"/>
          <w:lang w:val="en-US"/>
        </w:rPr>
        <w:t xml:space="preserve">owever, a long position on futures contracts or an </w:t>
      </w:r>
      <w:r w:rsidRPr="00470E8F">
        <w:rPr>
          <w:rFonts w:ascii="Times New Roman" w:hAnsi="Times New Roman"/>
          <w:sz w:val="24"/>
          <w:szCs w:val="24"/>
          <w:lang w:val="en-US"/>
        </w:rPr>
        <w:lastRenderedPageBreak/>
        <w:t>investment in crude oil exchange-traded funds (ETFs) can be used to achieve the same objective.</w:t>
      </w:r>
      <w:r w:rsidRPr="00470E8F">
        <w:rPr>
          <w:rStyle w:val="FootnoteReference"/>
          <w:rFonts w:ascii="Times New Roman" w:hAnsi="Times New Roman"/>
          <w:sz w:val="24"/>
          <w:szCs w:val="24"/>
          <w:lang w:val="en-US"/>
        </w:rPr>
        <w:footnoteReference w:id="2"/>
      </w:r>
      <w:r w:rsidRPr="00470E8F">
        <w:rPr>
          <w:rFonts w:ascii="Times New Roman" w:hAnsi="Times New Roman"/>
          <w:sz w:val="24"/>
          <w:szCs w:val="24"/>
          <w:lang w:val="en-US"/>
        </w:rPr>
        <w:t xml:space="preserve">  </w:t>
      </w:r>
    </w:p>
    <w:p w:rsidR="00337CA6" w:rsidRPr="00470E8F" w:rsidRDefault="00337CA6" w:rsidP="00337CA6">
      <w:pPr>
        <w:spacing w:line="480" w:lineRule="auto"/>
        <w:ind w:firstLine="360"/>
        <w:jc w:val="both"/>
        <w:rPr>
          <w:rFonts w:ascii="Times New Roman" w:hAnsi="Times New Roman"/>
          <w:color w:val="00B050"/>
          <w:sz w:val="24"/>
          <w:szCs w:val="24"/>
          <w:lang w:val="en-US"/>
        </w:rPr>
      </w:pPr>
      <w:r w:rsidRPr="00470E8F">
        <w:rPr>
          <w:rFonts w:ascii="Times New Roman" w:hAnsi="Times New Roman"/>
          <w:sz w:val="24"/>
          <w:szCs w:val="24"/>
          <w:lang w:val="en-US"/>
        </w:rPr>
        <w:t xml:space="preserve">The remainder of the paper is organized as follows. The next section reviews the related literature. Section III elaborates on the International Crisis Behavior (ICB) database as well as on the financial series used in the study and their summary statistics. Section IV describes our methodological approach. Results of event study analysis, safe haven tests, and optimal portfolio analysis are reported in Section V. </w:t>
      </w:r>
      <w:r>
        <w:rPr>
          <w:rFonts w:ascii="Times New Roman" w:hAnsi="Times New Roman"/>
          <w:sz w:val="24"/>
          <w:szCs w:val="24"/>
          <w:lang w:val="en-US"/>
        </w:rPr>
        <w:t xml:space="preserve">This is followed by a description of robustness checks performed and further considerations. </w:t>
      </w:r>
      <w:r w:rsidRPr="00470E8F">
        <w:rPr>
          <w:rFonts w:ascii="Times New Roman" w:hAnsi="Times New Roman"/>
          <w:sz w:val="24"/>
          <w:szCs w:val="24"/>
          <w:lang w:val="en-US"/>
        </w:rPr>
        <w:t>The final section concludes the paper and considers practical implications for investors.</w:t>
      </w:r>
      <w:r w:rsidRPr="00470E8F">
        <w:rPr>
          <w:rFonts w:ascii="Times New Roman" w:hAnsi="Times New Roman"/>
          <w:color w:val="00B050"/>
          <w:sz w:val="24"/>
          <w:szCs w:val="24"/>
          <w:lang w:val="en-US"/>
        </w:rPr>
        <w:t xml:space="preserve"> </w:t>
      </w:r>
    </w:p>
    <w:p w:rsidR="00337CA6" w:rsidRPr="00470E8F" w:rsidRDefault="00337CA6" w:rsidP="00337CA6">
      <w:pPr>
        <w:spacing w:line="480" w:lineRule="auto"/>
        <w:ind w:firstLine="360"/>
        <w:jc w:val="both"/>
        <w:rPr>
          <w:rFonts w:ascii="Times New Roman" w:hAnsi="Times New Roman"/>
          <w:b/>
          <w:sz w:val="24"/>
          <w:szCs w:val="24"/>
          <w:lang w:val="en-US"/>
        </w:rPr>
      </w:pPr>
    </w:p>
    <w:p w:rsidR="00901C4F" w:rsidRDefault="00901C4F" w:rsidP="00901C4F">
      <w:pPr>
        <w:spacing w:line="480" w:lineRule="auto"/>
        <w:ind w:firstLine="360"/>
        <w:jc w:val="both"/>
        <w:rPr>
          <w:rFonts w:ascii="Times New Roman" w:hAnsi="Times New Roman"/>
          <w:b/>
          <w:sz w:val="24"/>
          <w:szCs w:val="24"/>
          <w:lang w:val="en-US"/>
        </w:rPr>
      </w:pPr>
      <w:r w:rsidRPr="00470E8F">
        <w:rPr>
          <w:rFonts w:ascii="Times New Roman" w:hAnsi="Times New Roman"/>
          <w:b/>
          <w:sz w:val="24"/>
          <w:szCs w:val="24"/>
          <w:lang w:val="en-US"/>
        </w:rPr>
        <w:t xml:space="preserve">II. </w:t>
      </w:r>
      <w:r>
        <w:rPr>
          <w:rFonts w:ascii="Times New Roman" w:hAnsi="Times New Roman"/>
          <w:b/>
          <w:sz w:val="24"/>
          <w:szCs w:val="24"/>
          <w:lang w:val="en-US"/>
        </w:rPr>
        <w:t>The Effect of Cross-Border Political Crisis and War on Different Assets</w:t>
      </w:r>
    </w:p>
    <w:p w:rsidR="00821514" w:rsidRPr="00470E8F" w:rsidRDefault="00821514" w:rsidP="00821514">
      <w:pPr>
        <w:spacing w:line="480" w:lineRule="auto"/>
        <w:ind w:firstLine="360"/>
        <w:jc w:val="both"/>
        <w:rPr>
          <w:rFonts w:ascii="Times New Roman" w:hAnsi="Times New Roman"/>
          <w:b/>
          <w:sz w:val="24"/>
          <w:szCs w:val="24"/>
          <w:lang w:val="en-US"/>
        </w:rPr>
      </w:pPr>
      <w:r>
        <w:rPr>
          <w:rFonts w:ascii="Times New Roman" w:hAnsi="Times New Roman"/>
          <w:i/>
          <w:sz w:val="24"/>
          <w:szCs w:val="24"/>
          <w:lang w:val="en-US"/>
        </w:rPr>
        <w:t>2.1. Oil in Times of Warfare</w:t>
      </w:r>
      <w:r>
        <w:rPr>
          <w:rFonts w:ascii="Times New Roman" w:hAnsi="Times New Roman"/>
          <w:b/>
          <w:sz w:val="24"/>
          <w:szCs w:val="24"/>
          <w:lang w:val="en-US"/>
        </w:rPr>
        <w:t xml:space="preserve"> </w:t>
      </w:r>
    </w:p>
    <w:p w:rsidR="00821514" w:rsidRPr="00470E8F" w:rsidRDefault="00821514" w:rsidP="00821514">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 xml:space="preserve">Not only is crude oil an important investment asset, it has </w:t>
      </w:r>
      <w:r>
        <w:rPr>
          <w:rFonts w:ascii="Times New Roman" w:hAnsi="Times New Roman"/>
          <w:sz w:val="24"/>
          <w:szCs w:val="24"/>
          <w:lang w:val="en-US"/>
        </w:rPr>
        <w:t xml:space="preserve">also </w:t>
      </w:r>
      <w:r w:rsidRPr="00470E8F">
        <w:rPr>
          <w:rFonts w:ascii="Times New Roman" w:hAnsi="Times New Roman"/>
          <w:sz w:val="24"/>
          <w:szCs w:val="24"/>
          <w:lang w:val="en-US"/>
        </w:rPr>
        <w:t>been a consumer staple since time immemorial. In fact, the history of human civilization and the use of oil are closely intertwined. In the more distant past, kerosene distilled from oi</w:t>
      </w:r>
      <w:r>
        <w:rPr>
          <w:rFonts w:ascii="Times New Roman" w:hAnsi="Times New Roman"/>
          <w:sz w:val="24"/>
          <w:szCs w:val="24"/>
          <w:lang w:val="en-US"/>
        </w:rPr>
        <w:t>l was a popular illuminant used to</w:t>
      </w:r>
      <w:r w:rsidRPr="00470E8F">
        <w:rPr>
          <w:rFonts w:ascii="Times New Roman" w:hAnsi="Times New Roman"/>
          <w:sz w:val="24"/>
          <w:szCs w:val="24"/>
          <w:lang w:val="en-US"/>
        </w:rPr>
        <w:t xml:space="preserve"> prolong the productive part of the day for large swaths of the population. </w:t>
      </w:r>
      <w:r w:rsidR="00AA3932">
        <w:rPr>
          <w:rFonts w:ascii="Times New Roman" w:hAnsi="Times New Roman"/>
          <w:sz w:val="24"/>
          <w:szCs w:val="24"/>
          <w:lang w:val="en-US"/>
        </w:rPr>
        <w:t>W</w:t>
      </w:r>
      <w:r w:rsidRPr="00470E8F">
        <w:rPr>
          <w:rFonts w:ascii="Times New Roman" w:hAnsi="Times New Roman"/>
          <w:sz w:val="24"/>
          <w:szCs w:val="24"/>
          <w:lang w:val="en-US"/>
        </w:rPr>
        <w:t>idespread adoption of the internal combustion engine led to society becoming reliant</w:t>
      </w:r>
      <w:r w:rsidR="00AA3932">
        <w:rPr>
          <w:rFonts w:ascii="Times New Roman" w:hAnsi="Times New Roman"/>
          <w:sz w:val="24"/>
          <w:szCs w:val="24"/>
          <w:lang w:val="en-US"/>
        </w:rPr>
        <w:t xml:space="preserve"> on hydrocarbons to propel its</w:t>
      </w:r>
      <w:r w:rsidRPr="00470E8F">
        <w:rPr>
          <w:rFonts w:ascii="Times New Roman" w:hAnsi="Times New Roman"/>
          <w:sz w:val="24"/>
          <w:szCs w:val="24"/>
          <w:lang w:val="en-US"/>
        </w:rPr>
        <w:t xml:space="preserve"> automobiles, ships and airplanes</w:t>
      </w:r>
      <w:r>
        <w:rPr>
          <w:rFonts w:ascii="Times New Roman" w:hAnsi="Times New Roman"/>
          <w:sz w:val="24"/>
          <w:szCs w:val="24"/>
          <w:lang w:val="en-US"/>
        </w:rPr>
        <w:t>.</w:t>
      </w:r>
      <w:r w:rsidRPr="00470E8F">
        <w:rPr>
          <w:rFonts w:ascii="Times New Roman" w:hAnsi="Times New Roman"/>
          <w:color w:val="FF0000"/>
          <w:sz w:val="24"/>
          <w:szCs w:val="24"/>
          <w:lang w:val="en-US"/>
        </w:rPr>
        <w:t xml:space="preserve"> </w:t>
      </w:r>
      <w:r w:rsidRPr="00527E7D">
        <w:rPr>
          <w:rFonts w:ascii="Times New Roman" w:hAnsi="Times New Roman"/>
          <w:color w:val="000000"/>
          <w:sz w:val="24"/>
          <w:szCs w:val="24"/>
          <w:lang w:val="en-US"/>
        </w:rPr>
        <w:t>Oil is used for energy production as well for heating, and its derivatives are inputs in the manufacturing of plastic, synthetic fibers and rubbers, detergents, chemical fertilizers and other petrochemicals</w:t>
      </w:r>
      <w:r w:rsidRPr="00470E8F">
        <w:rPr>
          <w:rFonts w:ascii="Times New Roman" w:hAnsi="Times New Roman"/>
          <w:sz w:val="24"/>
          <w:szCs w:val="24"/>
          <w:lang w:val="en-US"/>
        </w:rPr>
        <w:t>. The distillation of crude oil gives a residue of asphalt, a substance utilized for paving roads. The global economy appears to be addicted to oil and consumes about 88 million barrels of it per day (BP, 2012). Perhaps unsurprisingly, academic research has found that oil price hikes and increased price volatility can have detrimental effects on the economies of countries that are net importers of oil (</w:t>
      </w:r>
      <w:proofErr w:type="spellStart"/>
      <w:r w:rsidRPr="00470E8F">
        <w:rPr>
          <w:rFonts w:ascii="Times New Roman" w:hAnsi="Times New Roman"/>
          <w:sz w:val="24"/>
          <w:szCs w:val="24"/>
          <w:lang w:val="en-US"/>
        </w:rPr>
        <w:t>Gisser</w:t>
      </w:r>
      <w:proofErr w:type="spellEnd"/>
      <w:r w:rsidRPr="00470E8F">
        <w:rPr>
          <w:rFonts w:ascii="Times New Roman" w:hAnsi="Times New Roman"/>
          <w:sz w:val="24"/>
          <w:szCs w:val="24"/>
          <w:lang w:val="en-US"/>
        </w:rPr>
        <w:t xml:space="preserve"> </w:t>
      </w:r>
      <w:r w:rsidRPr="00470E8F">
        <w:rPr>
          <w:rFonts w:ascii="Times New Roman" w:hAnsi="Times New Roman"/>
          <w:sz w:val="24"/>
          <w:szCs w:val="24"/>
          <w:lang w:val="en-US"/>
        </w:rPr>
        <w:lastRenderedPageBreak/>
        <w:t xml:space="preserve">and Goodwin, 1986; </w:t>
      </w:r>
      <w:proofErr w:type="spellStart"/>
      <w:r w:rsidRPr="00470E8F">
        <w:rPr>
          <w:rFonts w:ascii="Times New Roman" w:hAnsi="Times New Roman"/>
          <w:sz w:val="24"/>
          <w:szCs w:val="24"/>
          <w:lang w:val="en-US"/>
        </w:rPr>
        <w:t>Ferderer</w:t>
      </w:r>
      <w:proofErr w:type="spellEnd"/>
      <w:r w:rsidRPr="00470E8F">
        <w:rPr>
          <w:rFonts w:ascii="Times New Roman" w:hAnsi="Times New Roman"/>
          <w:sz w:val="24"/>
          <w:szCs w:val="24"/>
          <w:lang w:val="en-US"/>
        </w:rPr>
        <w:t xml:space="preserve"> 1996; </w:t>
      </w:r>
      <w:proofErr w:type="spellStart"/>
      <w:r w:rsidRPr="00470E8F">
        <w:rPr>
          <w:rFonts w:ascii="Times New Roman" w:hAnsi="Times New Roman"/>
          <w:sz w:val="24"/>
          <w:szCs w:val="24"/>
          <w:lang w:val="en-US"/>
        </w:rPr>
        <w:t>Abeysinghe</w:t>
      </w:r>
      <w:proofErr w:type="spellEnd"/>
      <w:r w:rsidRPr="00470E8F">
        <w:rPr>
          <w:rFonts w:ascii="Times New Roman" w:hAnsi="Times New Roman"/>
          <w:sz w:val="24"/>
          <w:szCs w:val="24"/>
          <w:lang w:val="en-US"/>
        </w:rPr>
        <w:t>, 2001). At the time of writing his seminal paper, Hamilton (1983) notes that since World War II all but one US recession</w:t>
      </w:r>
      <w:r w:rsidR="00AA3932">
        <w:rPr>
          <w:rFonts w:ascii="Times New Roman" w:hAnsi="Times New Roman"/>
          <w:sz w:val="24"/>
          <w:szCs w:val="24"/>
          <w:lang w:val="en-US"/>
        </w:rPr>
        <w:t>s</w:t>
      </w:r>
      <w:r w:rsidRPr="00470E8F">
        <w:rPr>
          <w:rFonts w:ascii="Times New Roman" w:hAnsi="Times New Roman"/>
          <w:sz w:val="24"/>
          <w:szCs w:val="24"/>
          <w:lang w:val="en-US"/>
        </w:rPr>
        <w:t xml:space="preserve"> occurred following increases in the price of crude petroleum.  </w:t>
      </w:r>
    </w:p>
    <w:p w:rsidR="00821514" w:rsidRPr="00470E8F" w:rsidRDefault="00821514" w:rsidP="00821514">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 xml:space="preserve">Oil may be as much of a curse as it is a blessing. The uneven geographical distribution of documented oil reserves has been a fertile breeding ground for political tension. History is littered with heated disputes over rent allocations and </w:t>
      </w:r>
      <w:r w:rsidR="00AA3932">
        <w:rPr>
          <w:rFonts w:ascii="Times New Roman" w:hAnsi="Times New Roman"/>
          <w:sz w:val="24"/>
          <w:szCs w:val="24"/>
          <w:lang w:val="en-US"/>
        </w:rPr>
        <w:t>battles</w:t>
      </w:r>
      <w:r w:rsidRPr="00470E8F">
        <w:rPr>
          <w:rFonts w:ascii="Times New Roman" w:hAnsi="Times New Roman"/>
          <w:sz w:val="24"/>
          <w:szCs w:val="24"/>
          <w:lang w:val="en-US"/>
        </w:rPr>
        <w:t xml:space="preserve"> for control over oil fields. As natural resources increase the value of the state, they also create incentives for rebel groups to overthrow government</w:t>
      </w:r>
      <w:r w:rsidR="00AA3932">
        <w:rPr>
          <w:rFonts w:ascii="Times New Roman" w:hAnsi="Times New Roman"/>
          <w:sz w:val="24"/>
          <w:szCs w:val="24"/>
          <w:lang w:val="en-US"/>
        </w:rPr>
        <w:t>s</w:t>
      </w:r>
      <w:r w:rsidRPr="00470E8F">
        <w:rPr>
          <w:rFonts w:ascii="Times New Roman" w:hAnsi="Times New Roman"/>
          <w:sz w:val="24"/>
          <w:szCs w:val="24"/>
          <w:lang w:val="en-US"/>
        </w:rPr>
        <w:t xml:space="preserve"> by instigating civil war (</w:t>
      </w:r>
      <w:proofErr w:type="spellStart"/>
      <w:r w:rsidRPr="00470E8F">
        <w:rPr>
          <w:rFonts w:ascii="Times New Roman" w:hAnsi="Times New Roman"/>
          <w:sz w:val="24"/>
          <w:szCs w:val="24"/>
          <w:lang w:val="en-US"/>
        </w:rPr>
        <w:t>Fearon</w:t>
      </w:r>
      <w:proofErr w:type="spellEnd"/>
      <w:r w:rsidRPr="00470E8F">
        <w:rPr>
          <w:rFonts w:ascii="Times New Roman" w:hAnsi="Times New Roman"/>
          <w:sz w:val="24"/>
          <w:szCs w:val="24"/>
          <w:lang w:val="en-US"/>
        </w:rPr>
        <w:t xml:space="preserve"> and </w:t>
      </w:r>
      <w:proofErr w:type="spellStart"/>
      <w:r w:rsidRPr="00470E8F">
        <w:rPr>
          <w:rFonts w:ascii="Times New Roman" w:hAnsi="Times New Roman"/>
          <w:sz w:val="24"/>
          <w:szCs w:val="24"/>
          <w:lang w:val="en-US"/>
        </w:rPr>
        <w:t>Laitin</w:t>
      </w:r>
      <w:proofErr w:type="spellEnd"/>
      <w:r w:rsidRPr="00470E8F">
        <w:rPr>
          <w:rFonts w:ascii="Times New Roman" w:hAnsi="Times New Roman"/>
          <w:sz w:val="24"/>
          <w:szCs w:val="24"/>
          <w:lang w:val="en-US"/>
        </w:rPr>
        <w:t xml:space="preserve">, 2003; Collier and </w:t>
      </w:r>
      <w:proofErr w:type="spellStart"/>
      <w:r w:rsidRPr="00470E8F">
        <w:rPr>
          <w:rFonts w:ascii="Times New Roman" w:hAnsi="Times New Roman"/>
          <w:sz w:val="24"/>
          <w:szCs w:val="24"/>
          <w:lang w:val="en-US"/>
        </w:rPr>
        <w:t>Hoeffler</w:t>
      </w:r>
      <w:proofErr w:type="spellEnd"/>
      <w:r w:rsidRPr="00470E8F">
        <w:rPr>
          <w:rFonts w:ascii="Times New Roman" w:hAnsi="Times New Roman"/>
          <w:sz w:val="24"/>
          <w:szCs w:val="24"/>
          <w:lang w:val="en-US"/>
        </w:rPr>
        <w:t xml:space="preserve">, 2004). In order to protect their oil wealth, </w:t>
      </w:r>
      <w:proofErr w:type="spellStart"/>
      <w:r w:rsidRPr="00470E8F">
        <w:rPr>
          <w:rFonts w:ascii="Times New Roman" w:hAnsi="Times New Roman"/>
          <w:sz w:val="24"/>
          <w:szCs w:val="24"/>
          <w:lang w:val="en-US"/>
        </w:rPr>
        <w:t>petrostates</w:t>
      </w:r>
      <w:proofErr w:type="spellEnd"/>
      <w:r w:rsidRPr="00470E8F">
        <w:rPr>
          <w:rFonts w:ascii="Times New Roman" w:hAnsi="Times New Roman"/>
          <w:sz w:val="24"/>
          <w:szCs w:val="24"/>
          <w:lang w:val="en-US"/>
        </w:rPr>
        <w:t xml:space="preserve"> tend to import large quantities of conventional weapons (Khanna and Chapman, 2010). Furthermore, according to </w:t>
      </w:r>
      <w:proofErr w:type="spellStart"/>
      <w:r w:rsidRPr="00470E8F">
        <w:rPr>
          <w:rFonts w:ascii="Times New Roman" w:hAnsi="Times New Roman"/>
          <w:sz w:val="24"/>
          <w:szCs w:val="24"/>
          <w:lang w:val="en-US"/>
        </w:rPr>
        <w:t>Colgan</w:t>
      </w:r>
      <w:proofErr w:type="spellEnd"/>
      <w:r w:rsidRPr="00470E8F">
        <w:rPr>
          <w:rFonts w:ascii="Times New Roman" w:hAnsi="Times New Roman"/>
          <w:sz w:val="24"/>
          <w:szCs w:val="24"/>
          <w:lang w:val="en-US"/>
        </w:rPr>
        <w:t xml:space="preserve"> (2011), access to oil can provide a source of finance to certain revolutionary governments with </w:t>
      </w:r>
      <w:r>
        <w:rPr>
          <w:rFonts w:ascii="Times New Roman" w:hAnsi="Times New Roman"/>
          <w:sz w:val="24"/>
          <w:szCs w:val="24"/>
          <w:lang w:val="en-US"/>
        </w:rPr>
        <w:t xml:space="preserve">a </w:t>
      </w:r>
      <w:r w:rsidRPr="00470E8F">
        <w:rPr>
          <w:rFonts w:ascii="Times New Roman" w:hAnsi="Times New Roman"/>
          <w:sz w:val="24"/>
          <w:szCs w:val="24"/>
          <w:lang w:val="en-US"/>
        </w:rPr>
        <w:t xml:space="preserve">predilection for foreign policy adventurism and military conflict. </w:t>
      </w:r>
    </w:p>
    <w:p w:rsidR="00821514" w:rsidRPr="00470E8F" w:rsidRDefault="00821514" w:rsidP="00821514">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Petroleum fuels the war machine - both literally and metaphorically. Availability of oil may determine outcomes on the battlefield and shape military strategies. In the pivotal Battle of Stalingrad, German tanks did not have enough fuel to break out from the siege (</w:t>
      </w:r>
      <w:proofErr w:type="spellStart"/>
      <w:r w:rsidRPr="00470E8F">
        <w:rPr>
          <w:rFonts w:ascii="Times New Roman" w:hAnsi="Times New Roman"/>
          <w:sz w:val="24"/>
          <w:szCs w:val="24"/>
          <w:lang w:val="en-US"/>
        </w:rPr>
        <w:t>Yergin</w:t>
      </w:r>
      <w:proofErr w:type="spellEnd"/>
      <w:r w:rsidRPr="00470E8F">
        <w:rPr>
          <w:rFonts w:ascii="Times New Roman" w:hAnsi="Times New Roman"/>
          <w:sz w:val="24"/>
          <w:szCs w:val="24"/>
          <w:lang w:val="en-US"/>
        </w:rPr>
        <w:t xml:space="preserve">, 2012). The Axis powers also faced a shortage of fuel in Africa when the British sank their tankers. This substantially weakened the </w:t>
      </w:r>
      <w:proofErr w:type="spellStart"/>
      <w:r w:rsidRPr="00470E8F">
        <w:rPr>
          <w:rFonts w:ascii="Times New Roman" w:hAnsi="Times New Roman"/>
          <w:sz w:val="24"/>
          <w:szCs w:val="24"/>
          <w:lang w:val="en-US"/>
        </w:rPr>
        <w:t>Afrika</w:t>
      </w:r>
      <w:proofErr w:type="spellEnd"/>
      <w:r w:rsidRPr="00470E8F">
        <w:rPr>
          <w:rFonts w:ascii="Times New Roman" w:hAnsi="Times New Roman"/>
          <w:sz w:val="24"/>
          <w:szCs w:val="24"/>
          <w:lang w:val="en-US"/>
        </w:rPr>
        <w:t xml:space="preserve"> </w:t>
      </w:r>
      <w:proofErr w:type="spellStart"/>
      <w:r w:rsidRPr="00470E8F">
        <w:rPr>
          <w:rFonts w:ascii="Times New Roman" w:hAnsi="Times New Roman"/>
          <w:sz w:val="24"/>
          <w:szCs w:val="24"/>
          <w:lang w:val="en-US"/>
        </w:rPr>
        <w:t>Korps</w:t>
      </w:r>
      <w:proofErr w:type="spellEnd"/>
      <w:r w:rsidRPr="00470E8F">
        <w:rPr>
          <w:rFonts w:ascii="Times New Roman" w:hAnsi="Times New Roman"/>
          <w:sz w:val="24"/>
          <w:szCs w:val="24"/>
          <w:lang w:val="en-US"/>
        </w:rPr>
        <w:t xml:space="preserve"> under the command of Erwin Rommel that ultimately surrendered in May 1943 (Liddell-Hart, 1953). Soon thereafter, grappling with extreme oil scarcity </w:t>
      </w:r>
      <w:r>
        <w:rPr>
          <w:rFonts w:ascii="Times New Roman" w:hAnsi="Times New Roman"/>
          <w:sz w:val="24"/>
          <w:szCs w:val="24"/>
          <w:lang w:val="en-US"/>
        </w:rPr>
        <w:t xml:space="preserve">forced </w:t>
      </w:r>
      <w:r w:rsidRPr="00470E8F">
        <w:rPr>
          <w:rFonts w:ascii="Times New Roman" w:hAnsi="Times New Roman"/>
          <w:sz w:val="24"/>
          <w:szCs w:val="24"/>
          <w:lang w:val="en-US"/>
        </w:rPr>
        <w:t xml:space="preserve">Japan </w:t>
      </w:r>
      <w:r>
        <w:rPr>
          <w:rFonts w:ascii="Times New Roman" w:hAnsi="Times New Roman"/>
          <w:sz w:val="24"/>
          <w:szCs w:val="24"/>
          <w:lang w:val="en-US"/>
        </w:rPr>
        <w:t xml:space="preserve">to </w:t>
      </w:r>
      <w:r w:rsidRPr="00470E8F">
        <w:rPr>
          <w:rFonts w:ascii="Times New Roman" w:hAnsi="Times New Roman"/>
          <w:sz w:val="24"/>
          <w:szCs w:val="24"/>
          <w:lang w:val="en-US"/>
        </w:rPr>
        <w:t>resort to Kamikaze attacks. This tactic relied on Japanese suicide pilots crashing their planes filled with bombs into enemy ships</w:t>
      </w:r>
      <w:r>
        <w:rPr>
          <w:rFonts w:ascii="Times New Roman" w:hAnsi="Times New Roman"/>
          <w:sz w:val="24"/>
          <w:szCs w:val="24"/>
          <w:lang w:val="en-US"/>
        </w:rPr>
        <w:t>,</w:t>
      </w:r>
      <w:r w:rsidRPr="00470E8F">
        <w:rPr>
          <w:rFonts w:ascii="Times New Roman" w:hAnsi="Times New Roman"/>
          <w:sz w:val="24"/>
          <w:szCs w:val="24"/>
          <w:lang w:val="en-US"/>
        </w:rPr>
        <w:t xml:space="preserve"> which meant they did not require aviation fuel for the return trip (</w:t>
      </w:r>
      <w:proofErr w:type="spellStart"/>
      <w:r w:rsidRPr="00470E8F">
        <w:rPr>
          <w:rFonts w:ascii="Times New Roman" w:hAnsi="Times New Roman"/>
          <w:sz w:val="24"/>
          <w:szCs w:val="24"/>
          <w:lang w:val="en-US"/>
        </w:rPr>
        <w:t>Yergin</w:t>
      </w:r>
      <w:proofErr w:type="spellEnd"/>
      <w:r w:rsidRPr="00470E8F">
        <w:rPr>
          <w:rFonts w:ascii="Times New Roman" w:hAnsi="Times New Roman"/>
          <w:sz w:val="24"/>
          <w:szCs w:val="24"/>
          <w:lang w:val="en-US"/>
        </w:rPr>
        <w:t xml:space="preserve">, 2012). Clearly, oil becomes a commodity of strategic importance in times of international hostilities. </w:t>
      </w:r>
    </w:p>
    <w:p w:rsidR="00821514" w:rsidRPr="00470E8F" w:rsidRDefault="00821514" w:rsidP="00821514">
      <w:pPr>
        <w:spacing w:line="480" w:lineRule="auto"/>
        <w:ind w:firstLine="360"/>
        <w:jc w:val="both"/>
        <w:rPr>
          <w:rFonts w:ascii="Times New Roman" w:hAnsi="Times New Roman"/>
          <w:bCs/>
          <w:sz w:val="24"/>
          <w:szCs w:val="24"/>
          <w:lang w:val="en-US"/>
        </w:rPr>
      </w:pPr>
      <w:r w:rsidRPr="00470E8F">
        <w:rPr>
          <w:rFonts w:ascii="Times New Roman" w:hAnsi="Times New Roman"/>
          <w:sz w:val="24"/>
          <w:szCs w:val="24"/>
          <w:lang w:val="en-US"/>
        </w:rPr>
        <w:t>The role of oil</w:t>
      </w:r>
      <w:r w:rsidRPr="00470E8F">
        <w:rPr>
          <w:rFonts w:ascii="Times New Roman" w:hAnsi="Times New Roman"/>
          <w:bCs/>
          <w:sz w:val="24"/>
          <w:szCs w:val="24"/>
          <w:lang w:val="en-US"/>
        </w:rPr>
        <w:t xml:space="preserve"> in warfare has risen dramatically since World War II. The driving factors behind that rise are the increased mechanization of wartime technologies, and the long-dist</w:t>
      </w:r>
      <w:r w:rsidR="00AA3932">
        <w:rPr>
          <w:rFonts w:ascii="Times New Roman" w:hAnsi="Times New Roman"/>
          <w:bCs/>
          <w:sz w:val="24"/>
          <w:szCs w:val="24"/>
          <w:lang w:val="en-US"/>
        </w:rPr>
        <w:t>ance mobility requirement generated by</w:t>
      </w:r>
      <w:r w:rsidRPr="00470E8F">
        <w:rPr>
          <w:rFonts w:ascii="Times New Roman" w:hAnsi="Times New Roman"/>
          <w:bCs/>
          <w:sz w:val="24"/>
          <w:szCs w:val="24"/>
          <w:lang w:val="en-US"/>
        </w:rPr>
        <w:t xml:space="preserve"> the expeditionary nature of conflicts (Deloitte, 2009). This is reflected in 22 gallons of fuel consumption per U.S. soldier per day in the most </w:t>
      </w:r>
      <w:r w:rsidRPr="00470E8F">
        <w:rPr>
          <w:rFonts w:ascii="Times New Roman" w:hAnsi="Times New Roman"/>
          <w:bCs/>
          <w:sz w:val="24"/>
          <w:szCs w:val="24"/>
          <w:lang w:val="en-US"/>
        </w:rPr>
        <w:lastRenderedPageBreak/>
        <w:t xml:space="preserve">recent conflicts in Iraq and Afghanistan; which represents a 175% increase from its level in the Vietnam conflict (ibid. 2009:3). Furthermore, fuel purchases by U.S. forces in Afghanistan have increased from 48 million gallons in 2003 to 489 million gallons in 2011- a staggering increase of almost 920% (Congressional Research Service, 2012:52). </w:t>
      </w:r>
    </w:p>
    <w:p w:rsidR="000B0C84" w:rsidRDefault="00821514" w:rsidP="00821514">
      <w:pPr>
        <w:spacing w:line="480" w:lineRule="auto"/>
        <w:ind w:firstLine="360"/>
        <w:jc w:val="both"/>
        <w:rPr>
          <w:rFonts w:ascii="Times New Roman" w:hAnsi="Times New Roman"/>
          <w:sz w:val="24"/>
          <w:szCs w:val="24"/>
          <w:lang w:val="en-US"/>
        </w:rPr>
      </w:pPr>
      <w:r w:rsidRPr="00470E8F">
        <w:rPr>
          <w:rFonts w:ascii="Times New Roman" w:hAnsi="Times New Roman"/>
          <w:color w:val="FF0000"/>
          <w:sz w:val="24"/>
          <w:szCs w:val="24"/>
          <w:lang w:val="en-US"/>
        </w:rPr>
        <w:t xml:space="preserve"> </w:t>
      </w:r>
      <w:r w:rsidRPr="00470E8F">
        <w:rPr>
          <w:rFonts w:ascii="Times New Roman" w:hAnsi="Times New Roman"/>
          <w:sz w:val="24"/>
          <w:szCs w:val="24"/>
          <w:lang w:val="en-US"/>
        </w:rPr>
        <w:t>Violent political conflicts can inflate the prices of petroleum due to its vital role in both the global economy and warfare.</w:t>
      </w:r>
      <w:r w:rsidR="000B0C84">
        <w:rPr>
          <w:rFonts w:ascii="Times New Roman" w:hAnsi="Times New Roman"/>
          <w:sz w:val="24"/>
          <w:szCs w:val="24"/>
          <w:lang w:val="en-US"/>
        </w:rPr>
        <w:t xml:space="preserve"> </w:t>
      </w:r>
      <w:r w:rsidR="00F604E6" w:rsidRPr="00935C47">
        <w:rPr>
          <w:rFonts w:ascii="Times New Roman" w:hAnsi="Times New Roman"/>
          <w:sz w:val="24"/>
          <w:szCs w:val="24"/>
          <w:lang w:val="en-US"/>
        </w:rPr>
        <w:t xml:space="preserve">An emerging body of research is showing that events of </w:t>
      </w:r>
      <w:r w:rsidR="00AA3932">
        <w:rPr>
          <w:rFonts w:ascii="Times New Roman" w:hAnsi="Times New Roman"/>
          <w:sz w:val="24"/>
          <w:szCs w:val="24"/>
          <w:lang w:val="en-US"/>
        </w:rPr>
        <w:t xml:space="preserve">a </w:t>
      </w:r>
      <w:r w:rsidR="00F604E6" w:rsidRPr="00935C47">
        <w:rPr>
          <w:rFonts w:ascii="Times New Roman" w:hAnsi="Times New Roman"/>
          <w:sz w:val="24"/>
          <w:szCs w:val="24"/>
          <w:lang w:val="en-US"/>
        </w:rPr>
        <w:t xml:space="preserve">political nature may trigger demand-side reactions leading to significant price changes, even in the absence of supply disruptions (see, for instance, Kilian 2009; </w:t>
      </w:r>
      <w:proofErr w:type="spellStart"/>
      <w:r w:rsidR="00F604E6" w:rsidRPr="00935C47">
        <w:rPr>
          <w:rFonts w:ascii="Times New Roman" w:hAnsi="Times New Roman"/>
          <w:sz w:val="24"/>
          <w:szCs w:val="24"/>
          <w:lang w:val="en-US"/>
        </w:rPr>
        <w:t>Alquist</w:t>
      </w:r>
      <w:proofErr w:type="spellEnd"/>
      <w:r w:rsidR="00F604E6" w:rsidRPr="00935C47">
        <w:rPr>
          <w:rFonts w:ascii="Times New Roman" w:hAnsi="Times New Roman"/>
          <w:sz w:val="24"/>
          <w:szCs w:val="24"/>
          <w:lang w:val="en-US"/>
        </w:rPr>
        <w:t xml:space="preserve"> and Kilian 2010; Kilian and Murphy, 2013; Kilian and Lee, 2014). International conflicts may tighten oil markets due to an increase in</w:t>
      </w:r>
      <w:r w:rsidR="00F604E6">
        <w:rPr>
          <w:rFonts w:ascii="Times New Roman" w:hAnsi="Times New Roman"/>
          <w:sz w:val="24"/>
          <w:szCs w:val="24"/>
          <w:lang w:val="en-US"/>
        </w:rPr>
        <w:t xml:space="preserve"> military demand and</w:t>
      </w:r>
      <w:r w:rsidR="00F604E6" w:rsidRPr="00935C47">
        <w:rPr>
          <w:rFonts w:ascii="Times New Roman" w:hAnsi="Times New Roman"/>
          <w:sz w:val="24"/>
          <w:szCs w:val="24"/>
          <w:lang w:val="en-US"/>
        </w:rPr>
        <w:t xml:space="preserve"> rational stockpiling in order to ensure energy security. Political stress may also cause a shift in trad</w:t>
      </w:r>
      <w:r w:rsidR="00AA3932">
        <w:rPr>
          <w:rFonts w:ascii="Times New Roman" w:hAnsi="Times New Roman"/>
          <w:sz w:val="24"/>
          <w:szCs w:val="24"/>
          <w:lang w:val="en-US"/>
        </w:rPr>
        <w:t xml:space="preserve">ers’ expectations regarding </w:t>
      </w:r>
      <w:r w:rsidR="00F604E6" w:rsidRPr="00935C47">
        <w:rPr>
          <w:rFonts w:ascii="Times New Roman" w:hAnsi="Times New Roman"/>
          <w:sz w:val="24"/>
          <w:szCs w:val="24"/>
          <w:lang w:val="en-US"/>
        </w:rPr>
        <w:t xml:space="preserve">future oil availability, which can </w:t>
      </w:r>
      <w:r w:rsidR="00197185">
        <w:rPr>
          <w:rFonts w:ascii="Times New Roman" w:hAnsi="Times New Roman"/>
          <w:sz w:val="24"/>
          <w:szCs w:val="24"/>
          <w:lang w:val="en-US"/>
        </w:rPr>
        <w:t>cause</w:t>
      </w:r>
      <w:r w:rsidR="00F604E6" w:rsidRPr="00935C47">
        <w:rPr>
          <w:rFonts w:ascii="Times New Roman" w:hAnsi="Times New Roman"/>
          <w:sz w:val="24"/>
          <w:szCs w:val="24"/>
          <w:lang w:val="en-US"/>
        </w:rPr>
        <w:t xml:space="preserve"> a surge </w:t>
      </w:r>
      <w:r w:rsidR="00AA3932">
        <w:rPr>
          <w:rFonts w:ascii="Times New Roman" w:hAnsi="Times New Roman"/>
          <w:sz w:val="24"/>
          <w:szCs w:val="24"/>
          <w:lang w:val="en-US"/>
        </w:rPr>
        <w:t xml:space="preserve">in demand </w:t>
      </w:r>
      <w:r w:rsidR="00F604E6" w:rsidRPr="00935C47">
        <w:rPr>
          <w:rFonts w:ascii="Times New Roman" w:hAnsi="Times New Roman"/>
          <w:sz w:val="24"/>
          <w:szCs w:val="24"/>
          <w:lang w:val="en-US"/>
        </w:rPr>
        <w:t xml:space="preserve">based on precautionary and speculative motives (see </w:t>
      </w:r>
      <w:proofErr w:type="spellStart"/>
      <w:r w:rsidR="00F604E6" w:rsidRPr="00935C47">
        <w:rPr>
          <w:rFonts w:ascii="Times New Roman" w:hAnsi="Times New Roman"/>
          <w:sz w:val="24"/>
          <w:szCs w:val="24"/>
          <w:lang w:val="en-US"/>
        </w:rPr>
        <w:t>Terzian</w:t>
      </w:r>
      <w:proofErr w:type="spellEnd"/>
      <w:r w:rsidR="00F604E6" w:rsidRPr="00935C47">
        <w:rPr>
          <w:rFonts w:ascii="Times New Roman" w:hAnsi="Times New Roman"/>
          <w:sz w:val="24"/>
          <w:szCs w:val="24"/>
          <w:lang w:val="en-US"/>
        </w:rPr>
        <w:t xml:space="preserve">, 1985; Kilian 2009; </w:t>
      </w:r>
      <w:proofErr w:type="spellStart"/>
      <w:r w:rsidR="00F604E6" w:rsidRPr="00935C47">
        <w:rPr>
          <w:rFonts w:ascii="Times New Roman" w:hAnsi="Times New Roman"/>
          <w:sz w:val="24"/>
          <w:szCs w:val="24"/>
          <w:lang w:val="en-US"/>
        </w:rPr>
        <w:t>Alquist</w:t>
      </w:r>
      <w:proofErr w:type="spellEnd"/>
      <w:r w:rsidR="00F604E6" w:rsidRPr="00935C47">
        <w:rPr>
          <w:rFonts w:ascii="Times New Roman" w:hAnsi="Times New Roman"/>
          <w:sz w:val="24"/>
          <w:szCs w:val="24"/>
          <w:lang w:val="en-US"/>
        </w:rPr>
        <w:t xml:space="preserve"> and Kilian, 2010; Kilian and Murphy, 2013). For example, while </w:t>
      </w:r>
      <w:proofErr w:type="spellStart"/>
      <w:r w:rsidR="00F604E6" w:rsidRPr="00935C47">
        <w:rPr>
          <w:rFonts w:ascii="Times New Roman" w:hAnsi="Times New Roman"/>
          <w:sz w:val="24"/>
          <w:szCs w:val="24"/>
          <w:lang w:val="en-US"/>
        </w:rPr>
        <w:t>Terzian</w:t>
      </w:r>
      <w:proofErr w:type="spellEnd"/>
      <w:r w:rsidR="00F604E6" w:rsidRPr="00935C47">
        <w:rPr>
          <w:rFonts w:ascii="Times New Roman" w:hAnsi="Times New Roman"/>
          <w:sz w:val="24"/>
          <w:szCs w:val="24"/>
          <w:lang w:val="en-US"/>
        </w:rPr>
        <w:t xml:space="preserve"> (1985) argues that the price shock </w:t>
      </w:r>
      <w:r w:rsidR="00F604E6">
        <w:rPr>
          <w:rFonts w:ascii="Times New Roman" w:hAnsi="Times New Roman"/>
          <w:sz w:val="24"/>
          <w:szCs w:val="24"/>
          <w:lang w:val="en-US"/>
        </w:rPr>
        <w:t xml:space="preserve">associated with </w:t>
      </w:r>
      <w:r w:rsidR="00F604E6" w:rsidRPr="00935C47">
        <w:rPr>
          <w:rFonts w:ascii="Times New Roman" w:hAnsi="Times New Roman"/>
          <w:sz w:val="24"/>
          <w:szCs w:val="24"/>
          <w:lang w:val="en-US"/>
        </w:rPr>
        <w:t xml:space="preserve">the Iranian revolution was caused solely by an increase in precautionary or psychological demand, Kilian and Murphy (2013) document a rise in speculative stockpiling in the months prior to the 1990 Iraqi invasion of Kuwait. </w:t>
      </w:r>
      <w:r w:rsidR="00F604E6">
        <w:rPr>
          <w:rFonts w:ascii="Times New Roman" w:hAnsi="Times New Roman"/>
          <w:sz w:val="24"/>
          <w:szCs w:val="24"/>
          <w:lang w:val="en-US"/>
        </w:rPr>
        <w:t xml:space="preserve">Furthermore, as demonstrated by the experience of the 1970s, political events can affect the level of supply of crude oil to international markets (Klare, 2008; </w:t>
      </w:r>
      <w:proofErr w:type="spellStart"/>
      <w:r w:rsidR="00F604E6">
        <w:rPr>
          <w:rFonts w:ascii="Times New Roman" w:hAnsi="Times New Roman"/>
          <w:sz w:val="24"/>
          <w:szCs w:val="24"/>
          <w:lang w:val="en-US"/>
        </w:rPr>
        <w:t>Yergin</w:t>
      </w:r>
      <w:proofErr w:type="spellEnd"/>
      <w:r w:rsidR="00F604E6">
        <w:rPr>
          <w:rFonts w:ascii="Times New Roman" w:hAnsi="Times New Roman"/>
          <w:sz w:val="24"/>
          <w:szCs w:val="24"/>
          <w:lang w:val="en-US"/>
        </w:rPr>
        <w:t>, 2012).</w:t>
      </w:r>
      <w:r w:rsidR="00F604E6" w:rsidRPr="00935C47">
        <w:rPr>
          <w:rFonts w:ascii="Times New Roman" w:hAnsi="Times New Roman"/>
          <w:sz w:val="24"/>
          <w:szCs w:val="24"/>
          <w:lang w:val="en-US"/>
        </w:rPr>
        <w:t xml:space="preserve"> </w:t>
      </w:r>
      <w:r w:rsidR="00F604E6">
        <w:rPr>
          <w:rFonts w:ascii="Times New Roman" w:hAnsi="Times New Roman"/>
          <w:sz w:val="24"/>
          <w:szCs w:val="24"/>
          <w:lang w:val="en-US"/>
        </w:rPr>
        <w:t>T</w:t>
      </w:r>
      <w:r w:rsidR="00AA3932">
        <w:rPr>
          <w:rFonts w:ascii="Times New Roman" w:hAnsi="Times New Roman"/>
          <w:sz w:val="24"/>
          <w:szCs w:val="24"/>
          <w:lang w:val="en-US"/>
        </w:rPr>
        <w:t>he t</w:t>
      </w:r>
      <w:r w:rsidR="00F604E6">
        <w:rPr>
          <w:rFonts w:ascii="Times New Roman" w:hAnsi="Times New Roman"/>
          <w:sz w:val="24"/>
          <w:szCs w:val="24"/>
          <w:lang w:val="en-US"/>
        </w:rPr>
        <w:t xml:space="preserve">hreat of embargoes, refusal of insurance companies to provide coverage for tankers passing through warzones and possible endangerment of </w:t>
      </w:r>
      <w:proofErr w:type="gramStart"/>
      <w:r w:rsidR="00F604E6">
        <w:rPr>
          <w:rFonts w:ascii="Times New Roman" w:hAnsi="Times New Roman"/>
          <w:sz w:val="24"/>
          <w:szCs w:val="24"/>
          <w:lang w:val="en-US"/>
        </w:rPr>
        <w:t>transportation</w:t>
      </w:r>
      <w:proofErr w:type="gramEnd"/>
      <w:r w:rsidR="00F604E6">
        <w:rPr>
          <w:rFonts w:ascii="Times New Roman" w:hAnsi="Times New Roman"/>
          <w:sz w:val="24"/>
          <w:szCs w:val="24"/>
          <w:lang w:val="en-US"/>
        </w:rPr>
        <w:t xml:space="preserve"> routes could further exacerbate pressures on the supply side.</w:t>
      </w:r>
    </w:p>
    <w:p w:rsidR="00821514" w:rsidRDefault="00821514" w:rsidP="00821514">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 xml:space="preserve">The rise in </w:t>
      </w:r>
      <w:r w:rsidR="00AA3932">
        <w:rPr>
          <w:rFonts w:ascii="Times New Roman" w:hAnsi="Times New Roman"/>
          <w:sz w:val="24"/>
          <w:szCs w:val="24"/>
          <w:lang w:val="en-US"/>
        </w:rPr>
        <w:t>prices of crude oil suggests it has the</w:t>
      </w:r>
      <w:r w:rsidRPr="00470E8F">
        <w:rPr>
          <w:rFonts w:ascii="Times New Roman" w:hAnsi="Times New Roman"/>
          <w:sz w:val="24"/>
          <w:szCs w:val="24"/>
          <w:lang w:val="en-US"/>
        </w:rPr>
        <w:t xml:space="preserve"> abi</w:t>
      </w:r>
      <w:r>
        <w:rPr>
          <w:rFonts w:ascii="Times New Roman" w:hAnsi="Times New Roman"/>
          <w:sz w:val="24"/>
          <w:szCs w:val="24"/>
          <w:lang w:val="en-US"/>
        </w:rPr>
        <w:t>lity to act as a safe haven for</w:t>
      </w:r>
      <w:r w:rsidRPr="00470E8F">
        <w:rPr>
          <w:rFonts w:ascii="Times New Roman" w:hAnsi="Times New Roman"/>
          <w:sz w:val="24"/>
          <w:szCs w:val="24"/>
          <w:lang w:val="en-US"/>
        </w:rPr>
        <w:t xml:space="preserve"> assets whose va</w:t>
      </w:r>
      <w:r w:rsidR="00AA3932">
        <w:rPr>
          <w:rFonts w:ascii="Times New Roman" w:hAnsi="Times New Roman"/>
          <w:sz w:val="24"/>
          <w:szCs w:val="24"/>
          <w:lang w:val="en-US"/>
        </w:rPr>
        <w:t>luations tumble during crucial</w:t>
      </w:r>
      <w:r w:rsidRPr="00470E8F">
        <w:rPr>
          <w:rFonts w:ascii="Times New Roman" w:hAnsi="Times New Roman"/>
          <w:sz w:val="24"/>
          <w:szCs w:val="24"/>
          <w:lang w:val="en-US"/>
        </w:rPr>
        <w:t xml:space="preserve"> episodes of international crises. Simply put, fossil fuel might be an effective protection against the risk</w:t>
      </w:r>
      <w:r w:rsidR="00AA3932">
        <w:rPr>
          <w:rFonts w:ascii="Times New Roman" w:hAnsi="Times New Roman"/>
          <w:sz w:val="24"/>
          <w:szCs w:val="24"/>
          <w:lang w:val="en-US"/>
        </w:rPr>
        <w:t>s</w:t>
      </w:r>
      <w:r w:rsidRPr="00470E8F">
        <w:rPr>
          <w:rFonts w:ascii="Times New Roman" w:hAnsi="Times New Roman"/>
          <w:sz w:val="24"/>
          <w:szCs w:val="24"/>
          <w:lang w:val="en-US"/>
        </w:rPr>
        <w:t xml:space="preserve"> of wars. The presence of an active paper market</w:t>
      </w:r>
      <w:r>
        <w:rPr>
          <w:rFonts w:ascii="Times New Roman" w:hAnsi="Times New Roman"/>
          <w:sz w:val="24"/>
          <w:szCs w:val="24"/>
          <w:lang w:val="en-US"/>
        </w:rPr>
        <w:t>,</w:t>
      </w:r>
      <w:r w:rsidRPr="00470E8F">
        <w:rPr>
          <w:rFonts w:ascii="Times New Roman" w:hAnsi="Times New Roman"/>
          <w:sz w:val="24"/>
          <w:szCs w:val="24"/>
          <w:lang w:val="en-US"/>
        </w:rPr>
        <w:t xml:space="preserve"> and investment vehicles such as exchange-traded funds</w:t>
      </w:r>
      <w:r>
        <w:rPr>
          <w:rFonts w:ascii="Times New Roman" w:hAnsi="Times New Roman"/>
          <w:sz w:val="24"/>
          <w:szCs w:val="24"/>
          <w:lang w:val="en-US"/>
        </w:rPr>
        <w:t>,</w:t>
      </w:r>
      <w:r w:rsidRPr="00470E8F">
        <w:rPr>
          <w:rFonts w:ascii="Times New Roman" w:hAnsi="Times New Roman"/>
          <w:sz w:val="24"/>
          <w:szCs w:val="24"/>
          <w:lang w:val="en-US"/>
        </w:rPr>
        <w:t xml:space="preserve"> may facilitate and expedite the delivery of such diversification benefits.   </w:t>
      </w:r>
    </w:p>
    <w:p w:rsidR="00821514" w:rsidRPr="0043218D" w:rsidRDefault="00821514" w:rsidP="00821514">
      <w:pPr>
        <w:spacing w:line="480" w:lineRule="auto"/>
        <w:ind w:firstLine="360"/>
        <w:jc w:val="both"/>
        <w:rPr>
          <w:rFonts w:ascii="Times New Roman" w:hAnsi="Times New Roman"/>
          <w:i/>
          <w:sz w:val="24"/>
          <w:szCs w:val="24"/>
          <w:lang w:val="en-US"/>
        </w:rPr>
      </w:pPr>
      <w:r w:rsidRPr="0043218D">
        <w:rPr>
          <w:rFonts w:ascii="Times New Roman" w:hAnsi="Times New Roman"/>
          <w:i/>
          <w:sz w:val="24"/>
          <w:szCs w:val="24"/>
          <w:lang w:val="en-US"/>
        </w:rPr>
        <w:lastRenderedPageBreak/>
        <w:t>2.2</w:t>
      </w:r>
      <w:r>
        <w:rPr>
          <w:rFonts w:ascii="Times New Roman" w:hAnsi="Times New Roman"/>
          <w:i/>
          <w:sz w:val="24"/>
          <w:szCs w:val="24"/>
          <w:lang w:val="en-US"/>
        </w:rPr>
        <w:t>. Sovereign Bonds in Times of Warfare</w:t>
      </w:r>
      <w:r w:rsidRPr="0043218D">
        <w:rPr>
          <w:rFonts w:ascii="Times New Roman" w:hAnsi="Times New Roman"/>
          <w:i/>
          <w:sz w:val="24"/>
          <w:szCs w:val="24"/>
          <w:lang w:val="en-US"/>
        </w:rPr>
        <w:t xml:space="preserve"> </w:t>
      </w:r>
    </w:p>
    <w:p w:rsidR="00821514" w:rsidRPr="00470E8F" w:rsidRDefault="00821514" w:rsidP="00821514">
      <w:pPr>
        <w:spacing w:line="480" w:lineRule="auto"/>
        <w:ind w:firstLine="360"/>
        <w:jc w:val="both"/>
        <w:rPr>
          <w:rFonts w:ascii="Times New Roman" w:hAnsi="Times New Roman"/>
          <w:sz w:val="24"/>
          <w:szCs w:val="24"/>
          <w:lang w:val="en-US"/>
        </w:rPr>
      </w:pPr>
      <w:r>
        <w:rPr>
          <w:rFonts w:ascii="Times New Roman" w:hAnsi="Times New Roman"/>
          <w:sz w:val="24"/>
          <w:szCs w:val="24"/>
          <w:lang w:val="en-US"/>
        </w:rPr>
        <w:t>T</w:t>
      </w:r>
      <w:r w:rsidRPr="00470E8F">
        <w:rPr>
          <w:rFonts w:ascii="Times New Roman" w:hAnsi="Times New Roman"/>
          <w:sz w:val="24"/>
          <w:szCs w:val="24"/>
          <w:lang w:val="en-US"/>
        </w:rPr>
        <w:t>he role that government bonds play as a shelter during times of financial turmoil is documented by theoretical and empirical evidence. The safety umbrella of these fixed income securities is reflected in the flight-to-quality and flight-to-liquidity phenomena. Despite sharing a similar investment endpoint (i.e. government bonds), these phenomena differ from each other in that a flight-to-liquidity is characterized by a sudden and strong preference for holding more liquid assets (</w:t>
      </w:r>
      <w:proofErr w:type="spellStart"/>
      <w:r w:rsidRPr="00470E8F">
        <w:rPr>
          <w:rFonts w:ascii="Times New Roman" w:hAnsi="Times New Roman"/>
          <w:sz w:val="24"/>
          <w:szCs w:val="24"/>
          <w:lang w:val="en-US"/>
        </w:rPr>
        <w:t>Vayanos</w:t>
      </w:r>
      <w:proofErr w:type="spellEnd"/>
      <w:r w:rsidRPr="00470E8F">
        <w:rPr>
          <w:rFonts w:ascii="Times New Roman" w:hAnsi="Times New Roman"/>
          <w:sz w:val="24"/>
          <w:szCs w:val="24"/>
          <w:lang w:val="en-US"/>
        </w:rPr>
        <w:t xml:space="preserve">, 2004; </w:t>
      </w:r>
      <w:proofErr w:type="spellStart"/>
      <w:r w:rsidRPr="00470E8F">
        <w:rPr>
          <w:rFonts w:ascii="Times New Roman" w:hAnsi="Times New Roman"/>
          <w:sz w:val="24"/>
          <w:szCs w:val="24"/>
          <w:lang w:val="en-US"/>
        </w:rPr>
        <w:t>Longstaff</w:t>
      </w:r>
      <w:proofErr w:type="spellEnd"/>
      <w:r w:rsidRPr="00470E8F">
        <w:rPr>
          <w:rFonts w:ascii="Times New Roman" w:hAnsi="Times New Roman"/>
          <w:sz w:val="24"/>
          <w:szCs w:val="24"/>
          <w:lang w:val="en-US"/>
        </w:rPr>
        <w:t>, 2004), while flight-to-quality refers to shifts from risky assets to safer ones (</w:t>
      </w:r>
      <w:proofErr w:type="spellStart"/>
      <w:r w:rsidRPr="00470E8F">
        <w:rPr>
          <w:rFonts w:ascii="Times New Roman" w:hAnsi="Times New Roman"/>
          <w:sz w:val="24"/>
          <w:szCs w:val="24"/>
          <w:lang w:val="en-US"/>
        </w:rPr>
        <w:t>Baur</w:t>
      </w:r>
      <w:proofErr w:type="spellEnd"/>
      <w:r w:rsidRPr="00470E8F">
        <w:rPr>
          <w:rFonts w:ascii="Times New Roman" w:hAnsi="Times New Roman"/>
          <w:sz w:val="24"/>
          <w:szCs w:val="24"/>
          <w:lang w:val="en-US"/>
        </w:rPr>
        <w:t xml:space="preserve"> and Lucey, 2009). Moreover, although credit quality and liquidity are two important attributes of fixed income securities, their importance varies when considered unconditionally or conditionally in times of heightened market uncertainty (</w:t>
      </w:r>
      <w:proofErr w:type="spellStart"/>
      <w:r w:rsidRPr="00470E8F">
        <w:rPr>
          <w:rFonts w:ascii="Times New Roman" w:hAnsi="Times New Roman"/>
          <w:sz w:val="24"/>
          <w:szCs w:val="24"/>
          <w:lang w:val="en-US"/>
        </w:rPr>
        <w:t>Beber</w:t>
      </w:r>
      <w:proofErr w:type="spellEnd"/>
      <w:r w:rsidRPr="00470E8F">
        <w:rPr>
          <w:rFonts w:ascii="Times New Roman" w:hAnsi="Times New Roman"/>
          <w:sz w:val="24"/>
          <w:szCs w:val="24"/>
          <w:lang w:val="en-US"/>
        </w:rPr>
        <w:t xml:space="preserve"> </w:t>
      </w:r>
      <w:r w:rsidRPr="00470E8F">
        <w:rPr>
          <w:rFonts w:ascii="Times New Roman" w:hAnsi="Times New Roman"/>
          <w:i/>
          <w:sz w:val="24"/>
          <w:szCs w:val="24"/>
          <w:lang w:val="en-US"/>
        </w:rPr>
        <w:t xml:space="preserve">et al., </w:t>
      </w:r>
      <w:r w:rsidRPr="00470E8F">
        <w:rPr>
          <w:rFonts w:ascii="Times New Roman" w:hAnsi="Times New Roman"/>
          <w:sz w:val="24"/>
          <w:szCs w:val="24"/>
          <w:lang w:val="en-US"/>
        </w:rPr>
        <w:t>2009</w:t>
      </w:r>
      <w:r w:rsidRPr="00470E8F">
        <w:rPr>
          <w:rFonts w:ascii="Times New Roman" w:hAnsi="Times New Roman"/>
          <w:i/>
          <w:sz w:val="24"/>
          <w:szCs w:val="24"/>
          <w:lang w:val="en-US"/>
        </w:rPr>
        <w:t>).</w:t>
      </w:r>
      <w:r w:rsidRPr="00470E8F">
        <w:rPr>
          <w:rFonts w:ascii="Times New Roman" w:hAnsi="Times New Roman"/>
          <w:sz w:val="24"/>
          <w:szCs w:val="24"/>
          <w:lang w:val="en-US"/>
        </w:rPr>
        <w:t xml:space="preserve"> During turmoil the importance of liquidity increases significantly and becomes almost an exclusive factor in determining the destination of the flow of funds into and out of the bond market (ibid. 2009). </w:t>
      </w:r>
    </w:p>
    <w:p w:rsidR="00821514" w:rsidRPr="00470E8F" w:rsidRDefault="00821514" w:rsidP="00821514">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 xml:space="preserve">Despite the differences between the two phenomena, evidence points not only to their presence, but also to the importance of their role in affecting the proliferation of financial crises (Hartmann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2004; </w:t>
      </w:r>
      <w:proofErr w:type="spellStart"/>
      <w:r w:rsidRPr="00470E8F">
        <w:rPr>
          <w:rFonts w:ascii="Times New Roman" w:hAnsi="Times New Roman"/>
          <w:sz w:val="24"/>
          <w:szCs w:val="24"/>
          <w:lang w:val="en-US"/>
        </w:rPr>
        <w:t>Baur</w:t>
      </w:r>
      <w:proofErr w:type="spellEnd"/>
      <w:r w:rsidRPr="00470E8F">
        <w:rPr>
          <w:rFonts w:ascii="Times New Roman" w:hAnsi="Times New Roman"/>
          <w:sz w:val="24"/>
          <w:szCs w:val="24"/>
          <w:lang w:val="en-US"/>
        </w:rPr>
        <w:t xml:space="preserve"> and Lucey, 2009). Unanticipated or rare events are responsible for the initiation of most flight-to-quality episodes, and during such occurrences investors unload risky activities and become more conservative. Caballero and Krishnamurthy (2008) present a theoretical model and show that flights to quality can be triggered by heightened </w:t>
      </w:r>
      <w:proofErr w:type="spellStart"/>
      <w:r w:rsidRPr="00470E8F">
        <w:rPr>
          <w:rFonts w:ascii="Times New Roman" w:hAnsi="Times New Roman"/>
          <w:sz w:val="24"/>
          <w:szCs w:val="24"/>
          <w:lang w:val="en-US"/>
        </w:rPr>
        <w:t>Knightian</w:t>
      </w:r>
      <w:proofErr w:type="spellEnd"/>
      <w:r w:rsidRPr="00470E8F">
        <w:rPr>
          <w:rFonts w:ascii="Times New Roman" w:hAnsi="Times New Roman"/>
          <w:sz w:val="24"/>
          <w:szCs w:val="24"/>
          <w:lang w:val="en-US"/>
        </w:rPr>
        <w:t xml:space="preserve"> uncertainty or limited aggregate liquidity. Moreover, they argue that </w:t>
      </w:r>
      <w:proofErr w:type="spellStart"/>
      <w:r w:rsidRPr="00470E8F">
        <w:rPr>
          <w:rFonts w:ascii="Times New Roman" w:hAnsi="Times New Roman"/>
          <w:sz w:val="24"/>
          <w:szCs w:val="24"/>
          <w:lang w:val="en-US"/>
        </w:rPr>
        <w:t>Knightian</w:t>
      </w:r>
      <w:proofErr w:type="spellEnd"/>
      <w:r w:rsidRPr="00470E8F">
        <w:rPr>
          <w:rFonts w:ascii="Times New Roman" w:hAnsi="Times New Roman"/>
          <w:sz w:val="24"/>
          <w:szCs w:val="24"/>
          <w:lang w:val="en-US"/>
        </w:rPr>
        <w:t xml:space="preserve"> uncertainty explains the common behavioral attributes among investors and across historical flight-to-quality episodes. Empirically, </w:t>
      </w:r>
      <w:proofErr w:type="spellStart"/>
      <w:r w:rsidRPr="00470E8F">
        <w:rPr>
          <w:rFonts w:ascii="Times New Roman" w:hAnsi="Times New Roman"/>
          <w:sz w:val="24"/>
          <w:szCs w:val="24"/>
          <w:lang w:val="en-US"/>
        </w:rPr>
        <w:t>Baur</w:t>
      </w:r>
      <w:proofErr w:type="spellEnd"/>
      <w:r w:rsidRPr="00470E8F">
        <w:rPr>
          <w:rFonts w:ascii="Times New Roman" w:hAnsi="Times New Roman"/>
          <w:sz w:val="24"/>
          <w:szCs w:val="24"/>
          <w:lang w:val="en-US"/>
        </w:rPr>
        <w:t xml:space="preserve"> and Lucey (2009) examine the markets of eight developed countries during four financial crises, in addition to the September 11 attacks, and document the frequent and simultaneous occurrence of flight-to-quality during most of the crises.</w:t>
      </w:r>
    </w:p>
    <w:p w:rsidR="00821514" w:rsidRPr="00470E8F" w:rsidRDefault="00821514" w:rsidP="00821514">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lastRenderedPageBreak/>
        <w:t xml:space="preserve">Additionally, </w:t>
      </w:r>
      <w:proofErr w:type="spellStart"/>
      <w:r w:rsidRPr="00470E8F">
        <w:rPr>
          <w:rFonts w:ascii="Times New Roman" w:hAnsi="Times New Roman"/>
          <w:sz w:val="24"/>
          <w:szCs w:val="24"/>
          <w:lang w:val="en-US"/>
        </w:rPr>
        <w:t>Longstaff</w:t>
      </w:r>
      <w:proofErr w:type="spellEnd"/>
      <w:r w:rsidRPr="00470E8F">
        <w:rPr>
          <w:rFonts w:ascii="Times New Roman" w:hAnsi="Times New Roman"/>
          <w:sz w:val="24"/>
          <w:szCs w:val="24"/>
          <w:lang w:val="en-US"/>
        </w:rPr>
        <w:t xml:space="preserve"> (2004) show</w:t>
      </w:r>
      <w:r>
        <w:rPr>
          <w:rFonts w:ascii="Times New Roman" w:hAnsi="Times New Roman"/>
          <w:sz w:val="24"/>
          <w:szCs w:val="24"/>
          <w:lang w:val="en-US"/>
        </w:rPr>
        <w:t>s</w:t>
      </w:r>
      <w:r w:rsidRPr="00470E8F">
        <w:rPr>
          <w:rFonts w:ascii="Times New Roman" w:hAnsi="Times New Roman"/>
          <w:sz w:val="24"/>
          <w:szCs w:val="24"/>
          <w:lang w:val="en-US"/>
        </w:rPr>
        <w:t xml:space="preserve"> that flight-to-liquidity is present and reflected in a significant liquidity </w:t>
      </w:r>
      <w:proofErr w:type="spellStart"/>
      <w:r w:rsidRPr="00470E8F">
        <w:rPr>
          <w:rFonts w:ascii="Times New Roman" w:hAnsi="Times New Roman"/>
          <w:sz w:val="24"/>
          <w:szCs w:val="24"/>
          <w:lang w:val="en-US"/>
        </w:rPr>
        <w:t>premia</w:t>
      </w:r>
      <w:proofErr w:type="spellEnd"/>
      <w:r w:rsidRPr="00470E8F">
        <w:rPr>
          <w:rFonts w:ascii="Times New Roman" w:hAnsi="Times New Roman"/>
          <w:sz w:val="24"/>
          <w:szCs w:val="24"/>
          <w:lang w:val="en-US"/>
        </w:rPr>
        <w:t xml:space="preserve"> in U.S. treasury bonds of different maturities relative to bonds issued by the U.S. government agency </w:t>
      </w:r>
      <w:proofErr w:type="spellStart"/>
      <w:r w:rsidRPr="00470E8F">
        <w:rPr>
          <w:rFonts w:ascii="Times New Roman" w:hAnsi="Times New Roman"/>
          <w:sz w:val="24"/>
          <w:szCs w:val="24"/>
          <w:lang w:val="en-US"/>
        </w:rPr>
        <w:t>Refcorp</w:t>
      </w:r>
      <w:proofErr w:type="spellEnd"/>
      <w:r w:rsidRPr="00470E8F">
        <w:rPr>
          <w:rFonts w:ascii="Times New Roman" w:hAnsi="Times New Roman"/>
          <w:sz w:val="24"/>
          <w:szCs w:val="24"/>
          <w:lang w:val="en-US"/>
        </w:rPr>
        <w:t xml:space="preserve">. Interestingly, his exploratory investigation, among other findings, reveals a negative and significant relationship between liquidity </w:t>
      </w:r>
      <w:proofErr w:type="spellStart"/>
      <w:r w:rsidRPr="00470E8F">
        <w:rPr>
          <w:rFonts w:ascii="Times New Roman" w:hAnsi="Times New Roman"/>
          <w:sz w:val="24"/>
          <w:szCs w:val="24"/>
          <w:lang w:val="en-US"/>
        </w:rPr>
        <w:t>premia</w:t>
      </w:r>
      <w:proofErr w:type="spellEnd"/>
      <w:r w:rsidRPr="00470E8F">
        <w:rPr>
          <w:rFonts w:ascii="Times New Roman" w:hAnsi="Times New Roman"/>
          <w:sz w:val="24"/>
          <w:szCs w:val="24"/>
          <w:lang w:val="en-US"/>
        </w:rPr>
        <w:t xml:space="preserve"> and changes in consumer confidence for maturitie</w:t>
      </w:r>
      <w:r>
        <w:rPr>
          <w:rFonts w:ascii="Times New Roman" w:hAnsi="Times New Roman"/>
          <w:sz w:val="24"/>
          <w:szCs w:val="24"/>
          <w:lang w:val="en-US"/>
        </w:rPr>
        <w:t>s between two</w:t>
      </w:r>
      <w:r w:rsidRPr="00470E8F">
        <w:rPr>
          <w:rFonts w:ascii="Times New Roman" w:hAnsi="Times New Roman"/>
          <w:sz w:val="24"/>
          <w:szCs w:val="24"/>
          <w:lang w:val="en-US"/>
        </w:rPr>
        <w:t xml:space="preserve"> and </w:t>
      </w:r>
      <w:r>
        <w:rPr>
          <w:rFonts w:ascii="Times New Roman" w:hAnsi="Times New Roman"/>
          <w:sz w:val="24"/>
          <w:szCs w:val="24"/>
          <w:lang w:val="en-US"/>
        </w:rPr>
        <w:t>ten</w:t>
      </w:r>
      <w:r w:rsidRPr="00470E8F">
        <w:rPr>
          <w:rFonts w:ascii="Times New Roman" w:hAnsi="Times New Roman"/>
          <w:sz w:val="24"/>
          <w:szCs w:val="24"/>
          <w:lang w:val="en-US"/>
        </w:rPr>
        <w:t xml:space="preserve"> years. Further evidence is provided by </w:t>
      </w:r>
      <w:proofErr w:type="spellStart"/>
      <w:r w:rsidRPr="00470E8F">
        <w:rPr>
          <w:rFonts w:ascii="Times New Roman" w:hAnsi="Times New Roman"/>
          <w:sz w:val="24"/>
          <w:szCs w:val="24"/>
          <w:lang w:val="en-US"/>
        </w:rPr>
        <w:t>Goyenko</w:t>
      </w:r>
      <w:proofErr w:type="spellEnd"/>
      <w:r w:rsidRPr="00470E8F">
        <w:rPr>
          <w:rFonts w:ascii="Times New Roman" w:hAnsi="Times New Roman"/>
          <w:sz w:val="24"/>
          <w:szCs w:val="24"/>
          <w:lang w:val="en-US"/>
        </w:rPr>
        <w:t xml:space="preserve"> and </w:t>
      </w:r>
      <w:proofErr w:type="spellStart"/>
      <w:r w:rsidRPr="00470E8F">
        <w:rPr>
          <w:rFonts w:ascii="Times New Roman" w:hAnsi="Times New Roman"/>
          <w:sz w:val="24"/>
          <w:szCs w:val="24"/>
          <w:lang w:val="en-US"/>
        </w:rPr>
        <w:t>Ukhov</w:t>
      </w:r>
      <w:proofErr w:type="spellEnd"/>
      <w:r w:rsidRPr="00470E8F">
        <w:rPr>
          <w:rFonts w:ascii="Times New Roman" w:hAnsi="Times New Roman"/>
          <w:sz w:val="24"/>
          <w:szCs w:val="24"/>
          <w:lang w:val="en-US"/>
        </w:rPr>
        <w:t xml:space="preserve"> (2009) who show that a positive shock to the illiquidity in the U.S. stock market is typically followed by an increase in the liquidity of U.S. treasury bonds. The status of U.S. treasury bonds as vehicle of choice for investors fleeing markets in periods of turbulences and seeking quality and liquidity is further reinforced by </w:t>
      </w:r>
      <w:proofErr w:type="spellStart"/>
      <w:r w:rsidRPr="00470E8F">
        <w:rPr>
          <w:rFonts w:ascii="Times New Roman" w:hAnsi="Times New Roman"/>
          <w:sz w:val="24"/>
          <w:szCs w:val="24"/>
          <w:lang w:val="en-US"/>
        </w:rPr>
        <w:t>Dungey</w:t>
      </w:r>
      <w:proofErr w:type="spellEnd"/>
      <w:r w:rsidRPr="00470E8F">
        <w:rPr>
          <w:rFonts w:ascii="Times New Roman" w:hAnsi="Times New Roman"/>
          <w:sz w:val="24"/>
          <w:szCs w:val="24"/>
          <w:lang w:val="en-US"/>
        </w:rPr>
        <w:t xml:space="preserve"> </w:t>
      </w:r>
      <w:r w:rsidRPr="00470E8F">
        <w:rPr>
          <w:rFonts w:ascii="Times New Roman" w:hAnsi="Times New Roman"/>
          <w:i/>
          <w:sz w:val="24"/>
          <w:szCs w:val="24"/>
          <w:lang w:val="en-US"/>
        </w:rPr>
        <w:t>et al</w:t>
      </w:r>
      <w:r>
        <w:rPr>
          <w:rFonts w:ascii="Times New Roman" w:hAnsi="Times New Roman"/>
          <w:i/>
          <w:sz w:val="24"/>
          <w:szCs w:val="24"/>
          <w:lang w:val="en-US"/>
        </w:rPr>
        <w:t>.</w:t>
      </w:r>
      <w:r w:rsidRPr="00470E8F">
        <w:rPr>
          <w:rFonts w:ascii="Times New Roman" w:hAnsi="Times New Roman"/>
          <w:sz w:val="24"/>
          <w:szCs w:val="24"/>
          <w:lang w:val="en-US"/>
        </w:rPr>
        <w:t xml:space="preserve"> (2009). Their findings indicate that sudden changes in asset allocations away from emerging markets and towards the safety of U.S. treasury bonds explain the positive sign asymmetry in the volatility of treasuries. </w:t>
      </w:r>
    </w:p>
    <w:p w:rsidR="00821514" w:rsidRPr="00470E8F" w:rsidRDefault="00821514" w:rsidP="00821514">
      <w:pPr>
        <w:spacing w:line="480" w:lineRule="auto"/>
        <w:ind w:firstLine="360"/>
        <w:jc w:val="both"/>
        <w:rPr>
          <w:rFonts w:ascii="Times New Roman" w:hAnsi="Times New Roman"/>
          <w:color w:val="00B050"/>
          <w:sz w:val="24"/>
          <w:szCs w:val="24"/>
          <w:lang w:val="en-US"/>
        </w:rPr>
      </w:pPr>
      <w:r w:rsidRPr="00470E8F">
        <w:rPr>
          <w:rFonts w:ascii="Times New Roman" w:hAnsi="Times New Roman"/>
          <w:sz w:val="24"/>
          <w:szCs w:val="24"/>
          <w:lang w:val="en-US"/>
        </w:rPr>
        <w:t xml:space="preserve"> The occurrence of flights to quality is also documented for govern</w:t>
      </w:r>
      <w:r w:rsidR="000D509B">
        <w:rPr>
          <w:rFonts w:ascii="Times New Roman" w:hAnsi="Times New Roman"/>
          <w:sz w:val="24"/>
          <w:szCs w:val="24"/>
          <w:lang w:val="en-US"/>
        </w:rPr>
        <w:t>ment bond markets outside the U.</w:t>
      </w:r>
      <w:r w:rsidRPr="00470E8F">
        <w:rPr>
          <w:rFonts w:ascii="Times New Roman" w:hAnsi="Times New Roman"/>
          <w:sz w:val="24"/>
          <w:szCs w:val="24"/>
          <w:lang w:val="en-US"/>
        </w:rPr>
        <w:t xml:space="preserve">S. Hartmann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(2004) investigate the nature of linkages within and across G5 countries and document the presence of flights from stocks to bonds during crisis periods. They further show that stock-bond markets linkages during times of instability do not stop at national borders. Similarly, </w:t>
      </w:r>
      <w:proofErr w:type="spellStart"/>
      <w:r w:rsidRPr="00470E8F">
        <w:rPr>
          <w:rFonts w:ascii="Times New Roman" w:hAnsi="Times New Roman"/>
          <w:sz w:val="24"/>
          <w:szCs w:val="24"/>
          <w:lang w:val="en-US"/>
        </w:rPr>
        <w:t>Briere</w:t>
      </w:r>
      <w:proofErr w:type="spellEnd"/>
      <w:r w:rsidRPr="00470E8F">
        <w:rPr>
          <w:rFonts w:ascii="Times New Roman" w:hAnsi="Times New Roman"/>
          <w:sz w:val="24"/>
          <w:szCs w:val="24"/>
          <w:lang w:val="en-US"/>
        </w:rPr>
        <w:t xml:space="preserve">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(2012) examine all financial crises between 1987 and 2010 across the markets of the U.S., Japan, U</w:t>
      </w:r>
      <w:r>
        <w:rPr>
          <w:rFonts w:ascii="Times New Roman" w:hAnsi="Times New Roman"/>
          <w:sz w:val="24"/>
          <w:szCs w:val="24"/>
          <w:lang w:val="en-US"/>
        </w:rPr>
        <w:t>.</w:t>
      </w:r>
      <w:r w:rsidRPr="00470E8F">
        <w:rPr>
          <w:rFonts w:ascii="Times New Roman" w:hAnsi="Times New Roman"/>
          <w:sz w:val="24"/>
          <w:szCs w:val="24"/>
          <w:lang w:val="en-US"/>
        </w:rPr>
        <w:t>K</w:t>
      </w:r>
      <w:r>
        <w:rPr>
          <w:rFonts w:ascii="Times New Roman" w:hAnsi="Times New Roman"/>
          <w:sz w:val="24"/>
          <w:szCs w:val="24"/>
          <w:lang w:val="en-US"/>
        </w:rPr>
        <w:t>.</w:t>
      </w:r>
      <w:r w:rsidRPr="00470E8F">
        <w:rPr>
          <w:rFonts w:ascii="Times New Roman" w:hAnsi="Times New Roman"/>
          <w:sz w:val="24"/>
          <w:szCs w:val="24"/>
          <w:lang w:val="en-US"/>
        </w:rPr>
        <w:t xml:space="preserve"> and Euro Zone, and find a tendency towards flight-to-quality. The outbreak of the 1998 Russian crisis offers anecdotal evidence in that non-residents purchases of German government bonds reached </w:t>
      </w:r>
      <w:r>
        <w:rPr>
          <w:rFonts w:ascii="Times New Roman" w:hAnsi="Times New Roman"/>
          <w:sz w:val="24"/>
          <w:szCs w:val="24"/>
          <w:lang w:val="en-US"/>
        </w:rPr>
        <w:t xml:space="preserve">DM </w:t>
      </w:r>
      <w:r w:rsidRPr="00470E8F">
        <w:rPr>
          <w:rFonts w:ascii="Times New Roman" w:hAnsi="Times New Roman"/>
          <w:sz w:val="24"/>
          <w:szCs w:val="24"/>
          <w:lang w:val="en-US"/>
        </w:rPr>
        <w:t xml:space="preserve">34.5 billion in July, from an average per month of </w:t>
      </w:r>
      <w:r>
        <w:rPr>
          <w:rFonts w:ascii="Times New Roman" w:hAnsi="Times New Roman"/>
          <w:sz w:val="24"/>
          <w:szCs w:val="24"/>
          <w:lang w:val="en-US"/>
        </w:rPr>
        <w:t xml:space="preserve">DM </w:t>
      </w:r>
      <w:r w:rsidRPr="00470E8F">
        <w:rPr>
          <w:rFonts w:ascii="Times New Roman" w:hAnsi="Times New Roman"/>
          <w:sz w:val="24"/>
          <w:szCs w:val="24"/>
          <w:lang w:val="en-US"/>
        </w:rPr>
        <w:t>11.4 billion during the first half of 1998 (Upper, 2000)</w:t>
      </w:r>
      <w:r w:rsidRPr="00470E8F">
        <w:rPr>
          <w:rFonts w:ascii="Times New Roman" w:hAnsi="Times New Roman"/>
          <w:color w:val="00B050"/>
          <w:sz w:val="24"/>
          <w:szCs w:val="24"/>
          <w:lang w:val="en-US"/>
        </w:rPr>
        <w:t xml:space="preserve">. </w:t>
      </w:r>
    </w:p>
    <w:p w:rsidR="00821514" w:rsidRPr="00470E8F" w:rsidRDefault="00821514" w:rsidP="00821514">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 xml:space="preserve">The association of wars and international crises with valuations of fixed income securities is well documented in the literature for the period prior </w:t>
      </w:r>
      <w:r>
        <w:rPr>
          <w:rFonts w:ascii="Times New Roman" w:hAnsi="Times New Roman"/>
          <w:sz w:val="24"/>
          <w:szCs w:val="24"/>
          <w:lang w:val="en-US"/>
        </w:rPr>
        <w:t xml:space="preserve">to, </w:t>
      </w:r>
      <w:r w:rsidRPr="00470E8F">
        <w:rPr>
          <w:rFonts w:ascii="Times New Roman" w:hAnsi="Times New Roman"/>
          <w:sz w:val="24"/>
          <w:szCs w:val="24"/>
          <w:lang w:val="en-US"/>
        </w:rPr>
        <w:t>and during</w:t>
      </w:r>
      <w:r>
        <w:rPr>
          <w:rFonts w:ascii="Times New Roman" w:hAnsi="Times New Roman"/>
          <w:sz w:val="24"/>
          <w:szCs w:val="24"/>
          <w:lang w:val="en-US"/>
        </w:rPr>
        <w:t>,</w:t>
      </w:r>
      <w:r w:rsidRPr="00470E8F">
        <w:rPr>
          <w:rFonts w:ascii="Times New Roman" w:hAnsi="Times New Roman"/>
          <w:sz w:val="24"/>
          <w:szCs w:val="24"/>
          <w:lang w:val="en-US"/>
        </w:rPr>
        <w:t xml:space="preserve"> World War II. Between 1938 and 1940, sudden shifts in the yields and spreads of Nordic government bonds reflected the significant increase in the perceived probability of war’s outbreak (</w:t>
      </w:r>
      <w:proofErr w:type="spellStart"/>
      <w:r w:rsidRPr="00470E8F">
        <w:rPr>
          <w:rFonts w:ascii="Times New Roman" w:hAnsi="Times New Roman"/>
          <w:sz w:val="24"/>
          <w:szCs w:val="24"/>
          <w:lang w:val="en-US"/>
        </w:rPr>
        <w:t>Waldenström</w:t>
      </w:r>
      <w:proofErr w:type="spellEnd"/>
      <w:r w:rsidRPr="00470E8F">
        <w:rPr>
          <w:rFonts w:ascii="Times New Roman" w:hAnsi="Times New Roman"/>
          <w:sz w:val="24"/>
          <w:szCs w:val="24"/>
          <w:lang w:val="en-US"/>
        </w:rPr>
        <w:t xml:space="preserve"> and Frey, 2008). Furthermore, five European government bond prices </w:t>
      </w:r>
      <w:r>
        <w:rPr>
          <w:rFonts w:ascii="Times New Roman" w:hAnsi="Times New Roman"/>
          <w:sz w:val="24"/>
          <w:szCs w:val="24"/>
          <w:lang w:val="en-US"/>
        </w:rPr>
        <w:t>were</w:t>
      </w:r>
      <w:r w:rsidRPr="00470E8F">
        <w:rPr>
          <w:rFonts w:ascii="Times New Roman" w:hAnsi="Times New Roman"/>
          <w:sz w:val="24"/>
          <w:szCs w:val="24"/>
          <w:lang w:val="en-US"/>
        </w:rPr>
        <w:t xml:space="preserve"> found to </w:t>
      </w:r>
      <w:r>
        <w:rPr>
          <w:rFonts w:ascii="Times New Roman" w:hAnsi="Times New Roman"/>
          <w:sz w:val="24"/>
          <w:szCs w:val="24"/>
          <w:lang w:val="en-US"/>
        </w:rPr>
        <w:t xml:space="preserve">have </w:t>
      </w:r>
      <w:r w:rsidRPr="00470E8F">
        <w:rPr>
          <w:rFonts w:ascii="Times New Roman" w:hAnsi="Times New Roman"/>
          <w:sz w:val="24"/>
          <w:szCs w:val="24"/>
          <w:lang w:val="en-US"/>
        </w:rPr>
        <w:lastRenderedPageBreak/>
        <w:t>successfully predict</w:t>
      </w:r>
      <w:r>
        <w:rPr>
          <w:rFonts w:ascii="Times New Roman" w:hAnsi="Times New Roman"/>
          <w:sz w:val="24"/>
          <w:szCs w:val="24"/>
          <w:lang w:val="en-US"/>
        </w:rPr>
        <w:t>ed</w:t>
      </w:r>
      <w:r w:rsidRPr="00470E8F">
        <w:rPr>
          <w:rFonts w:ascii="Times New Roman" w:hAnsi="Times New Roman"/>
          <w:sz w:val="24"/>
          <w:szCs w:val="24"/>
          <w:lang w:val="en-US"/>
        </w:rPr>
        <w:t xml:space="preserve"> the course of specific events, such as the </w:t>
      </w:r>
      <w:r>
        <w:rPr>
          <w:rFonts w:ascii="Times New Roman" w:hAnsi="Times New Roman"/>
          <w:sz w:val="24"/>
          <w:szCs w:val="24"/>
          <w:lang w:val="en-US"/>
        </w:rPr>
        <w:t>B</w:t>
      </w:r>
      <w:r w:rsidRPr="00470E8F">
        <w:rPr>
          <w:rFonts w:ascii="Times New Roman" w:hAnsi="Times New Roman"/>
          <w:sz w:val="24"/>
          <w:szCs w:val="24"/>
          <w:lang w:val="en-US"/>
        </w:rPr>
        <w:t xml:space="preserve">attle of Stalingrad (Frey and </w:t>
      </w:r>
      <w:proofErr w:type="spellStart"/>
      <w:r w:rsidRPr="00470E8F">
        <w:rPr>
          <w:rFonts w:ascii="Times New Roman" w:hAnsi="Times New Roman"/>
          <w:sz w:val="24"/>
          <w:szCs w:val="24"/>
          <w:lang w:val="en-US"/>
        </w:rPr>
        <w:t>Kucher</w:t>
      </w:r>
      <w:proofErr w:type="spellEnd"/>
      <w:r w:rsidRPr="00470E8F">
        <w:rPr>
          <w:rFonts w:ascii="Times New Roman" w:hAnsi="Times New Roman"/>
          <w:sz w:val="24"/>
          <w:szCs w:val="24"/>
          <w:lang w:val="en-US"/>
        </w:rPr>
        <w:t>, 2001). Similarly, political and military events during World War II found a reflection in the fluctuations of French government bond prices (</w:t>
      </w:r>
      <w:proofErr w:type="spellStart"/>
      <w:r w:rsidRPr="00470E8F">
        <w:rPr>
          <w:rFonts w:ascii="Times New Roman" w:hAnsi="Times New Roman"/>
          <w:sz w:val="24"/>
          <w:szCs w:val="24"/>
          <w:lang w:val="en-US"/>
        </w:rPr>
        <w:t>Oosterlinck</w:t>
      </w:r>
      <w:proofErr w:type="spellEnd"/>
      <w:r w:rsidRPr="00470E8F">
        <w:rPr>
          <w:rFonts w:ascii="Times New Roman" w:hAnsi="Times New Roman"/>
          <w:sz w:val="24"/>
          <w:szCs w:val="24"/>
          <w:lang w:val="en-US"/>
        </w:rPr>
        <w:t xml:space="preserve">, 2003) and the German counterparts (Brown and Burdekin, 2002). These empirical findings reflect what appears to be a rational reaction on part of the investors who process previously unknown information.  </w:t>
      </w:r>
    </w:p>
    <w:p w:rsidR="00821514" w:rsidRPr="00470E8F" w:rsidRDefault="00821514" w:rsidP="00821514">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The theoretical and empirical evidence above provides a rationale for examining the potential role of sovereign bonds as a safe haven and their diversification properties. The related literature focuses m</w:t>
      </w:r>
      <w:r>
        <w:rPr>
          <w:rFonts w:ascii="Times New Roman" w:hAnsi="Times New Roman"/>
          <w:sz w:val="24"/>
          <w:szCs w:val="24"/>
          <w:lang w:val="en-US"/>
        </w:rPr>
        <w:t>ainly</w:t>
      </w:r>
      <w:r w:rsidRPr="00470E8F">
        <w:rPr>
          <w:rFonts w:ascii="Times New Roman" w:hAnsi="Times New Roman"/>
          <w:sz w:val="24"/>
          <w:szCs w:val="24"/>
          <w:lang w:val="en-US"/>
        </w:rPr>
        <w:t xml:space="preserve"> on historical financial crises</w:t>
      </w:r>
      <w:r>
        <w:rPr>
          <w:rFonts w:ascii="Times New Roman" w:hAnsi="Times New Roman"/>
          <w:sz w:val="24"/>
          <w:szCs w:val="24"/>
          <w:lang w:val="en-US"/>
        </w:rPr>
        <w:t>,</w:t>
      </w:r>
      <w:r w:rsidRPr="00470E8F">
        <w:rPr>
          <w:rFonts w:ascii="Times New Roman" w:hAnsi="Times New Roman"/>
          <w:sz w:val="24"/>
          <w:szCs w:val="24"/>
          <w:lang w:val="en-US"/>
        </w:rPr>
        <w:t xml:space="preserve"> with limited attention to political ones. Our contribution lies in documenting a significant abnormal behavior in the returns of world sovereign bonds accompanying a broader sample of wars and intense political conflicts.  </w:t>
      </w:r>
    </w:p>
    <w:p w:rsidR="00821514" w:rsidRPr="0043218D" w:rsidRDefault="00821514" w:rsidP="00821514">
      <w:pPr>
        <w:ind w:firstLine="360"/>
        <w:rPr>
          <w:rFonts w:ascii="Times New Roman" w:hAnsi="Times New Roman"/>
          <w:i/>
          <w:sz w:val="24"/>
          <w:szCs w:val="24"/>
          <w:lang w:val="en-US"/>
        </w:rPr>
      </w:pPr>
      <w:r w:rsidRPr="0043218D">
        <w:rPr>
          <w:rFonts w:ascii="Times New Roman" w:hAnsi="Times New Roman"/>
          <w:i/>
          <w:sz w:val="24"/>
          <w:szCs w:val="24"/>
          <w:lang w:val="en-US"/>
        </w:rPr>
        <w:t>2.3. Stock Prices in Times of Warfare</w:t>
      </w:r>
    </w:p>
    <w:p w:rsidR="00821514" w:rsidRPr="00762BDA" w:rsidRDefault="00821514" w:rsidP="00821514">
      <w:pPr>
        <w:spacing w:line="480" w:lineRule="auto"/>
        <w:ind w:firstLine="720"/>
        <w:jc w:val="both"/>
        <w:rPr>
          <w:rFonts w:ascii="Times New Roman" w:hAnsi="Times New Roman"/>
          <w:sz w:val="24"/>
          <w:szCs w:val="24"/>
        </w:rPr>
      </w:pPr>
      <w:r w:rsidRPr="00762BDA">
        <w:rPr>
          <w:rFonts w:ascii="Times New Roman" w:hAnsi="Times New Roman"/>
          <w:sz w:val="24"/>
          <w:szCs w:val="24"/>
          <w:lang w:val="en-US"/>
        </w:rPr>
        <w:t>The fact that military conflicts c</w:t>
      </w:r>
      <w:r w:rsidR="00AA3932">
        <w:rPr>
          <w:rFonts w:ascii="Times New Roman" w:hAnsi="Times New Roman"/>
          <w:sz w:val="24"/>
          <w:szCs w:val="24"/>
          <w:lang w:val="en-US"/>
        </w:rPr>
        <w:t>an</w:t>
      </w:r>
      <w:r w:rsidRPr="00762BDA">
        <w:rPr>
          <w:rFonts w:ascii="Times New Roman" w:hAnsi="Times New Roman"/>
          <w:sz w:val="24"/>
          <w:szCs w:val="24"/>
          <w:lang w:val="en-US"/>
        </w:rPr>
        <w:t xml:space="preserve"> have serious ramifications for stockholders has not gone unnoticed in</w:t>
      </w:r>
      <w:r w:rsidR="00AA3932">
        <w:rPr>
          <w:rFonts w:ascii="Times New Roman" w:hAnsi="Times New Roman"/>
          <w:sz w:val="24"/>
          <w:szCs w:val="24"/>
          <w:lang w:val="en-US"/>
        </w:rPr>
        <w:t xml:space="preserve"> the literature. Arguably, the w</w:t>
      </w:r>
      <w:r w:rsidRPr="00762BDA">
        <w:rPr>
          <w:rFonts w:ascii="Times New Roman" w:hAnsi="Times New Roman"/>
          <w:sz w:val="24"/>
          <w:szCs w:val="24"/>
          <w:lang w:val="en-US"/>
        </w:rPr>
        <w:t xml:space="preserve">ar on Iraq launched under the George H. Bush administration received the most attention from scholars. </w:t>
      </w:r>
      <w:proofErr w:type="spellStart"/>
      <w:r w:rsidRPr="00762BDA">
        <w:rPr>
          <w:rFonts w:ascii="Times New Roman" w:hAnsi="Times New Roman"/>
          <w:sz w:val="24"/>
          <w:szCs w:val="24"/>
          <w:lang w:val="en-US"/>
        </w:rPr>
        <w:t>Rigobon</w:t>
      </w:r>
      <w:proofErr w:type="spellEnd"/>
      <w:r w:rsidRPr="00762BDA">
        <w:rPr>
          <w:rFonts w:ascii="Times New Roman" w:hAnsi="Times New Roman"/>
          <w:sz w:val="24"/>
          <w:szCs w:val="24"/>
          <w:lang w:val="en-US"/>
        </w:rPr>
        <w:t xml:space="preserve"> and Sack (2005) examine the three-month period prior to the engagement of coalition forces in Baghdad and show that increases in the risk of war led to significant falls in US stock prices. </w:t>
      </w:r>
      <w:proofErr w:type="spellStart"/>
      <w:r w:rsidRPr="00762BDA">
        <w:rPr>
          <w:rFonts w:ascii="Times New Roman" w:hAnsi="Times New Roman"/>
          <w:sz w:val="24"/>
          <w:szCs w:val="24"/>
          <w:lang w:val="en-US"/>
        </w:rPr>
        <w:t>Wolfers</w:t>
      </w:r>
      <w:proofErr w:type="spellEnd"/>
      <w:r w:rsidRPr="00762BDA">
        <w:rPr>
          <w:rFonts w:ascii="Times New Roman" w:hAnsi="Times New Roman"/>
          <w:sz w:val="24"/>
          <w:szCs w:val="24"/>
          <w:lang w:val="en-US"/>
        </w:rPr>
        <w:t xml:space="preserve"> and </w:t>
      </w:r>
      <w:proofErr w:type="spellStart"/>
      <w:r w:rsidRPr="00762BDA">
        <w:rPr>
          <w:rFonts w:ascii="Times New Roman" w:hAnsi="Times New Roman"/>
          <w:sz w:val="24"/>
          <w:szCs w:val="24"/>
          <w:lang w:val="en-US"/>
        </w:rPr>
        <w:t>Zitzewitz</w:t>
      </w:r>
      <w:proofErr w:type="spellEnd"/>
      <w:r w:rsidRPr="00762BDA">
        <w:rPr>
          <w:rFonts w:ascii="Times New Roman" w:hAnsi="Times New Roman"/>
          <w:sz w:val="24"/>
          <w:szCs w:val="24"/>
          <w:lang w:val="en-US"/>
        </w:rPr>
        <w:t xml:space="preserve"> (2009) scrutinize the behavior of ‘Saddam securities’, which were traded on a predictions web page and offered a fixed payoff if Saddam Husain had no control over central Baghdad by a specific date. The perceived probability that Saddam </w:t>
      </w:r>
      <w:proofErr w:type="spellStart"/>
      <w:r w:rsidRPr="00762BDA">
        <w:rPr>
          <w:rFonts w:ascii="Times New Roman" w:hAnsi="Times New Roman"/>
          <w:sz w:val="24"/>
          <w:szCs w:val="24"/>
          <w:lang w:val="en-US"/>
        </w:rPr>
        <w:t>w</w:t>
      </w:r>
      <w:r w:rsidR="00AA3932">
        <w:rPr>
          <w:rFonts w:ascii="Times New Roman" w:hAnsi="Times New Roman"/>
          <w:sz w:val="24"/>
          <w:szCs w:val="24"/>
          <w:lang w:val="en-US"/>
        </w:rPr>
        <w:t>would</w:t>
      </w:r>
      <w:proofErr w:type="spellEnd"/>
      <w:r w:rsidRPr="00762BDA">
        <w:rPr>
          <w:rFonts w:ascii="Times New Roman" w:hAnsi="Times New Roman"/>
          <w:sz w:val="24"/>
          <w:szCs w:val="24"/>
          <w:lang w:val="en-US"/>
        </w:rPr>
        <w:t xml:space="preserve"> be ousted from power could have been inferred from the prices of these securities. According to the authors, prior to the military engagement, a 10 percentage point increase in the probability of war was associated with a 1.5% drop in the S&amp;P 500 index. These estimates imply an anticipated decline of 15% in equity prices due to the launch of Operation Iraqi Freedom. </w:t>
      </w:r>
      <w:proofErr w:type="spellStart"/>
      <w:r w:rsidRPr="00762BDA">
        <w:rPr>
          <w:rFonts w:ascii="Times New Roman" w:hAnsi="Times New Roman"/>
          <w:sz w:val="24"/>
          <w:szCs w:val="24"/>
          <w:lang w:val="en-US"/>
        </w:rPr>
        <w:t>Amihud</w:t>
      </w:r>
      <w:proofErr w:type="spellEnd"/>
      <w:r w:rsidRPr="00762BDA">
        <w:rPr>
          <w:rFonts w:ascii="Times New Roman" w:hAnsi="Times New Roman"/>
          <w:sz w:val="24"/>
          <w:szCs w:val="24"/>
          <w:lang w:val="en-US"/>
        </w:rPr>
        <w:t xml:space="preserve"> and </w:t>
      </w:r>
      <w:proofErr w:type="spellStart"/>
      <w:r w:rsidRPr="00762BDA">
        <w:rPr>
          <w:rFonts w:ascii="Times New Roman" w:hAnsi="Times New Roman"/>
          <w:sz w:val="24"/>
          <w:szCs w:val="24"/>
          <w:lang w:val="en-US"/>
        </w:rPr>
        <w:t>Wohl</w:t>
      </w:r>
      <w:proofErr w:type="spellEnd"/>
      <w:r w:rsidRPr="00762BDA">
        <w:rPr>
          <w:rFonts w:ascii="Times New Roman" w:hAnsi="Times New Roman"/>
          <w:sz w:val="24"/>
          <w:szCs w:val="24"/>
          <w:lang w:val="en-US"/>
        </w:rPr>
        <w:t xml:space="preserve"> (2004) arg</w:t>
      </w:r>
      <w:bookmarkStart w:id="0" w:name="_GoBack"/>
      <w:bookmarkEnd w:id="0"/>
      <w:r w:rsidRPr="00762BDA">
        <w:rPr>
          <w:rFonts w:ascii="Times New Roman" w:hAnsi="Times New Roman"/>
          <w:sz w:val="24"/>
          <w:szCs w:val="24"/>
          <w:lang w:val="en-US"/>
        </w:rPr>
        <w:t>ue that once military action started, the increasing likelihood of Saddam</w:t>
      </w:r>
      <w:r w:rsidR="00B843B3">
        <w:rPr>
          <w:rFonts w:ascii="Times New Roman" w:hAnsi="Times New Roman"/>
          <w:sz w:val="24"/>
          <w:szCs w:val="24"/>
          <w:lang w:val="en-US"/>
        </w:rPr>
        <w:t>’s</w:t>
      </w:r>
      <w:r w:rsidRPr="00762BDA">
        <w:rPr>
          <w:rFonts w:ascii="Times New Roman" w:hAnsi="Times New Roman"/>
          <w:sz w:val="24"/>
          <w:szCs w:val="24"/>
          <w:lang w:val="en-US"/>
        </w:rPr>
        <w:t xml:space="preserve"> fall could be viewed as good news, because it signified </w:t>
      </w:r>
      <w:r>
        <w:rPr>
          <w:rFonts w:ascii="Times New Roman" w:hAnsi="Times New Roman"/>
          <w:sz w:val="24"/>
          <w:szCs w:val="24"/>
          <w:lang w:val="en-US"/>
        </w:rPr>
        <w:t>a</w:t>
      </w:r>
      <w:r w:rsidRPr="00762BDA">
        <w:rPr>
          <w:rFonts w:ascii="Times New Roman" w:hAnsi="Times New Roman"/>
          <w:sz w:val="24"/>
          <w:szCs w:val="24"/>
          <w:lang w:val="en-US"/>
        </w:rPr>
        <w:t xml:space="preserve"> swift end to the conflict. They show that, during the war, increases in the probability extracted from Saddam securities were </w:t>
      </w:r>
      <w:r w:rsidRPr="00762BDA">
        <w:rPr>
          <w:rFonts w:ascii="Times New Roman" w:hAnsi="Times New Roman"/>
          <w:sz w:val="24"/>
          <w:szCs w:val="24"/>
          <w:lang w:val="en-US"/>
        </w:rPr>
        <w:lastRenderedPageBreak/>
        <w:t xml:space="preserve">accompanied by raising stock prices. The study by Berkman </w:t>
      </w:r>
      <w:r w:rsidRPr="00762BDA">
        <w:rPr>
          <w:rFonts w:ascii="Times New Roman" w:hAnsi="Times New Roman"/>
          <w:i/>
          <w:sz w:val="24"/>
          <w:szCs w:val="24"/>
          <w:lang w:val="en-US"/>
        </w:rPr>
        <w:t>et al.</w:t>
      </w:r>
      <w:r w:rsidRPr="00762BDA">
        <w:rPr>
          <w:rFonts w:ascii="Times New Roman" w:hAnsi="Times New Roman"/>
          <w:sz w:val="24"/>
          <w:szCs w:val="24"/>
          <w:lang w:val="en-US"/>
        </w:rPr>
        <w:t xml:space="preserve"> (2011), instead of focusing solely on Iraq, utilizes a large international sample of wars and political crises. The authors corroborate the conclusion that the calamities of hostile conflicts are reflected in decreasing shareholder wealth.</w:t>
      </w:r>
    </w:p>
    <w:p w:rsidR="00821514" w:rsidRPr="00762BDA" w:rsidRDefault="00821514" w:rsidP="00821514">
      <w:pPr>
        <w:shd w:val="clear" w:color="auto" w:fill="FFFFFF"/>
        <w:spacing w:after="0" w:line="0" w:lineRule="auto"/>
        <w:rPr>
          <w:rFonts w:ascii="Times New Roman" w:hAnsi="Times New Roman"/>
          <w:color w:val="000000"/>
          <w:sz w:val="24"/>
          <w:szCs w:val="24"/>
        </w:rPr>
      </w:pPr>
      <w:r w:rsidRPr="00762BDA">
        <w:rPr>
          <w:rFonts w:ascii="Times New Roman" w:hAnsi="Times New Roman"/>
          <w:color w:val="000000"/>
          <w:sz w:val="24"/>
          <w:szCs w:val="24"/>
        </w:rPr>
        <w:t>Turning to equity markets, we found that the US stock market was extremely</w:t>
      </w:r>
    </w:p>
    <w:p w:rsidR="00821514" w:rsidRPr="00762BDA" w:rsidRDefault="00821514" w:rsidP="00821514">
      <w:pPr>
        <w:shd w:val="clear" w:color="auto" w:fill="FFFFFF"/>
        <w:spacing w:after="0" w:line="0" w:lineRule="auto"/>
        <w:rPr>
          <w:rFonts w:ascii="Times New Roman" w:hAnsi="Times New Roman"/>
          <w:color w:val="000000"/>
          <w:sz w:val="24"/>
          <w:szCs w:val="24"/>
        </w:rPr>
      </w:pPr>
      <w:proofErr w:type="gramStart"/>
      <w:r w:rsidRPr="00762BDA">
        <w:rPr>
          <w:rFonts w:ascii="Times New Roman" w:hAnsi="Times New Roman"/>
          <w:color w:val="000000"/>
          <w:sz w:val="24"/>
          <w:szCs w:val="24"/>
        </w:rPr>
        <w:t>sensitive</w:t>
      </w:r>
      <w:proofErr w:type="gramEnd"/>
      <w:r w:rsidRPr="00762BDA">
        <w:rPr>
          <w:rFonts w:ascii="Times New Roman" w:hAnsi="Times New Roman"/>
          <w:color w:val="000000"/>
          <w:sz w:val="24"/>
          <w:szCs w:val="24"/>
        </w:rPr>
        <w:t xml:space="preserve"> to changes in the probability of war. A 10 percentage point rise in the</w:t>
      </w:r>
    </w:p>
    <w:p w:rsidR="00821514" w:rsidRPr="00762BDA" w:rsidRDefault="00821514" w:rsidP="00821514">
      <w:pPr>
        <w:shd w:val="clear" w:color="auto" w:fill="FFFFFF"/>
        <w:spacing w:after="0" w:line="0" w:lineRule="auto"/>
        <w:rPr>
          <w:rFonts w:ascii="Times New Roman" w:hAnsi="Times New Roman"/>
          <w:color w:val="000000"/>
          <w:sz w:val="24"/>
          <w:szCs w:val="24"/>
        </w:rPr>
      </w:pPr>
      <w:proofErr w:type="gramStart"/>
      <w:r w:rsidRPr="00762BDA">
        <w:rPr>
          <w:rFonts w:ascii="Times New Roman" w:hAnsi="Times New Roman"/>
          <w:color w:val="000000"/>
          <w:sz w:val="24"/>
          <w:szCs w:val="24"/>
        </w:rPr>
        <w:t>probability</w:t>
      </w:r>
      <w:proofErr w:type="gramEnd"/>
      <w:r w:rsidRPr="00762BDA">
        <w:rPr>
          <w:rFonts w:ascii="Times New Roman" w:hAnsi="Times New Roman"/>
          <w:color w:val="000000"/>
          <w:sz w:val="24"/>
          <w:szCs w:val="24"/>
        </w:rPr>
        <w:t xml:space="preserve"> of war was accompanied by a 1.5% decline in the S&amp;P 500, implying, under</w:t>
      </w:r>
    </w:p>
    <w:p w:rsidR="00821514" w:rsidRPr="00762BDA" w:rsidRDefault="00821514" w:rsidP="00821514">
      <w:pPr>
        <w:shd w:val="clear" w:color="auto" w:fill="FFFFFF"/>
        <w:spacing w:after="0" w:line="0" w:lineRule="auto"/>
        <w:rPr>
          <w:rFonts w:ascii="Times New Roman" w:hAnsi="Times New Roman"/>
          <w:color w:val="000000"/>
          <w:sz w:val="24"/>
          <w:szCs w:val="24"/>
        </w:rPr>
      </w:pPr>
      <w:proofErr w:type="gramStart"/>
      <w:r w:rsidRPr="00762BDA">
        <w:rPr>
          <w:rFonts w:ascii="Times New Roman" w:hAnsi="Times New Roman"/>
          <w:color w:val="000000"/>
          <w:sz w:val="24"/>
          <w:szCs w:val="24"/>
        </w:rPr>
        <w:t>our</w:t>
      </w:r>
      <w:proofErr w:type="gramEnd"/>
      <w:r w:rsidRPr="00762BDA">
        <w:rPr>
          <w:rFonts w:ascii="Times New Roman" w:hAnsi="Times New Roman"/>
          <w:color w:val="000000"/>
          <w:sz w:val="24"/>
          <w:szCs w:val="24"/>
        </w:rPr>
        <w:t xml:space="preserve"> identifying assumptions, an anticipated average effect of 15 log percentage points.</w:t>
      </w:r>
    </w:p>
    <w:p w:rsidR="00821514" w:rsidRPr="00762BDA" w:rsidRDefault="00821514" w:rsidP="00821514">
      <w:pPr>
        <w:shd w:val="clear" w:color="auto" w:fill="FFFFFF"/>
        <w:spacing w:after="0" w:line="0" w:lineRule="auto"/>
        <w:rPr>
          <w:rFonts w:ascii="Times New Roman" w:hAnsi="Times New Roman"/>
          <w:color w:val="000000"/>
          <w:sz w:val="24"/>
          <w:szCs w:val="24"/>
        </w:rPr>
      </w:pPr>
      <w:r w:rsidRPr="00762BDA">
        <w:rPr>
          <w:rFonts w:ascii="Times New Roman" w:hAnsi="Times New Roman"/>
          <w:color w:val="000000"/>
          <w:sz w:val="24"/>
          <w:szCs w:val="24"/>
        </w:rPr>
        <w:t>Turning to equity markets, we found that the US stock market was extremely</w:t>
      </w:r>
    </w:p>
    <w:p w:rsidR="00821514" w:rsidRPr="00762BDA" w:rsidRDefault="00821514" w:rsidP="00821514">
      <w:pPr>
        <w:shd w:val="clear" w:color="auto" w:fill="FFFFFF"/>
        <w:spacing w:after="0" w:line="0" w:lineRule="auto"/>
        <w:rPr>
          <w:rFonts w:ascii="Times New Roman" w:hAnsi="Times New Roman"/>
          <w:color w:val="000000"/>
          <w:sz w:val="24"/>
          <w:szCs w:val="24"/>
        </w:rPr>
      </w:pPr>
      <w:proofErr w:type="gramStart"/>
      <w:r w:rsidRPr="00762BDA">
        <w:rPr>
          <w:rFonts w:ascii="Times New Roman" w:hAnsi="Times New Roman"/>
          <w:color w:val="000000"/>
          <w:sz w:val="24"/>
          <w:szCs w:val="24"/>
        </w:rPr>
        <w:t>sensitive</w:t>
      </w:r>
      <w:proofErr w:type="gramEnd"/>
      <w:r w:rsidRPr="00762BDA">
        <w:rPr>
          <w:rFonts w:ascii="Times New Roman" w:hAnsi="Times New Roman"/>
          <w:color w:val="000000"/>
          <w:sz w:val="24"/>
          <w:szCs w:val="24"/>
        </w:rPr>
        <w:t xml:space="preserve"> to changes in the probability of war. A 10 percentage point rise in the</w:t>
      </w:r>
    </w:p>
    <w:p w:rsidR="00821514" w:rsidRPr="00762BDA" w:rsidRDefault="00821514" w:rsidP="00821514">
      <w:pPr>
        <w:shd w:val="clear" w:color="auto" w:fill="FFFFFF"/>
        <w:spacing w:after="0" w:line="0" w:lineRule="auto"/>
        <w:rPr>
          <w:rFonts w:ascii="Times New Roman" w:hAnsi="Times New Roman"/>
          <w:color w:val="000000"/>
          <w:sz w:val="24"/>
          <w:szCs w:val="24"/>
        </w:rPr>
      </w:pPr>
      <w:proofErr w:type="gramStart"/>
      <w:r w:rsidRPr="00762BDA">
        <w:rPr>
          <w:rFonts w:ascii="Times New Roman" w:hAnsi="Times New Roman"/>
          <w:color w:val="000000"/>
          <w:sz w:val="24"/>
          <w:szCs w:val="24"/>
        </w:rPr>
        <w:t>probability</w:t>
      </w:r>
      <w:proofErr w:type="gramEnd"/>
      <w:r w:rsidRPr="00762BDA">
        <w:rPr>
          <w:rFonts w:ascii="Times New Roman" w:hAnsi="Times New Roman"/>
          <w:color w:val="000000"/>
          <w:sz w:val="24"/>
          <w:szCs w:val="24"/>
        </w:rPr>
        <w:t xml:space="preserve"> of war was accompanied by a 1.5% decline in the S&amp;P 500, implying, under</w:t>
      </w:r>
    </w:p>
    <w:p w:rsidR="00821514" w:rsidRPr="00762BDA" w:rsidRDefault="00821514" w:rsidP="00821514">
      <w:pPr>
        <w:shd w:val="clear" w:color="auto" w:fill="FFFFFF"/>
        <w:spacing w:after="0" w:line="0" w:lineRule="auto"/>
        <w:rPr>
          <w:rFonts w:ascii="Times New Roman" w:hAnsi="Times New Roman"/>
          <w:color w:val="000000"/>
          <w:sz w:val="24"/>
          <w:szCs w:val="24"/>
        </w:rPr>
      </w:pPr>
      <w:proofErr w:type="gramStart"/>
      <w:r w:rsidRPr="00762BDA">
        <w:rPr>
          <w:rFonts w:ascii="Times New Roman" w:hAnsi="Times New Roman"/>
          <w:color w:val="000000"/>
          <w:sz w:val="24"/>
          <w:szCs w:val="24"/>
        </w:rPr>
        <w:t>our</w:t>
      </w:r>
      <w:proofErr w:type="gramEnd"/>
      <w:r w:rsidRPr="00762BDA">
        <w:rPr>
          <w:rFonts w:ascii="Times New Roman" w:hAnsi="Times New Roman"/>
          <w:color w:val="000000"/>
          <w:sz w:val="24"/>
          <w:szCs w:val="24"/>
        </w:rPr>
        <w:t xml:space="preserve"> identifying assumptions, an anticipated average effect of 15 log percentage points.</w:t>
      </w:r>
    </w:p>
    <w:p w:rsidR="00821514" w:rsidRPr="00762BDA" w:rsidRDefault="00821514" w:rsidP="00821514">
      <w:pPr>
        <w:spacing w:line="480" w:lineRule="auto"/>
        <w:ind w:firstLine="360"/>
        <w:jc w:val="both"/>
        <w:rPr>
          <w:rFonts w:ascii="Times New Roman" w:hAnsi="Times New Roman"/>
          <w:sz w:val="24"/>
          <w:szCs w:val="24"/>
          <w:lang w:val="en-US"/>
        </w:rPr>
      </w:pPr>
      <w:r w:rsidRPr="00762BDA">
        <w:rPr>
          <w:rFonts w:ascii="Times New Roman" w:hAnsi="Times New Roman"/>
          <w:sz w:val="24"/>
          <w:szCs w:val="24"/>
          <w:lang w:val="en-US"/>
        </w:rPr>
        <w:t xml:space="preserve">The importance of conflicts, even those </w:t>
      </w:r>
      <w:r w:rsidR="005B450F">
        <w:rPr>
          <w:rFonts w:ascii="Times New Roman" w:hAnsi="Times New Roman"/>
          <w:sz w:val="24"/>
          <w:szCs w:val="24"/>
          <w:lang w:val="en-US"/>
        </w:rPr>
        <w:t xml:space="preserve">that are </w:t>
      </w:r>
      <w:r w:rsidRPr="00762BDA">
        <w:rPr>
          <w:rFonts w:ascii="Times New Roman" w:hAnsi="Times New Roman"/>
          <w:sz w:val="24"/>
          <w:szCs w:val="24"/>
          <w:lang w:val="en-US"/>
        </w:rPr>
        <w:t xml:space="preserve">regional in nature, needs to be emphasized given the empirical evidence suggesting a rise in interdependence among stock markets, and even the presence of risk of contagion. Most of the political crises we consider involve a rather limited number of actors, yet these events seem to resonate globally and are reflected in the world stock index. Such </w:t>
      </w:r>
      <w:r w:rsidR="005B450F">
        <w:rPr>
          <w:rFonts w:ascii="Times New Roman" w:hAnsi="Times New Roman"/>
          <w:sz w:val="24"/>
          <w:szCs w:val="24"/>
          <w:lang w:val="en-US"/>
        </w:rPr>
        <w:t xml:space="preserve">an </w:t>
      </w:r>
      <w:r w:rsidRPr="00762BDA">
        <w:rPr>
          <w:rFonts w:ascii="Times New Roman" w:hAnsi="Times New Roman"/>
          <w:sz w:val="24"/>
          <w:szCs w:val="24"/>
          <w:lang w:val="en-US"/>
        </w:rPr>
        <w:t xml:space="preserve">observation is not particularly surprising considering the findings of the prior literature. </w:t>
      </w:r>
      <w:proofErr w:type="spellStart"/>
      <w:r w:rsidRPr="00762BDA">
        <w:rPr>
          <w:rFonts w:ascii="Times New Roman" w:hAnsi="Times New Roman"/>
          <w:sz w:val="24"/>
          <w:szCs w:val="24"/>
          <w:lang w:val="en-US"/>
        </w:rPr>
        <w:t>Markwat</w:t>
      </w:r>
      <w:proofErr w:type="spellEnd"/>
      <w:r w:rsidRPr="00762BDA">
        <w:rPr>
          <w:rFonts w:ascii="Times New Roman" w:hAnsi="Times New Roman"/>
          <w:sz w:val="24"/>
          <w:szCs w:val="24"/>
          <w:lang w:val="en-US"/>
        </w:rPr>
        <w:t xml:space="preserve"> </w:t>
      </w:r>
      <w:r w:rsidRPr="00424DAC">
        <w:rPr>
          <w:rFonts w:ascii="Times New Roman" w:hAnsi="Times New Roman"/>
          <w:i/>
          <w:sz w:val="24"/>
          <w:szCs w:val="24"/>
          <w:lang w:val="en-US"/>
        </w:rPr>
        <w:t>et al.</w:t>
      </w:r>
      <w:r w:rsidR="005B450F">
        <w:rPr>
          <w:rFonts w:ascii="Times New Roman" w:hAnsi="Times New Roman"/>
          <w:sz w:val="24"/>
          <w:szCs w:val="24"/>
          <w:lang w:val="en-US"/>
        </w:rPr>
        <w:t xml:space="preserve"> (2009) find evidence of</w:t>
      </w:r>
      <w:r w:rsidRPr="00762BDA">
        <w:rPr>
          <w:rFonts w:ascii="Times New Roman" w:hAnsi="Times New Roman"/>
          <w:sz w:val="24"/>
          <w:szCs w:val="24"/>
          <w:lang w:val="en-US"/>
        </w:rPr>
        <w:t xml:space="preserve"> the occurrence of a domino effect in the evolution of stock market crashes across the US, Europe, Latin American and Asian countries. Similarly, the contagion effect is documented to run from U.S. and German stock markets and into Central and Eastern European countries (</w:t>
      </w:r>
      <w:proofErr w:type="spellStart"/>
      <w:r w:rsidRPr="00762BDA">
        <w:rPr>
          <w:rFonts w:ascii="Times New Roman" w:hAnsi="Times New Roman"/>
          <w:sz w:val="24"/>
          <w:szCs w:val="24"/>
          <w:lang w:val="en-US"/>
        </w:rPr>
        <w:t>Syllignakis</w:t>
      </w:r>
      <w:proofErr w:type="spellEnd"/>
      <w:r w:rsidRPr="00762BDA">
        <w:rPr>
          <w:rFonts w:ascii="Times New Roman" w:hAnsi="Times New Roman"/>
          <w:sz w:val="24"/>
          <w:szCs w:val="24"/>
          <w:lang w:val="en-US"/>
        </w:rPr>
        <w:t xml:space="preserve"> and Kouretas, 2011). Comparable effects have been observed among Latin American and Asian equity markets during the 1994 and 1997 crises (</w:t>
      </w:r>
      <w:proofErr w:type="spellStart"/>
      <w:r w:rsidRPr="00762BDA">
        <w:rPr>
          <w:rFonts w:ascii="Times New Roman" w:hAnsi="Times New Roman"/>
          <w:sz w:val="24"/>
          <w:szCs w:val="24"/>
          <w:lang w:val="en-US"/>
        </w:rPr>
        <w:t>Bodart</w:t>
      </w:r>
      <w:proofErr w:type="spellEnd"/>
      <w:r w:rsidRPr="00762BDA">
        <w:rPr>
          <w:rFonts w:ascii="Times New Roman" w:hAnsi="Times New Roman"/>
          <w:sz w:val="24"/>
          <w:szCs w:val="24"/>
          <w:lang w:val="en-US"/>
        </w:rPr>
        <w:t xml:space="preserve"> and </w:t>
      </w:r>
      <w:proofErr w:type="spellStart"/>
      <w:r w:rsidRPr="00762BDA">
        <w:rPr>
          <w:rFonts w:ascii="Times New Roman" w:hAnsi="Times New Roman"/>
          <w:sz w:val="24"/>
          <w:szCs w:val="24"/>
          <w:lang w:val="en-US"/>
        </w:rPr>
        <w:t>Candelon</w:t>
      </w:r>
      <w:proofErr w:type="spellEnd"/>
      <w:r w:rsidRPr="00762BDA">
        <w:rPr>
          <w:rFonts w:ascii="Times New Roman" w:hAnsi="Times New Roman"/>
          <w:sz w:val="24"/>
          <w:szCs w:val="24"/>
          <w:lang w:val="en-US"/>
        </w:rPr>
        <w:t xml:space="preserve">, 2009). </w:t>
      </w:r>
      <w:proofErr w:type="gramStart"/>
      <w:r w:rsidRPr="00762BDA">
        <w:rPr>
          <w:rFonts w:ascii="Times New Roman" w:hAnsi="Times New Roman"/>
          <w:sz w:val="24"/>
          <w:szCs w:val="24"/>
          <w:lang w:val="en-US"/>
        </w:rPr>
        <w:t xml:space="preserve">Hernández and Valdés (2001) note that contagion could spread through trade, neighborhood and financial links, </w:t>
      </w:r>
      <w:r w:rsidR="00424DAC">
        <w:rPr>
          <w:rFonts w:ascii="Times New Roman" w:hAnsi="Times New Roman"/>
          <w:sz w:val="24"/>
          <w:szCs w:val="24"/>
          <w:lang w:val="en-US"/>
        </w:rPr>
        <w:t>whereas</w:t>
      </w:r>
      <w:r w:rsidRPr="00762BDA">
        <w:rPr>
          <w:rFonts w:ascii="Times New Roman" w:hAnsi="Times New Roman"/>
          <w:sz w:val="24"/>
          <w:szCs w:val="24"/>
          <w:lang w:val="en-US"/>
        </w:rPr>
        <w:t xml:space="preserve"> </w:t>
      </w:r>
      <w:proofErr w:type="spellStart"/>
      <w:r w:rsidRPr="00762BDA">
        <w:rPr>
          <w:rFonts w:ascii="Times New Roman" w:hAnsi="Times New Roman"/>
          <w:sz w:val="24"/>
          <w:szCs w:val="24"/>
          <w:lang w:val="en-US"/>
        </w:rPr>
        <w:t>Darvas</w:t>
      </w:r>
      <w:proofErr w:type="spellEnd"/>
      <w:r w:rsidRPr="00762BDA">
        <w:rPr>
          <w:rFonts w:ascii="Times New Roman" w:hAnsi="Times New Roman"/>
          <w:sz w:val="24"/>
          <w:szCs w:val="24"/>
          <w:lang w:val="en-US"/>
        </w:rPr>
        <w:t xml:space="preserve"> and </w:t>
      </w:r>
      <w:proofErr w:type="spellStart"/>
      <w:r w:rsidRPr="00762BDA">
        <w:rPr>
          <w:rFonts w:ascii="Times New Roman" w:hAnsi="Times New Roman"/>
          <w:sz w:val="24"/>
          <w:szCs w:val="24"/>
          <w:lang w:val="en-US"/>
        </w:rPr>
        <w:t>Szapáry</w:t>
      </w:r>
      <w:proofErr w:type="spellEnd"/>
      <w:r w:rsidRPr="00762BDA">
        <w:rPr>
          <w:rFonts w:ascii="Times New Roman" w:hAnsi="Times New Roman"/>
          <w:sz w:val="24"/>
          <w:szCs w:val="24"/>
          <w:lang w:val="en-US"/>
        </w:rPr>
        <w:t xml:space="preserve"> (2000) emphasize the role of market sentiment.</w:t>
      </w:r>
      <w:proofErr w:type="gramEnd"/>
      <w:r w:rsidRPr="00762BDA">
        <w:rPr>
          <w:rFonts w:ascii="Times New Roman" w:hAnsi="Times New Roman"/>
          <w:sz w:val="24"/>
          <w:szCs w:val="24"/>
          <w:lang w:val="en-US"/>
        </w:rPr>
        <w:t xml:space="preserve"> While all these channels may </w:t>
      </w:r>
      <w:r>
        <w:rPr>
          <w:rFonts w:ascii="Times New Roman" w:hAnsi="Times New Roman"/>
          <w:sz w:val="24"/>
          <w:szCs w:val="24"/>
          <w:lang w:val="en-US"/>
        </w:rPr>
        <w:t xml:space="preserve">play a crucial </w:t>
      </w:r>
      <w:r w:rsidRPr="00762BDA">
        <w:rPr>
          <w:rFonts w:ascii="Times New Roman" w:hAnsi="Times New Roman"/>
          <w:sz w:val="24"/>
          <w:szCs w:val="24"/>
          <w:lang w:val="en-US"/>
        </w:rPr>
        <w:t xml:space="preserve">role in crisis propagation, we want to draw attention to another possibility. A local political crisis could push the prices of some </w:t>
      </w:r>
      <w:r>
        <w:rPr>
          <w:rFonts w:ascii="Times New Roman" w:hAnsi="Times New Roman"/>
          <w:sz w:val="24"/>
          <w:szCs w:val="24"/>
          <w:lang w:val="en-US"/>
        </w:rPr>
        <w:t xml:space="preserve">important </w:t>
      </w:r>
      <w:r w:rsidRPr="00762BDA">
        <w:rPr>
          <w:rFonts w:ascii="Times New Roman" w:hAnsi="Times New Roman"/>
          <w:sz w:val="24"/>
          <w:szCs w:val="24"/>
          <w:lang w:val="en-US"/>
        </w:rPr>
        <w:t>commodities such as oil</w:t>
      </w:r>
      <w:r w:rsidR="005B450F">
        <w:rPr>
          <w:rFonts w:ascii="Times New Roman" w:hAnsi="Times New Roman"/>
          <w:sz w:val="24"/>
          <w:szCs w:val="24"/>
          <w:lang w:val="en-US"/>
        </w:rPr>
        <w:t xml:space="preserve"> upwards</w:t>
      </w:r>
      <w:r w:rsidRPr="00762BDA">
        <w:rPr>
          <w:rFonts w:ascii="Times New Roman" w:hAnsi="Times New Roman"/>
          <w:sz w:val="24"/>
          <w:szCs w:val="24"/>
          <w:lang w:val="en-US"/>
        </w:rPr>
        <w:t xml:space="preserve">, and thereby adversely affect other economies and markets. </w:t>
      </w:r>
    </w:p>
    <w:p w:rsidR="00821514" w:rsidRPr="00762BDA" w:rsidRDefault="005B450F" w:rsidP="00821514">
      <w:pPr>
        <w:spacing w:line="480" w:lineRule="auto"/>
        <w:ind w:firstLine="360"/>
        <w:jc w:val="both"/>
        <w:rPr>
          <w:rFonts w:ascii="Times New Roman" w:hAnsi="Times New Roman"/>
          <w:sz w:val="24"/>
          <w:szCs w:val="24"/>
          <w:lang w:val="en-US"/>
        </w:rPr>
      </w:pPr>
      <w:r>
        <w:rPr>
          <w:rFonts w:ascii="Times New Roman" w:hAnsi="Times New Roman"/>
          <w:sz w:val="24"/>
          <w:szCs w:val="24"/>
          <w:lang w:val="en-US"/>
        </w:rPr>
        <w:t>If</w:t>
      </w:r>
      <w:r w:rsidR="00821514">
        <w:rPr>
          <w:rFonts w:ascii="Times New Roman" w:hAnsi="Times New Roman"/>
          <w:sz w:val="24"/>
          <w:szCs w:val="24"/>
          <w:lang w:val="en-US"/>
        </w:rPr>
        <w:t xml:space="preserve"> international stock markets fall significantly in response to political tensions, one may wonder what steps </w:t>
      </w:r>
      <w:r w:rsidR="00F66DDC">
        <w:rPr>
          <w:rFonts w:ascii="Times New Roman" w:hAnsi="Times New Roman"/>
          <w:sz w:val="24"/>
          <w:szCs w:val="24"/>
          <w:lang w:val="en-US"/>
        </w:rPr>
        <w:t>investors could</w:t>
      </w:r>
      <w:r w:rsidR="00821514">
        <w:rPr>
          <w:rFonts w:ascii="Times New Roman" w:hAnsi="Times New Roman"/>
          <w:sz w:val="24"/>
          <w:szCs w:val="24"/>
          <w:lang w:val="en-US"/>
        </w:rPr>
        <w:t xml:space="preserve"> take to protect themselves against such events. In what follows, we will formally test whether allocating part</w:t>
      </w:r>
      <w:r>
        <w:rPr>
          <w:rFonts w:ascii="Times New Roman" w:hAnsi="Times New Roman"/>
          <w:sz w:val="24"/>
          <w:szCs w:val="24"/>
          <w:lang w:val="en-US"/>
        </w:rPr>
        <w:t>s</w:t>
      </w:r>
      <w:r w:rsidR="00821514">
        <w:rPr>
          <w:rFonts w:ascii="Times New Roman" w:hAnsi="Times New Roman"/>
          <w:sz w:val="24"/>
          <w:szCs w:val="24"/>
          <w:lang w:val="en-US"/>
        </w:rPr>
        <w:t xml:space="preserve"> of portfolio funds to crude oil and sovereign bonds could provide a shelter in times of political crisis and war. We also endeavor to compute optimal portfolio weights for each of the asset classes. </w:t>
      </w:r>
    </w:p>
    <w:p w:rsidR="00337CA6" w:rsidRPr="00470E8F" w:rsidRDefault="00337CA6" w:rsidP="00337CA6">
      <w:pPr>
        <w:spacing w:line="480" w:lineRule="auto"/>
        <w:ind w:left="360"/>
        <w:jc w:val="both"/>
        <w:rPr>
          <w:rFonts w:ascii="Times New Roman" w:hAnsi="Times New Roman"/>
          <w:b/>
          <w:sz w:val="24"/>
          <w:szCs w:val="24"/>
          <w:lang w:val="en-US"/>
        </w:rPr>
      </w:pPr>
    </w:p>
    <w:p w:rsidR="00337CA6" w:rsidRPr="00470E8F" w:rsidRDefault="00337CA6" w:rsidP="00337CA6">
      <w:pPr>
        <w:spacing w:line="480" w:lineRule="auto"/>
        <w:ind w:left="360"/>
        <w:jc w:val="both"/>
        <w:rPr>
          <w:rFonts w:ascii="Times New Roman" w:hAnsi="Times New Roman"/>
          <w:b/>
          <w:sz w:val="24"/>
          <w:szCs w:val="24"/>
          <w:lang w:val="en-US"/>
        </w:rPr>
      </w:pPr>
      <w:r w:rsidRPr="00470E8F">
        <w:rPr>
          <w:rFonts w:ascii="Times New Roman" w:hAnsi="Times New Roman"/>
          <w:b/>
          <w:sz w:val="24"/>
          <w:szCs w:val="24"/>
          <w:lang w:val="en-US"/>
        </w:rPr>
        <w:t>III. Data</w:t>
      </w:r>
    </w:p>
    <w:p w:rsidR="00337CA6" w:rsidRPr="00470E8F" w:rsidRDefault="00337CA6" w:rsidP="00337CA6">
      <w:pPr>
        <w:spacing w:line="480" w:lineRule="auto"/>
        <w:ind w:firstLine="426"/>
        <w:jc w:val="both"/>
        <w:rPr>
          <w:rFonts w:ascii="Times New Roman" w:hAnsi="Times New Roman"/>
          <w:sz w:val="24"/>
          <w:szCs w:val="24"/>
          <w:lang w:val="en-US"/>
        </w:rPr>
      </w:pPr>
      <w:r w:rsidRPr="00470E8F">
        <w:rPr>
          <w:rFonts w:ascii="Times New Roman" w:hAnsi="Times New Roman"/>
          <w:sz w:val="24"/>
          <w:szCs w:val="24"/>
          <w:lang w:val="en-US"/>
        </w:rPr>
        <w:t>Our sample of international conflicts is taken from the International Crisis Behavior (ICB) project database (version 10, July 2010).</w:t>
      </w:r>
      <w:r w:rsidRPr="00470E8F">
        <w:rPr>
          <w:rStyle w:val="FootnoteReference"/>
          <w:rFonts w:ascii="Times New Roman" w:hAnsi="Times New Roman"/>
          <w:sz w:val="24"/>
          <w:szCs w:val="24"/>
          <w:lang w:val="en-US"/>
        </w:rPr>
        <w:footnoteReference w:id="3"/>
      </w:r>
      <w:r w:rsidRPr="00470E8F">
        <w:rPr>
          <w:rFonts w:ascii="Times New Roman" w:hAnsi="Times New Roman"/>
          <w:sz w:val="24"/>
          <w:szCs w:val="24"/>
          <w:lang w:val="en-US"/>
        </w:rPr>
        <w:t xml:space="preserve"> This resource has been developed by the Center for International Development and Conflict Management affiliated with the University of Maryland and has been used in numerous academic studies (in addition to the literature listed on the ICB web page, please see Berkman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(2011) and Blomberg </w:t>
      </w:r>
      <w:r w:rsidRPr="00470E8F">
        <w:rPr>
          <w:rFonts w:ascii="Times New Roman" w:hAnsi="Times New Roman"/>
          <w:i/>
          <w:sz w:val="24"/>
          <w:szCs w:val="24"/>
          <w:lang w:val="en-US"/>
        </w:rPr>
        <w:t>et al</w:t>
      </w:r>
      <w:r w:rsidRPr="00470E8F">
        <w:rPr>
          <w:rFonts w:ascii="Times New Roman" w:hAnsi="Times New Roman"/>
          <w:sz w:val="24"/>
          <w:szCs w:val="24"/>
          <w:lang w:val="en-US"/>
        </w:rPr>
        <w:t>., (2004)</w:t>
      </w:r>
      <w:r>
        <w:rPr>
          <w:rFonts w:ascii="Times New Roman" w:hAnsi="Times New Roman"/>
          <w:sz w:val="24"/>
          <w:szCs w:val="24"/>
          <w:lang w:val="en-US"/>
        </w:rPr>
        <w:t>)</w:t>
      </w:r>
      <w:r w:rsidRPr="00470E8F">
        <w:rPr>
          <w:rFonts w:ascii="Times New Roman" w:hAnsi="Times New Roman"/>
          <w:sz w:val="24"/>
          <w:szCs w:val="24"/>
          <w:lang w:val="en-US"/>
        </w:rPr>
        <w:t xml:space="preserve">. Not only does the dataset contain a complete list of trigger dates for international crises, but it also describes their severity. We have decided to exclude any non-violent acts of </w:t>
      </w:r>
      <w:r>
        <w:rPr>
          <w:rFonts w:ascii="Times New Roman" w:hAnsi="Times New Roman"/>
          <w:sz w:val="24"/>
          <w:szCs w:val="24"/>
          <w:lang w:val="en-US"/>
        </w:rPr>
        <w:t xml:space="preserve">a </w:t>
      </w:r>
      <w:r w:rsidRPr="00470E8F">
        <w:rPr>
          <w:rFonts w:ascii="Times New Roman" w:hAnsi="Times New Roman"/>
          <w:sz w:val="24"/>
          <w:szCs w:val="24"/>
          <w:lang w:val="en-US"/>
        </w:rPr>
        <w:t xml:space="preserve">lesser gravity, such as protests, diplomatic sanctions, or withholding economic aid. The only events considered here are those scoring </w:t>
      </w:r>
      <w:r>
        <w:rPr>
          <w:rFonts w:ascii="Times New Roman" w:hAnsi="Times New Roman"/>
          <w:sz w:val="24"/>
          <w:szCs w:val="24"/>
          <w:lang w:val="en-US"/>
        </w:rPr>
        <w:t>six</w:t>
      </w:r>
      <w:r w:rsidRPr="00470E8F">
        <w:rPr>
          <w:rFonts w:ascii="Times New Roman" w:hAnsi="Times New Roman"/>
          <w:sz w:val="24"/>
          <w:szCs w:val="24"/>
          <w:lang w:val="en-US"/>
        </w:rPr>
        <w:t xml:space="preserve"> and above on the trigger reason scale.</w:t>
      </w:r>
      <w:r w:rsidRPr="00470E8F">
        <w:rPr>
          <w:rStyle w:val="FootnoteReference"/>
          <w:rFonts w:ascii="Times New Roman" w:hAnsi="Times New Roman"/>
          <w:sz w:val="24"/>
          <w:szCs w:val="24"/>
          <w:lang w:val="en-US"/>
        </w:rPr>
        <w:footnoteReference w:id="4"/>
      </w:r>
      <w:r w:rsidRPr="00470E8F">
        <w:rPr>
          <w:rFonts w:ascii="Times New Roman" w:hAnsi="Times New Roman"/>
          <w:sz w:val="24"/>
          <w:szCs w:val="24"/>
          <w:lang w:val="en-US"/>
        </w:rPr>
        <w:t xml:space="preserve"> Our sample of international crises includes internal challenge to the regime, demonstration of force, </w:t>
      </w:r>
      <w:proofErr w:type="gramStart"/>
      <w:r w:rsidRPr="00470E8F">
        <w:rPr>
          <w:rFonts w:ascii="Times New Roman" w:hAnsi="Times New Roman"/>
          <w:sz w:val="24"/>
          <w:szCs w:val="24"/>
          <w:lang w:val="en-US"/>
        </w:rPr>
        <w:t>movement</w:t>
      </w:r>
      <w:proofErr w:type="gramEnd"/>
      <w:r w:rsidRPr="00470E8F">
        <w:rPr>
          <w:rFonts w:ascii="Times New Roman" w:hAnsi="Times New Roman"/>
          <w:sz w:val="24"/>
          <w:szCs w:val="24"/>
          <w:lang w:val="en-US"/>
        </w:rPr>
        <w:t xml:space="preserve"> of the army, mobilization and indirect and direct violent acts. We also create a war sub-sample focusing only on situations where at least one of the actors experienced an episode of direct violence</w:t>
      </w:r>
      <w:r>
        <w:rPr>
          <w:rFonts w:ascii="Times New Roman" w:hAnsi="Times New Roman"/>
          <w:sz w:val="24"/>
          <w:szCs w:val="24"/>
          <w:lang w:val="en-US"/>
        </w:rPr>
        <w:t>,</w:t>
      </w:r>
      <w:r w:rsidRPr="00470E8F">
        <w:rPr>
          <w:rFonts w:ascii="Times New Roman" w:hAnsi="Times New Roman"/>
          <w:sz w:val="24"/>
          <w:szCs w:val="24"/>
          <w:lang w:val="en-US"/>
        </w:rPr>
        <w:t xml:space="preserve"> which could be defined as a border clash or border crossing by military forces, invasion of air space, military operations on the sea and in the air, as well as a large-scale military attack or bombing. </w:t>
      </w:r>
    </w:p>
    <w:p w:rsidR="00337CA6" w:rsidRPr="00470E8F" w:rsidRDefault="00337CA6" w:rsidP="00337CA6">
      <w:pPr>
        <w:spacing w:line="480" w:lineRule="auto"/>
        <w:ind w:firstLine="426"/>
        <w:jc w:val="both"/>
        <w:rPr>
          <w:rFonts w:ascii="Times New Roman" w:hAnsi="Times New Roman"/>
          <w:sz w:val="24"/>
          <w:szCs w:val="24"/>
          <w:lang w:val="en-US"/>
        </w:rPr>
      </w:pPr>
      <w:r w:rsidRPr="00470E8F">
        <w:rPr>
          <w:rFonts w:ascii="Times New Roman" w:hAnsi="Times New Roman"/>
          <w:sz w:val="24"/>
          <w:szCs w:val="24"/>
          <w:lang w:val="en-US"/>
        </w:rPr>
        <w:t xml:space="preserve">We select the beginning of 1987, right after the third oil crisis, as our sample starting date. This was the point in time when oil prices, previously engineered by the cartel-like behavior of OPEC, became more responsive to market forces. The change was a direct consequence of Saudi Arabia’s refusal to act as a swing producer entrusted with the role of adjusting the production volume in order to control the price. A major shift transpired, in that OPEC changed its policy from defending an official crude oil price to protecting its market share (Kaufmann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2004; </w:t>
      </w:r>
      <w:proofErr w:type="spellStart"/>
      <w:r w:rsidRPr="00470E8F">
        <w:rPr>
          <w:rFonts w:ascii="Times New Roman" w:hAnsi="Times New Roman"/>
          <w:sz w:val="24"/>
          <w:szCs w:val="24"/>
          <w:lang w:val="en-US"/>
        </w:rPr>
        <w:t>Yergin</w:t>
      </w:r>
      <w:proofErr w:type="spellEnd"/>
      <w:r w:rsidRPr="00470E8F">
        <w:rPr>
          <w:rFonts w:ascii="Times New Roman" w:hAnsi="Times New Roman"/>
          <w:sz w:val="24"/>
          <w:szCs w:val="24"/>
          <w:lang w:val="en-US"/>
        </w:rPr>
        <w:t xml:space="preserve">, 2012). Some authors would go so far as to refer to the </w:t>
      </w:r>
      <w:r w:rsidRPr="00470E8F">
        <w:rPr>
          <w:rFonts w:ascii="Times New Roman" w:hAnsi="Times New Roman"/>
          <w:sz w:val="24"/>
          <w:szCs w:val="24"/>
          <w:lang w:val="en-US"/>
        </w:rPr>
        <w:lastRenderedPageBreak/>
        <w:t>events of 1986 as the “collapse of OPEC” (</w:t>
      </w:r>
      <w:proofErr w:type="spellStart"/>
      <w:r w:rsidRPr="00470E8F">
        <w:rPr>
          <w:rFonts w:ascii="Times New Roman" w:hAnsi="Times New Roman"/>
          <w:sz w:val="24"/>
          <w:szCs w:val="24"/>
          <w:lang w:val="en-US"/>
        </w:rPr>
        <w:t>Barsky</w:t>
      </w:r>
      <w:proofErr w:type="spellEnd"/>
      <w:r w:rsidRPr="00470E8F">
        <w:rPr>
          <w:rFonts w:ascii="Times New Roman" w:hAnsi="Times New Roman"/>
          <w:sz w:val="24"/>
          <w:szCs w:val="24"/>
          <w:lang w:val="en-US"/>
        </w:rPr>
        <w:t xml:space="preserve"> and Kilian, 2004). Our empirical inquiry ends in December 2007, which is dictated by data availability in the ICB database. Overall, the final sample comprises 64 instances of severe international crisis, out of which 43 events fall into the category of direct violent acts. In what follows, we label the latter set of events as the “war sample”. </w:t>
      </w:r>
    </w:p>
    <w:p w:rsidR="00337CA6" w:rsidRPr="00470E8F" w:rsidRDefault="00337CA6" w:rsidP="00337CA6">
      <w:pPr>
        <w:spacing w:line="480" w:lineRule="auto"/>
        <w:ind w:firstLine="426"/>
        <w:jc w:val="both"/>
        <w:rPr>
          <w:rFonts w:ascii="Times New Roman" w:hAnsi="Times New Roman"/>
          <w:sz w:val="24"/>
          <w:szCs w:val="24"/>
          <w:lang w:val="en-US"/>
        </w:rPr>
      </w:pPr>
      <w:r w:rsidRPr="00470E8F">
        <w:rPr>
          <w:rFonts w:ascii="Times New Roman" w:hAnsi="Times New Roman"/>
          <w:sz w:val="24"/>
          <w:szCs w:val="24"/>
          <w:lang w:val="en-US"/>
        </w:rPr>
        <w:t xml:space="preserve">The oil price used in our study is the West Texas Intermediate (WTI) spot price for delivery in Cushing, Oklahoma. WTI serves as the benchmark for deliveries into the Americas and is prized for being light and sweet as reflected in its low sulphur content and </w:t>
      </w:r>
      <w:r>
        <w:rPr>
          <w:rFonts w:ascii="Times New Roman" w:hAnsi="Times New Roman"/>
          <w:sz w:val="24"/>
          <w:szCs w:val="24"/>
          <w:lang w:val="en-US"/>
        </w:rPr>
        <w:t xml:space="preserve">a </w:t>
      </w:r>
      <w:r w:rsidRPr="00470E8F">
        <w:rPr>
          <w:rFonts w:ascii="Times New Roman" w:hAnsi="Times New Roman"/>
          <w:sz w:val="24"/>
          <w:szCs w:val="24"/>
          <w:lang w:val="en-US"/>
        </w:rPr>
        <w:t xml:space="preserve">high API gravity (Stevens, 2005; </w:t>
      </w:r>
      <w:proofErr w:type="spellStart"/>
      <w:r w:rsidRPr="00470E8F">
        <w:rPr>
          <w:rFonts w:ascii="Times New Roman" w:hAnsi="Times New Roman"/>
          <w:sz w:val="24"/>
          <w:szCs w:val="24"/>
          <w:lang w:val="en-US"/>
        </w:rPr>
        <w:t>Driesprong</w:t>
      </w:r>
      <w:proofErr w:type="spellEnd"/>
      <w:r w:rsidRPr="00470E8F">
        <w:rPr>
          <w:rFonts w:ascii="Times New Roman" w:hAnsi="Times New Roman"/>
          <w:sz w:val="24"/>
          <w:szCs w:val="24"/>
          <w:lang w:val="en-US"/>
        </w:rPr>
        <w:t xml:space="preserve">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2008). To investigate the behavior of government bonds we are taking the view point of an international investor and use Citigroup World Government Bond index. As the data on daily changes in this index was not recorded daily from the beginning of our sample, we had to resort to using the series from January 1995 onwards.</w:t>
      </w:r>
      <w:r w:rsidRPr="00470E8F">
        <w:rPr>
          <w:rStyle w:val="FootnoteReference"/>
          <w:rFonts w:ascii="Times New Roman" w:hAnsi="Times New Roman"/>
          <w:sz w:val="24"/>
          <w:szCs w:val="24"/>
          <w:lang w:val="en-US"/>
        </w:rPr>
        <w:footnoteReference w:id="5"/>
      </w:r>
      <w:r w:rsidRPr="00470E8F">
        <w:rPr>
          <w:rFonts w:ascii="Times New Roman" w:hAnsi="Times New Roman"/>
          <w:sz w:val="24"/>
          <w:szCs w:val="24"/>
          <w:lang w:val="en-US"/>
        </w:rPr>
        <w:t xml:space="preserve"> As we also intend to analyze the behavior of stock markets around the trigger dates, our dataset includes three different stock market indices, namely S&amp;P 500, MSCI World and MSCI World excl. US</w:t>
      </w:r>
      <w:r w:rsidRPr="00470E8F">
        <w:rPr>
          <w:rStyle w:val="FootnoteReference"/>
          <w:rFonts w:ascii="Times New Roman" w:hAnsi="Times New Roman"/>
          <w:sz w:val="24"/>
          <w:szCs w:val="24"/>
          <w:lang w:val="en-US"/>
        </w:rPr>
        <w:footnoteReference w:id="6"/>
      </w:r>
      <w:r w:rsidRPr="00470E8F">
        <w:rPr>
          <w:rFonts w:ascii="Times New Roman" w:hAnsi="Times New Roman"/>
          <w:sz w:val="24"/>
          <w:szCs w:val="24"/>
          <w:lang w:val="en-US"/>
        </w:rPr>
        <w:t xml:space="preserve">. Our choice of the international equity indices is dictated by the length of the series, which easily covers the entire period under investigation and in </w:t>
      </w:r>
      <w:r>
        <w:rPr>
          <w:rFonts w:ascii="Times New Roman" w:hAnsi="Times New Roman"/>
          <w:sz w:val="24"/>
          <w:szCs w:val="24"/>
          <w:lang w:val="en-US"/>
        </w:rPr>
        <w:t xml:space="preserve">the </w:t>
      </w:r>
      <w:r w:rsidRPr="00470E8F">
        <w:rPr>
          <w:rFonts w:ascii="Times New Roman" w:hAnsi="Times New Roman"/>
          <w:sz w:val="24"/>
          <w:szCs w:val="24"/>
          <w:lang w:val="en-US"/>
        </w:rPr>
        <w:t xml:space="preserve">case of the MSCI data, the comprehensiveness of countries covered. All of the time series used in this paper were sourced from Thomson Reuters </w:t>
      </w:r>
      <w:proofErr w:type="spellStart"/>
      <w:r w:rsidRPr="00470E8F">
        <w:rPr>
          <w:rFonts w:ascii="Times New Roman" w:hAnsi="Times New Roman"/>
          <w:sz w:val="24"/>
          <w:szCs w:val="24"/>
          <w:lang w:val="en-US"/>
        </w:rPr>
        <w:t>Datastream</w:t>
      </w:r>
      <w:proofErr w:type="spellEnd"/>
      <w:r w:rsidRPr="00470E8F">
        <w:rPr>
          <w:rFonts w:ascii="Times New Roman" w:hAnsi="Times New Roman"/>
          <w:sz w:val="24"/>
          <w:szCs w:val="24"/>
          <w:lang w:val="en-US"/>
        </w:rPr>
        <w:t>.</w:t>
      </w:r>
    </w:p>
    <w:p w:rsidR="00337CA6" w:rsidRPr="00470E8F" w:rsidRDefault="00337CA6" w:rsidP="00337CA6">
      <w:pPr>
        <w:spacing w:line="480" w:lineRule="auto"/>
        <w:jc w:val="center"/>
        <w:rPr>
          <w:rFonts w:ascii="Times New Roman" w:hAnsi="Times New Roman"/>
          <w:sz w:val="24"/>
          <w:szCs w:val="24"/>
          <w:lang w:val="en-US"/>
        </w:rPr>
      </w:pPr>
      <w:r w:rsidRPr="00470E8F">
        <w:rPr>
          <w:rFonts w:ascii="Times New Roman" w:hAnsi="Times New Roman"/>
          <w:color w:val="00B050"/>
          <w:sz w:val="24"/>
          <w:szCs w:val="24"/>
          <w:lang w:val="en-US"/>
        </w:rPr>
        <w:t xml:space="preserve"> </w:t>
      </w:r>
      <w:r w:rsidRPr="00470E8F">
        <w:rPr>
          <w:rFonts w:ascii="Times New Roman" w:hAnsi="Times New Roman"/>
          <w:sz w:val="24"/>
          <w:szCs w:val="24"/>
          <w:lang w:val="en-US"/>
        </w:rPr>
        <w:t>[Insert Table I and Figure I about here]</w:t>
      </w:r>
    </w:p>
    <w:p w:rsidR="00337CA6" w:rsidRPr="00470E8F" w:rsidRDefault="00337CA6" w:rsidP="00337CA6">
      <w:pPr>
        <w:spacing w:line="480" w:lineRule="auto"/>
        <w:jc w:val="both"/>
        <w:rPr>
          <w:rFonts w:ascii="Times New Roman" w:hAnsi="Times New Roman"/>
          <w:sz w:val="24"/>
          <w:szCs w:val="24"/>
          <w:lang w:val="en-US"/>
        </w:rPr>
      </w:pPr>
      <w:r w:rsidRPr="00470E8F">
        <w:rPr>
          <w:rFonts w:ascii="Times New Roman" w:hAnsi="Times New Roman"/>
          <w:b/>
          <w:sz w:val="24"/>
          <w:szCs w:val="24"/>
          <w:lang w:val="en-US"/>
        </w:rPr>
        <w:t xml:space="preserve"> </w:t>
      </w:r>
      <w:r w:rsidRPr="00470E8F">
        <w:rPr>
          <w:rFonts w:ascii="Times New Roman" w:hAnsi="Times New Roman"/>
          <w:b/>
          <w:sz w:val="24"/>
          <w:szCs w:val="24"/>
          <w:lang w:val="en-US"/>
        </w:rPr>
        <w:tab/>
      </w:r>
      <w:r w:rsidRPr="00470E8F">
        <w:rPr>
          <w:rFonts w:ascii="Times New Roman" w:hAnsi="Times New Roman"/>
          <w:sz w:val="24"/>
          <w:szCs w:val="24"/>
          <w:lang w:val="en-US"/>
        </w:rPr>
        <w:t>Table I reports the descriptive statistics for the continuously compounded returns on crude oil, world government bond index and stock market indices. Remarkably, world equities (excluding the U</w:t>
      </w:r>
      <w:r>
        <w:rPr>
          <w:rFonts w:ascii="Times New Roman" w:hAnsi="Times New Roman"/>
          <w:sz w:val="24"/>
          <w:szCs w:val="24"/>
          <w:lang w:val="en-US"/>
        </w:rPr>
        <w:t>.</w:t>
      </w:r>
      <w:r w:rsidRPr="00470E8F">
        <w:rPr>
          <w:rFonts w:ascii="Times New Roman" w:hAnsi="Times New Roman"/>
          <w:sz w:val="24"/>
          <w:szCs w:val="24"/>
          <w:lang w:val="en-US"/>
        </w:rPr>
        <w:t>S</w:t>
      </w:r>
      <w:r>
        <w:rPr>
          <w:rFonts w:ascii="Times New Roman" w:hAnsi="Times New Roman"/>
          <w:sz w:val="24"/>
          <w:szCs w:val="24"/>
          <w:lang w:val="en-US"/>
        </w:rPr>
        <w:t>.</w:t>
      </w:r>
      <w:r w:rsidRPr="00470E8F">
        <w:rPr>
          <w:rFonts w:ascii="Times New Roman" w:hAnsi="Times New Roman"/>
          <w:sz w:val="24"/>
          <w:szCs w:val="24"/>
          <w:lang w:val="en-US"/>
        </w:rPr>
        <w:t xml:space="preserve"> listings) offered the lowest average daily returns among all asset classes. In terms of the performance unadjusted for risk, fossil fuels and U</w:t>
      </w:r>
      <w:r>
        <w:rPr>
          <w:rFonts w:ascii="Times New Roman" w:hAnsi="Times New Roman"/>
          <w:sz w:val="24"/>
          <w:szCs w:val="24"/>
          <w:lang w:val="en-US"/>
        </w:rPr>
        <w:t>.</w:t>
      </w:r>
      <w:r w:rsidRPr="00470E8F">
        <w:rPr>
          <w:rFonts w:ascii="Times New Roman" w:hAnsi="Times New Roman"/>
          <w:sz w:val="24"/>
          <w:szCs w:val="24"/>
          <w:lang w:val="en-US"/>
        </w:rPr>
        <w:t>S</w:t>
      </w:r>
      <w:r>
        <w:rPr>
          <w:rFonts w:ascii="Times New Roman" w:hAnsi="Times New Roman"/>
          <w:sz w:val="24"/>
          <w:szCs w:val="24"/>
          <w:lang w:val="en-US"/>
        </w:rPr>
        <w:t>.</w:t>
      </w:r>
      <w:r w:rsidRPr="00470E8F">
        <w:rPr>
          <w:rFonts w:ascii="Times New Roman" w:hAnsi="Times New Roman"/>
          <w:sz w:val="24"/>
          <w:szCs w:val="24"/>
          <w:lang w:val="en-US"/>
        </w:rPr>
        <w:t xml:space="preserve"> stocks were the </w:t>
      </w:r>
      <w:r w:rsidRPr="00470E8F">
        <w:rPr>
          <w:rFonts w:ascii="Times New Roman" w:hAnsi="Times New Roman"/>
          <w:sz w:val="24"/>
          <w:szCs w:val="24"/>
          <w:lang w:val="en-US"/>
        </w:rPr>
        <w:lastRenderedPageBreak/>
        <w:t xml:space="preserve">strongest performers during our sample period. Crude oil proved to be the most risky asset with a standard deviation of nearly 2.5%. The MSCI world index exhibited lower volatility than the S&amp;P 500, as it is diversified more broadly. As one would expect, the world government bonds proved to be the least risky asset with a standard deviation of only 0.4%. </w:t>
      </w:r>
    </w:p>
    <w:p w:rsidR="00337CA6" w:rsidRPr="00470E8F" w:rsidRDefault="00337CA6" w:rsidP="00337CA6">
      <w:pPr>
        <w:spacing w:line="480" w:lineRule="auto"/>
        <w:ind w:firstLine="720"/>
        <w:jc w:val="both"/>
        <w:rPr>
          <w:rFonts w:ascii="Times New Roman" w:hAnsi="Times New Roman"/>
          <w:sz w:val="24"/>
          <w:szCs w:val="24"/>
          <w:lang w:val="en-US"/>
        </w:rPr>
      </w:pPr>
      <w:r w:rsidRPr="00470E8F">
        <w:rPr>
          <w:rFonts w:ascii="Times New Roman" w:hAnsi="Times New Roman"/>
          <w:sz w:val="24"/>
          <w:szCs w:val="24"/>
          <w:lang w:val="en-US"/>
        </w:rPr>
        <w:t>The graph of petroleum prices in Figure I shows two notable movements. The first is a hike in the per barrel price from $21.54 to $40.65 between August and October 1990. This significant upswing came as a response to the Iraqi invasion of Kuwait and the subsequent loss of 4.3 million barrels of oil production from both countries</w:t>
      </w:r>
      <w:r w:rsidRPr="00470E8F">
        <w:rPr>
          <w:rStyle w:val="FootnoteReference"/>
          <w:rFonts w:ascii="Times New Roman" w:hAnsi="Times New Roman"/>
          <w:sz w:val="24"/>
          <w:szCs w:val="24"/>
          <w:lang w:val="en-US"/>
        </w:rPr>
        <w:footnoteReference w:id="7"/>
      </w:r>
      <w:r w:rsidRPr="00470E8F">
        <w:rPr>
          <w:rFonts w:ascii="Times New Roman" w:hAnsi="Times New Roman"/>
          <w:sz w:val="24"/>
          <w:szCs w:val="24"/>
          <w:lang w:val="en-US"/>
        </w:rPr>
        <w:t>. The rise was temporary in nature and the prices subsequently returned to their pre-crisis levels in January 1991, remaining stable for the rest of the decade. The second phase corresponds to the gradual rise of oil prices from a low of $17.48 in November 2001 to a high of $98.83 in November 2007. A possible explanation for that remarkable evolution is that the low price of oil during the 1990s and early 2000s</w:t>
      </w:r>
      <w:r>
        <w:rPr>
          <w:rFonts w:ascii="Times New Roman" w:hAnsi="Times New Roman"/>
          <w:sz w:val="24"/>
          <w:szCs w:val="24"/>
          <w:lang w:val="en-US"/>
        </w:rPr>
        <w:t>,</w:t>
      </w:r>
      <w:r w:rsidRPr="00470E8F">
        <w:rPr>
          <w:rFonts w:ascii="Times New Roman" w:hAnsi="Times New Roman"/>
          <w:sz w:val="24"/>
          <w:szCs w:val="24"/>
          <w:lang w:val="en-US"/>
        </w:rPr>
        <w:t xml:space="preserve"> combined with modest price expectations</w:t>
      </w:r>
      <w:r>
        <w:rPr>
          <w:rFonts w:ascii="Times New Roman" w:hAnsi="Times New Roman"/>
          <w:sz w:val="24"/>
          <w:szCs w:val="24"/>
          <w:lang w:val="en-US"/>
        </w:rPr>
        <w:t>,</w:t>
      </w:r>
      <w:r w:rsidRPr="00470E8F">
        <w:rPr>
          <w:rFonts w:ascii="Times New Roman" w:hAnsi="Times New Roman"/>
          <w:sz w:val="24"/>
          <w:szCs w:val="24"/>
          <w:lang w:val="en-US"/>
        </w:rPr>
        <w:t xml:space="preserve"> led to low investment in new capacity within the oil industry (Stevens, 2005). Accompanying the lack of newly added capacity was an increase in final demand for oil between 2003 and 2007 by an average of 2% per annum. A significant fraction of that rise in demand was largely unexpected (</w:t>
      </w:r>
      <w:proofErr w:type="spellStart"/>
      <w:r w:rsidRPr="00470E8F">
        <w:rPr>
          <w:rFonts w:ascii="Times New Roman" w:hAnsi="Times New Roman"/>
          <w:sz w:val="24"/>
          <w:szCs w:val="24"/>
          <w:lang w:val="en-US"/>
        </w:rPr>
        <w:t>Saporta</w:t>
      </w:r>
      <w:proofErr w:type="spellEnd"/>
      <w:r w:rsidRPr="00470E8F">
        <w:rPr>
          <w:rFonts w:ascii="Times New Roman" w:hAnsi="Times New Roman"/>
          <w:sz w:val="24"/>
          <w:szCs w:val="24"/>
          <w:lang w:val="en-US"/>
        </w:rPr>
        <w:t xml:space="preserve"> </w:t>
      </w:r>
      <w:r w:rsidRPr="00470E8F">
        <w:rPr>
          <w:rFonts w:ascii="Times New Roman" w:hAnsi="Times New Roman"/>
          <w:i/>
          <w:sz w:val="24"/>
          <w:szCs w:val="24"/>
          <w:lang w:val="en-US"/>
        </w:rPr>
        <w:t>et al.</w:t>
      </w:r>
      <w:r w:rsidRPr="00470E8F">
        <w:rPr>
          <w:rFonts w:ascii="Times New Roman" w:hAnsi="Times New Roman"/>
          <w:sz w:val="24"/>
          <w:szCs w:val="24"/>
          <w:lang w:val="en-US"/>
        </w:rPr>
        <w:t>, 2009).</w:t>
      </w:r>
    </w:p>
    <w:p w:rsidR="00337CA6" w:rsidRPr="00470E8F" w:rsidRDefault="00337CA6" w:rsidP="00337CA6">
      <w:pPr>
        <w:spacing w:line="480" w:lineRule="auto"/>
        <w:jc w:val="both"/>
        <w:rPr>
          <w:rFonts w:ascii="Times New Roman" w:hAnsi="Times New Roman"/>
          <w:sz w:val="24"/>
          <w:szCs w:val="24"/>
          <w:lang w:val="en-US"/>
        </w:rPr>
      </w:pPr>
      <w:r w:rsidRPr="00470E8F">
        <w:rPr>
          <w:rFonts w:ascii="Times New Roman" w:hAnsi="Times New Roman"/>
          <w:sz w:val="24"/>
          <w:szCs w:val="24"/>
          <w:lang w:val="en-US"/>
        </w:rPr>
        <w:t xml:space="preserve">        The indices of U</w:t>
      </w:r>
      <w:r>
        <w:rPr>
          <w:rFonts w:ascii="Times New Roman" w:hAnsi="Times New Roman"/>
          <w:sz w:val="24"/>
          <w:szCs w:val="24"/>
          <w:lang w:val="en-US"/>
        </w:rPr>
        <w:t>.</w:t>
      </w:r>
      <w:r w:rsidRPr="00470E8F">
        <w:rPr>
          <w:rFonts w:ascii="Times New Roman" w:hAnsi="Times New Roman"/>
          <w:sz w:val="24"/>
          <w:szCs w:val="24"/>
          <w:lang w:val="en-US"/>
        </w:rPr>
        <w:t>S</w:t>
      </w:r>
      <w:r>
        <w:rPr>
          <w:rFonts w:ascii="Times New Roman" w:hAnsi="Times New Roman"/>
          <w:sz w:val="24"/>
          <w:szCs w:val="24"/>
          <w:lang w:val="en-US"/>
        </w:rPr>
        <w:t>.</w:t>
      </w:r>
      <w:r w:rsidRPr="00470E8F">
        <w:rPr>
          <w:rFonts w:ascii="Times New Roman" w:hAnsi="Times New Roman"/>
          <w:sz w:val="24"/>
          <w:szCs w:val="24"/>
          <w:lang w:val="en-US"/>
        </w:rPr>
        <w:t xml:space="preserve"> and world stocks share similar characteristics, in that their trajectory started moving upwards from </w:t>
      </w:r>
      <w:r>
        <w:rPr>
          <w:rFonts w:ascii="Times New Roman" w:hAnsi="Times New Roman"/>
          <w:sz w:val="24"/>
          <w:szCs w:val="24"/>
          <w:lang w:val="en-US"/>
        </w:rPr>
        <w:t xml:space="preserve">the </w:t>
      </w:r>
      <w:r w:rsidRPr="00470E8F">
        <w:rPr>
          <w:rFonts w:ascii="Times New Roman" w:hAnsi="Times New Roman"/>
          <w:sz w:val="24"/>
          <w:szCs w:val="24"/>
          <w:lang w:val="en-US"/>
        </w:rPr>
        <w:t xml:space="preserve">mid-1990s and continued a remarkable rise until the burst of the Dot Com bubble in </w:t>
      </w:r>
      <w:r>
        <w:rPr>
          <w:rFonts w:ascii="Times New Roman" w:hAnsi="Times New Roman"/>
          <w:sz w:val="24"/>
          <w:szCs w:val="24"/>
          <w:lang w:val="en-US"/>
        </w:rPr>
        <w:t xml:space="preserve">the </w:t>
      </w:r>
      <w:r w:rsidRPr="00470E8F">
        <w:rPr>
          <w:rFonts w:ascii="Times New Roman" w:hAnsi="Times New Roman"/>
          <w:sz w:val="24"/>
          <w:szCs w:val="24"/>
          <w:lang w:val="en-US"/>
        </w:rPr>
        <w:t xml:space="preserve">early 2000s. By 2003, equity prices began another climb which continued to the end of 2007. Thus, the first decade of the new millennium clearly represents an era of inflation in equity and crude oil prices. The figure also attests to the fact that investors holding world government bonds were consistently earning a positive nominal return. The proceeds to holders of these bonds occurred against a backdrop of the recent growth of debt in most mature economies, which can be attributed to abnormally low interest </w:t>
      </w:r>
      <w:r w:rsidRPr="00470E8F">
        <w:rPr>
          <w:rFonts w:ascii="Times New Roman" w:hAnsi="Times New Roman"/>
          <w:sz w:val="24"/>
          <w:szCs w:val="24"/>
          <w:lang w:val="en-US"/>
        </w:rPr>
        <w:lastRenderedPageBreak/>
        <w:t xml:space="preserve">rates and heightened banking globalization (McKinsey Global Institute, 2010). Between 2000 and 2008, the total debt levels for governments and consumers alike rose sharply in </w:t>
      </w:r>
      <w:r>
        <w:rPr>
          <w:rFonts w:ascii="Times New Roman" w:hAnsi="Times New Roman"/>
          <w:sz w:val="24"/>
          <w:szCs w:val="24"/>
          <w:lang w:val="en-US"/>
        </w:rPr>
        <w:t xml:space="preserve">the </w:t>
      </w:r>
      <w:r w:rsidRPr="00470E8F">
        <w:rPr>
          <w:rFonts w:ascii="Times New Roman" w:hAnsi="Times New Roman"/>
          <w:sz w:val="24"/>
          <w:szCs w:val="24"/>
          <w:lang w:val="en-US"/>
        </w:rPr>
        <w:t>U</w:t>
      </w:r>
      <w:r>
        <w:rPr>
          <w:rFonts w:ascii="Times New Roman" w:hAnsi="Times New Roman"/>
          <w:sz w:val="24"/>
          <w:szCs w:val="24"/>
          <w:lang w:val="en-US"/>
        </w:rPr>
        <w:t>.</w:t>
      </w:r>
      <w:r w:rsidRPr="00470E8F">
        <w:rPr>
          <w:rFonts w:ascii="Times New Roman" w:hAnsi="Times New Roman"/>
          <w:sz w:val="24"/>
          <w:szCs w:val="24"/>
          <w:lang w:val="en-US"/>
        </w:rPr>
        <w:t>S</w:t>
      </w:r>
      <w:r>
        <w:rPr>
          <w:rFonts w:ascii="Times New Roman" w:hAnsi="Times New Roman"/>
          <w:sz w:val="24"/>
          <w:szCs w:val="24"/>
          <w:lang w:val="en-US"/>
        </w:rPr>
        <w:t>.</w:t>
      </w:r>
      <w:r w:rsidRPr="00470E8F">
        <w:rPr>
          <w:rFonts w:ascii="Times New Roman" w:hAnsi="Times New Roman"/>
          <w:sz w:val="24"/>
          <w:szCs w:val="24"/>
          <w:lang w:val="en-US"/>
        </w:rPr>
        <w:t xml:space="preserve">, Japan and other major European nations (McKinsey Global Institute, 2012).  </w:t>
      </w:r>
    </w:p>
    <w:p w:rsidR="00337CA6" w:rsidRDefault="00337CA6" w:rsidP="00A47F51">
      <w:pPr>
        <w:spacing w:line="480" w:lineRule="auto"/>
        <w:jc w:val="both"/>
        <w:rPr>
          <w:rFonts w:ascii="Times New Roman" w:hAnsi="Times New Roman"/>
          <w:b/>
          <w:sz w:val="24"/>
          <w:szCs w:val="24"/>
          <w:lang w:val="en-US"/>
        </w:rPr>
      </w:pPr>
    </w:p>
    <w:p w:rsidR="002D6D63" w:rsidRPr="002D6D63" w:rsidRDefault="002D6D63" w:rsidP="002D6D63">
      <w:pPr>
        <w:spacing w:line="480" w:lineRule="auto"/>
        <w:jc w:val="both"/>
        <w:rPr>
          <w:rFonts w:ascii="Times New Roman" w:hAnsi="Times New Roman"/>
          <w:b/>
          <w:sz w:val="24"/>
          <w:szCs w:val="24"/>
          <w:lang w:val="en-US"/>
        </w:rPr>
      </w:pPr>
      <w:r w:rsidRPr="002D6D63">
        <w:rPr>
          <w:rFonts w:ascii="Times New Roman" w:hAnsi="Times New Roman"/>
          <w:b/>
          <w:sz w:val="24"/>
          <w:szCs w:val="24"/>
          <w:lang w:val="en-US"/>
        </w:rPr>
        <w:t>IV. Methodology</w:t>
      </w:r>
    </w:p>
    <w:p w:rsidR="002D6D63" w:rsidRPr="002D6D63" w:rsidRDefault="002D6D63" w:rsidP="002D6D63">
      <w:pPr>
        <w:spacing w:line="480" w:lineRule="auto"/>
        <w:jc w:val="both"/>
        <w:rPr>
          <w:rFonts w:ascii="Times New Roman" w:eastAsia="Calibri" w:hAnsi="Times New Roman" w:cs="Times New Roman"/>
          <w:i/>
          <w:sz w:val="24"/>
          <w:szCs w:val="24"/>
          <w:lang w:val="en-US" w:eastAsia="en-US"/>
        </w:rPr>
      </w:pPr>
      <w:r w:rsidRPr="002D6D63">
        <w:rPr>
          <w:rFonts w:ascii="Times New Roman" w:eastAsia="Calibri" w:hAnsi="Times New Roman" w:cs="Times New Roman"/>
          <w:i/>
          <w:sz w:val="24"/>
          <w:szCs w:val="24"/>
          <w:lang w:val="en-US" w:eastAsia="en-US"/>
        </w:rPr>
        <w:t xml:space="preserve">4.1 Stationarity and </w:t>
      </w:r>
      <w:proofErr w:type="spellStart"/>
      <w:r w:rsidRPr="002D6D63">
        <w:rPr>
          <w:rFonts w:ascii="Times New Roman" w:eastAsia="Calibri" w:hAnsi="Times New Roman" w:cs="Times New Roman"/>
          <w:i/>
          <w:sz w:val="24"/>
          <w:szCs w:val="24"/>
          <w:lang w:val="en-US" w:eastAsia="en-US"/>
        </w:rPr>
        <w:t>Cointegration</w:t>
      </w:r>
      <w:proofErr w:type="spellEnd"/>
    </w:p>
    <w:p w:rsidR="002D6D63" w:rsidRPr="002D6D63" w:rsidRDefault="002D6D63" w:rsidP="002D6D63">
      <w:pPr>
        <w:spacing w:line="480" w:lineRule="auto"/>
        <w:ind w:firstLine="426"/>
        <w:jc w:val="both"/>
        <w:rPr>
          <w:rFonts w:ascii="Times New Roman" w:eastAsia="Calibri" w:hAnsi="Times New Roman" w:cs="Times New Roman"/>
          <w:sz w:val="24"/>
          <w:szCs w:val="24"/>
          <w:lang w:val="en-US" w:eastAsia="en-US"/>
        </w:rPr>
      </w:pPr>
      <w:r w:rsidRPr="002D6D63">
        <w:rPr>
          <w:rFonts w:ascii="Times New Roman" w:eastAsia="Calibri" w:hAnsi="Times New Roman" w:cs="Times New Roman"/>
          <w:sz w:val="24"/>
          <w:szCs w:val="24"/>
          <w:lang w:val="en-US" w:eastAsia="en-US"/>
        </w:rPr>
        <w:t xml:space="preserve">Before starting our investigation, we first examine the properties of time series, namely unit roots and </w:t>
      </w:r>
      <w:proofErr w:type="spellStart"/>
      <w:r w:rsidRPr="002D6D63">
        <w:rPr>
          <w:rFonts w:ascii="Times New Roman" w:eastAsia="Calibri" w:hAnsi="Times New Roman" w:cs="Times New Roman"/>
          <w:sz w:val="24"/>
          <w:szCs w:val="24"/>
          <w:lang w:val="en-US" w:eastAsia="en-US"/>
        </w:rPr>
        <w:t>cointegration</w:t>
      </w:r>
      <w:proofErr w:type="spellEnd"/>
      <w:r w:rsidRPr="002D6D63">
        <w:rPr>
          <w:rFonts w:ascii="Times New Roman" w:eastAsia="Calibri" w:hAnsi="Times New Roman" w:cs="Times New Roman"/>
          <w:sz w:val="24"/>
          <w:szCs w:val="24"/>
          <w:lang w:val="en-US" w:eastAsia="en-US"/>
        </w:rPr>
        <w:t xml:space="preserve"> in order to avoid spurious results later on. Checking for unit </w:t>
      </w:r>
      <w:proofErr w:type="gramStart"/>
      <w:r w:rsidRPr="002D6D63">
        <w:rPr>
          <w:rFonts w:ascii="Times New Roman" w:eastAsia="Calibri" w:hAnsi="Times New Roman" w:cs="Times New Roman"/>
          <w:sz w:val="24"/>
          <w:szCs w:val="24"/>
          <w:lang w:val="en-US" w:eastAsia="en-US"/>
        </w:rPr>
        <w:t xml:space="preserve">roots </w:t>
      </w:r>
      <w:r w:rsidR="00F66DDC">
        <w:rPr>
          <w:rFonts w:ascii="Times New Roman" w:eastAsia="Calibri" w:hAnsi="Times New Roman" w:cs="Times New Roman"/>
          <w:sz w:val="24"/>
          <w:szCs w:val="24"/>
          <w:lang w:val="en-US" w:eastAsia="en-US"/>
        </w:rPr>
        <w:t>i</w:t>
      </w:r>
      <w:r w:rsidRPr="002D6D63">
        <w:rPr>
          <w:rFonts w:ascii="Times New Roman" w:eastAsia="Calibri" w:hAnsi="Times New Roman" w:cs="Times New Roman"/>
          <w:sz w:val="24"/>
          <w:szCs w:val="24"/>
          <w:lang w:val="en-US" w:eastAsia="en-US"/>
        </w:rPr>
        <w:t>s</w:t>
      </w:r>
      <w:proofErr w:type="gramEnd"/>
      <w:r w:rsidRPr="002D6D63">
        <w:rPr>
          <w:rFonts w:ascii="Times New Roman" w:eastAsia="Calibri" w:hAnsi="Times New Roman" w:cs="Times New Roman"/>
          <w:sz w:val="24"/>
          <w:szCs w:val="24"/>
          <w:lang w:val="en-US" w:eastAsia="en-US"/>
        </w:rPr>
        <w:t xml:space="preserve"> done by applying the Augmented Dickey Fuller (Dickey &amp; Fuller, 1981) test to each series separately, namely S&amp;P 500, MSCI World, MSCI World excl. U.S., WTI and World Government Bond Index. The test is performed for data expressed in levels, first differences and log returns. Schwarz Information Criterion (Schwarz, 1978) is used to determine the lag length for the test, which also includes a deterministic trend. If the unit root testing reveals, for instance, that WTI and S&amp;P 500 are non-stationary in the levels, it becomes imperative to examine whether they are </w:t>
      </w:r>
      <w:proofErr w:type="spellStart"/>
      <w:r w:rsidRPr="002D6D63">
        <w:rPr>
          <w:rFonts w:ascii="Times New Roman" w:eastAsia="Calibri" w:hAnsi="Times New Roman" w:cs="Times New Roman"/>
          <w:sz w:val="24"/>
          <w:szCs w:val="24"/>
          <w:lang w:val="en-US" w:eastAsia="en-US"/>
        </w:rPr>
        <w:t>cointegrated</w:t>
      </w:r>
      <w:proofErr w:type="spellEnd"/>
      <w:r w:rsidRPr="002D6D63">
        <w:rPr>
          <w:rFonts w:ascii="Times New Roman" w:eastAsia="Calibri" w:hAnsi="Times New Roman" w:cs="Times New Roman"/>
          <w:sz w:val="24"/>
          <w:szCs w:val="24"/>
          <w:lang w:val="en-US" w:eastAsia="en-US"/>
        </w:rPr>
        <w:t xml:space="preserve">, or in other words, whether their linear combination is stationary. In economic terms, </w:t>
      </w:r>
      <w:proofErr w:type="spellStart"/>
      <w:r w:rsidRPr="002D6D63">
        <w:rPr>
          <w:rFonts w:ascii="Times New Roman" w:eastAsia="Calibri" w:hAnsi="Times New Roman" w:cs="Times New Roman"/>
          <w:sz w:val="24"/>
          <w:szCs w:val="24"/>
          <w:lang w:val="en-US" w:eastAsia="en-US"/>
        </w:rPr>
        <w:t>cointegration</w:t>
      </w:r>
      <w:proofErr w:type="spellEnd"/>
      <w:r w:rsidRPr="002D6D63">
        <w:rPr>
          <w:rFonts w:ascii="Times New Roman" w:eastAsia="Calibri" w:hAnsi="Times New Roman" w:cs="Times New Roman"/>
          <w:sz w:val="24"/>
          <w:szCs w:val="24"/>
          <w:lang w:val="en-US" w:eastAsia="en-US"/>
        </w:rPr>
        <w:t xml:space="preserve"> implies an equilibrium or long-term relationship in which assets or variables can exhibit similar movements over time due to shared or collective factors (Granger, 1981; Engle and Granger, 1987). The presence of such a relationship may have significant financial implications in the form of diversification benefits reduction (</w:t>
      </w:r>
      <w:proofErr w:type="spellStart"/>
      <w:r w:rsidRPr="002D6D63">
        <w:rPr>
          <w:rFonts w:ascii="Times New Roman" w:eastAsia="Calibri" w:hAnsi="Times New Roman" w:cs="Times New Roman"/>
          <w:sz w:val="24"/>
          <w:szCs w:val="24"/>
          <w:lang w:val="en-US" w:eastAsia="en-US"/>
        </w:rPr>
        <w:t>Hammoudeh</w:t>
      </w:r>
      <w:proofErr w:type="spellEnd"/>
      <w:r w:rsidRPr="002D6D63">
        <w:rPr>
          <w:rFonts w:ascii="Times New Roman" w:eastAsia="Calibri" w:hAnsi="Times New Roman" w:cs="Times New Roman"/>
          <w:sz w:val="24"/>
          <w:szCs w:val="24"/>
          <w:lang w:val="en-US" w:eastAsia="en-US"/>
        </w:rPr>
        <w:t xml:space="preserve"> </w:t>
      </w:r>
      <w:r w:rsidRPr="002D6D63">
        <w:rPr>
          <w:rFonts w:ascii="Times New Roman" w:eastAsia="Calibri" w:hAnsi="Times New Roman" w:cs="Times New Roman"/>
          <w:i/>
          <w:sz w:val="24"/>
          <w:szCs w:val="24"/>
          <w:lang w:val="en-US" w:eastAsia="en-US"/>
        </w:rPr>
        <w:t>et al.</w:t>
      </w:r>
      <w:r w:rsidRPr="002D6D63">
        <w:rPr>
          <w:rFonts w:ascii="Times New Roman" w:eastAsia="Calibri" w:hAnsi="Times New Roman" w:cs="Times New Roman"/>
          <w:sz w:val="24"/>
          <w:szCs w:val="24"/>
          <w:lang w:val="en-US" w:eastAsia="en-US"/>
        </w:rPr>
        <w:t xml:space="preserve">, 2004). The absence of </w:t>
      </w:r>
      <w:proofErr w:type="spellStart"/>
      <w:r w:rsidRPr="002D6D63">
        <w:rPr>
          <w:rFonts w:ascii="Times New Roman" w:eastAsia="Calibri" w:hAnsi="Times New Roman" w:cs="Times New Roman"/>
          <w:sz w:val="24"/>
          <w:szCs w:val="24"/>
          <w:lang w:val="en-US" w:eastAsia="en-US"/>
        </w:rPr>
        <w:t>cointegration</w:t>
      </w:r>
      <w:proofErr w:type="spellEnd"/>
      <w:r w:rsidRPr="002D6D63">
        <w:rPr>
          <w:rFonts w:ascii="Times New Roman" w:eastAsia="Calibri" w:hAnsi="Times New Roman" w:cs="Times New Roman"/>
          <w:sz w:val="24"/>
          <w:szCs w:val="24"/>
          <w:lang w:val="en-US" w:eastAsia="en-US"/>
        </w:rPr>
        <w:t xml:space="preserve"> can empower our later safe haven investigation and provide a basis for good portfolio diversification, as the asset classes will be sufficiently distinct. </w:t>
      </w:r>
    </w:p>
    <w:p w:rsidR="002D6D63" w:rsidRPr="002D6D63" w:rsidRDefault="002D6D63" w:rsidP="002D6D63">
      <w:pPr>
        <w:spacing w:line="480" w:lineRule="auto"/>
        <w:ind w:firstLine="426"/>
        <w:jc w:val="both"/>
        <w:rPr>
          <w:rFonts w:ascii="Times New Roman" w:eastAsia="Calibri" w:hAnsi="Times New Roman" w:cs="Times New Roman"/>
          <w:sz w:val="24"/>
          <w:szCs w:val="24"/>
          <w:lang w:val="en-US" w:eastAsia="en-US"/>
        </w:rPr>
      </w:pPr>
      <w:r w:rsidRPr="002D6D63">
        <w:rPr>
          <w:rFonts w:ascii="Times New Roman" w:eastAsia="Calibri" w:hAnsi="Times New Roman" w:cs="Times New Roman"/>
          <w:sz w:val="24"/>
          <w:szCs w:val="24"/>
          <w:lang w:val="en-US" w:eastAsia="en-US"/>
        </w:rPr>
        <w:t xml:space="preserve">To test for the presence of </w:t>
      </w:r>
      <w:proofErr w:type="spellStart"/>
      <w:r w:rsidRPr="002D6D63">
        <w:rPr>
          <w:rFonts w:ascii="Times New Roman" w:eastAsia="Calibri" w:hAnsi="Times New Roman" w:cs="Times New Roman"/>
          <w:sz w:val="24"/>
          <w:szCs w:val="24"/>
          <w:lang w:val="en-US" w:eastAsia="en-US"/>
        </w:rPr>
        <w:t>cointegration</w:t>
      </w:r>
      <w:proofErr w:type="spellEnd"/>
      <w:r w:rsidRPr="002D6D63">
        <w:rPr>
          <w:rFonts w:ascii="Times New Roman" w:eastAsia="Calibri" w:hAnsi="Times New Roman" w:cs="Times New Roman"/>
          <w:sz w:val="24"/>
          <w:szCs w:val="24"/>
          <w:lang w:val="en-US" w:eastAsia="en-US"/>
        </w:rPr>
        <w:t xml:space="preserve">, let us consider the (2 × 1) system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Y</m:t>
            </m:r>
          </m:e>
          <m:sub>
            <m:r>
              <w:rPr>
                <w:rFonts w:ascii="Cambria Math" w:eastAsia="Calibri" w:hAnsi="Cambria Math" w:cs="Times New Roman"/>
                <w:sz w:val="24"/>
                <w:szCs w:val="24"/>
                <w:lang w:val="en-US" w:eastAsia="en-US"/>
              </w:rPr>
              <m:t>t</m:t>
            </m:r>
          </m:sub>
        </m:sSub>
      </m:oMath>
      <w:r w:rsidRPr="002D6D63">
        <w:rPr>
          <w:rFonts w:ascii="Times New Roman" w:eastAsia="Calibri" w:hAnsi="Times New Roman" w:cs="Times New Roman"/>
          <w:sz w:val="24"/>
          <w:szCs w:val="24"/>
          <w:lang w:val="en-US" w:eastAsia="en-US"/>
        </w:rPr>
        <w:t xml:space="preserve"> consisting of the WTI and S&amp;P 500 series, as well as two other (2 × 1) systems where S&amp;P 500 will be replaced sequentially with MSCI World and MSCI World excl. US. The aim is to find a </w:t>
      </w:r>
      <w:r w:rsidRPr="002D6D63">
        <w:rPr>
          <w:rFonts w:ascii="Times New Roman" w:eastAsia="Calibri" w:hAnsi="Times New Roman" w:cs="Times New Roman"/>
          <w:sz w:val="24"/>
          <w:szCs w:val="24"/>
          <w:lang w:val="en-US" w:eastAsia="en-US"/>
        </w:rPr>
        <w:lastRenderedPageBreak/>
        <w:t xml:space="preserve">model for each system. The question remains whether the series are </w:t>
      </w:r>
      <w:proofErr w:type="spellStart"/>
      <w:r w:rsidRPr="002D6D63">
        <w:rPr>
          <w:rFonts w:ascii="Times New Roman" w:eastAsia="Calibri" w:hAnsi="Times New Roman" w:cs="Times New Roman"/>
          <w:sz w:val="24"/>
          <w:szCs w:val="24"/>
          <w:lang w:val="en-US" w:eastAsia="en-US"/>
        </w:rPr>
        <w:t>cointegrated</w:t>
      </w:r>
      <w:proofErr w:type="spellEnd"/>
      <w:r w:rsidRPr="002D6D63">
        <w:rPr>
          <w:rFonts w:ascii="Times New Roman" w:eastAsia="Calibri" w:hAnsi="Times New Roman" w:cs="Times New Roman"/>
          <w:sz w:val="24"/>
          <w:szCs w:val="24"/>
          <w:lang w:val="en-US" w:eastAsia="en-US"/>
        </w:rPr>
        <w:t xml:space="preserve"> or not, therefore we run the ADF Engle-Granger residual based test (Engle &amp; Granger, 1987) twice, where sequentially each component of each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Y</m:t>
            </m:r>
          </m:e>
          <m:sub>
            <m:r>
              <w:rPr>
                <w:rFonts w:ascii="Cambria Math" w:eastAsia="Calibri" w:hAnsi="Cambria Math" w:cs="Times New Roman"/>
                <w:sz w:val="24"/>
                <w:szCs w:val="24"/>
                <w:lang w:val="en-US" w:eastAsia="en-US"/>
              </w:rPr>
              <m:t>it</m:t>
            </m:r>
          </m:sub>
        </m:sSub>
      </m:oMath>
      <w:r w:rsidRPr="002D6D63">
        <w:rPr>
          <w:rFonts w:ascii="Times New Roman" w:eastAsia="Calibri" w:hAnsi="Times New Roman" w:cs="Times New Roman"/>
          <w:sz w:val="24"/>
          <w:szCs w:val="24"/>
          <w:lang w:val="en-US" w:eastAsia="en-US"/>
        </w:rPr>
        <w:t xml:space="preserve"> for </w:t>
      </w:r>
      <w:proofErr w:type="spellStart"/>
      <w:r w:rsidRPr="002D6D63">
        <w:rPr>
          <w:rFonts w:ascii="Times New Roman" w:eastAsia="Calibri" w:hAnsi="Times New Roman" w:cs="Times New Roman"/>
          <w:i/>
          <w:sz w:val="24"/>
          <w:szCs w:val="24"/>
          <w:lang w:val="en-US" w:eastAsia="en-US"/>
        </w:rPr>
        <w:t>i</w:t>
      </w:r>
      <w:proofErr w:type="spellEnd"/>
      <w:r w:rsidRPr="002D6D63">
        <w:rPr>
          <w:rFonts w:ascii="Times New Roman" w:eastAsia="Calibri" w:hAnsi="Times New Roman" w:cs="Times New Roman"/>
          <w:sz w:val="24"/>
          <w:szCs w:val="24"/>
          <w:lang w:val="en-US" w:eastAsia="en-US"/>
        </w:rPr>
        <w:t xml:space="preserve"> = 1, 2 will be the left hand side variable. Similar testing is also performed for the </w:t>
      </w:r>
      <w:r w:rsidRPr="002D6D63">
        <w:rPr>
          <w:rFonts w:ascii="Times New Roman" w:hAnsi="Times New Roman" w:cs="Times New Roman"/>
          <w:color w:val="000000"/>
          <w:sz w:val="24"/>
          <w:szCs w:val="24"/>
          <w:lang w:val="en-US"/>
        </w:rPr>
        <w:t>World Government Bond Index</w:t>
      </w:r>
      <w:r w:rsidRPr="002D6D63">
        <w:rPr>
          <w:rFonts w:ascii="Times New Roman" w:hAnsi="Times New Roman" w:cs="Times New Roman"/>
          <w:color w:val="000000"/>
          <w:lang w:val="en-US"/>
        </w:rPr>
        <w:t xml:space="preserve">. In order to double check the results of the </w:t>
      </w:r>
      <w:r w:rsidRPr="002D6D63">
        <w:rPr>
          <w:rFonts w:ascii="Times New Roman" w:eastAsia="Calibri" w:hAnsi="Times New Roman" w:cs="Times New Roman"/>
          <w:sz w:val="24"/>
          <w:szCs w:val="24"/>
          <w:lang w:val="en-US" w:eastAsia="en-US"/>
        </w:rPr>
        <w:t>ADF Engle-Granger test, w</w:t>
      </w:r>
      <w:r w:rsidR="00FB6A4F">
        <w:rPr>
          <w:rFonts w:ascii="Times New Roman" w:eastAsia="Calibri" w:hAnsi="Times New Roman" w:cs="Times New Roman"/>
          <w:sz w:val="24"/>
          <w:szCs w:val="24"/>
          <w:lang w:val="en-US" w:eastAsia="en-US"/>
        </w:rPr>
        <w:t xml:space="preserve">e also perform </w:t>
      </w:r>
      <w:r w:rsidR="00B62C54">
        <w:rPr>
          <w:rFonts w:ascii="Times New Roman" w:eastAsia="Calibri" w:hAnsi="Times New Roman" w:cs="Times New Roman"/>
          <w:sz w:val="24"/>
          <w:szCs w:val="24"/>
          <w:lang w:val="en-US" w:eastAsia="en-US"/>
        </w:rPr>
        <w:t xml:space="preserve">the </w:t>
      </w:r>
      <w:r w:rsidR="00FB6A4F">
        <w:rPr>
          <w:rFonts w:ascii="Times New Roman" w:eastAsia="Calibri" w:hAnsi="Times New Roman" w:cs="Times New Roman"/>
          <w:sz w:val="24"/>
          <w:szCs w:val="24"/>
          <w:lang w:val="en-US" w:eastAsia="en-US"/>
        </w:rPr>
        <w:t>Johansen (1991) t</w:t>
      </w:r>
      <w:r w:rsidRPr="002D6D63">
        <w:rPr>
          <w:rFonts w:ascii="Times New Roman" w:eastAsia="Calibri" w:hAnsi="Times New Roman" w:cs="Times New Roman"/>
          <w:sz w:val="24"/>
          <w:szCs w:val="24"/>
          <w:lang w:val="en-US" w:eastAsia="en-US"/>
        </w:rPr>
        <w:t>race test of the null hypothesis of</w:t>
      </w:r>
      <w:r w:rsidR="00B62C54">
        <w:rPr>
          <w:rFonts w:ascii="Times New Roman" w:eastAsia="Calibri" w:hAnsi="Times New Roman" w:cs="Times New Roman"/>
          <w:sz w:val="24"/>
          <w:szCs w:val="24"/>
          <w:lang w:val="en-US" w:eastAsia="en-US"/>
        </w:rPr>
        <w:t xml:space="preserve"> the existence of</w:t>
      </w:r>
      <w:r w:rsidRPr="002D6D63">
        <w:rPr>
          <w:rFonts w:ascii="Times New Roman" w:eastAsia="Calibri" w:hAnsi="Times New Roman" w:cs="Times New Roman"/>
          <w:sz w:val="24"/>
          <w:szCs w:val="24"/>
          <w:lang w:val="en-US" w:eastAsia="en-US"/>
        </w:rPr>
        <w:t xml:space="preserve"> </w:t>
      </w:r>
      <w:r w:rsidRPr="002D6D63">
        <w:rPr>
          <w:rFonts w:ascii="Times New Roman" w:eastAsia="Calibri" w:hAnsi="Times New Roman" w:cs="Times New Roman"/>
          <w:i/>
          <w:sz w:val="24"/>
          <w:szCs w:val="24"/>
          <w:lang w:val="en-US" w:eastAsia="en-US"/>
        </w:rPr>
        <w:t>h</w:t>
      </w:r>
      <w:r w:rsidRPr="002D6D63">
        <w:rPr>
          <w:rFonts w:ascii="Times New Roman" w:eastAsia="Calibri" w:hAnsi="Times New Roman" w:cs="Times New Roman"/>
          <w:sz w:val="24"/>
          <w:szCs w:val="24"/>
          <w:lang w:val="en-US" w:eastAsia="en-US"/>
        </w:rPr>
        <w:t xml:space="preserve"> </w:t>
      </w:r>
      <w:proofErr w:type="spellStart"/>
      <w:r w:rsidRPr="002D6D63">
        <w:rPr>
          <w:rFonts w:ascii="Times New Roman" w:eastAsia="Calibri" w:hAnsi="Times New Roman" w:cs="Times New Roman"/>
          <w:sz w:val="24"/>
          <w:szCs w:val="24"/>
          <w:lang w:val="en-US" w:eastAsia="en-US"/>
        </w:rPr>
        <w:t>cointegrating</w:t>
      </w:r>
      <w:proofErr w:type="spellEnd"/>
      <w:r w:rsidRPr="002D6D63">
        <w:rPr>
          <w:rFonts w:ascii="Times New Roman" w:eastAsia="Calibri" w:hAnsi="Times New Roman" w:cs="Times New Roman"/>
          <w:sz w:val="24"/>
          <w:szCs w:val="24"/>
          <w:lang w:val="en-US" w:eastAsia="en-US"/>
        </w:rPr>
        <w:t xml:space="preserve"> relations against the alternative of no restrictions.</w:t>
      </w:r>
    </w:p>
    <w:p w:rsidR="002D6D63" w:rsidRPr="002D6D63" w:rsidRDefault="002D6D63" w:rsidP="002D6D63">
      <w:pPr>
        <w:spacing w:line="480" w:lineRule="auto"/>
        <w:jc w:val="both"/>
        <w:rPr>
          <w:rFonts w:ascii="Times New Roman" w:hAnsi="Times New Roman" w:cs="Times New Roman"/>
          <w:i/>
          <w:sz w:val="24"/>
          <w:szCs w:val="24"/>
          <w:lang w:val="en-US"/>
        </w:rPr>
      </w:pPr>
      <w:r w:rsidRPr="002D6D63">
        <w:rPr>
          <w:rFonts w:ascii="Times New Roman" w:hAnsi="Times New Roman" w:cs="Times New Roman"/>
          <w:i/>
          <w:sz w:val="24"/>
          <w:szCs w:val="24"/>
          <w:lang w:val="en-US"/>
        </w:rPr>
        <w:t>4.2 Unconditional Effect of Political Crises</w:t>
      </w:r>
    </w:p>
    <w:p w:rsidR="002D6D63" w:rsidRPr="002D6D63" w:rsidRDefault="002D6D63" w:rsidP="002D6D63">
      <w:pPr>
        <w:spacing w:line="480" w:lineRule="auto"/>
        <w:ind w:firstLine="426"/>
        <w:jc w:val="both"/>
        <w:rPr>
          <w:rFonts w:ascii="Times New Roman" w:eastAsia="Calibri" w:hAnsi="Times New Roman" w:cs="Times New Roman"/>
          <w:sz w:val="24"/>
          <w:szCs w:val="24"/>
          <w:lang w:val="en-US" w:eastAsia="en-US"/>
        </w:rPr>
      </w:pPr>
      <w:r w:rsidRPr="002D6D63">
        <w:rPr>
          <w:rFonts w:ascii="Times New Roman" w:eastAsia="Calibri" w:hAnsi="Times New Roman" w:cs="Times New Roman"/>
          <w:sz w:val="24"/>
          <w:szCs w:val="24"/>
          <w:lang w:val="en-US" w:eastAsia="en-US"/>
        </w:rPr>
        <w:t xml:space="preserve">Quantifying the unconditional impact of political crises without controlling for cross-dependencies between variables already provides important insights and serves as a basis for the subsequent safe haven econometric modeling. We analyze 101 daily intervals centered on the trigger dates classified as category 6 to 9 according to the ICB dataset and capturing 50 daily intervals before each trigger date, 50 thereafter and the trigger day itself. Figure II illustrates the timing sequence of the event study.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I</m:t>
            </m:r>
          </m:e>
          <m:sub>
            <m:r>
              <w:rPr>
                <w:rFonts w:ascii="Cambria Math" w:eastAsia="Calibri" w:hAnsi="Cambria Math" w:cs="Times New Roman"/>
                <w:sz w:val="24"/>
                <w:szCs w:val="24"/>
                <w:lang w:val="en-US" w:eastAsia="en-US"/>
              </w:rPr>
              <m:t>o</m:t>
            </m:r>
          </m:sub>
        </m:sSub>
      </m:oMath>
      <w:r w:rsidRPr="002D6D63">
        <w:rPr>
          <w:rFonts w:ascii="Times New Roman" w:eastAsia="Calibri" w:hAnsi="Times New Roman" w:cs="Times New Roman"/>
          <w:sz w:val="24"/>
          <w:szCs w:val="24"/>
          <w:lang w:val="en-US" w:eastAsia="en-US"/>
        </w:rPr>
        <w:t xml:space="preserve"> </w:t>
      </w:r>
      <w:proofErr w:type="gramStart"/>
      <w:r w:rsidRPr="002D6D63">
        <w:rPr>
          <w:rFonts w:ascii="Times New Roman" w:eastAsia="Calibri" w:hAnsi="Times New Roman" w:cs="Times New Roman"/>
          <w:sz w:val="24"/>
          <w:szCs w:val="24"/>
          <w:lang w:val="en-US" w:eastAsia="en-US"/>
        </w:rPr>
        <w:t>denotes</w:t>
      </w:r>
      <w:proofErr w:type="gramEnd"/>
      <w:r w:rsidRPr="002D6D63">
        <w:rPr>
          <w:rFonts w:ascii="Times New Roman" w:eastAsia="Calibri" w:hAnsi="Times New Roman" w:cs="Times New Roman"/>
          <w:sz w:val="24"/>
          <w:szCs w:val="24"/>
          <w:lang w:val="en-US" w:eastAsia="en-US"/>
        </w:rPr>
        <w:t xml:space="preserve"> the event date or in other words the conflict trigger date, whereas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1</m:t>
            </m:r>
          </m:sub>
        </m:sSub>
        <m:r>
          <w:rPr>
            <w:rFonts w:ascii="Cambria Math" w:eastAsia="Calibri" w:hAnsi="Cambria Math" w:cs="Times New Roman"/>
            <w:sz w:val="24"/>
            <w:szCs w:val="24"/>
            <w:lang w:val="en-US" w:eastAsia="en-US"/>
          </w:rPr>
          <m:t xml:space="preserve"> </m:t>
        </m:r>
        <m:r>
          <m:rPr>
            <m:sty m:val="p"/>
          </m:rPr>
          <w:rPr>
            <w:rFonts w:ascii="Cambria Math" w:eastAsia="Calibri" w:hAnsi="Cambria Math" w:cs="Times New Roman"/>
            <w:sz w:val="24"/>
            <w:szCs w:val="24"/>
            <w:lang w:val="en-US" w:eastAsia="en-US"/>
          </w:rPr>
          <m:t>and</m:t>
        </m:r>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2</m:t>
            </m:r>
          </m:sub>
        </m:sSub>
        <m:r>
          <w:rPr>
            <w:rFonts w:ascii="Cambria Math" w:eastAsia="Calibri" w:hAnsi="Cambria Math" w:cs="Times New Roman"/>
            <w:sz w:val="24"/>
            <w:szCs w:val="24"/>
            <w:lang w:val="en-US" w:eastAsia="en-US"/>
          </w:rPr>
          <m:t xml:space="preserve"> </m:t>
        </m:r>
      </m:oMath>
      <w:r w:rsidRPr="002D6D63">
        <w:rPr>
          <w:rFonts w:ascii="Times New Roman" w:eastAsia="Calibri" w:hAnsi="Times New Roman" w:cs="Times New Roman"/>
          <w:sz w:val="24"/>
          <w:szCs w:val="24"/>
          <w:lang w:val="en-US" w:eastAsia="en-US"/>
        </w:rPr>
        <w:t xml:space="preserve"> are the number of days before and after the event date, respectively.</w:t>
      </w:r>
    </w:p>
    <w:p w:rsidR="002D6D63" w:rsidRPr="002D6D63" w:rsidRDefault="002D6D63" w:rsidP="002D6D63">
      <w:pPr>
        <w:spacing w:line="480" w:lineRule="auto"/>
        <w:jc w:val="center"/>
        <w:rPr>
          <w:rFonts w:ascii="Times New Roman" w:eastAsia="Calibri" w:hAnsi="Times New Roman" w:cs="Times New Roman"/>
          <w:sz w:val="24"/>
          <w:szCs w:val="24"/>
          <w:lang w:val="en-US" w:eastAsia="en-US"/>
        </w:rPr>
      </w:pPr>
      <w:r w:rsidRPr="002D6D63">
        <w:rPr>
          <w:rFonts w:ascii="Times New Roman" w:eastAsia="Calibri" w:hAnsi="Times New Roman" w:cs="Times New Roman"/>
          <w:sz w:val="24"/>
          <w:szCs w:val="24"/>
          <w:lang w:val="en-US" w:eastAsia="en-US"/>
        </w:rPr>
        <w:t>[Insert Figure II about here]</w:t>
      </w:r>
    </w:p>
    <w:p w:rsidR="002D6D63" w:rsidRPr="002D6D63" w:rsidRDefault="002D6D63" w:rsidP="002D6D63">
      <w:pPr>
        <w:spacing w:line="480" w:lineRule="auto"/>
        <w:ind w:firstLine="426"/>
        <w:jc w:val="both"/>
        <w:rPr>
          <w:rFonts w:ascii="Times New Roman" w:eastAsia="Calibri" w:hAnsi="Times New Roman" w:cs="Times New Roman"/>
          <w:sz w:val="24"/>
          <w:szCs w:val="24"/>
          <w:lang w:val="en-US" w:eastAsia="en-US"/>
        </w:rPr>
      </w:pPr>
      <w:r w:rsidRPr="002D6D63">
        <w:rPr>
          <w:rFonts w:ascii="Times New Roman" w:eastAsia="Calibri" w:hAnsi="Times New Roman" w:cs="Times New Roman"/>
          <w:sz w:val="24"/>
          <w:szCs w:val="24"/>
          <w:lang w:val="en-US" w:eastAsia="en-US"/>
        </w:rPr>
        <w:t xml:space="preserve">To capture and quantify the behavior of equity prices, crude oil and bonds around the starting dates of conflicts, we employ an event study framework as outlined in Campbell </w:t>
      </w:r>
      <w:r w:rsidRPr="002D6D63">
        <w:rPr>
          <w:rFonts w:ascii="Times New Roman" w:eastAsia="Calibri" w:hAnsi="Times New Roman" w:cs="Times New Roman"/>
          <w:i/>
          <w:sz w:val="24"/>
          <w:szCs w:val="24"/>
          <w:lang w:val="en-US" w:eastAsia="en-US"/>
        </w:rPr>
        <w:t>et al.</w:t>
      </w:r>
      <w:r w:rsidRPr="002D6D63">
        <w:rPr>
          <w:rFonts w:ascii="Times New Roman" w:eastAsia="Calibri" w:hAnsi="Times New Roman" w:cs="Times New Roman"/>
          <w:sz w:val="24"/>
          <w:szCs w:val="24"/>
          <w:lang w:val="en-US" w:eastAsia="en-US"/>
        </w:rPr>
        <w:t xml:space="preserve"> (1997). As a model for “normal” returns we assume the constant mean return model:</w:t>
      </w:r>
    </w:p>
    <w:p w:rsidR="002D6D63" w:rsidRPr="002D6D63" w:rsidRDefault="009A0C3B" w:rsidP="002D6D63">
      <w:pPr>
        <w:tabs>
          <w:tab w:val="left" w:pos="8647"/>
        </w:tabs>
        <w:spacing w:line="480" w:lineRule="auto"/>
        <w:ind w:left="3119" w:right="-2"/>
        <w:jc w:val="both"/>
        <w:rPr>
          <w:rFonts w:ascii="Times New Roman" w:eastAsia="Calibri" w:hAnsi="Times New Roman" w:cs="Times New Roman"/>
          <w:sz w:val="24"/>
          <w:szCs w:val="24"/>
          <w:lang w:val="en-US" w:eastAsia="en-US"/>
        </w:rPr>
      </w:pPr>
      <m:oMath>
        <m:sSub>
          <m:sSubPr>
            <m:ctrlPr>
              <w:rPr>
                <w:rFonts w:ascii="Cambria Math" w:eastAsia="Calibri" w:hAnsi="Cambria Math" w:cs="Times New Roman"/>
                <w:i/>
                <w:sz w:val="24"/>
                <w:szCs w:val="24"/>
                <w:lang w:val="en-US" w:eastAsia="en-US"/>
              </w:rPr>
            </m:ctrlPr>
          </m:sSub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it</m:t>
                </m:r>
              </m:sub>
            </m:sSub>
            <m:r>
              <w:rPr>
                <w:rFonts w:ascii="Cambria Math" w:eastAsia="Calibri" w:hAnsi="Cambria Math" w:cs="Times New Roman"/>
                <w:sz w:val="24"/>
                <w:szCs w:val="24"/>
                <w:lang w:val="en-US" w:eastAsia="en-US"/>
              </w:rPr>
              <m:t>=α</m:t>
            </m:r>
          </m:e>
          <m:sub>
            <m:r>
              <w:rPr>
                <w:rFonts w:ascii="Cambria Math" w:eastAsia="Calibri" w:hAnsi="Cambria Math" w:cs="Times New Roman"/>
                <w:sz w:val="24"/>
                <w:szCs w:val="24"/>
                <w:lang w:val="en-US" w:eastAsia="en-US"/>
              </w:rPr>
              <m:t>i</m:t>
            </m:r>
          </m:sub>
        </m:sSub>
        <m:r>
          <w:rPr>
            <w:rFonts w:ascii="Cambria Math" w:eastAsia="Calibri" w:hAnsi="Cambria Math" w:cs="Times New Roman"/>
            <w:sz w:val="24"/>
            <w:szCs w:val="24"/>
            <w:lang w:val="en-US" w:eastAsia="en-US"/>
          </w:rPr>
          <m:t>+</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ε</m:t>
            </m:r>
          </m:e>
          <m:sub>
            <m:r>
              <w:rPr>
                <w:rFonts w:ascii="Cambria Math" w:eastAsia="Calibri" w:hAnsi="Cambria Math" w:cs="Times New Roman"/>
                <w:sz w:val="24"/>
                <w:szCs w:val="24"/>
                <w:lang w:val="en-US" w:eastAsia="en-US"/>
              </w:rPr>
              <m:t>it</m:t>
            </m:r>
          </m:sub>
        </m:sSub>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ε</m:t>
            </m:r>
          </m:e>
          <m:sub>
            <m:r>
              <w:rPr>
                <w:rFonts w:ascii="Cambria Math" w:eastAsia="Calibri" w:hAnsi="Cambria Math" w:cs="Times New Roman"/>
                <w:sz w:val="24"/>
                <w:szCs w:val="24"/>
                <w:lang w:val="en-US" w:eastAsia="en-US"/>
              </w:rPr>
              <m:t>it</m:t>
            </m:r>
          </m:sub>
        </m:sSub>
        <m:r>
          <w:rPr>
            <w:rFonts w:ascii="Cambria Math" w:eastAsia="Calibri" w:hAnsi="Cambria Math" w:cs="Times New Roman"/>
            <w:sz w:val="24"/>
            <w:szCs w:val="24"/>
            <w:lang w:val="en-US" w:eastAsia="en-US"/>
          </w:rPr>
          <m:t>~ N(0,</m:t>
        </m:r>
        <m:sSubSup>
          <m:sSubSupPr>
            <m:ctrlPr>
              <w:rPr>
                <w:rFonts w:ascii="Cambria Math" w:eastAsia="Calibri" w:hAnsi="Cambria Math" w:cs="Times New Roman"/>
                <w:i/>
                <w:sz w:val="24"/>
                <w:szCs w:val="24"/>
                <w:lang w:val="en-US" w:eastAsia="en-US"/>
              </w:rPr>
            </m:ctrlPr>
          </m:sSubSupPr>
          <m:e>
            <m:r>
              <w:rPr>
                <w:rFonts w:ascii="Cambria Math" w:eastAsia="Calibri" w:hAnsi="Cambria Math" w:cs="Times New Roman"/>
                <w:sz w:val="24"/>
                <w:szCs w:val="24"/>
                <w:lang w:val="en-US" w:eastAsia="en-US"/>
              </w:rPr>
              <m:t>σ</m:t>
            </m:r>
          </m:e>
          <m:sub>
            <m:r>
              <w:rPr>
                <w:rFonts w:ascii="Cambria Math" w:eastAsia="Calibri" w:hAnsi="Cambria Math" w:cs="Times New Roman"/>
                <w:sz w:val="24"/>
                <w:szCs w:val="24"/>
                <w:lang w:val="en-US" w:eastAsia="en-US"/>
              </w:rPr>
              <m:t>i</m:t>
            </m:r>
          </m:sub>
          <m:sup>
            <m:r>
              <w:rPr>
                <w:rFonts w:ascii="Cambria Math" w:eastAsia="Calibri" w:hAnsi="Cambria Math" w:cs="Times New Roman"/>
                <w:sz w:val="24"/>
                <w:szCs w:val="24"/>
                <w:lang w:val="en-US" w:eastAsia="en-US"/>
              </w:rPr>
              <m:t>2</m:t>
            </m:r>
          </m:sup>
        </m:sSubSup>
        <m:r>
          <w:rPr>
            <w:rFonts w:ascii="Cambria Math" w:eastAsia="Calibri" w:hAnsi="Cambria Math" w:cs="Times New Roman"/>
            <w:sz w:val="24"/>
            <w:szCs w:val="24"/>
            <w:lang w:val="en-US" w:eastAsia="en-US"/>
          </w:rPr>
          <m:t xml:space="preserve"> </m:t>
        </m:r>
        <m:r>
          <w:rPr>
            <w:rFonts w:ascii="Cambria Math" w:eastAsia="Times New Roman" w:hAnsi="Cambria Math" w:cs="Times New Roman"/>
            <w:sz w:val="24"/>
            <w:szCs w:val="24"/>
            <w:lang w:val="en-US" w:eastAsia="en-US"/>
          </w:rPr>
          <m:t>)</m:t>
        </m:r>
      </m:oMath>
      <w:r w:rsidR="002D6D63" w:rsidRPr="002D6D63">
        <w:rPr>
          <w:rFonts w:ascii="Times New Roman" w:eastAsia="Times New Roman" w:hAnsi="Times New Roman" w:cs="Times New Roman"/>
          <w:sz w:val="24"/>
          <w:szCs w:val="24"/>
          <w:lang w:val="en-US" w:eastAsia="en-US"/>
        </w:rPr>
        <w:t xml:space="preserve">    </w:t>
      </w:r>
      <w:r w:rsidR="002D6D63" w:rsidRPr="002D6D63">
        <w:rPr>
          <w:rFonts w:ascii="Times New Roman" w:eastAsia="Times New Roman" w:hAnsi="Times New Roman" w:cs="Times New Roman"/>
          <w:sz w:val="24"/>
          <w:szCs w:val="24"/>
          <w:lang w:val="en-US" w:eastAsia="en-US"/>
        </w:rPr>
        <w:tab/>
        <w:t xml:space="preserve">(1)                                </w:t>
      </w:r>
    </w:p>
    <w:p w:rsidR="002D6D63" w:rsidRPr="002D6D63" w:rsidRDefault="002D6D63" w:rsidP="002D6D63">
      <w:pPr>
        <w:spacing w:line="480" w:lineRule="auto"/>
        <w:jc w:val="both"/>
        <w:rPr>
          <w:rFonts w:ascii="Times New Roman" w:eastAsia="Calibri" w:hAnsi="Times New Roman" w:cs="Times New Roman"/>
          <w:sz w:val="24"/>
          <w:szCs w:val="24"/>
          <w:lang w:val="en-US" w:eastAsia="en-US"/>
        </w:rPr>
      </w:pPr>
      <w:proofErr w:type="gramStart"/>
      <w:r w:rsidRPr="002D6D63">
        <w:rPr>
          <w:rFonts w:ascii="Times New Roman" w:eastAsia="Calibri" w:hAnsi="Times New Roman" w:cs="Times New Roman"/>
          <w:sz w:val="24"/>
          <w:szCs w:val="24"/>
          <w:lang w:val="en-US" w:eastAsia="en-US"/>
        </w:rPr>
        <w:t>where</w:t>
      </w:r>
      <w:proofErr w:type="gramEnd"/>
      <w:r w:rsidRPr="002D6D63">
        <w:rPr>
          <w:rFonts w:ascii="Times New Roman" w:eastAsia="Calibri" w:hAnsi="Times New Roman" w:cs="Times New Roman"/>
          <w:i/>
          <w:sz w:val="24"/>
          <w:szCs w:val="24"/>
          <w:lang w:val="en-US" w:eastAsia="en-US"/>
        </w:rPr>
        <w:t xml:space="preserve"> t</w:t>
      </w:r>
      <w:r w:rsidRPr="002D6D63">
        <w:rPr>
          <w:rFonts w:ascii="Times New Roman" w:eastAsia="Calibri" w:hAnsi="Times New Roman" w:cs="Times New Roman"/>
          <w:sz w:val="24"/>
          <w:szCs w:val="24"/>
          <w:lang w:val="en-US" w:eastAsia="en-US"/>
        </w:rPr>
        <w:t xml:space="preserve"> denotes the underlying daily intervals,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α</m:t>
            </m:r>
          </m:e>
          <m:sub>
            <m:r>
              <w:rPr>
                <w:rFonts w:ascii="Cambria Math" w:eastAsia="Calibri" w:hAnsi="Cambria Math" w:cs="Times New Roman"/>
                <w:sz w:val="24"/>
                <w:szCs w:val="24"/>
                <w:lang w:val="en-US" w:eastAsia="en-US"/>
              </w:rPr>
              <m:t>i</m:t>
            </m:r>
          </m:sub>
        </m:sSub>
        <m:r>
          <w:rPr>
            <w:rFonts w:ascii="Cambria Math" w:eastAsia="Calibri" w:hAnsi="Cambria Math" w:cs="Times New Roman"/>
            <w:sz w:val="24"/>
            <w:szCs w:val="24"/>
            <w:lang w:val="en-US" w:eastAsia="en-US"/>
          </w:rPr>
          <m:t xml:space="preserve"> </m:t>
        </m:r>
      </m:oMath>
      <w:r w:rsidRPr="002D6D63">
        <w:rPr>
          <w:rFonts w:ascii="Times New Roman" w:eastAsia="Calibri" w:hAnsi="Times New Roman" w:cs="Times New Roman"/>
          <w:sz w:val="24"/>
          <w:szCs w:val="24"/>
          <w:lang w:val="en-US" w:eastAsia="en-US"/>
        </w:rPr>
        <w:t xml:space="preserve">is the constant or mean return of index </w:t>
      </w:r>
      <w:proofErr w:type="spellStart"/>
      <w:r w:rsidRPr="002D6D63">
        <w:rPr>
          <w:rFonts w:ascii="Times New Roman" w:eastAsia="Calibri" w:hAnsi="Times New Roman" w:cs="Times New Roman"/>
          <w:i/>
          <w:sz w:val="24"/>
          <w:szCs w:val="24"/>
          <w:lang w:val="en-US" w:eastAsia="en-US"/>
        </w:rPr>
        <w:t>i</w:t>
      </w:r>
      <w:proofErr w:type="spellEnd"/>
      <w:r w:rsidRPr="002D6D63">
        <w:rPr>
          <w:rFonts w:ascii="Times New Roman" w:eastAsia="Calibri" w:hAnsi="Times New Roman" w:cs="Times New Roman"/>
          <w:sz w:val="24"/>
          <w:szCs w:val="24"/>
          <w:lang w:val="en-US" w:eastAsia="en-US"/>
        </w:rPr>
        <w:t xml:space="preserve">, and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it</m:t>
            </m:r>
          </m:sub>
        </m:sSub>
      </m:oMath>
      <w:r w:rsidRPr="002D6D63">
        <w:rPr>
          <w:rFonts w:ascii="Times New Roman" w:eastAsia="Calibri" w:hAnsi="Times New Roman" w:cs="Times New Roman"/>
          <w:sz w:val="24"/>
          <w:szCs w:val="24"/>
          <w:lang w:val="en-US" w:eastAsia="en-US"/>
        </w:rPr>
        <w:t xml:space="preserve"> is the return of index </w:t>
      </w:r>
      <w:proofErr w:type="spellStart"/>
      <w:r w:rsidRPr="002D6D63">
        <w:rPr>
          <w:rFonts w:ascii="Times New Roman" w:eastAsia="Calibri" w:hAnsi="Times New Roman" w:cs="Times New Roman"/>
          <w:i/>
          <w:sz w:val="24"/>
          <w:szCs w:val="24"/>
          <w:lang w:val="en-US" w:eastAsia="en-US"/>
        </w:rPr>
        <w:t>i</w:t>
      </w:r>
      <w:proofErr w:type="spellEnd"/>
      <w:r w:rsidRPr="002D6D63">
        <w:rPr>
          <w:rFonts w:ascii="Times New Roman" w:eastAsia="Calibri" w:hAnsi="Times New Roman" w:cs="Times New Roman"/>
          <w:sz w:val="24"/>
          <w:szCs w:val="24"/>
          <w:lang w:val="en-US" w:eastAsia="en-US"/>
        </w:rPr>
        <w:t xml:space="preserve"> in a specific daily interval </w:t>
      </w:r>
      <w:r w:rsidRPr="002D6D63">
        <w:rPr>
          <w:rFonts w:ascii="Times New Roman" w:eastAsia="Calibri" w:hAnsi="Times New Roman" w:cs="Times New Roman"/>
          <w:i/>
          <w:sz w:val="24"/>
          <w:szCs w:val="24"/>
          <w:lang w:val="en-US" w:eastAsia="en-US"/>
        </w:rPr>
        <w:t>t</w:t>
      </w:r>
      <w:r w:rsidRPr="002D6D63">
        <w:rPr>
          <w:rFonts w:ascii="Times New Roman" w:eastAsia="Calibri" w:hAnsi="Times New Roman" w:cs="Times New Roman"/>
          <w:sz w:val="24"/>
          <w:szCs w:val="24"/>
          <w:lang w:val="en-US" w:eastAsia="en-US"/>
        </w:rPr>
        <w:t xml:space="preserve">. Even if the specification of the constant mean return model is fairly straightforward, it often obtains results similar to more sophisticated models (see Brown &amp; Warner (1980, 1985)). Equation (1) is estimated based on </w:t>
      </w:r>
      <w:r w:rsidRPr="002D6D63">
        <w:rPr>
          <w:rFonts w:ascii="Times New Roman" w:eastAsia="Calibri" w:hAnsi="Times New Roman" w:cs="Times New Roman"/>
          <w:sz w:val="24"/>
          <w:szCs w:val="24"/>
          <w:lang w:val="en-US" w:eastAsia="en-US"/>
        </w:rPr>
        <w:lastRenderedPageBreak/>
        <w:t xml:space="preserve">a pre-event window, which runs from day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I</m:t>
            </m:r>
          </m:e>
          <m:sub>
            <m:r>
              <w:rPr>
                <w:rFonts w:ascii="Cambria Math" w:eastAsia="Calibri" w:hAnsi="Cambria Math" w:cs="Times New Roman"/>
                <w:sz w:val="24"/>
                <w:szCs w:val="24"/>
                <w:lang w:val="en-US" w:eastAsia="en-US"/>
              </w:rPr>
              <m:t>-</m:t>
            </m:r>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1</m:t>
                    </m:r>
                  </m:sub>
                </m:sSub>
                <m:r>
                  <w:rPr>
                    <w:rFonts w:ascii="Cambria Math" w:eastAsia="Calibri" w:hAnsi="Cambria Math" w:cs="Times New Roman"/>
                    <w:sz w:val="24"/>
                    <w:szCs w:val="24"/>
                    <w:lang w:val="en-US" w:eastAsia="en-US"/>
                  </w:rPr>
                  <m:t>+150</m:t>
                </m:r>
              </m:e>
            </m:d>
          </m:sub>
        </m:sSub>
      </m:oMath>
      <w:r w:rsidRPr="002D6D63">
        <w:rPr>
          <w:rFonts w:ascii="Times New Roman" w:eastAsia="Calibri" w:hAnsi="Times New Roman" w:cs="Times New Roman"/>
          <w:i/>
          <w:sz w:val="24"/>
          <w:szCs w:val="24"/>
          <w:lang w:val="en-US" w:eastAsia="en-US"/>
        </w:rPr>
        <w:t xml:space="preserve"> </w:t>
      </w:r>
      <w:r w:rsidRPr="002D6D63">
        <w:rPr>
          <w:rFonts w:ascii="Times New Roman" w:eastAsia="Calibri" w:hAnsi="Times New Roman" w:cs="Times New Roman"/>
          <w:sz w:val="24"/>
          <w:szCs w:val="24"/>
          <w:lang w:val="en-US" w:eastAsia="en-US"/>
        </w:rPr>
        <w:t>to day</w:t>
      </w:r>
      <m:oMath>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I</m:t>
            </m:r>
          </m:e>
          <m:sub>
            <m:r>
              <w:rPr>
                <w:rFonts w:ascii="Cambria Math" w:eastAsia="Calibri" w:hAnsi="Cambria Math" w:cs="Times New Roman"/>
                <w:sz w:val="24"/>
                <w:szCs w:val="24"/>
                <w:lang w:val="en-US" w:eastAsia="en-US"/>
              </w:rPr>
              <m:t>-</m:t>
            </m:r>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1</m:t>
                    </m:r>
                  </m:sub>
                </m:sSub>
                <m:r>
                  <w:rPr>
                    <w:rFonts w:ascii="Cambria Math" w:eastAsia="Calibri" w:hAnsi="Cambria Math" w:cs="Times New Roman"/>
                    <w:sz w:val="24"/>
                    <w:szCs w:val="24"/>
                    <w:lang w:val="en-US" w:eastAsia="en-US"/>
                  </w:rPr>
                  <m:t>+1</m:t>
                </m:r>
              </m:e>
            </m:d>
          </m:sub>
        </m:sSub>
      </m:oMath>
      <w:r w:rsidRPr="002D6D63">
        <w:rPr>
          <w:rFonts w:ascii="Times New Roman" w:eastAsia="Calibri" w:hAnsi="Times New Roman" w:cs="Times New Roman"/>
          <w:sz w:val="24"/>
          <w:szCs w:val="24"/>
          <w:lang w:val="en-US" w:eastAsia="en-US"/>
        </w:rPr>
        <w:t>. Using the resulting parameter estimates, we compute the abnormal returns during the event windows:</w:t>
      </w:r>
    </w:p>
    <w:p w:rsidR="002D6D63" w:rsidRPr="002D6D63" w:rsidRDefault="002D6D63" w:rsidP="002D6D63">
      <w:pPr>
        <w:tabs>
          <w:tab w:val="left" w:pos="3686"/>
          <w:tab w:val="left" w:pos="8647"/>
        </w:tabs>
        <w:spacing w:line="480" w:lineRule="auto"/>
        <w:rPr>
          <w:rFonts w:ascii="Times New Roman" w:eastAsia="Calibri" w:hAnsi="Times New Roman" w:cs="Times New Roman"/>
          <w:sz w:val="24"/>
          <w:szCs w:val="24"/>
          <w:lang w:val="en-US" w:eastAsia="en-US"/>
        </w:rPr>
      </w:pPr>
      <w:r w:rsidRPr="002D6D63">
        <w:rPr>
          <w:rFonts w:ascii="Andalus" w:eastAsia="Times New Roman" w:hAnsi="Andalus" w:cs="Andalus"/>
          <w:sz w:val="24"/>
          <w:szCs w:val="24"/>
          <w:lang w:val="en-US" w:eastAsia="en-US"/>
        </w:rPr>
        <w:tab/>
        <w:t xml:space="preserve"> </w:t>
      </w:r>
      <m:oMath>
        <m:sSub>
          <m:sSubPr>
            <m:ctrlPr>
              <w:rPr>
                <w:rFonts w:ascii="Cambria Math" w:eastAsia="Times New Roman" w:hAnsi="Cambria Math" w:cs="Andalus"/>
                <w:i/>
                <w:sz w:val="24"/>
                <w:szCs w:val="24"/>
                <w:lang w:val="en-US" w:eastAsia="en-US"/>
              </w:rPr>
            </m:ctrlPr>
          </m:sSubPr>
          <m:e>
            <m:sSub>
              <m:sSubPr>
                <m:ctrlPr>
                  <w:rPr>
                    <w:rFonts w:ascii="Cambria Math" w:eastAsia="Times New Roman" w:hAnsi="Cambria Math" w:cs="Andalus"/>
                    <w:i/>
                    <w:sz w:val="24"/>
                    <w:szCs w:val="24"/>
                    <w:lang w:val="en-US" w:eastAsia="en-US"/>
                  </w:rPr>
                </m:ctrlPr>
              </m:sSubPr>
              <m:e>
                <m:acc>
                  <m:accPr>
                    <m:ctrlPr>
                      <w:rPr>
                        <w:rFonts w:ascii="Cambria Math" w:eastAsia="Times New Roman" w:hAnsi="Cambria Math" w:cs="Andalus"/>
                        <w:i/>
                        <w:sz w:val="24"/>
                        <w:szCs w:val="24"/>
                        <w:lang w:val="en-US" w:eastAsia="en-US"/>
                      </w:rPr>
                    </m:ctrlPr>
                  </m:accPr>
                  <m:e>
                    <m:r>
                      <w:rPr>
                        <w:rFonts w:ascii="Cambria Math" w:eastAsia="Times New Roman" w:hAnsi="Cambria Math" w:cs="Andalus"/>
                        <w:sz w:val="24"/>
                        <w:szCs w:val="24"/>
                        <w:lang w:val="en-US" w:eastAsia="en-US"/>
                      </w:rPr>
                      <m:t>AR</m:t>
                    </m:r>
                  </m:e>
                </m:acc>
              </m:e>
              <m:sub>
                <m:r>
                  <w:rPr>
                    <w:rFonts w:ascii="Cambria Math" w:eastAsia="Times New Roman" w:hAnsi="Cambria Math" w:cs="Andalus"/>
                    <w:sz w:val="24"/>
                    <w:szCs w:val="24"/>
                    <w:lang w:val="en-US" w:eastAsia="en-US"/>
                  </w:rPr>
                  <m:t>it</m:t>
                </m:r>
              </m:sub>
            </m:sSub>
            <m:r>
              <w:rPr>
                <w:rFonts w:ascii="Cambria Math" w:eastAsia="Times New Roman" w:hAnsi="Cambria Math" w:cs="Andalus"/>
                <w:sz w:val="24"/>
                <w:szCs w:val="24"/>
                <w:lang w:val="en-US" w:eastAsia="en-US"/>
              </w:rPr>
              <m:t>=R</m:t>
            </m:r>
          </m:e>
          <m:sub>
            <m:r>
              <w:rPr>
                <w:rFonts w:ascii="Cambria Math" w:eastAsia="Times New Roman" w:hAnsi="Cambria Math" w:cs="Andalus"/>
                <w:sz w:val="24"/>
                <w:szCs w:val="24"/>
                <w:lang w:val="en-US" w:eastAsia="en-US"/>
              </w:rPr>
              <m:t>it</m:t>
            </m:r>
          </m:sub>
        </m:sSub>
        <m:r>
          <w:rPr>
            <w:rFonts w:ascii="Cambria Math" w:eastAsia="Times New Roman" w:hAnsi="Cambria Math" w:cs="Andalus"/>
            <w:sz w:val="24"/>
            <w:szCs w:val="24"/>
            <w:lang w:val="en-US" w:eastAsia="en-US"/>
          </w:rPr>
          <m:t xml:space="preserve"> -</m:t>
        </m:r>
        <m:sSub>
          <m:sSubPr>
            <m:ctrlPr>
              <w:rPr>
                <w:rFonts w:ascii="Cambria Math" w:eastAsia="Times New Roman" w:hAnsi="Cambria Math" w:cs="Andalus"/>
                <w:i/>
                <w:sz w:val="24"/>
                <w:szCs w:val="24"/>
                <w:lang w:val="en-US" w:eastAsia="en-US"/>
              </w:rPr>
            </m:ctrlPr>
          </m:sSubPr>
          <m:e>
            <m:acc>
              <m:accPr>
                <m:ctrlPr>
                  <w:rPr>
                    <w:rFonts w:ascii="Cambria Math" w:eastAsia="Times New Roman" w:hAnsi="Cambria Math" w:cs="Andalus"/>
                    <w:i/>
                    <w:sz w:val="24"/>
                    <w:szCs w:val="24"/>
                    <w:lang w:val="en-US" w:eastAsia="en-US"/>
                  </w:rPr>
                </m:ctrlPr>
              </m:accPr>
              <m:e>
                <m:r>
                  <w:rPr>
                    <w:rFonts w:ascii="Cambria Math" w:eastAsia="Times New Roman" w:hAnsi="Cambria Math" w:cs="Andalus"/>
                    <w:sz w:val="24"/>
                    <w:szCs w:val="24"/>
                    <w:lang w:val="en-US" w:eastAsia="en-US"/>
                  </w:rPr>
                  <m:t>α</m:t>
                </m:r>
              </m:e>
            </m:acc>
          </m:e>
          <m:sub>
            <m:r>
              <w:rPr>
                <w:rFonts w:ascii="Cambria Math" w:eastAsia="Times New Roman" w:hAnsi="Cambria Math" w:cs="Andalus"/>
                <w:sz w:val="24"/>
                <w:szCs w:val="24"/>
                <w:lang w:val="en-US" w:eastAsia="en-US"/>
              </w:rPr>
              <m:t>i</m:t>
            </m:r>
          </m:sub>
        </m:sSub>
      </m:oMath>
      <w:r w:rsidRPr="002D6D63">
        <w:rPr>
          <w:rFonts w:ascii="Andalus" w:eastAsia="Times New Roman" w:hAnsi="Andalus" w:cs="Andalus"/>
          <w:sz w:val="24"/>
          <w:szCs w:val="24"/>
          <w:lang w:val="en-US" w:eastAsia="en-US"/>
        </w:rPr>
        <w:tab/>
      </w:r>
      <w:r w:rsidRPr="002D6D63">
        <w:rPr>
          <w:rFonts w:ascii="Times New Roman" w:eastAsia="Times New Roman" w:hAnsi="Times New Roman" w:cs="Times New Roman"/>
          <w:sz w:val="24"/>
          <w:szCs w:val="24"/>
          <w:lang w:val="en-US" w:eastAsia="en-US"/>
        </w:rPr>
        <w:t>(2)</w:t>
      </w:r>
    </w:p>
    <w:p w:rsidR="002D6D63" w:rsidRPr="002D6D63" w:rsidRDefault="002D6D63" w:rsidP="002D6D63">
      <w:pPr>
        <w:spacing w:line="480" w:lineRule="auto"/>
        <w:jc w:val="both"/>
        <w:rPr>
          <w:rFonts w:ascii="Times New Roman" w:eastAsia="Calibri" w:hAnsi="Times New Roman" w:cs="Times New Roman"/>
          <w:sz w:val="24"/>
          <w:szCs w:val="24"/>
          <w:lang w:val="en-US" w:eastAsia="en-US"/>
        </w:rPr>
      </w:pPr>
      <w:r w:rsidRPr="002D6D63">
        <w:rPr>
          <w:rFonts w:ascii="Times New Roman" w:eastAsia="Calibri" w:hAnsi="Times New Roman" w:cs="Times New Roman"/>
          <w:sz w:val="24"/>
          <w:szCs w:val="24"/>
          <w:lang w:val="en-US" w:eastAsia="en-US"/>
        </w:rPr>
        <w:t xml:space="preserve">The </w:t>
      </w:r>
      <m:oMath>
        <m:acc>
          <m:accPr>
            <m:ctrlPr>
              <w:rPr>
                <w:rFonts w:ascii="Cambria Math" w:eastAsia="Calibri" w:hAnsi="Cambria Math" w:cs="Times New Roman"/>
                <w:sz w:val="24"/>
                <w:szCs w:val="24"/>
                <w:lang w:val="en-US" w:eastAsia="en-US"/>
              </w:rPr>
            </m:ctrlPr>
          </m:accPr>
          <m:e>
            <m:r>
              <m:rPr>
                <m:sty m:val="p"/>
              </m:rPr>
              <w:rPr>
                <w:rFonts w:ascii="Cambria Math" w:eastAsia="Calibri" w:hAnsi="Cambria Math" w:cs="Times New Roman"/>
                <w:sz w:val="24"/>
                <w:szCs w:val="24"/>
                <w:lang w:val="en-US" w:eastAsia="en-US"/>
              </w:rPr>
              <m:t>AR</m:t>
            </m:r>
          </m:e>
        </m:acc>
      </m:oMath>
      <w:r w:rsidRPr="002D6D63">
        <w:rPr>
          <w:rFonts w:ascii="Times New Roman" w:eastAsia="Calibri" w:hAnsi="Times New Roman" w:cs="Times New Roman"/>
          <w:sz w:val="24"/>
          <w:szCs w:val="24"/>
          <w:lang w:val="en-US" w:eastAsia="en-US"/>
        </w:rPr>
        <w:t xml:space="preserve">s measure the returns over and above what would have been expected had the event not occurred. To put differently, in absence of the event, one would expect the average of </w:t>
      </w:r>
      <m:oMath>
        <m:acc>
          <m:accPr>
            <m:ctrlPr>
              <w:rPr>
                <w:rFonts w:ascii="Cambria Math" w:eastAsia="Calibri" w:hAnsi="Cambria Math" w:cs="Times New Roman"/>
                <w:sz w:val="24"/>
                <w:szCs w:val="24"/>
                <w:lang w:val="en-US" w:eastAsia="en-US"/>
              </w:rPr>
            </m:ctrlPr>
          </m:accPr>
          <m:e>
            <m:r>
              <m:rPr>
                <m:sty m:val="p"/>
              </m:rPr>
              <w:rPr>
                <w:rFonts w:ascii="Cambria Math" w:eastAsia="Calibri" w:hAnsi="Cambria Math" w:cs="Times New Roman"/>
                <w:sz w:val="24"/>
                <w:szCs w:val="24"/>
                <w:lang w:val="en-US" w:eastAsia="en-US"/>
              </w:rPr>
              <m:t>AR</m:t>
            </m:r>
          </m:e>
        </m:acc>
      </m:oMath>
      <w:r w:rsidRPr="002D6D63">
        <w:rPr>
          <w:rFonts w:ascii="Times New Roman" w:eastAsia="Calibri" w:hAnsi="Times New Roman" w:cs="Times New Roman"/>
          <w:sz w:val="24"/>
          <w:szCs w:val="24"/>
          <w:lang w:val="en-US" w:eastAsia="en-US"/>
        </w:rPr>
        <w:t xml:space="preserve">s to be zero. Let </w:t>
      </w:r>
      <m:oMath>
        <m:sSubSup>
          <m:sSubSupPr>
            <m:ctrlPr>
              <w:rPr>
                <w:rFonts w:ascii="Cambria Math" w:eastAsia="Calibri" w:hAnsi="Cambria Math" w:cs="Times New Roman"/>
                <w:i/>
                <w:sz w:val="24"/>
                <w:szCs w:val="24"/>
                <w:lang w:val="en-US" w:eastAsia="en-US"/>
              </w:rPr>
            </m:ctrlPr>
          </m:sSubSupPr>
          <m:e>
            <m:acc>
              <m:accPr>
                <m:ctrlPr>
                  <w:rPr>
                    <w:rFonts w:ascii="Cambria Math" w:eastAsia="Calibri" w:hAnsi="Cambria Math" w:cs="Times New Roman"/>
                    <w:i/>
                    <w:sz w:val="24"/>
                    <w:szCs w:val="24"/>
                    <w:lang w:val="en-US" w:eastAsia="en-US"/>
                  </w:rPr>
                </m:ctrlPr>
              </m:accPr>
              <m:e>
                <m:r>
                  <w:rPr>
                    <w:rFonts w:ascii="Cambria Math" w:eastAsia="Calibri" w:hAnsi="Cambria Math" w:cs="Times New Roman"/>
                    <w:sz w:val="24"/>
                    <w:szCs w:val="24"/>
                    <w:lang w:val="en-US" w:eastAsia="en-US"/>
                  </w:rPr>
                  <m:t>AR</m:t>
                </m:r>
              </m:e>
            </m:acc>
          </m:e>
          <m:sub>
            <m:r>
              <w:rPr>
                <w:rFonts w:ascii="Cambria Math" w:eastAsia="Calibri" w:hAnsi="Cambria Math" w:cs="Times New Roman"/>
                <w:sz w:val="24"/>
                <w:szCs w:val="24"/>
                <w:lang w:val="en-US" w:eastAsia="en-US"/>
              </w:rPr>
              <m:t xml:space="preserve">it </m:t>
            </m:r>
          </m:sub>
          <m:sup>
            <m:r>
              <w:rPr>
                <w:rFonts w:ascii="Cambria Math" w:eastAsia="Calibri" w:hAnsi="Cambria Math" w:cs="Times New Roman"/>
                <w:sz w:val="24"/>
                <w:szCs w:val="24"/>
                <w:lang w:val="en-US" w:eastAsia="en-US"/>
              </w:rPr>
              <m:t>k</m:t>
            </m:r>
          </m:sup>
        </m:sSubSup>
        <m:r>
          <w:rPr>
            <w:rFonts w:ascii="Cambria Math" w:eastAsia="Calibri" w:hAnsi="Cambria Math" w:cs="Times New Roman"/>
            <w:sz w:val="24"/>
            <w:szCs w:val="24"/>
            <w:lang w:val="en-US" w:eastAsia="en-US"/>
          </w:rPr>
          <m:t xml:space="preserve"> </m:t>
        </m:r>
        <m:r>
          <m:rPr>
            <m:sty m:val="p"/>
          </m:rPr>
          <w:rPr>
            <w:rFonts w:ascii="Cambria Math" w:eastAsia="Calibri" w:hAnsi="Cambria Math" w:cs="Times New Roman"/>
            <w:sz w:val="24"/>
            <w:szCs w:val="24"/>
            <w:lang w:val="en-US" w:eastAsia="en-US"/>
          </w:rPr>
          <m:t>denote the</m:t>
        </m:r>
        <m:r>
          <w:rPr>
            <w:rFonts w:ascii="Cambria Math" w:eastAsia="Calibri" w:hAnsi="Cambria Math" w:cs="Times New Roman"/>
            <w:sz w:val="24"/>
            <w:szCs w:val="24"/>
            <w:lang w:val="en-US" w:eastAsia="en-US"/>
          </w:rPr>
          <m:t xml:space="preserve"> </m:t>
        </m:r>
      </m:oMath>
      <w:r w:rsidRPr="002D6D63">
        <w:rPr>
          <w:rFonts w:ascii="Times New Roman" w:eastAsia="Calibri" w:hAnsi="Times New Roman" w:cs="Times New Roman"/>
          <w:sz w:val="24"/>
          <w:szCs w:val="24"/>
          <w:lang w:val="en-US" w:eastAsia="en-US"/>
        </w:rPr>
        <w:t>((</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1</m:t>
            </m:r>
          </m:sub>
        </m:sSub>
      </m:oMath>
      <w:r w:rsidRPr="002D6D63">
        <w:rPr>
          <w:rFonts w:ascii="Times New Roman" w:eastAsia="Calibri" w:hAnsi="Times New Roman" w:cs="Times New Roman"/>
          <w:sz w:val="24"/>
          <w:szCs w:val="24"/>
          <w:lang w:val="en-US" w:eastAsia="en-US"/>
        </w:rPr>
        <w:t xml:space="preserve">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2</m:t>
            </m:r>
          </m:sub>
        </m:sSub>
      </m:oMath>
      <w:r w:rsidRPr="002D6D63">
        <w:rPr>
          <w:rFonts w:ascii="Times New Roman" w:eastAsia="Calibri" w:hAnsi="Times New Roman" w:cs="Times New Roman"/>
          <w:sz w:val="24"/>
          <w:szCs w:val="24"/>
          <w:lang w:val="en-US" w:eastAsia="en-US"/>
        </w:rPr>
        <w:t xml:space="preserve"> +1) ×1) vector of abnormal returns on index </w:t>
      </w:r>
      <w:proofErr w:type="spellStart"/>
      <w:r w:rsidRPr="002D6D63">
        <w:rPr>
          <w:rFonts w:ascii="Times New Roman" w:eastAsia="Calibri" w:hAnsi="Times New Roman" w:cs="Times New Roman"/>
          <w:i/>
          <w:sz w:val="24"/>
          <w:szCs w:val="24"/>
          <w:lang w:val="en-US" w:eastAsia="en-US"/>
        </w:rPr>
        <w:t>i</w:t>
      </w:r>
      <w:proofErr w:type="spellEnd"/>
      <w:r w:rsidRPr="002D6D63">
        <w:rPr>
          <w:rFonts w:ascii="Times New Roman" w:eastAsia="Calibri" w:hAnsi="Times New Roman" w:cs="Times New Roman"/>
          <w:sz w:val="24"/>
          <w:szCs w:val="24"/>
          <w:lang w:val="en-US" w:eastAsia="en-US"/>
        </w:rPr>
        <w:t xml:space="preserve"> for event </w:t>
      </w:r>
      <w:r w:rsidRPr="002D6D63">
        <w:rPr>
          <w:rFonts w:ascii="Times New Roman" w:eastAsia="Calibri" w:hAnsi="Times New Roman" w:cs="Times New Roman"/>
          <w:i/>
          <w:sz w:val="24"/>
          <w:szCs w:val="24"/>
          <w:lang w:val="en-US" w:eastAsia="en-US"/>
        </w:rPr>
        <w:t>k</w:t>
      </w:r>
      <w:r w:rsidRPr="002D6D63">
        <w:rPr>
          <w:rFonts w:ascii="Times New Roman" w:eastAsia="Calibri" w:hAnsi="Times New Roman" w:cs="Times New Roman"/>
          <w:sz w:val="24"/>
          <w:szCs w:val="24"/>
          <w:lang w:val="en-US" w:eastAsia="en-US"/>
        </w:rPr>
        <w:t xml:space="preserve"> computed between time points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I</m:t>
            </m:r>
          </m:e>
          <m:sub>
            <m:r>
              <w:rPr>
                <w:rFonts w:ascii="Cambria Math" w:eastAsia="Calibri" w:hAnsi="Cambria Math" w:cs="Times New Roman"/>
                <w:sz w:val="24"/>
                <w:szCs w:val="24"/>
                <w:lang w:val="en-US" w:eastAsia="en-US"/>
              </w:rPr>
              <m:t>-</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1</m:t>
                </m:r>
              </m:sub>
            </m:sSub>
          </m:sub>
        </m:sSub>
      </m:oMath>
      <w:r w:rsidRPr="002D6D63">
        <w:rPr>
          <w:rFonts w:ascii="Times New Roman" w:eastAsia="Calibri" w:hAnsi="Times New Roman" w:cs="Times New Roman"/>
          <w:sz w:val="24"/>
          <w:szCs w:val="24"/>
          <w:lang w:val="en-US" w:eastAsia="en-US"/>
        </w:rPr>
        <w:t xml:space="preserve"> and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I</m:t>
            </m:r>
          </m:e>
          <m:sub>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2</m:t>
                </m:r>
              </m:sub>
            </m:sSub>
          </m:sub>
        </m:sSub>
      </m:oMath>
      <w:r w:rsidRPr="002D6D63">
        <w:rPr>
          <w:rFonts w:ascii="Times New Roman" w:eastAsia="Calibri" w:hAnsi="Times New Roman" w:cs="Times New Roman"/>
          <w:sz w:val="24"/>
          <w:szCs w:val="24"/>
          <w:lang w:val="en-US" w:eastAsia="en-US"/>
        </w:rPr>
        <w:t xml:space="preserve"> as shown in Figure II. Let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ι</m:t>
            </m:r>
          </m:e>
          <m:sub>
            <m:r>
              <w:rPr>
                <w:rFonts w:ascii="Cambria Math" w:eastAsia="Calibri" w:hAnsi="Cambria Math" w:cs="Times New Roman"/>
                <w:sz w:val="24"/>
                <w:szCs w:val="24"/>
                <w:lang w:val="en-US" w:eastAsia="en-US"/>
              </w:rPr>
              <m:t>j</m:t>
            </m:r>
          </m:sub>
        </m:sSub>
      </m:oMath>
      <w:r w:rsidRPr="002D6D63">
        <w:rPr>
          <w:rFonts w:ascii="Times New Roman" w:eastAsia="Calibri" w:hAnsi="Times New Roman" w:cs="Times New Roman"/>
          <w:sz w:val="24"/>
          <w:szCs w:val="24"/>
          <w:lang w:val="en-US" w:eastAsia="en-US"/>
        </w:rPr>
        <w:t xml:space="preserve"> be a (</w:t>
      </w:r>
      <w:r w:rsidRPr="002D6D63">
        <w:rPr>
          <w:rFonts w:ascii="Times New Roman" w:eastAsia="Calibri" w:hAnsi="Times New Roman" w:cs="Times New Roman"/>
          <w:i/>
          <w:sz w:val="24"/>
          <w:szCs w:val="24"/>
          <w:lang w:val="en-US" w:eastAsia="en-US"/>
        </w:rPr>
        <w:t>j</w:t>
      </w:r>
      <w:r w:rsidRPr="002D6D63">
        <w:rPr>
          <w:rFonts w:ascii="Times New Roman" w:eastAsia="Calibri" w:hAnsi="Times New Roman" w:cs="Times New Roman"/>
          <w:sz w:val="24"/>
          <w:szCs w:val="24"/>
          <w:lang w:val="en-US" w:eastAsia="en-US"/>
        </w:rPr>
        <w:t xml:space="preserve"> × 1) vector of </w:t>
      </w:r>
      <w:r w:rsidRPr="002D6D63">
        <w:rPr>
          <w:rFonts w:ascii="Times New Roman" w:eastAsia="Calibri" w:hAnsi="Times New Roman" w:cs="Times New Roman"/>
          <w:i/>
          <w:sz w:val="24"/>
          <w:szCs w:val="24"/>
          <w:lang w:val="en-US" w:eastAsia="en-US"/>
        </w:rPr>
        <w:t>j</w:t>
      </w:r>
      <w:r w:rsidRPr="002D6D63">
        <w:rPr>
          <w:rFonts w:ascii="Times New Roman" w:eastAsia="Calibri" w:hAnsi="Times New Roman" w:cs="Times New Roman"/>
          <w:sz w:val="24"/>
          <w:szCs w:val="24"/>
          <w:lang w:val="en-US" w:eastAsia="en-US"/>
        </w:rPr>
        <w:t xml:space="preserve"> ones, 1 </w:t>
      </w:r>
      <m:oMath>
        <m:r>
          <w:rPr>
            <w:rFonts w:ascii="Cambria Math" w:eastAsia="Calibri" w:hAnsi="Cambria Math" w:cs="Times New Roman"/>
            <w:sz w:val="24"/>
            <w:szCs w:val="24"/>
            <w:lang w:val="en-US" w:eastAsia="en-US"/>
          </w:rPr>
          <m:t>≤</m:t>
        </m:r>
      </m:oMath>
      <w:r w:rsidRPr="002D6D63">
        <w:rPr>
          <w:rFonts w:ascii="Times New Roman" w:eastAsia="Calibri" w:hAnsi="Times New Roman" w:cs="Times New Roman"/>
          <w:sz w:val="24"/>
          <w:szCs w:val="24"/>
          <w:lang w:val="en-US" w:eastAsia="en-US"/>
        </w:rPr>
        <w:t xml:space="preserve"> </w:t>
      </w:r>
      <w:r w:rsidRPr="002D6D63">
        <w:rPr>
          <w:rFonts w:ascii="Times New Roman" w:eastAsia="Calibri" w:hAnsi="Times New Roman" w:cs="Times New Roman"/>
          <w:i/>
          <w:sz w:val="24"/>
          <w:szCs w:val="24"/>
          <w:lang w:val="en-US" w:eastAsia="en-US"/>
        </w:rPr>
        <w:t xml:space="preserve">j </w:t>
      </w:r>
      <m:oMath>
        <m:r>
          <w:rPr>
            <w:rFonts w:ascii="Cambria Math" w:eastAsia="Calibri" w:hAnsi="Cambria Math" w:cs="Times New Roman"/>
            <w:sz w:val="24"/>
            <w:szCs w:val="24"/>
            <w:lang w:val="en-US" w:eastAsia="en-US"/>
          </w:rPr>
          <m:t>≤</m:t>
        </m:r>
      </m:oMath>
      <w:r w:rsidRPr="002D6D63">
        <w:rPr>
          <w:rFonts w:ascii="Times New Roman" w:eastAsia="Calibri" w:hAnsi="Times New Roman" w:cs="Times New Roman"/>
          <w:sz w:val="24"/>
          <w:szCs w:val="24"/>
          <w:lang w:val="en-US" w:eastAsia="en-US"/>
        </w:rPr>
        <w:t xml:space="preserve">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1</m:t>
            </m:r>
          </m:sub>
        </m:sSub>
      </m:oMath>
      <w:r w:rsidRPr="002D6D63">
        <w:rPr>
          <w:rFonts w:ascii="Times New Roman" w:eastAsia="Calibri" w:hAnsi="Times New Roman" w:cs="Times New Roman"/>
          <w:sz w:val="24"/>
          <w:szCs w:val="24"/>
          <w:lang w:val="en-US" w:eastAsia="en-US"/>
        </w:rPr>
        <w:t xml:space="preserve"> +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2</m:t>
            </m:r>
          </m:sub>
        </m:sSub>
      </m:oMath>
      <w:r w:rsidRPr="002D6D63">
        <w:rPr>
          <w:rFonts w:ascii="Times New Roman" w:eastAsia="Calibri" w:hAnsi="Times New Roman" w:cs="Times New Roman"/>
          <w:sz w:val="24"/>
          <w:szCs w:val="24"/>
          <w:lang w:val="en-US" w:eastAsia="en-US"/>
        </w:rPr>
        <w:t xml:space="preserve"> + 1. The cumulative abnormal return for event </w:t>
      </w:r>
      <w:r w:rsidRPr="002D6D63">
        <w:rPr>
          <w:rFonts w:ascii="Times New Roman" w:eastAsia="Calibri" w:hAnsi="Times New Roman" w:cs="Times New Roman"/>
          <w:i/>
          <w:sz w:val="24"/>
          <w:szCs w:val="24"/>
          <w:lang w:val="en-US" w:eastAsia="en-US"/>
        </w:rPr>
        <w:t>k</w:t>
      </w:r>
      <w:r w:rsidRPr="002D6D63">
        <w:rPr>
          <w:rFonts w:ascii="Times New Roman" w:eastAsia="Calibri" w:hAnsi="Times New Roman" w:cs="Times New Roman"/>
          <w:sz w:val="24"/>
          <w:szCs w:val="24"/>
          <w:lang w:val="en-US" w:eastAsia="en-US"/>
        </w:rPr>
        <w:t xml:space="preserve"> and event window </w:t>
      </w:r>
      <w:r w:rsidRPr="002D6D63">
        <w:rPr>
          <w:rFonts w:ascii="Times New Roman" w:eastAsia="Calibri" w:hAnsi="Times New Roman" w:cs="Times New Roman"/>
          <w:i/>
          <w:sz w:val="24"/>
          <w:szCs w:val="24"/>
          <w:lang w:val="en-US" w:eastAsia="en-US"/>
        </w:rPr>
        <w:t>j,</w:t>
      </w:r>
      <w:r w:rsidRPr="002D6D63">
        <w:rPr>
          <w:rFonts w:ascii="Times New Roman" w:eastAsia="Calibri" w:hAnsi="Times New Roman" w:cs="Times New Roman"/>
          <w:sz w:val="24"/>
          <w:szCs w:val="24"/>
          <w:lang w:val="en-US" w:eastAsia="en-US"/>
        </w:rPr>
        <w:t xml:space="preserve"> which starts on or after the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I</m:t>
            </m:r>
          </m:e>
          <m:sub>
            <m:r>
              <w:rPr>
                <w:rFonts w:ascii="Cambria Math" w:eastAsia="Calibri" w:hAnsi="Cambria Math" w:cs="Times New Roman"/>
                <w:sz w:val="24"/>
                <w:szCs w:val="24"/>
                <w:lang w:val="en-US" w:eastAsia="en-US"/>
              </w:rPr>
              <m:t>-</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1</m:t>
                </m:r>
              </m:sub>
            </m:sSub>
          </m:sub>
        </m:sSub>
      </m:oMath>
      <w:r w:rsidRPr="002D6D63">
        <w:rPr>
          <w:rFonts w:ascii="Times New Roman" w:eastAsia="Calibri" w:hAnsi="Times New Roman" w:cs="Times New Roman"/>
          <w:sz w:val="24"/>
          <w:szCs w:val="24"/>
          <w:lang w:val="en-US" w:eastAsia="en-US"/>
        </w:rPr>
        <w:t xml:space="preserve">time point, is then defined as: </w:t>
      </w:r>
    </w:p>
    <w:p w:rsidR="002D6D63" w:rsidRPr="002D6D63" w:rsidRDefault="002D6D63" w:rsidP="002D6D63">
      <w:pPr>
        <w:tabs>
          <w:tab w:val="left" w:pos="3544"/>
          <w:tab w:val="left" w:pos="8647"/>
        </w:tabs>
        <w:autoSpaceDE w:val="0"/>
        <w:autoSpaceDN w:val="0"/>
        <w:adjustRightInd w:val="0"/>
        <w:spacing w:after="0" w:line="480" w:lineRule="auto"/>
        <w:ind w:left="3686" w:right="-2"/>
        <w:jc w:val="both"/>
        <w:rPr>
          <w:rFonts w:ascii="Times New Roman" w:eastAsia="Calibri" w:hAnsi="Times New Roman" w:cs="Times New Roman"/>
          <w:sz w:val="24"/>
          <w:szCs w:val="24"/>
          <w:lang w:val="en-US" w:eastAsia="en-US"/>
        </w:rPr>
      </w:pPr>
      <w:r w:rsidRPr="002D6D63">
        <w:rPr>
          <w:rFonts w:ascii="Times New Roman" w:eastAsia="Times New Roman" w:hAnsi="Times New Roman" w:cs="Times New Roman"/>
          <w:sz w:val="24"/>
          <w:szCs w:val="24"/>
          <w:lang w:val="en-US" w:eastAsia="en-US"/>
        </w:rPr>
        <w:t xml:space="preserve">  </w:t>
      </w:r>
      <m:oMath>
        <m:sSubSup>
          <m:sSubSupPr>
            <m:ctrlPr>
              <w:rPr>
                <w:rFonts w:ascii="Cambria Math" w:eastAsia="Calibri" w:hAnsi="Cambria Math" w:cs="Times New Roman"/>
                <w:i/>
                <w:sz w:val="24"/>
                <w:szCs w:val="24"/>
                <w:lang w:val="en-US" w:eastAsia="en-US"/>
              </w:rPr>
            </m:ctrlPr>
          </m:sSubSupPr>
          <m:e>
            <m:acc>
              <m:accPr>
                <m:ctrlPr>
                  <w:rPr>
                    <w:rFonts w:ascii="Cambria Math" w:eastAsia="Calibri" w:hAnsi="Cambria Math" w:cs="Times New Roman"/>
                    <w:i/>
                    <w:sz w:val="24"/>
                    <w:szCs w:val="24"/>
                    <w:lang w:val="en-US" w:eastAsia="en-US"/>
                  </w:rPr>
                </m:ctrlPr>
              </m:accPr>
              <m:e>
                <m:r>
                  <w:rPr>
                    <w:rFonts w:ascii="Cambria Math" w:eastAsia="Calibri" w:hAnsi="Cambria Math" w:cs="Times New Roman"/>
                    <w:sz w:val="24"/>
                    <w:szCs w:val="24"/>
                    <w:lang w:val="en-US" w:eastAsia="en-US"/>
                  </w:rPr>
                  <m:t>CAR</m:t>
                </m:r>
              </m:e>
            </m:acc>
          </m:e>
          <m:sub>
            <m:r>
              <w:rPr>
                <w:rFonts w:ascii="Cambria Math" w:eastAsia="Calibri" w:hAnsi="Cambria Math" w:cs="Times New Roman"/>
                <w:sz w:val="24"/>
                <w:szCs w:val="24"/>
                <w:lang w:val="en-US" w:eastAsia="en-US"/>
              </w:rPr>
              <m:t>ij</m:t>
            </m:r>
          </m:sub>
          <m:sup>
            <m:r>
              <w:rPr>
                <w:rFonts w:ascii="Cambria Math" w:eastAsia="Calibri" w:hAnsi="Cambria Math" w:cs="Times New Roman"/>
                <w:sz w:val="24"/>
                <w:szCs w:val="24"/>
                <w:lang w:val="en-US" w:eastAsia="en-US"/>
              </w:rPr>
              <m:t>k</m:t>
            </m:r>
          </m:sup>
        </m:sSubSup>
        <m:r>
          <w:rPr>
            <w:rFonts w:ascii="Cambria Math" w:eastAsia="Times New Roman" w:hAnsi="Cambria Math" w:cs="Times New Roman"/>
            <w:sz w:val="24"/>
            <w:szCs w:val="24"/>
            <w:lang w:val="en-US" w:eastAsia="en-US"/>
          </w:rPr>
          <m:t>=</m:t>
        </m:r>
        <m:sSubSup>
          <m:sSubSupPr>
            <m:ctrlPr>
              <w:rPr>
                <w:rFonts w:ascii="Cambria Math" w:eastAsia="Times New Roman" w:hAnsi="Cambria Math" w:cs="Times New Roman"/>
                <w:i/>
                <w:sz w:val="24"/>
                <w:szCs w:val="24"/>
                <w:lang w:val="en-US" w:eastAsia="en-US"/>
              </w:rPr>
            </m:ctrlPr>
          </m:sSubSupPr>
          <m:e>
            <m:r>
              <w:rPr>
                <w:rFonts w:ascii="Cambria Math" w:eastAsia="Times New Roman" w:hAnsi="Cambria Math" w:cs="Times New Roman"/>
                <w:sz w:val="24"/>
                <w:szCs w:val="24"/>
                <w:lang w:val="en-US" w:eastAsia="en-US"/>
              </w:rPr>
              <m:t>ι</m:t>
            </m:r>
          </m:e>
          <m:sub>
            <m:r>
              <w:rPr>
                <w:rFonts w:ascii="Cambria Math" w:eastAsia="Times New Roman" w:hAnsi="Cambria Math" w:cs="Times New Roman"/>
                <w:sz w:val="24"/>
                <w:szCs w:val="24"/>
                <w:lang w:val="en-US" w:eastAsia="en-US"/>
              </w:rPr>
              <m:t>j</m:t>
            </m:r>
          </m:sub>
          <m:sup>
            <m:r>
              <w:rPr>
                <w:rFonts w:ascii="Cambria Math" w:eastAsia="Times New Roman" w:hAnsi="Cambria Math" w:cs="Times New Roman"/>
                <w:sz w:val="24"/>
                <w:szCs w:val="24"/>
                <w:lang w:val="en-US" w:eastAsia="en-US"/>
              </w:rPr>
              <m:t>ˊ</m:t>
            </m:r>
          </m:sup>
        </m:sSubSup>
        <m:sSubSup>
          <m:sSubSupPr>
            <m:ctrlPr>
              <w:rPr>
                <w:rFonts w:ascii="Cambria Math" w:eastAsia="Times New Roman" w:hAnsi="Cambria Math" w:cs="Times New Roman"/>
                <w:i/>
                <w:sz w:val="24"/>
                <w:szCs w:val="24"/>
                <w:lang w:val="en-US" w:eastAsia="en-US"/>
              </w:rPr>
            </m:ctrlPr>
          </m:sSubSupPr>
          <m:e>
            <m:acc>
              <m:accPr>
                <m:ctrlPr>
                  <w:rPr>
                    <w:rFonts w:ascii="Cambria Math" w:eastAsia="Times New Roman" w:hAnsi="Cambria Math" w:cs="Times New Roman"/>
                    <w:i/>
                    <w:sz w:val="24"/>
                    <w:szCs w:val="24"/>
                    <w:lang w:val="en-US" w:eastAsia="en-US"/>
                  </w:rPr>
                </m:ctrlPr>
              </m:accPr>
              <m:e>
                <m:r>
                  <w:rPr>
                    <w:rFonts w:ascii="Cambria Math" w:eastAsia="Times New Roman" w:hAnsi="Cambria Math" w:cs="Times New Roman"/>
                    <w:sz w:val="24"/>
                    <w:szCs w:val="24"/>
                    <w:lang w:val="en-US" w:eastAsia="en-US"/>
                  </w:rPr>
                  <m:t>AR</m:t>
                </m:r>
              </m:e>
            </m:acc>
          </m:e>
          <m:sub>
            <m:r>
              <w:rPr>
                <w:rFonts w:ascii="Cambria Math" w:eastAsia="Times New Roman" w:hAnsi="Cambria Math" w:cs="Times New Roman"/>
                <w:sz w:val="24"/>
                <w:szCs w:val="24"/>
                <w:lang w:val="en-US" w:eastAsia="en-US"/>
              </w:rPr>
              <m:t>it</m:t>
            </m:r>
          </m:sub>
          <m:sup>
            <m:r>
              <w:rPr>
                <w:rFonts w:ascii="Cambria Math" w:eastAsia="Times New Roman" w:hAnsi="Cambria Math" w:cs="Times New Roman"/>
                <w:sz w:val="24"/>
                <w:szCs w:val="24"/>
                <w:lang w:val="en-US" w:eastAsia="en-US"/>
              </w:rPr>
              <m:t>k</m:t>
            </m:r>
          </m:sup>
        </m:sSubSup>
      </m:oMath>
      <w:r w:rsidRPr="002D6D63">
        <w:rPr>
          <w:rFonts w:ascii="Times New Roman" w:eastAsia="Times New Roman" w:hAnsi="Times New Roman" w:cs="Times New Roman"/>
          <w:sz w:val="24"/>
          <w:szCs w:val="24"/>
          <w:lang w:val="en-US" w:eastAsia="en-US"/>
        </w:rPr>
        <w:t xml:space="preserve"> </w:t>
      </w:r>
      <w:r w:rsidRPr="002D6D63">
        <w:rPr>
          <w:rFonts w:ascii="Times New Roman" w:eastAsia="Times New Roman" w:hAnsi="Times New Roman" w:cs="Times New Roman"/>
          <w:sz w:val="24"/>
          <w:szCs w:val="24"/>
          <w:lang w:val="en-US" w:eastAsia="en-US"/>
        </w:rPr>
        <w:tab/>
        <w:t>(3)</w:t>
      </w:r>
    </w:p>
    <w:p w:rsidR="002D6D63" w:rsidRPr="002D6D63" w:rsidRDefault="002D6D63" w:rsidP="002D6D63">
      <w:pPr>
        <w:spacing w:line="480" w:lineRule="auto"/>
        <w:jc w:val="both"/>
        <w:rPr>
          <w:rFonts w:ascii="Times New Roman" w:eastAsia="Calibri" w:hAnsi="Times New Roman" w:cs="Times New Roman"/>
          <w:sz w:val="24"/>
          <w:szCs w:val="24"/>
          <w:lang w:val="en-US" w:eastAsia="en-US"/>
        </w:rPr>
      </w:pPr>
      <w:r w:rsidRPr="002D6D63">
        <w:rPr>
          <w:rFonts w:ascii="Times New Roman" w:eastAsia="Calibri" w:hAnsi="Times New Roman" w:cs="Times New Roman"/>
          <w:sz w:val="24"/>
          <w:szCs w:val="24"/>
          <w:lang w:val="en-US" w:eastAsia="en-US"/>
        </w:rPr>
        <w:t xml:space="preserve">So that the cumulative average abnormal return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CAAR</m:t>
            </m:r>
          </m:e>
          <m:sub>
            <m:r>
              <w:rPr>
                <w:rFonts w:ascii="Cambria Math" w:eastAsia="Calibri" w:hAnsi="Cambria Math" w:cs="Times New Roman"/>
                <w:sz w:val="24"/>
                <w:szCs w:val="24"/>
                <w:lang w:val="en-US" w:eastAsia="en-US"/>
              </w:rPr>
              <m:t>ij</m:t>
            </m:r>
          </m:sub>
        </m:sSub>
      </m:oMath>
      <w:r w:rsidRPr="002D6D63">
        <w:rPr>
          <w:rFonts w:ascii="Times New Roman" w:eastAsia="Calibri" w:hAnsi="Times New Roman" w:cs="Times New Roman"/>
          <w:sz w:val="24"/>
          <w:szCs w:val="24"/>
          <w:lang w:val="en-US" w:eastAsia="en-US"/>
        </w:rPr>
        <w:t xml:space="preserve"> is given by: </w:t>
      </w:r>
    </w:p>
    <w:p w:rsidR="002D6D63" w:rsidRPr="002D6D63" w:rsidRDefault="009A0C3B" w:rsidP="002D6D63">
      <w:pPr>
        <w:tabs>
          <w:tab w:val="left" w:pos="709"/>
          <w:tab w:val="left" w:pos="8647"/>
        </w:tabs>
        <w:ind w:left="3686" w:right="-2"/>
        <w:jc w:val="both"/>
        <w:rPr>
          <w:lang w:val="en-US"/>
        </w:rPr>
      </w:pP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CAAR</m:t>
            </m:r>
          </m:e>
          <m:sub>
            <m:r>
              <w:rPr>
                <w:rFonts w:ascii="Cambria Math" w:eastAsia="Calibri" w:hAnsi="Cambria Math" w:cs="Times New Roman"/>
                <w:sz w:val="24"/>
                <w:szCs w:val="24"/>
                <w:lang w:val="en-US" w:eastAsia="en-US"/>
              </w:rPr>
              <m:t>ij</m:t>
            </m:r>
          </m:sub>
        </m:sSub>
        <m:r>
          <w:rPr>
            <w:rFonts w:ascii="Cambria Math" w:eastAsia="Times New Roman" w:hAnsi="Cambria Math" w:cs="Times New Roman"/>
            <w:sz w:val="24"/>
            <w:szCs w:val="24"/>
            <w:lang w:val="en-US" w:eastAsia="en-US"/>
          </w:rPr>
          <m:t>=</m:t>
        </m:r>
        <m:f>
          <m:fPr>
            <m:ctrlPr>
              <w:rPr>
                <w:rFonts w:ascii="Cambria Math" w:hAnsi="Cambria Math"/>
                <w:i/>
                <w:sz w:val="24"/>
                <w:szCs w:val="24"/>
                <w:lang w:val="en-US" w:eastAsia="en-US"/>
              </w:rPr>
            </m:ctrlPr>
          </m:fPr>
          <m:num>
            <m:r>
              <w:rPr>
                <w:rFonts w:ascii="Cambria Math" w:hAnsi="Cambria Math"/>
                <w:sz w:val="24"/>
                <w:szCs w:val="24"/>
                <w:lang w:val="en-US"/>
              </w:rPr>
              <m:t>1</m:t>
            </m:r>
          </m:num>
          <m:den>
            <m:r>
              <w:rPr>
                <w:rFonts w:ascii="Cambria Math" w:hAnsi="Cambria Math"/>
                <w:sz w:val="24"/>
                <w:szCs w:val="24"/>
                <w:lang w:val="en-US"/>
              </w:rPr>
              <m:t>k</m:t>
            </m:r>
          </m:den>
        </m:f>
        <m:nary>
          <m:naryPr>
            <m:chr m:val="∑"/>
            <m:limLoc m:val="undOvr"/>
            <m:supHide m:val="1"/>
            <m:ctrlPr>
              <w:rPr>
                <w:rFonts w:ascii="Cambria Math" w:hAnsi="Cambria Math"/>
                <w:i/>
                <w:sz w:val="24"/>
                <w:szCs w:val="24"/>
                <w:lang w:val="en-US" w:eastAsia="en-US"/>
              </w:rPr>
            </m:ctrlPr>
          </m:naryPr>
          <m:sub>
            <m:r>
              <w:rPr>
                <w:rFonts w:ascii="Cambria Math" w:hAnsi="Cambria Math"/>
                <w:sz w:val="24"/>
                <w:szCs w:val="24"/>
                <w:lang w:val="en-US"/>
              </w:rPr>
              <m:t>k</m:t>
            </m:r>
          </m:sub>
          <m:sup/>
          <m:e>
            <m:sSubSup>
              <m:sSubSupPr>
                <m:ctrlPr>
                  <w:rPr>
                    <w:rFonts w:ascii="Cambria Math" w:eastAsia="Times New Roman" w:hAnsi="Cambria Math" w:cs="Times New Roman"/>
                    <w:i/>
                    <w:sz w:val="24"/>
                    <w:szCs w:val="24"/>
                    <w:lang w:val="en-US" w:eastAsia="en-US"/>
                  </w:rPr>
                </m:ctrlPr>
              </m:sSubSupPr>
              <m:e>
                <m:acc>
                  <m:accPr>
                    <m:ctrlPr>
                      <w:rPr>
                        <w:rFonts w:ascii="Cambria Math" w:eastAsia="Times New Roman" w:hAnsi="Cambria Math" w:cs="Times New Roman"/>
                        <w:i/>
                        <w:sz w:val="24"/>
                        <w:szCs w:val="24"/>
                        <w:lang w:val="en-US" w:eastAsia="en-US"/>
                      </w:rPr>
                    </m:ctrlPr>
                  </m:accPr>
                  <m:e>
                    <m:r>
                      <w:rPr>
                        <w:rFonts w:ascii="Cambria Math" w:eastAsia="Times New Roman" w:hAnsi="Cambria Math" w:cs="Times New Roman"/>
                        <w:sz w:val="24"/>
                        <w:szCs w:val="24"/>
                        <w:lang w:val="en-US" w:eastAsia="en-US"/>
                      </w:rPr>
                      <m:t>CAR</m:t>
                    </m:r>
                  </m:e>
                </m:acc>
              </m:e>
              <m:sub>
                <m:r>
                  <w:rPr>
                    <w:rFonts w:ascii="Cambria Math" w:eastAsia="Times New Roman" w:hAnsi="Cambria Math" w:cs="Times New Roman"/>
                    <w:sz w:val="24"/>
                    <w:szCs w:val="24"/>
                    <w:lang w:val="en-US" w:eastAsia="en-US"/>
                  </w:rPr>
                  <m:t>it</m:t>
                </m:r>
              </m:sub>
              <m:sup>
                <m:r>
                  <w:rPr>
                    <w:rFonts w:ascii="Cambria Math" w:eastAsia="Times New Roman" w:hAnsi="Cambria Math" w:cs="Times New Roman"/>
                    <w:sz w:val="24"/>
                    <w:szCs w:val="24"/>
                    <w:lang w:val="en-US" w:eastAsia="en-US"/>
                  </w:rPr>
                  <m:t>k</m:t>
                </m:r>
              </m:sup>
            </m:sSubSup>
          </m:e>
        </m:nary>
      </m:oMath>
      <w:r w:rsidR="002D6D63" w:rsidRPr="002D6D63">
        <w:rPr>
          <w:rFonts w:ascii="Times New Roman" w:eastAsia="Times New Roman" w:hAnsi="Times New Roman" w:cs="Times New Roman"/>
          <w:sz w:val="24"/>
          <w:szCs w:val="24"/>
          <w:lang w:val="en-US" w:eastAsia="en-US"/>
        </w:rPr>
        <w:t xml:space="preserve"> </w:t>
      </w:r>
      <w:r w:rsidR="002D6D63" w:rsidRPr="002D6D63">
        <w:rPr>
          <w:rFonts w:ascii="Times New Roman" w:eastAsia="Times New Roman" w:hAnsi="Times New Roman" w:cs="Times New Roman"/>
          <w:sz w:val="24"/>
          <w:szCs w:val="24"/>
          <w:lang w:val="en-US" w:eastAsia="en-US"/>
        </w:rPr>
        <w:tab/>
        <w:t>(4)</w:t>
      </w:r>
      <m:oMath>
        <m:r>
          <m:rPr>
            <m:sty m:val="p"/>
          </m:rPr>
          <w:rPr>
            <w:rFonts w:ascii="Cambria Math" w:hAnsi="Cambria Math"/>
            <w:lang w:val="en-US" w:eastAsia="en-US"/>
          </w:rPr>
          <w:br/>
        </m:r>
      </m:oMath>
    </w:p>
    <w:p w:rsidR="002D6D63" w:rsidRPr="002D6D63" w:rsidRDefault="002D6D63" w:rsidP="002D6D63">
      <w:pPr>
        <w:spacing w:line="480" w:lineRule="auto"/>
        <w:jc w:val="both"/>
        <w:rPr>
          <w:rFonts w:ascii="Times New Roman" w:eastAsia="Calibri" w:hAnsi="Times New Roman" w:cs="Times New Roman"/>
          <w:sz w:val="24"/>
          <w:szCs w:val="24"/>
          <w:lang w:val="en-US" w:eastAsia="en-US"/>
        </w:rPr>
      </w:pPr>
      <w:proofErr w:type="gramStart"/>
      <w:r w:rsidRPr="002D6D63">
        <w:rPr>
          <w:rFonts w:ascii="Times New Roman" w:eastAsia="Calibri" w:hAnsi="Times New Roman" w:cs="Times New Roman"/>
          <w:sz w:val="24"/>
          <w:szCs w:val="24"/>
          <w:lang w:val="en-US" w:eastAsia="en-US"/>
        </w:rPr>
        <w:t>where</w:t>
      </w:r>
      <w:proofErr w:type="gramEnd"/>
      <w:r w:rsidRPr="002D6D63">
        <w:rPr>
          <w:rFonts w:ascii="Times New Roman" w:eastAsia="Calibri" w:hAnsi="Times New Roman" w:cs="Times New Roman"/>
          <w:sz w:val="24"/>
          <w:szCs w:val="24"/>
          <w:lang w:val="en-US" w:eastAsia="en-US"/>
        </w:rPr>
        <w:t xml:space="preserve"> </w:t>
      </w:r>
      <w:r w:rsidRPr="002D6D63">
        <w:rPr>
          <w:rFonts w:ascii="Times New Roman" w:eastAsia="Calibri" w:hAnsi="Times New Roman" w:cs="Times New Roman"/>
          <w:i/>
          <w:sz w:val="24"/>
          <w:szCs w:val="24"/>
          <w:lang w:val="en-US" w:eastAsia="en-US"/>
        </w:rPr>
        <w:t>k</w:t>
      </w:r>
      <w:r w:rsidRPr="002D6D63">
        <w:rPr>
          <w:rFonts w:ascii="Times New Roman" w:eastAsia="Calibri" w:hAnsi="Times New Roman" w:cs="Times New Roman"/>
          <w:sz w:val="24"/>
          <w:szCs w:val="24"/>
          <w:lang w:val="en-US" w:eastAsia="en-US"/>
        </w:rPr>
        <w:t xml:space="preserve"> is the total number of events. These CAARs represent total returns directly attributable to the existence of hostilities and their statistical significance is assessed using the </w:t>
      </w:r>
      <w:r w:rsidRPr="002D6D63">
        <w:rPr>
          <w:rFonts w:ascii="Times New Roman" w:eastAsia="Calibri" w:hAnsi="Times New Roman" w:cs="Times New Roman"/>
          <w:i/>
          <w:sz w:val="24"/>
          <w:szCs w:val="24"/>
          <w:lang w:val="en-US" w:eastAsia="en-US"/>
        </w:rPr>
        <w:t>t</w:t>
      </w:r>
      <w:r w:rsidRPr="002D6D63">
        <w:rPr>
          <w:rFonts w:ascii="Times New Roman" w:eastAsia="Calibri" w:hAnsi="Times New Roman" w:cs="Times New Roman"/>
          <w:sz w:val="24"/>
          <w:szCs w:val="24"/>
          <w:lang w:val="en-US" w:eastAsia="en-US"/>
        </w:rPr>
        <w:t xml:space="preserve">-statistic described in Kothari &amp; Warner (2007). </w:t>
      </w:r>
    </w:p>
    <w:p w:rsidR="002D6D63" w:rsidRPr="002D6D63" w:rsidRDefault="002D6D63" w:rsidP="002D6D63">
      <w:pPr>
        <w:spacing w:line="480" w:lineRule="auto"/>
        <w:jc w:val="both"/>
        <w:rPr>
          <w:rFonts w:ascii="Times New Roman" w:eastAsia="Calibri" w:hAnsi="Times New Roman" w:cs="Times New Roman"/>
          <w:i/>
          <w:sz w:val="24"/>
          <w:szCs w:val="24"/>
          <w:lang w:val="en-US" w:eastAsia="en-US"/>
        </w:rPr>
      </w:pPr>
      <w:r w:rsidRPr="002D6D63">
        <w:rPr>
          <w:rFonts w:ascii="Times New Roman" w:eastAsia="Calibri" w:hAnsi="Times New Roman" w:cs="Times New Roman"/>
          <w:i/>
          <w:sz w:val="24"/>
          <w:szCs w:val="24"/>
          <w:lang w:val="en-US" w:eastAsia="en-US"/>
        </w:rPr>
        <w:t>4.3 Safe Haven Econometric Methodology</w:t>
      </w:r>
    </w:p>
    <w:p w:rsidR="002D6D63" w:rsidRPr="002D6D63" w:rsidRDefault="002D6D63" w:rsidP="002D6D63">
      <w:pPr>
        <w:spacing w:line="480" w:lineRule="auto"/>
        <w:ind w:firstLine="426"/>
        <w:jc w:val="both"/>
        <w:rPr>
          <w:rFonts w:ascii="Times New Roman" w:eastAsia="Calibri" w:hAnsi="Times New Roman" w:cs="Times New Roman"/>
          <w:sz w:val="24"/>
          <w:szCs w:val="24"/>
          <w:lang w:val="en-US" w:eastAsia="en-US"/>
        </w:rPr>
      </w:pPr>
      <w:r w:rsidRPr="002D6D63">
        <w:rPr>
          <w:rFonts w:ascii="Times New Roman" w:eastAsia="Calibri" w:hAnsi="Times New Roman" w:cs="Times New Roman"/>
          <w:sz w:val="24"/>
          <w:szCs w:val="24"/>
          <w:lang w:val="en-US" w:eastAsia="en-US"/>
        </w:rPr>
        <w:t>To formally test whether oil</w:t>
      </w:r>
      <w:r w:rsidR="00DC12DF">
        <w:rPr>
          <w:rFonts w:ascii="Times New Roman" w:eastAsia="Calibri" w:hAnsi="Times New Roman" w:cs="Times New Roman"/>
          <w:sz w:val="24"/>
          <w:szCs w:val="24"/>
          <w:lang w:val="en-US" w:eastAsia="en-US"/>
        </w:rPr>
        <w:t xml:space="preserve"> and sovereign bonds</w:t>
      </w:r>
      <w:r w:rsidRPr="002D6D63">
        <w:rPr>
          <w:rFonts w:ascii="Times New Roman" w:eastAsia="Calibri" w:hAnsi="Times New Roman" w:cs="Times New Roman"/>
          <w:sz w:val="24"/>
          <w:szCs w:val="24"/>
          <w:lang w:val="en-US" w:eastAsia="en-US"/>
        </w:rPr>
        <w:t xml:space="preserve"> ha</w:t>
      </w:r>
      <w:r w:rsidR="00DC12DF">
        <w:rPr>
          <w:rFonts w:ascii="Times New Roman" w:eastAsia="Calibri" w:hAnsi="Times New Roman" w:cs="Times New Roman"/>
          <w:sz w:val="24"/>
          <w:szCs w:val="24"/>
          <w:lang w:val="en-US" w:eastAsia="en-US"/>
        </w:rPr>
        <w:t>ve</w:t>
      </w:r>
      <w:r w:rsidRPr="002D6D63">
        <w:rPr>
          <w:rFonts w:ascii="Times New Roman" w:eastAsia="Calibri" w:hAnsi="Times New Roman" w:cs="Times New Roman"/>
          <w:sz w:val="24"/>
          <w:szCs w:val="24"/>
          <w:lang w:val="en-US" w:eastAsia="en-US"/>
        </w:rPr>
        <w:t xml:space="preserve"> safe haven properties, we adopt an approach similar in spirit to </w:t>
      </w:r>
      <w:proofErr w:type="spellStart"/>
      <w:r w:rsidRPr="002D6D63">
        <w:rPr>
          <w:rFonts w:ascii="Times New Roman" w:eastAsia="Calibri" w:hAnsi="Times New Roman" w:cs="Times New Roman"/>
          <w:sz w:val="24"/>
          <w:szCs w:val="24"/>
          <w:lang w:val="en-US" w:eastAsia="en-US"/>
        </w:rPr>
        <w:t>Baur</w:t>
      </w:r>
      <w:proofErr w:type="spellEnd"/>
      <w:r w:rsidRPr="002D6D63">
        <w:rPr>
          <w:rFonts w:ascii="Times New Roman" w:eastAsia="Calibri" w:hAnsi="Times New Roman" w:cs="Times New Roman"/>
          <w:sz w:val="24"/>
          <w:szCs w:val="24"/>
          <w:lang w:val="en-US" w:eastAsia="en-US"/>
        </w:rPr>
        <w:t xml:space="preserve"> and Lucey (2010). In their paper, </w:t>
      </w:r>
      <w:proofErr w:type="spellStart"/>
      <w:r w:rsidRPr="002D6D63">
        <w:rPr>
          <w:rFonts w:ascii="Times New Roman" w:eastAsia="Calibri" w:hAnsi="Times New Roman" w:cs="Times New Roman"/>
          <w:sz w:val="24"/>
          <w:szCs w:val="24"/>
          <w:lang w:val="en-US" w:eastAsia="en-US"/>
        </w:rPr>
        <w:t>Baur</w:t>
      </w:r>
      <w:proofErr w:type="spellEnd"/>
      <w:r w:rsidRPr="002D6D63">
        <w:rPr>
          <w:rFonts w:ascii="Times New Roman" w:eastAsia="Calibri" w:hAnsi="Times New Roman" w:cs="Times New Roman"/>
          <w:sz w:val="24"/>
          <w:szCs w:val="24"/>
          <w:lang w:val="en-US" w:eastAsia="en-US"/>
        </w:rPr>
        <w:t xml:space="preserve"> and Lucey examine the ability of gold to act as safe haven for investors in financial markets during periods of turmoil. Importantly, they define a period of market distress as one in which returns on a financial asset fall below an arbitrarily specified level. Ours methodology builds on theirs; however the distress is defined as periods surrounding international violent conflicts. We note that the methodological extension of </w:t>
      </w:r>
      <w:proofErr w:type="spellStart"/>
      <w:r w:rsidRPr="002D6D63">
        <w:rPr>
          <w:rFonts w:ascii="Times New Roman" w:eastAsia="Calibri" w:hAnsi="Times New Roman" w:cs="Times New Roman"/>
          <w:sz w:val="24"/>
          <w:szCs w:val="24"/>
          <w:lang w:val="en-US" w:eastAsia="en-US"/>
        </w:rPr>
        <w:t>Baur</w:t>
      </w:r>
      <w:proofErr w:type="spellEnd"/>
      <w:r w:rsidRPr="002D6D63">
        <w:rPr>
          <w:rFonts w:ascii="Times New Roman" w:eastAsia="Calibri" w:hAnsi="Times New Roman" w:cs="Times New Roman"/>
          <w:sz w:val="24"/>
          <w:szCs w:val="24"/>
          <w:lang w:val="en-US" w:eastAsia="en-US"/>
        </w:rPr>
        <w:t xml:space="preserve"> and Lucey (2010) employed here can also be </w:t>
      </w:r>
      <w:r w:rsidRPr="002D6D63">
        <w:rPr>
          <w:rFonts w:ascii="Times New Roman" w:eastAsia="Calibri" w:hAnsi="Times New Roman" w:cs="Times New Roman"/>
          <w:sz w:val="24"/>
          <w:szCs w:val="24"/>
          <w:lang w:val="en-US" w:eastAsia="en-US"/>
        </w:rPr>
        <w:lastRenderedPageBreak/>
        <w:t>potentially adapted in the context of other dramatic events. Consequently, we run the following linear regression using daily observations:</w:t>
      </w:r>
    </w:p>
    <w:p w:rsidR="002D6D63" w:rsidRPr="002D6D63" w:rsidRDefault="009A0C3B" w:rsidP="002D6D63">
      <w:pPr>
        <w:tabs>
          <w:tab w:val="left" w:pos="8647"/>
        </w:tabs>
        <w:spacing w:line="480" w:lineRule="auto"/>
        <w:ind w:left="2552" w:right="-2"/>
        <w:jc w:val="both"/>
        <w:rPr>
          <w:rFonts w:ascii="Times New Roman" w:eastAsia="Calibri" w:hAnsi="Times New Roman" w:cs="Times New Roman"/>
          <w:sz w:val="24"/>
          <w:szCs w:val="24"/>
          <w:lang w:val="en-US" w:eastAsia="en-US"/>
        </w:rPr>
      </w:pP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WTI, t</m:t>
            </m:r>
          </m:sub>
        </m:sSub>
        <m:r>
          <w:rPr>
            <w:rFonts w:ascii="Cambria Math" w:eastAsia="Calibri" w:hAnsi="Cambria Math" w:cs="Times New Roman"/>
            <w:sz w:val="24"/>
            <w:szCs w:val="24"/>
            <w:lang w:val="en-US" w:eastAsia="en-US"/>
          </w:rPr>
          <m:t xml:space="preserve">=C+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β</m:t>
            </m:r>
          </m:e>
          <m:sub>
            <m:r>
              <w:rPr>
                <w:rFonts w:ascii="Cambria Math" w:eastAsia="Calibri" w:hAnsi="Cambria Math" w:cs="Times New Roman"/>
                <w:sz w:val="24"/>
                <w:szCs w:val="24"/>
                <w:lang w:val="en-US" w:eastAsia="en-US"/>
              </w:rPr>
              <m:t>1</m:t>
            </m:r>
          </m:sub>
        </m:sSub>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Stock, t</m:t>
            </m:r>
          </m:sub>
        </m:sSub>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β</m:t>
            </m:r>
          </m:e>
          <m:sub>
            <m:r>
              <w:rPr>
                <w:rFonts w:ascii="Cambria Math" w:eastAsia="Calibri" w:hAnsi="Cambria Math" w:cs="Times New Roman"/>
                <w:sz w:val="24"/>
                <w:szCs w:val="24"/>
                <w:lang w:val="en-US" w:eastAsia="en-US"/>
              </w:rPr>
              <m:t>2</m:t>
            </m:r>
          </m:sub>
        </m:sSub>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Stock</m:t>
                </m:r>
              </m:e>
              <m:sub>
                <m:r>
                  <w:rPr>
                    <w:rFonts w:ascii="Cambria Math" w:eastAsia="Calibri" w:hAnsi="Cambria Math" w:cs="Times New Roman"/>
                    <w:sz w:val="24"/>
                    <w:szCs w:val="24"/>
                    <w:lang w:val="en-US" w:eastAsia="en-US"/>
                  </w:rPr>
                  <m:t>conflict</m:t>
                </m:r>
              </m:sub>
            </m:sSub>
            <m:r>
              <w:rPr>
                <w:rFonts w:ascii="Cambria Math" w:eastAsia="Calibri" w:hAnsi="Cambria Math" w:cs="Times New Roman"/>
                <w:sz w:val="24"/>
                <w:szCs w:val="24"/>
                <w:lang w:val="en-US" w:eastAsia="en-US"/>
              </w:rPr>
              <m:t>,  t</m:t>
            </m:r>
          </m:sub>
        </m:sSub>
        <m:r>
          <w:rPr>
            <w:rFonts w:ascii="Cambria Math" w:eastAsia="Calibri" w:hAnsi="Cambria Math" w:cs="Times New Roman"/>
            <w:sz w:val="24"/>
            <w:szCs w:val="24"/>
            <w:lang w:val="en-US" w:eastAsia="en-US"/>
          </w:rPr>
          <m:t>+</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ε</m:t>
            </m:r>
          </m:e>
          <m:sub>
            <m:r>
              <w:rPr>
                <w:rFonts w:ascii="Cambria Math" w:eastAsia="Calibri" w:hAnsi="Cambria Math" w:cs="Times New Roman"/>
                <w:sz w:val="24"/>
                <w:szCs w:val="24"/>
                <w:lang w:val="en-US" w:eastAsia="en-US"/>
              </w:rPr>
              <m:t>t</m:t>
            </m:r>
          </m:sub>
        </m:sSub>
      </m:oMath>
      <w:r w:rsidR="002D6D63" w:rsidRPr="002D6D63">
        <w:rPr>
          <w:rFonts w:ascii="Times New Roman" w:eastAsia="Calibri" w:hAnsi="Times New Roman" w:cs="Times New Roman"/>
          <w:sz w:val="24"/>
          <w:szCs w:val="24"/>
          <w:lang w:val="en-US" w:eastAsia="en-US"/>
        </w:rPr>
        <w:t xml:space="preserve"> </w:t>
      </w:r>
      <w:r w:rsidR="002D6D63" w:rsidRPr="002D6D63">
        <w:rPr>
          <w:rFonts w:ascii="Times New Roman" w:eastAsia="Calibri" w:hAnsi="Times New Roman" w:cs="Times New Roman"/>
          <w:sz w:val="24"/>
          <w:szCs w:val="24"/>
          <w:lang w:val="en-US" w:eastAsia="en-US"/>
        </w:rPr>
        <w:tab/>
        <w:t>(5)</w:t>
      </w:r>
    </w:p>
    <w:p w:rsidR="002D6D63" w:rsidRPr="002D6D63" w:rsidRDefault="002D6D63" w:rsidP="002D6D63">
      <w:pPr>
        <w:spacing w:line="480" w:lineRule="auto"/>
        <w:jc w:val="both"/>
        <w:rPr>
          <w:rFonts w:ascii="Times New Roman" w:eastAsia="Calibri" w:hAnsi="Times New Roman" w:cs="Times New Roman"/>
          <w:sz w:val="24"/>
          <w:szCs w:val="24"/>
          <w:lang w:val="en-US" w:eastAsia="en-US"/>
        </w:rPr>
      </w:pPr>
      <w:proofErr w:type="gramStart"/>
      <w:r w:rsidRPr="002D6D63">
        <w:rPr>
          <w:rFonts w:ascii="Times New Roman" w:eastAsia="Calibri" w:hAnsi="Times New Roman" w:cs="Times New Roman"/>
          <w:sz w:val="24"/>
          <w:szCs w:val="24"/>
          <w:lang w:val="en-US" w:eastAsia="en-US"/>
        </w:rPr>
        <w:t>where</w:t>
      </w:r>
      <w:proofErr w:type="gramEnd"/>
      <w:r w:rsidRPr="002D6D63">
        <w:rPr>
          <w:rFonts w:ascii="Times New Roman" w:eastAsia="Calibri" w:hAnsi="Times New Roman" w:cs="Times New Roman"/>
          <w:sz w:val="24"/>
          <w:szCs w:val="24"/>
          <w:lang w:val="en-US" w:eastAsia="en-US"/>
        </w:rPr>
        <w:t xml:space="preserve"> the error term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ε</m:t>
            </m:r>
          </m:e>
          <m:sub>
            <m:r>
              <w:rPr>
                <w:rFonts w:ascii="Cambria Math" w:eastAsia="Calibri" w:hAnsi="Cambria Math" w:cs="Times New Roman"/>
                <w:sz w:val="24"/>
                <w:szCs w:val="24"/>
                <w:lang w:val="en-US" w:eastAsia="en-US"/>
              </w:rPr>
              <m:t>t</m:t>
            </m:r>
          </m:sub>
        </m:sSub>
      </m:oMath>
      <w:r w:rsidRPr="002D6D63">
        <w:rPr>
          <w:rFonts w:ascii="Times New Roman" w:eastAsia="Calibri" w:hAnsi="Times New Roman" w:cs="Times New Roman"/>
          <w:sz w:val="24"/>
          <w:szCs w:val="24"/>
          <w:lang w:val="en-US" w:eastAsia="en-US"/>
        </w:rPr>
        <w:t xml:space="preserve"> is assumed to be independently and identically normally distributed with mean zero and variance equal to</w:t>
      </w:r>
      <m:oMath>
        <m:r>
          <w:rPr>
            <w:rFonts w:ascii="Cambria Math" w:eastAsia="Calibri" w:hAnsi="Cambria Math" w:cs="Times New Roman"/>
            <w:sz w:val="24"/>
            <w:szCs w:val="24"/>
            <w:lang w:val="en-US" w:eastAsia="en-US"/>
          </w:rPr>
          <m:t xml:space="preserve"> </m:t>
        </m:r>
        <m:sSup>
          <m:sSupPr>
            <m:ctrlPr>
              <w:rPr>
                <w:rFonts w:ascii="Cambria Math" w:eastAsia="Calibri" w:hAnsi="Cambria Math" w:cs="Times New Roman"/>
                <w:i/>
                <w:sz w:val="24"/>
                <w:szCs w:val="24"/>
                <w:lang w:val="en-US" w:eastAsia="en-US"/>
              </w:rPr>
            </m:ctrlPr>
          </m:sSupPr>
          <m:e>
            <m:r>
              <w:rPr>
                <w:rFonts w:ascii="Cambria Math" w:eastAsia="Calibri" w:hAnsi="Cambria Math" w:cs="Times New Roman"/>
                <w:sz w:val="24"/>
                <w:szCs w:val="24"/>
                <w:lang w:val="en-US" w:eastAsia="en-US"/>
              </w:rPr>
              <m:t>σ</m:t>
            </m:r>
          </m:e>
          <m:sup>
            <m:r>
              <w:rPr>
                <w:rFonts w:ascii="Cambria Math" w:eastAsia="Calibri" w:hAnsi="Cambria Math" w:cs="Times New Roman"/>
                <w:sz w:val="24"/>
                <w:szCs w:val="24"/>
                <w:lang w:val="en-US" w:eastAsia="en-US"/>
              </w:rPr>
              <m:t>2</m:t>
            </m:r>
          </m:sup>
        </m:sSup>
      </m:oMath>
      <w:r w:rsidRPr="002D6D63">
        <w:rPr>
          <w:rFonts w:ascii="Times New Roman" w:eastAsia="Calibri" w:hAnsi="Times New Roman" w:cs="Times New Roman"/>
          <w:sz w:val="24"/>
          <w:szCs w:val="24"/>
          <w:lang w:val="en-US" w:eastAsia="en-US"/>
        </w:rPr>
        <w:t xml:space="preserve">.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WTI, t</m:t>
            </m:r>
          </m:sub>
        </m:sSub>
        <m:r>
          <w:rPr>
            <w:rFonts w:ascii="Cambria Math" w:eastAsia="Calibri" w:hAnsi="Cambria Math" w:cs="Times New Roman"/>
            <w:sz w:val="24"/>
            <w:szCs w:val="24"/>
            <w:lang w:val="en-US" w:eastAsia="en-US"/>
          </w:rPr>
          <m:t xml:space="preserve"> ,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Stock, t</m:t>
            </m:r>
          </m:sub>
        </m:sSub>
        <m:r>
          <w:rPr>
            <w:rFonts w:ascii="Cambria Math" w:eastAsia="Calibri" w:hAnsi="Cambria Math" w:cs="Times New Roman"/>
            <w:sz w:val="24"/>
            <w:szCs w:val="24"/>
            <w:lang w:val="en-US" w:eastAsia="en-US"/>
          </w:rPr>
          <m:t xml:space="preserve"> </m:t>
        </m:r>
      </m:oMath>
      <w:r w:rsidRPr="002D6D63">
        <w:rPr>
          <w:rFonts w:ascii="Times New Roman" w:eastAsia="Calibri" w:hAnsi="Times New Roman" w:cs="Times New Roman"/>
          <w:sz w:val="24"/>
          <w:szCs w:val="24"/>
          <w:lang w:val="en-US" w:eastAsia="en-US"/>
        </w:rPr>
        <w:t xml:space="preserve"> </w:t>
      </w:r>
      <w:proofErr w:type="gramStart"/>
      <w:r w:rsidRPr="002D6D63">
        <w:rPr>
          <w:rFonts w:ascii="Times New Roman" w:eastAsia="Calibri" w:hAnsi="Times New Roman" w:cs="Times New Roman"/>
          <w:sz w:val="24"/>
          <w:szCs w:val="24"/>
          <w:lang w:val="en-US" w:eastAsia="en-US"/>
        </w:rPr>
        <w:t>are</w:t>
      </w:r>
      <w:proofErr w:type="gramEnd"/>
      <w:r w:rsidRPr="002D6D63">
        <w:rPr>
          <w:rFonts w:ascii="Times New Roman" w:eastAsia="Calibri" w:hAnsi="Times New Roman" w:cs="Times New Roman"/>
          <w:sz w:val="24"/>
          <w:szCs w:val="24"/>
          <w:lang w:val="en-US" w:eastAsia="en-US"/>
        </w:rPr>
        <w:t xml:space="preserve"> the returns on WTI crude oil, and on a given stock market index at time period </w:t>
      </w:r>
      <w:r w:rsidRPr="002D6D63">
        <w:rPr>
          <w:rFonts w:ascii="Times New Roman" w:eastAsia="Calibri" w:hAnsi="Times New Roman" w:cs="Times New Roman"/>
          <w:i/>
          <w:sz w:val="24"/>
          <w:szCs w:val="24"/>
          <w:lang w:val="en-US" w:eastAsia="en-US"/>
        </w:rPr>
        <w:t>t</w:t>
      </w:r>
      <w:r w:rsidRPr="002D6D63">
        <w:rPr>
          <w:rFonts w:ascii="Times New Roman" w:eastAsia="Calibri" w:hAnsi="Times New Roman" w:cs="Times New Roman"/>
          <w:sz w:val="24"/>
          <w:szCs w:val="24"/>
          <w:lang w:val="en-US" w:eastAsia="en-US"/>
        </w:rPr>
        <w:t xml:space="preserve">, respectively.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Stock</m:t>
                </m:r>
              </m:e>
              <m:sub>
                <m:r>
                  <w:rPr>
                    <w:rFonts w:ascii="Cambria Math" w:eastAsia="Calibri" w:hAnsi="Cambria Math" w:cs="Times New Roman"/>
                    <w:sz w:val="24"/>
                    <w:szCs w:val="24"/>
                    <w:lang w:val="en-US" w:eastAsia="en-US"/>
                  </w:rPr>
                  <m:t>conflict</m:t>
                </m:r>
              </m:sub>
            </m:sSub>
            <m:r>
              <w:rPr>
                <w:rFonts w:ascii="Cambria Math" w:eastAsia="Calibri" w:hAnsi="Cambria Math" w:cs="Times New Roman"/>
                <w:sz w:val="24"/>
                <w:szCs w:val="24"/>
                <w:lang w:val="en-US" w:eastAsia="en-US"/>
              </w:rPr>
              <m:t>,  t</m:t>
            </m:r>
          </m:sub>
        </m:sSub>
        <m:r>
          <w:rPr>
            <w:rFonts w:ascii="Cambria Math" w:eastAsia="Calibri" w:hAnsi="Cambria Math" w:cs="Times New Roman"/>
            <w:sz w:val="24"/>
            <w:szCs w:val="24"/>
            <w:lang w:val="en-US" w:eastAsia="en-US"/>
          </w:rPr>
          <m:t xml:space="preserve">  </m:t>
        </m:r>
      </m:oMath>
      <w:proofErr w:type="gramStart"/>
      <w:r w:rsidRPr="002D6D63">
        <w:rPr>
          <w:rFonts w:ascii="Times New Roman" w:eastAsia="Calibri" w:hAnsi="Times New Roman" w:cs="Times New Roman"/>
          <w:sz w:val="24"/>
          <w:szCs w:val="24"/>
          <w:lang w:val="en-US" w:eastAsia="en-US"/>
        </w:rPr>
        <w:t>is</w:t>
      </w:r>
      <w:proofErr w:type="gramEnd"/>
      <w:r w:rsidRPr="002D6D63">
        <w:rPr>
          <w:rFonts w:ascii="Times New Roman" w:eastAsia="Calibri" w:hAnsi="Times New Roman" w:cs="Times New Roman"/>
          <w:sz w:val="24"/>
          <w:szCs w:val="24"/>
          <w:lang w:val="en-US" w:eastAsia="en-US"/>
        </w:rPr>
        <w:t xml:space="preserve"> an interaction term between the variable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Stock, t</m:t>
            </m:r>
          </m:sub>
        </m:sSub>
      </m:oMath>
      <w:r w:rsidRPr="002D6D63">
        <w:rPr>
          <w:rFonts w:ascii="Times New Roman" w:eastAsia="Calibri" w:hAnsi="Times New Roman" w:cs="Times New Roman"/>
          <w:sz w:val="24"/>
          <w:szCs w:val="24"/>
          <w:lang w:val="en-US" w:eastAsia="en-US"/>
        </w:rPr>
        <w:t xml:space="preserve"> and the dummy variable </w:t>
      </w:r>
      <w:proofErr w:type="spellStart"/>
      <w:r w:rsidRPr="002D6D63">
        <w:rPr>
          <w:rFonts w:ascii="Times New Roman" w:eastAsia="Calibri" w:hAnsi="Times New Roman" w:cs="Times New Roman"/>
          <w:i/>
          <w:sz w:val="24"/>
          <w:szCs w:val="24"/>
          <w:lang w:val="en-US" w:eastAsia="en-US"/>
        </w:rPr>
        <w:t>D</w:t>
      </w:r>
      <w:r w:rsidRPr="002D6D63">
        <w:rPr>
          <w:rFonts w:ascii="Times New Roman" w:eastAsia="Calibri" w:hAnsi="Times New Roman" w:cs="Times New Roman"/>
          <w:i/>
          <w:sz w:val="16"/>
          <w:szCs w:val="16"/>
          <w:lang w:val="en-US" w:eastAsia="en-US"/>
        </w:rPr>
        <w:t>Conflict</w:t>
      </w:r>
      <w:r w:rsidRPr="002D6D63">
        <w:rPr>
          <w:rFonts w:ascii="Times New Roman" w:eastAsia="Calibri" w:hAnsi="Times New Roman" w:cs="Times New Roman"/>
          <w:i/>
          <w:sz w:val="24"/>
          <w:szCs w:val="24"/>
          <w:vertAlign w:val="subscript"/>
          <w:lang w:val="en-US" w:eastAsia="en-US"/>
        </w:rPr>
        <w:t>t</w:t>
      </w:r>
      <w:proofErr w:type="spellEnd"/>
      <w:r w:rsidRPr="002D6D63">
        <w:rPr>
          <w:rFonts w:ascii="Times New Roman" w:eastAsia="Calibri" w:hAnsi="Times New Roman" w:cs="Times New Roman"/>
          <w:sz w:val="24"/>
          <w:szCs w:val="24"/>
          <w:lang w:val="en-US" w:eastAsia="en-US"/>
        </w:rPr>
        <w:t xml:space="preserve">, where </w:t>
      </w:r>
      <w:proofErr w:type="spellStart"/>
      <w:r w:rsidRPr="002D6D63">
        <w:rPr>
          <w:rFonts w:ascii="Times New Roman" w:eastAsia="Calibri" w:hAnsi="Times New Roman" w:cs="Times New Roman"/>
          <w:i/>
          <w:sz w:val="24"/>
          <w:szCs w:val="24"/>
          <w:lang w:val="en-US" w:eastAsia="en-US"/>
        </w:rPr>
        <w:t>D</w:t>
      </w:r>
      <w:r w:rsidRPr="002D6D63">
        <w:rPr>
          <w:rFonts w:ascii="Times New Roman" w:eastAsia="Calibri" w:hAnsi="Times New Roman" w:cs="Times New Roman"/>
          <w:i/>
          <w:sz w:val="16"/>
          <w:szCs w:val="16"/>
          <w:lang w:val="en-US" w:eastAsia="en-US"/>
        </w:rPr>
        <w:t>Conflict</w:t>
      </w:r>
      <w:r w:rsidRPr="002D6D63">
        <w:rPr>
          <w:rFonts w:ascii="Times New Roman" w:eastAsia="Calibri" w:hAnsi="Times New Roman" w:cs="Times New Roman"/>
          <w:i/>
          <w:sz w:val="24"/>
          <w:szCs w:val="24"/>
          <w:vertAlign w:val="subscript"/>
          <w:lang w:val="en-US" w:eastAsia="en-US"/>
        </w:rPr>
        <w:t>t</w:t>
      </w:r>
      <w:proofErr w:type="spellEnd"/>
      <w:r w:rsidRPr="002D6D63">
        <w:rPr>
          <w:rFonts w:ascii="Times New Roman" w:eastAsia="Calibri" w:hAnsi="Times New Roman" w:cs="Times New Roman"/>
          <w:sz w:val="24"/>
          <w:szCs w:val="24"/>
          <w:lang w:val="en-US" w:eastAsia="en-US"/>
        </w:rPr>
        <w:t xml:space="preserve"> is equal to 1 in the event window (-50, 50) centered on the conflict trigger date and 0 otherwise. Three different stock market indices are used (S&amp;P 500, MSCI World, MSCI World excl. U.S.), allowing us to examine the safe haven property from the perspectives of U.S., international and non-U.S. stock market investors. As for World Government Bonds, we additionally perform the same analysis as before, but replace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WTI, t</m:t>
            </m:r>
          </m:sub>
        </m:sSub>
      </m:oMath>
      <w:r w:rsidRPr="002D6D63">
        <w:rPr>
          <w:rFonts w:ascii="Times New Roman" w:eastAsia="Calibri" w:hAnsi="Times New Roman" w:cs="Times New Roman"/>
          <w:sz w:val="24"/>
          <w:szCs w:val="24"/>
          <w:lang w:val="en-US" w:eastAsia="en-US"/>
        </w:rPr>
        <w:t xml:space="preserve"> with</w:t>
      </w:r>
      <m:oMath>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Bond, t</m:t>
            </m:r>
          </m:sub>
        </m:sSub>
      </m:oMath>
      <w:r w:rsidRPr="002D6D63">
        <w:rPr>
          <w:rFonts w:ascii="Times New Roman" w:eastAsia="Calibri" w:hAnsi="Times New Roman" w:cs="Times New Roman"/>
          <w:sz w:val="24"/>
          <w:szCs w:val="24"/>
          <w:lang w:val="en-US" w:eastAsia="en-US"/>
        </w:rPr>
        <w:t>, and specify the following regression equation:</w:t>
      </w:r>
    </w:p>
    <w:p w:rsidR="002D6D63" w:rsidRPr="002D6D63" w:rsidRDefault="009A0C3B" w:rsidP="002D6D63">
      <w:pPr>
        <w:tabs>
          <w:tab w:val="left" w:pos="709"/>
          <w:tab w:val="left" w:pos="8647"/>
        </w:tabs>
        <w:spacing w:line="480" w:lineRule="auto"/>
        <w:ind w:left="2552" w:right="-2"/>
        <w:jc w:val="both"/>
        <w:rPr>
          <w:rFonts w:ascii="Times New Roman" w:eastAsia="Calibri" w:hAnsi="Times New Roman" w:cs="Times New Roman"/>
          <w:sz w:val="24"/>
          <w:szCs w:val="24"/>
          <w:lang w:val="en-US" w:eastAsia="en-US"/>
        </w:rPr>
      </w:pP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Bond, t</m:t>
            </m:r>
          </m:sub>
        </m:sSub>
        <m:r>
          <w:rPr>
            <w:rFonts w:ascii="Cambria Math" w:eastAsia="Calibri" w:hAnsi="Cambria Math" w:cs="Times New Roman"/>
            <w:sz w:val="24"/>
            <w:szCs w:val="24"/>
            <w:lang w:val="en-US" w:eastAsia="en-US"/>
          </w:rPr>
          <m:t xml:space="preserve">=C+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β</m:t>
            </m:r>
          </m:e>
          <m:sub>
            <m:r>
              <w:rPr>
                <w:rFonts w:ascii="Cambria Math" w:eastAsia="Calibri" w:hAnsi="Cambria Math" w:cs="Times New Roman"/>
                <w:sz w:val="24"/>
                <w:szCs w:val="24"/>
                <w:lang w:val="en-US" w:eastAsia="en-US"/>
              </w:rPr>
              <m:t>1</m:t>
            </m:r>
          </m:sub>
        </m:sSub>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Stock, t</m:t>
            </m:r>
          </m:sub>
        </m:sSub>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β</m:t>
            </m:r>
          </m:e>
          <m:sub>
            <m:r>
              <w:rPr>
                <w:rFonts w:ascii="Cambria Math" w:eastAsia="Calibri" w:hAnsi="Cambria Math" w:cs="Times New Roman"/>
                <w:sz w:val="24"/>
                <w:szCs w:val="24"/>
                <w:lang w:val="en-US" w:eastAsia="en-US"/>
              </w:rPr>
              <m:t>2</m:t>
            </m:r>
          </m:sub>
        </m:sSub>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Stock</m:t>
                </m:r>
              </m:e>
              <m:sub>
                <m:r>
                  <w:rPr>
                    <w:rFonts w:ascii="Cambria Math" w:eastAsia="Calibri" w:hAnsi="Cambria Math" w:cs="Times New Roman"/>
                    <w:sz w:val="24"/>
                    <w:szCs w:val="24"/>
                    <w:lang w:val="en-US" w:eastAsia="en-US"/>
                  </w:rPr>
                  <m:t>conflict</m:t>
                </m:r>
              </m:sub>
            </m:sSub>
            <m:r>
              <w:rPr>
                <w:rFonts w:ascii="Cambria Math" w:eastAsia="Calibri" w:hAnsi="Cambria Math" w:cs="Times New Roman"/>
                <w:sz w:val="24"/>
                <w:szCs w:val="24"/>
                <w:lang w:val="en-US" w:eastAsia="en-US"/>
              </w:rPr>
              <m:t>,  t</m:t>
            </m:r>
          </m:sub>
        </m:sSub>
        <m:r>
          <w:rPr>
            <w:rFonts w:ascii="Cambria Math" w:eastAsia="Calibri" w:hAnsi="Cambria Math" w:cs="Times New Roman"/>
            <w:sz w:val="24"/>
            <w:szCs w:val="24"/>
            <w:lang w:val="en-US" w:eastAsia="en-US"/>
          </w:rPr>
          <m:t>+</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ε</m:t>
            </m:r>
          </m:e>
          <m:sub>
            <m:r>
              <w:rPr>
                <w:rFonts w:ascii="Cambria Math" w:eastAsia="Calibri" w:hAnsi="Cambria Math" w:cs="Times New Roman"/>
                <w:sz w:val="24"/>
                <w:szCs w:val="24"/>
                <w:lang w:val="en-US" w:eastAsia="en-US"/>
              </w:rPr>
              <m:t>t</m:t>
            </m:r>
          </m:sub>
        </m:sSub>
      </m:oMath>
      <w:r w:rsidR="002D6D63" w:rsidRPr="002D6D63">
        <w:rPr>
          <w:rFonts w:ascii="Times New Roman" w:eastAsia="Calibri" w:hAnsi="Times New Roman" w:cs="Times New Roman"/>
          <w:sz w:val="24"/>
          <w:szCs w:val="24"/>
          <w:lang w:val="en-US" w:eastAsia="en-US"/>
        </w:rPr>
        <w:t xml:space="preserve"> ,</w:t>
      </w:r>
      <w:r w:rsidR="002D6D63" w:rsidRPr="002D6D63">
        <w:rPr>
          <w:rFonts w:ascii="Times New Roman" w:eastAsia="Calibri" w:hAnsi="Times New Roman" w:cs="Times New Roman"/>
          <w:sz w:val="24"/>
          <w:szCs w:val="24"/>
          <w:lang w:val="en-US" w:eastAsia="en-US"/>
        </w:rPr>
        <w:tab/>
        <w:t>(6)</w:t>
      </w:r>
    </w:p>
    <w:p w:rsidR="002D6D63" w:rsidRPr="002D6D63" w:rsidRDefault="002D6D63" w:rsidP="002D6D63">
      <w:pPr>
        <w:spacing w:line="480" w:lineRule="auto"/>
        <w:jc w:val="both"/>
        <w:rPr>
          <w:rFonts w:ascii="Times New Roman" w:eastAsia="Calibri" w:hAnsi="Times New Roman" w:cs="Times New Roman"/>
          <w:sz w:val="24"/>
          <w:szCs w:val="24"/>
          <w:lang w:val="en-US" w:eastAsia="en-US"/>
        </w:rPr>
      </w:pPr>
      <w:proofErr w:type="gramStart"/>
      <w:r w:rsidRPr="002D6D63">
        <w:rPr>
          <w:rFonts w:ascii="Times New Roman" w:eastAsia="Calibri" w:hAnsi="Times New Roman" w:cs="Times New Roman"/>
          <w:sz w:val="24"/>
          <w:szCs w:val="24"/>
          <w:lang w:val="en-US" w:eastAsia="en-US"/>
        </w:rPr>
        <w:t>where</w:t>
      </w:r>
      <w:proofErr w:type="gramEnd"/>
      <w:r w:rsidRPr="002D6D63">
        <w:rPr>
          <w:rFonts w:ascii="Times New Roman" w:eastAsia="Calibri" w:hAnsi="Times New Roman" w:cs="Times New Roman"/>
          <w:sz w:val="24"/>
          <w:szCs w:val="24"/>
          <w:lang w:val="en-US" w:eastAsia="en-US"/>
        </w:rPr>
        <w:t xml:space="preserve">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R</m:t>
            </m:r>
          </m:e>
          <m:sub>
            <m:r>
              <w:rPr>
                <w:rFonts w:ascii="Cambria Math" w:eastAsia="Calibri" w:hAnsi="Cambria Math" w:cs="Times New Roman"/>
                <w:sz w:val="24"/>
                <w:szCs w:val="24"/>
                <w:lang w:val="en-US" w:eastAsia="en-US"/>
              </w:rPr>
              <m:t>Bond, t</m:t>
            </m:r>
          </m:sub>
        </m:sSub>
      </m:oMath>
      <w:r w:rsidRPr="002D6D63">
        <w:rPr>
          <w:rFonts w:ascii="Times New Roman" w:eastAsia="Calibri" w:hAnsi="Times New Roman" w:cs="Times New Roman"/>
          <w:sz w:val="24"/>
          <w:szCs w:val="24"/>
          <w:lang w:val="en-US" w:eastAsia="en-US"/>
        </w:rPr>
        <w:t xml:space="preserve">  is the </w:t>
      </w:r>
      <w:r w:rsidR="00DC12DF">
        <w:rPr>
          <w:rFonts w:ascii="Times New Roman" w:eastAsia="Calibri" w:hAnsi="Times New Roman" w:cs="Times New Roman"/>
          <w:sz w:val="24"/>
          <w:szCs w:val="24"/>
          <w:lang w:val="en-US" w:eastAsia="en-US"/>
        </w:rPr>
        <w:t xml:space="preserve">total </w:t>
      </w:r>
      <w:r w:rsidRPr="002D6D63">
        <w:rPr>
          <w:rFonts w:ascii="Times New Roman" w:eastAsia="Calibri" w:hAnsi="Times New Roman" w:cs="Times New Roman"/>
          <w:sz w:val="24"/>
          <w:szCs w:val="24"/>
          <w:lang w:val="en-US" w:eastAsia="en-US"/>
        </w:rPr>
        <w:t xml:space="preserve">return of the world bond at time period </w:t>
      </w:r>
      <w:r w:rsidRPr="002D6D63">
        <w:rPr>
          <w:rFonts w:ascii="Times New Roman" w:eastAsia="Calibri" w:hAnsi="Times New Roman" w:cs="Times New Roman"/>
          <w:i/>
          <w:sz w:val="24"/>
          <w:szCs w:val="24"/>
          <w:lang w:val="en-US" w:eastAsia="en-US"/>
        </w:rPr>
        <w:t>t.</w:t>
      </w:r>
      <w:r w:rsidRPr="002D6D63">
        <w:rPr>
          <w:rFonts w:ascii="Times New Roman" w:eastAsia="Calibri" w:hAnsi="Times New Roman" w:cs="Times New Roman"/>
          <w:sz w:val="24"/>
          <w:szCs w:val="24"/>
          <w:lang w:val="en-US" w:eastAsia="en-US"/>
        </w:rPr>
        <w:t xml:space="preserve"> According to </w:t>
      </w:r>
      <w:proofErr w:type="spellStart"/>
      <w:r w:rsidRPr="002D6D63">
        <w:rPr>
          <w:rFonts w:ascii="Times New Roman" w:eastAsia="Calibri" w:hAnsi="Times New Roman" w:cs="Times New Roman"/>
          <w:sz w:val="24"/>
          <w:szCs w:val="24"/>
          <w:lang w:val="en-US" w:eastAsia="en-US"/>
        </w:rPr>
        <w:t>Baur</w:t>
      </w:r>
      <w:proofErr w:type="spellEnd"/>
      <w:r w:rsidRPr="002D6D63">
        <w:rPr>
          <w:rFonts w:ascii="Times New Roman" w:eastAsia="Calibri" w:hAnsi="Times New Roman" w:cs="Times New Roman"/>
          <w:sz w:val="24"/>
          <w:szCs w:val="24"/>
          <w:lang w:val="en-US" w:eastAsia="en-US"/>
        </w:rPr>
        <w:t xml:space="preserve"> &amp; Lucey (2010), oil and world government bonds will exhibit characteristics of a hedge, should the respective estimations reveal that</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 xml:space="preserve"> β</m:t>
            </m:r>
          </m:e>
          <m:sub>
            <m:r>
              <w:rPr>
                <w:rFonts w:ascii="Cambria Math" w:eastAsia="Calibri" w:hAnsi="Cambria Math" w:cs="Times New Roman"/>
                <w:sz w:val="24"/>
                <w:szCs w:val="24"/>
                <w:lang w:val="en-US" w:eastAsia="en-US"/>
              </w:rPr>
              <m:t>1</m:t>
            </m:r>
          </m:sub>
        </m:sSub>
        <m:r>
          <w:rPr>
            <w:rFonts w:ascii="Cambria Math" w:eastAsia="Calibri" w:hAnsi="Cambria Math" w:cs="Times New Roman"/>
            <w:sz w:val="24"/>
            <w:szCs w:val="24"/>
            <w:lang w:val="en-US" w:eastAsia="en-US"/>
          </w:rPr>
          <m:t xml:space="preserve"> ≤0</m:t>
        </m:r>
      </m:oMath>
      <w:r w:rsidRPr="002D6D63">
        <w:rPr>
          <w:rFonts w:ascii="Times New Roman" w:eastAsia="Calibri" w:hAnsi="Times New Roman" w:cs="Times New Roman"/>
          <w:sz w:val="24"/>
          <w:szCs w:val="24"/>
          <w:lang w:val="en-US" w:eastAsia="en-US"/>
        </w:rPr>
        <w:t xml:space="preserve">. If </w:t>
      </w:r>
      <w:r w:rsidRPr="002D6D63">
        <w:rPr>
          <w:rFonts w:ascii="Times New Roman" w:hAnsi="Times New Roman"/>
          <w:sz w:val="24"/>
          <w:szCs w:val="24"/>
          <w:lang w:val="en-US"/>
        </w:rPr>
        <w:t>(</w:t>
      </w:r>
      <w:r w:rsidRPr="002D6D63">
        <w:rPr>
          <w:rFonts w:ascii="Times New Roman" w:hAnsi="Times New Roman" w:cs="Times New Roman"/>
          <w:i/>
          <w:color w:val="000000" w:themeColor="text1"/>
          <w:lang w:val="en-US"/>
        </w:rPr>
        <w:t>β</w:t>
      </w:r>
      <w:r w:rsidRPr="002D6D63">
        <w:rPr>
          <w:rFonts w:ascii="Times New Roman" w:hAnsi="Times New Roman"/>
          <w:i/>
          <w:sz w:val="24"/>
          <w:szCs w:val="24"/>
          <w:vertAlign w:val="subscript"/>
          <w:lang w:val="en-US"/>
        </w:rPr>
        <w:t xml:space="preserve"> 1</w:t>
      </w:r>
      <w:r w:rsidRPr="002D6D63">
        <w:rPr>
          <w:rFonts w:ascii="Times New Roman" w:hAnsi="Times New Roman"/>
          <w:i/>
          <w:sz w:val="24"/>
          <w:szCs w:val="24"/>
          <w:lang w:val="en-US"/>
        </w:rPr>
        <w:t xml:space="preserve">+ </w:t>
      </w:r>
      <w:r w:rsidRPr="002D6D63">
        <w:rPr>
          <w:rFonts w:ascii="Times New Roman" w:hAnsi="Times New Roman" w:cs="Times New Roman"/>
          <w:i/>
          <w:color w:val="000000" w:themeColor="text1"/>
          <w:lang w:val="en-US"/>
        </w:rPr>
        <w:t>β</w:t>
      </w:r>
      <w:r w:rsidRPr="002D6D63">
        <w:rPr>
          <w:rFonts w:ascii="Times New Roman" w:hAnsi="Times New Roman"/>
          <w:i/>
          <w:sz w:val="24"/>
          <w:szCs w:val="24"/>
          <w:vertAlign w:val="subscript"/>
          <w:lang w:val="en-US"/>
        </w:rPr>
        <w:t xml:space="preserve"> 2</w:t>
      </w:r>
      <w:r w:rsidRPr="002D6D63">
        <w:rPr>
          <w:rFonts w:ascii="Times New Roman" w:hAnsi="Times New Roman"/>
          <w:sz w:val="24"/>
          <w:szCs w:val="24"/>
          <w:lang w:val="en-US"/>
        </w:rPr>
        <w:t xml:space="preserve">) </w:t>
      </w:r>
      <m:oMath>
        <m:r>
          <w:rPr>
            <w:rFonts w:ascii="Cambria Math" w:hAnsi="Cambria Math"/>
            <w:sz w:val="24"/>
            <w:szCs w:val="24"/>
            <w:lang w:val="en-US"/>
          </w:rPr>
          <m:t>≤0</m:t>
        </m:r>
      </m:oMath>
      <w:r w:rsidRPr="002D6D63">
        <w:rPr>
          <w:rFonts w:ascii="Times New Roman" w:eastAsia="Calibri" w:hAnsi="Times New Roman" w:cs="Times New Roman"/>
          <w:sz w:val="24"/>
          <w:szCs w:val="24"/>
          <w:lang w:val="en-US" w:eastAsia="en-US"/>
        </w:rPr>
        <w:t xml:space="preserve">, oil and bonds will be defined as safe haven assets, as their returns will be uncorrelated or negatively correlated with stock market index returns in times of conflict. In light of our event-study results, we postulate that fossil fuel and sovereign bonds will act as a shelter from equities during violent political conflicts. Thus, failure to reject the null hypothesis </w:t>
      </w:r>
      <w:r w:rsidRPr="002D6D63">
        <w:rPr>
          <w:rFonts w:ascii="Times New Roman" w:hAnsi="Times New Roman"/>
          <w:sz w:val="24"/>
          <w:szCs w:val="24"/>
          <w:lang w:val="en-US"/>
        </w:rPr>
        <w:t>(</w:t>
      </w:r>
      <w:r w:rsidRPr="002D6D63">
        <w:rPr>
          <w:rFonts w:ascii="Times New Roman" w:hAnsi="Times New Roman" w:cs="Times New Roman"/>
          <w:i/>
          <w:color w:val="000000" w:themeColor="text1"/>
          <w:lang w:val="en-US"/>
        </w:rPr>
        <w:t>β</w:t>
      </w:r>
      <w:r w:rsidRPr="002D6D63">
        <w:rPr>
          <w:rFonts w:ascii="Times New Roman" w:hAnsi="Times New Roman"/>
          <w:i/>
          <w:sz w:val="24"/>
          <w:szCs w:val="24"/>
          <w:vertAlign w:val="subscript"/>
          <w:lang w:val="en-US"/>
        </w:rPr>
        <w:t xml:space="preserve"> 1</w:t>
      </w:r>
      <w:r w:rsidRPr="002D6D63">
        <w:rPr>
          <w:rFonts w:ascii="Times New Roman" w:hAnsi="Times New Roman"/>
          <w:i/>
          <w:sz w:val="24"/>
          <w:szCs w:val="24"/>
          <w:lang w:val="en-US"/>
        </w:rPr>
        <w:t xml:space="preserve">+ </w:t>
      </w:r>
      <w:r w:rsidRPr="002D6D63">
        <w:rPr>
          <w:rFonts w:ascii="Times New Roman" w:hAnsi="Times New Roman" w:cs="Times New Roman"/>
          <w:i/>
          <w:color w:val="000000" w:themeColor="text1"/>
          <w:lang w:val="en-US"/>
        </w:rPr>
        <w:t>β</w:t>
      </w:r>
      <w:r w:rsidRPr="002D6D63">
        <w:rPr>
          <w:rFonts w:ascii="Times New Roman" w:hAnsi="Times New Roman"/>
          <w:i/>
          <w:sz w:val="24"/>
          <w:szCs w:val="24"/>
          <w:vertAlign w:val="subscript"/>
          <w:lang w:val="en-US"/>
        </w:rPr>
        <w:t xml:space="preserve"> 2</w:t>
      </w:r>
      <w:r w:rsidRPr="002D6D63">
        <w:rPr>
          <w:rFonts w:ascii="Times New Roman" w:hAnsi="Times New Roman"/>
          <w:sz w:val="24"/>
          <w:szCs w:val="24"/>
          <w:lang w:val="en-US"/>
        </w:rPr>
        <w:t xml:space="preserve">) </w:t>
      </w:r>
      <m:oMath>
        <m:r>
          <w:rPr>
            <w:rFonts w:ascii="Cambria Math" w:hAnsi="Cambria Math"/>
            <w:sz w:val="24"/>
            <w:szCs w:val="24"/>
            <w:lang w:val="en-US"/>
          </w:rPr>
          <m:t>≤0</m:t>
        </m:r>
      </m:oMath>
      <w:r w:rsidRPr="002D6D63">
        <w:rPr>
          <w:rFonts w:ascii="Times New Roman" w:hAnsi="Times New Roman"/>
          <w:sz w:val="24"/>
          <w:szCs w:val="24"/>
          <w:lang w:val="en-US"/>
        </w:rPr>
        <w:t xml:space="preserve"> attests to the ability of oil and bonds to provide protection when it is most needed. In our computations that follow, we provide the </w:t>
      </w:r>
      <w:r w:rsidRPr="002D6D63">
        <w:rPr>
          <w:rFonts w:ascii="Times New Roman" w:hAnsi="Times New Roman"/>
          <w:i/>
          <w:sz w:val="24"/>
          <w:szCs w:val="24"/>
          <w:lang w:val="en-US"/>
        </w:rPr>
        <w:t>p</w:t>
      </w:r>
      <w:r w:rsidRPr="002D6D63">
        <w:rPr>
          <w:rFonts w:ascii="Times New Roman" w:hAnsi="Times New Roman"/>
          <w:sz w:val="24"/>
          <w:szCs w:val="24"/>
          <w:lang w:val="en-US"/>
        </w:rPr>
        <w:t xml:space="preserve">-values for this null based on a standard one-sided </w:t>
      </w:r>
      <w:r w:rsidRPr="002D6D63">
        <w:rPr>
          <w:rFonts w:ascii="Times New Roman" w:hAnsi="Times New Roman"/>
          <w:i/>
          <w:sz w:val="24"/>
          <w:szCs w:val="24"/>
          <w:lang w:val="en-US"/>
        </w:rPr>
        <w:t>t</w:t>
      </w:r>
      <w:r w:rsidRPr="002D6D63">
        <w:rPr>
          <w:rFonts w:ascii="Times New Roman" w:hAnsi="Times New Roman"/>
          <w:sz w:val="24"/>
          <w:szCs w:val="24"/>
          <w:lang w:val="en-US"/>
        </w:rPr>
        <w:t xml:space="preserve">-test. </w:t>
      </w:r>
    </w:p>
    <w:p w:rsidR="002D6D63" w:rsidRPr="002D6D63" w:rsidRDefault="002D6D63" w:rsidP="002D6D63">
      <w:pPr>
        <w:spacing w:line="480" w:lineRule="auto"/>
        <w:ind w:firstLine="426"/>
        <w:jc w:val="both"/>
        <w:rPr>
          <w:rFonts w:ascii="Times New Roman" w:eastAsia="Calibri" w:hAnsi="Times New Roman" w:cs="Times New Roman"/>
          <w:sz w:val="24"/>
          <w:szCs w:val="24"/>
          <w:lang w:val="en-US" w:eastAsia="en-US"/>
        </w:rPr>
      </w:pPr>
      <w:r w:rsidRPr="002D6D63">
        <w:rPr>
          <w:rFonts w:ascii="Times New Roman" w:eastAsia="Calibri" w:hAnsi="Times New Roman" w:cs="Times New Roman"/>
          <w:sz w:val="24"/>
          <w:szCs w:val="24"/>
          <w:lang w:val="en-US" w:eastAsia="en-US"/>
        </w:rPr>
        <w:t xml:space="preserve">Models (5) and (6) above cohere with the definition of a safe haven as "an asset that is uncorrelated or negatively correlated with another asset or portfolio in times of market stress </w:t>
      </w:r>
      <w:r w:rsidRPr="002D6D63">
        <w:rPr>
          <w:rFonts w:ascii="Times New Roman" w:eastAsia="Calibri" w:hAnsi="Times New Roman" w:cs="Times New Roman"/>
          <w:sz w:val="24"/>
          <w:szCs w:val="24"/>
          <w:lang w:val="en-US" w:eastAsia="en-US"/>
        </w:rPr>
        <w:lastRenderedPageBreak/>
        <w:t>or turmoil" (</w:t>
      </w:r>
      <w:proofErr w:type="spellStart"/>
      <w:r w:rsidRPr="002D6D63">
        <w:rPr>
          <w:rFonts w:ascii="Times New Roman" w:eastAsia="Calibri" w:hAnsi="Times New Roman" w:cs="Times New Roman"/>
          <w:sz w:val="24"/>
          <w:szCs w:val="24"/>
          <w:lang w:val="en-US" w:eastAsia="en-US"/>
        </w:rPr>
        <w:t>Baur</w:t>
      </w:r>
      <w:proofErr w:type="spellEnd"/>
      <w:r w:rsidRPr="002D6D63">
        <w:rPr>
          <w:rFonts w:ascii="Times New Roman" w:eastAsia="Calibri" w:hAnsi="Times New Roman" w:cs="Times New Roman"/>
          <w:sz w:val="24"/>
          <w:szCs w:val="24"/>
          <w:lang w:val="en-US" w:eastAsia="en-US"/>
        </w:rPr>
        <w:t xml:space="preserve"> &amp; Lucey, 2010:219). To reconfirm the results arising from our regressions, we also provide Pearson correlation coefficients between asset classes around the conflict outbreaks. Simple correlation, however, is quite restrictive since it assumes that the relationship between assets is necessarily a linear one. We go one step further and relax the restriction of linearity by proposing that a safe haven is </w:t>
      </w:r>
      <w:r w:rsidRPr="002D6D63">
        <w:rPr>
          <w:rFonts w:ascii="Times New Roman" w:eastAsia="Calibri" w:hAnsi="Times New Roman" w:cs="Times New Roman"/>
          <w:i/>
          <w:sz w:val="24"/>
          <w:szCs w:val="24"/>
          <w:lang w:val="en-US" w:eastAsia="en-US"/>
        </w:rPr>
        <w:t>an asset that is independent or negatively related with another asset or portfolio in times of market stress.</w:t>
      </w:r>
      <w:r w:rsidRPr="002D6D63">
        <w:rPr>
          <w:rFonts w:ascii="Times New Roman" w:eastAsia="Calibri" w:hAnsi="Times New Roman" w:cs="Times New Roman"/>
          <w:sz w:val="24"/>
          <w:szCs w:val="24"/>
          <w:lang w:val="en-US" w:eastAsia="en-US"/>
        </w:rPr>
        <w:t xml:space="preserve"> This definition is more general in the sense that the type of relationship is left unspecified. It could be nonlinear, linear, or even more complex. </w:t>
      </w:r>
    </w:p>
    <w:p w:rsidR="002D6D63" w:rsidRPr="002D6D63" w:rsidRDefault="002D6D63" w:rsidP="002D6D63">
      <w:pPr>
        <w:spacing w:line="480" w:lineRule="auto"/>
        <w:ind w:firstLine="426"/>
        <w:jc w:val="both"/>
        <w:rPr>
          <w:rFonts w:ascii="Times New Roman" w:eastAsia="Calibri" w:hAnsi="Times New Roman" w:cs="Times New Roman"/>
          <w:sz w:val="24"/>
          <w:szCs w:val="24"/>
          <w:lang w:val="en-US" w:eastAsia="en-US"/>
        </w:rPr>
      </w:pPr>
      <w:r w:rsidRPr="002D6D63">
        <w:rPr>
          <w:rFonts w:ascii="Times New Roman" w:eastAsia="Calibri" w:hAnsi="Times New Roman" w:cs="Times New Roman"/>
          <w:sz w:val="24"/>
          <w:szCs w:val="24"/>
          <w:lang w:val="en-US" w:eastAsia="en-US"/>
        </w:rPr>
        <w:t xml:space="preserve">In order to test this new, more general definition of a safe haven, we propose to use Kendall's tau (Kendall, 1938; Kendall &amp; Gibbons, 1990). Kendall's tau is a nonparametric test, which neither relies on any assumptions about the distribution or the relationship between two quantities </w:t>
      </w:r>
      <w:r w:rsidRPr="002D6D63">
        <w:rPr>
          <w:rFonts w:ascii="Times New Roman" w:eastAsia="Calibri" w:hAnsi="Times New Roman" w:cs="Times New Roman"/>
          <w:i/>
          <w:sz w:val="24"/>
          <w:szCs w:val="24"/>
          <w:lang w:val="en-US" w:eastAsia="en-US"/>
        </w:rPr>
        <w:t>X</w:t>
      </w:r>
      <w:r w:rsidRPr="002D6D63">
        <w:rPr>
          <w:rFonts w:ascii="Times New Roman" w:eastAsia="Calibri" w:hAnsi="Times New Roman" w:cs="Times New Roman"/>
          <w:sz w:val="24"/>
          <w:szCs w:val="24"/>
          <w:lang w:val="en-US" w:eastAsia="en-US"/>
        </w:rPr>
        <w:t xml:space="preserve"> and </w:t>
      </w:r>
      <w:r w:rsidRPr="002D6D63">
        <w:rPr>
          <w:rFonts w:ascii="Times New Roman" w:eastAsia="Calibri" w:hAnsi="Times New Roman" w:cs="Times New Roman"/>
          <w:i/>
          <w:sz w:val="24"/>
          <w:szCs w:val="24"/>
          <w:lang w:val="en-US" w:eastAsia="en-US"/>
        </w:rPr>
        <w:t>Y</w:t>
      </w:r>
      <w:r w:rsidRPr="002D6D63">
        <w:rPr>
          <w:rFonts w:ascii="Times New Roman" w:eastAsia="Calibri" w:hAnsi="Times New Roman" w:cs="Times New Roman"/>
          <w:sz w:val="24"/>
          <w:szCs w:val="24"/>
          <w:lang w:val="en-US" w:eastAsia="en-US"/>
        </w:rPr>
        <w:t xml:space="preserve">, nor on the distribution of </w:t>
      </w:r>
      <w:r w:rsidRPr="002D6D63">
        <w:rPr>
          <w:rFonts w:ascii="Times New Roman" w:eastAsia="Calibri" w:hAnsi="Times New Roman" w:cs="Times New Roman"/>
          <w:i/>
          <w:sz w:val="24"/>
          <w:szCs w:val="24"/>
          <w:lang w:val="en-US" w:eastAsia="en-US"/>
        </w:rPr>
        <w:t>(X</w:t>
      </w:r>
      <w:proofErr w:type="gramStart"/>
      <w:r w:rsidRPr="002D6D63">
        <w:rPr>
          <w:rFonts w:ascii="Times New Roman" w:eastAsia="Calibri" w:hAnsi="Times New Roman" w:cs="Times New Roman"/>
          <w:i/>
          <w:sz w:val="24"/>
          <w:szCs w:val="24"/>
          <w:lang w:val="en-US" w:eastAsia="en-US"/>
        </w:rPr>
        <w:t>,Y</w:t>
      </w:r>
      <w:proofErr w:type="gramEnd"/>
      <w:r w:rsidRPr="002D6D63">
        <w:rPr>
          <w:rFonts w:ascii="Times New Roman" w:eastAsia="Calibri" w:hAnsi="Times New Roman" w:cs="Times New Roman"/>
          <w:i/>
          <w:sz w:val="24"/>
          <w:szCs w:val="24"/>
          <w:lang w:val="en-US" w:eastAsia="en-US"/>
        </w:rPr>
        <w:t>).</w:t>
      </w:r>
      <w:r w:rsidRPr="002D6D63">
        <w:rPr>
          <w:rFonts w:ascii="Times New Roman" w:eastAsia="Calibri" w:hAnsi="Times New Roman" w:cs="Times New Roman"/>
          <w:sz w:val="24"/>
          <w:szCs w:val="24"/>
          <w:lang w:val="en-US" w:eastAsia="en-US"/>
        </w:rPr>
        <w:t xml:space="preserve"> This test is essentially used to examine whether two variables </w:t>
      </w:r>
      <w:r w:rsidRPr="002D6D63">
        <w:rPr>
          <w:rFonts w:ascii="Times New Roman" w:eastAsia="Calibri" w:hAnsi="Times New Roman" w:cs="Times New Roman"/>
          <w:i/>
          <w:sz w:val="24"/>
          <w:szCs w:val="24"/>
          <w:lang w:val="en-US" w:eastAsia="en-US"/>
        </w:rPr>
        <w:t>X</w:t>
      </w:r>
      <w:r w:rsidRPr="002D6D63">
        <w:rPr>
          <w:rFonts w:ascii="Times New Roman" w:eastAsia="Calibri" w:hAnsi="Times New Roman" w:cs="Times New Roman"/>
          <w:sz w:val="24"/>
          <w:szCs w:val="24"/>
          <w:lang w:val="en-US" w:eastAsia="en-US"/>
        </w:rPr>
        <w:t xml:space="preserve"> and </w:t>
      </w:r>
      <w:r w:rsidRPr="002D6D63">
        <w:rPr>
          <w:rFonts w:ascii="Times New Roman" w:eastAsia="Calibri" w:hAnsi="Times New Roman" w:cs="Times New Roman"/>
          <w:i/>
          <w:sz w:val="24"/>
          <w:szCs w:val="24"/>
          <w:lang w:val="en-US" w:eastAsia="en-US"/>
        </w:rPr>
        <w:t>Y</w:t>
      </w:r>
      <w:r w:rsidRPr="002D6D63">
        <w:rPr>
          <w:rFonts w:ascii="Times New Roman" w:eastAsia="Calibri" w:hAnsi="Times New Roman" w:cs="Times New Roman"/>
          <w:sz w:val="24"/>
          <w:szCs w:val="24"/>
          <w:lang w:val="en-US" w:eastAsia="en-US"/>
        </w:rPr>
        <w:t xml:space="preserve"> are dependent or not. Kendall's tau is defined, by taking into account the number of ties in both groups, as:</w:t>
      </w:r>
    </w:p>
    <w:p w:rsidR="002D6D63" w:rsidRPr="002D6D63" w:rsidRDefault="009A0C3B" w:rsidP="002D6D63">
      <w:pPr>
        <w:tabs>
          <w:tab w:val="left" w:pos="8647"/>
        </w:tabs>
        <w:spacing w:line="480" w:lineRule="auto"/>
        <w:ind w:left="2552" w:right="119"/>
        <w:jc w:val="both"/>
        <w:rPr>
          <w:rFonts w:ascii="Times New Roman" w:eastAsia="Calibri" w:hAnsi="Times New Roman" w:cs="Times New Roman"/>
          <w:sz w:val="24"/>
          <w:szCs w:val="24"/>
          <w:lang w:val="en-US" w:eastAsia="en-US"/>
        </w:rPr>
      </w:pPr>
      <m:oMath>
        <m:sSub>
          <m:sSubPr>
            <m:ctrlPr>
              <w:rPr>
                <w:rFonts w:ascii="Cambria Math" w:eastAsia="Calibri" w:hAnsi="Cambria Math" w:cs="Times New Roman"/>
                <w:i/>
                <w:sz w:val="28"/>
                <w:szCs w:val="28"/>
                <w:lang w:val="en-US" w:eastAsia="en-US"/>
              </w:rPr>
            </m:ctrlPr>
          </m:sSubPr>
          <m:e>
            <m:r>
              <w:rPr>
                <w:rFonts w:ascii="Cambria Math" w:eastAsia="Calibri" w:hAnsi="Cambria Math" w:cs="Times New Roman"/>
                <w:sz w:val="28"/>
                <w:szCs w:val="28"/>
                <w:lang w:val="en-US" w:eastAsia="en-US"/>
              </w:rPr>
              <m:t>τ</m:t>
            </m:r>
          </m:e>
          <m:sub>
            <m:r>
              <w:rPr>
                <w:rFonts w:ascii="Cambria Math" w:eastAsia="Calibri" w:hAnsi="Cambria Math" w:cs="Times New Roman"/>
                <w:sz w:val="28"/>
                <w:szCs w:val="28"/>
                <w:lang w:val="en-US" w:eastAsia="en-US"/>
              </w:rPr>
              <m:t>b</m:t>
            </m:r>
          </m:sub>
        </m:sSub>
        <m:r>
          <w:rPr>
            <w:rFonts w:ascii="Cambria Math" w:eastAsia="Calibri" w:hAnsi="Cambria Math" w:cs="Times New Roman"/>
            <w:sz w:val="28"/>
            <w:szCs w:val="28"/>
            <w:lang w:val="en-US" w:eastAsia="en-US"/>
          </w:rPr>
          <m:t xml:space="preserve">= </m:t>
        </m:r>
        <m:f>
          <m:fPr>
            <m:ctrlPr>
              <w:rPr>
                <w:rFonts w:ascii="Cambria Math" w:eastAsia="Calibri" w:hAnsi="Cambria Math" w:cs="Times New Roman"/>
                <w:i/>
                <w:sz w:val="28"/>
                <w:szCs w:val="28"/>
                <w:lang w:val="en-US" w:eastAsia="en-US"/>
              </w:rPr>
            </m:ctrlPr>
          </m:fPr>
          <m:num>
            <m:d>
              <m:dPr>
                <m:ctrlPr>
                  <w:rPr>
                    <w:rFonts w:ascii="Cambria Math" w:eastAsia="Calibri" w:hAnsi="Cambria Math" w:cs="Times New Roman"/>
                    <w:i/>
                    <w:sz w:val="28"/>
                    <w:szCs w:val="28"/>
                    <w:lang w:val="en-US" w:eastAsia="en-US"/>
                  </w:rPr>
                </m:ctrlPr>
              </m:dPr>
              <m:e>
                <m:sSub>
                  <m:sSubPr>
                    <m:ctrlPr>
                      <w:rPr>
                        <w:rFonts w:ascii="Cambria Math" w:eastAsia="Calibri" w:hAnsi="Cambria Math" w:cs="Times New Roman"/>
                        <w:i/>
                        <w:sz w:val="28"/>
                        <w:szCs w:val="28"/>
                        <w:lang w:val="en-US" w:eastAsia="en-US"/>
                      </w:rPr>
                    </m:ctrlPr>
                  </m:sSubPr>
                  <m:e>
                    <m:r>
                      <w:rPr>
                        <w:rFonts w:ascii="Cambria Math" w:eastAsia="Calibri" w:hAnsi="Cambria Math" w:cs="Times New Roman"/>
                        <w:sz w:val="28"/>
                        <w:szCs w:val="28"/>
                        <w:lang w:val="en-US" w:eastAsia="en-US"/>
                      </w:rPr>
                      <m:t>n</m:t>
                    </m:r>
                  </m:e>
                  <m:sub>
                    <m:r>
                      <w:rPr>
                        <w:rFonts w:ascii="Cambria Math" w:eastAsia="Calibri" w:hAnsi="Cambria Math" w:cs="Times New Roman"/>
                        <w:sz w:val="28"/>
                        <w:szCs w:val="28"/>
                        <w:lang w:val="en-US" w:eastAsia="en-US"/>
                      </w:rPr>
                      <m:t>c</m:t>
                    </m:r>
                  </m:sub>
                </m:sSub>
                <m:r>
                  <w:rPr>
                    <w:rFonts w:ascii="Cambria Math" w:eastAsia="Calibri" w:hAnsi="Cambria Math" w:cs="Times New Roman"/>
                    <w:sz w:val="28"/>
                    <w:szCs w:val="28"/>
                    <w:lang w:val="en-US" w:eastAsia="en-US"/>
                  </w:rPr>
                  <m:t>-</m:t>
                </m:r>
                <m:sSub>
                  <m:sSubPr>
                    <m:ctrlPr>
                      <w:rPr>
                        <w:rFonts w:ascii="Cambria Math" w:eastAsia="Calibri" w:hAnsi="Cambria Math" w:cs="Times New Roman"/>
                        <w:i/>
                        <w:sz w:val="28"/>
                        <w:szCs w:val="28"/>
                        <w:lang w:val="en-US" w:eastAsia="en-US"/>
                      </w:rPr>
                    </m:ctrlPr>
                  </m:sSubPr>
                  <m:e>
                    <m:r>
                      <w:rPr>
                        <w:rFonts w:ascii="Cambria Math" w:eastAsia="Calibri" w:hAnsi="Cambria Math" w:cs="Times New Roman"/>
                        <w:sz w:val="28"/>
                        <w:szCs w:val="28"/>
                        <w:lang w:val="en-US" w:eastAsia="en-US"/>
                      </w:rPr>
                      <m:t>n</m:t>
                    </m:r>
                  </m:e>
                  <m:sub>
                    <m:r>
                      <w:rPr>
                        <w:rFonts w:ascii="Cambria Math" w:eastAsia="Calibri" w:hAnsi="Cambria Math" w:cs="Times New Roman"/>
                        <w:sz w:val="28"/>
                        <w:szCs w:val="28"/>
                        <w:lang w:val="en-US" w:eastAsia="en-US"/>
                      </w:rPr>
                      <m:t>d</m:t>
                    </m:r>
                  </m:sub>
                </m:sSub>
              </m:e>
            </m:d>
          </m:num>
          <m:den>
            <m:rad>
              <m:radPr>
                <m:degHide m:val="1"/>
                <m:ctrlPr>
                  <w:rPr>
                    <w:rFonts w:ascii="Cambria Math" w:eastAsia="Calibri" w:hAnsi="Cambria Math" w:cs="Times New Roman"/>
                    <w:i/>
                    <w:sz w:val="28"/>
                    <w:szCs w:val="28"/>
                    <w:lang w:val="en-US" w:eastAsia="en-US"/>
                  </w:rPr>
                </m:ctrlPr>
              </m:radPr>
              <m:deg/>
              <m:e>
                <m:d>
                  <m:dPr>
                    <m:ctrlPr>
                      <w:rPr>
                        <w:rFonts w:ascii="Cambria Math" w:eastAsia="Calibri" w:hAnsi="Cambria Math" w:cs="Times New Roman"/>
                        <w:i/>
                        <w:sz w:val="28"/>
                        <w:szCs w:val="28"/>
                        <w:lang w:val="en-US" w:eastAsia="en-US"/>
                      </w:rPr>
                    </m:ctrlPr>
                  </m:dPr>
                  <m:e>
                    <m:d>
                      <m:dPr>
                        <m:ctrlPr>
                          <w:rPr>
                            <w:rFonts w:ascii="Cambria Math" w:eastAsia="Calibri" w:hAnsi="Cambria Math" w:cs="Times New Roman"/>
                            <w:i/>
                            <w:sz w:val="28"/>
                            <w:szCs w:val="28"/>
                            <w:lang w:val="en-US" w:eastAsia="en-US"/>
                          </w:rPr>
                        </m:ctrlPr>
                      </m:dPr>
                      <m:e>
                        <m:f>
                          <m:fPr>
                            <m:ctrlPr>
                              <w:rPr>
                                <w:rFonts w:ascii="Cambria Math" w:eastAsia="Calibri" w:hAnsi="Cambria Math" w:cs="Times New Roman"/>
                                <w:i/>
                                <w:sz w:val="28"/>
                                <w:szCs w:val="28"/>
                                <w:lang w:val="en-US" w:eastAsia="en-US"/>
                              </w:rPr>
                            </m:ctrlPr>
                          </m:fPr>
                          <m:num>
                            <m:r>
                              <w:rPr>
                                <w:rFonts w:ascii="Cambria Math" w:eastAsia="Calibri" w:hAnsi="Cambria Math" w:cs="Times New Roman"/>
                                <w:sz w:val="28"/>
                                <w:szCs w:val="28"/>
                                <w:lang w:val="en-US" w:eastAsia="en-US"/>
                              </w:rPr>
                              <m:t>1</m:t>
                            </m:r>
                          </m:num>
                          <m:den>
                            <m:r>
                              <w:rPr>
                                <w:rFonts w:ascii="Cambria Math" w:eastAsia="Calibri" w:hAnsi="Cambria Math" w:cs="Times New Roman"/>
                                <w:sz w:val="28"/>
                                <w:szCs w:val="28"/>
                                <w:lang w:val="en-US" w:eastAsia="en-US"/>
                              </w:rPr>
                              <m:t>2</m:t>
                            </m:r>
                          </m:den>
                        </m:f>
                        <m:r>
                          <w:rPr>
                            <w:rFonts w:ascii="Cambria Math" w:eastAsia="Calibri" w:hAnsi="Cambria Math" w:cs="Times New Roman"/>
                            <w:sz w:val="28"/>
                            <w:szCs w:val="28"/>
                            <w:lang w:val="en-US" w:eastAsia="en-US"/>
                          </w:rPr>
                          <m:t xml:space="preserve"> n </m:t>
                        </m:r>
                        <m:d>
                          <m:dPr>
                            <m:ctrlPr>
                              <w:rPr>
                                <w:rFonts w:ascii="Cambria Math" w:eastAsia="Calibri" w:hAnsi="Cambria Math" w:cs="Times New Roman"/>
                                <w:i/>
                                <w:sz w:val="28"/>
                                <w:szCs w:val="28"/>
                                <w:lang w:val="en-US" w:eastAsia="en-US"/>
                              </w:rPr>
                            </m:ctrlPr>
                          </m:dPr>
                          <m:e>
                            <m:r>
                              <w:rPr>
                                <w:rFonts w:ascii="Cambria Math" w:eastAsia="Calibri" w:hAnsi="Cambria Math" w:cs="Times New Roman"/>
                                <w:sz w:val="28"/>
                                <w:szCs w:val="28"/>
                                <w:lang w:val="en-US" w:eastAsia="en-US"/>
                              </w:rPr>
                              <m:t>n-1</m:t>
                            </m:r>
                          </m:e>
                        </m:d>
                        <m:r>
                          <w:rPr>
                            <w:rFonts w:ascii="Cambria Math" w:eastAsia="Calibri" w:hAnsi="Cambria Math" w:cs="Times New Roman"/>
                            <w:sz w:val="28"/>
                            <w:szCs w:val="28"/>
                            <w:lang w:val="en-US" w:eastAsia="en-US"/>
                          </w:rPr>
                          <m:t>-</m:t>
                        </m:r>
                        <m:sSub>
                          <m:sSubPr>
                            <m:ctrlPr>
                              <w:rPr>
                                <w:rFonts w:ascii="Cambria Math" w:eastAsia="Calibri" w:hAnsi="Cambria Math" w:cs="Times New Roman"/>
                                <w:i/>
                                <w:sz w:val="28"/>
                                <w:szCs w:val="28"/>
                                <w:lang w:val="en-US" w:eastAsia="en-US"/>
                              </w:rPr>
                            </m:ctrlPr>
                          </m:sSubPr>
                          <m:e>
                            <m:r>
                              <w:rPr>
                                <w:rFonts w:ascii="Cambria Math" w:eastAsia="Calibri" w:hAnsi="Cambria Math" w:cs="Times New Roman"/>
                                <w:sz w:val="28"/>
                                <w:szCs w:val="28"/>
                                <w:lang w:val="en-US" w:eastAsia="en-US"/>
                              </w:rPr>
                              <m:t>n</m:t>
                            </m:r>
                          </m:e>
                          <m:sub>
                            <m:r>
                              <w:rPr>
                                <w:rFonts w:ascii="Cambria Math" w:eastAsia="Calibri" w:hAnsi="Cambria Math" w:cs="Times New Roman"/>
                                <w:sz w:val="28"/>
                                <w:szCs w:val="28"/>
                                <w:lang w:val="en-US" w:eastAsia="en-US"/>
                              </w:rPr>
                              <m:t>1</m:t>
                            </m:r>
                          </m:sub>
                        </m:sSub>
                      </m:e>
                    </m:d>
                    <m:d>
                      <m:dPr>
                        <m:ctrlPr>
                          <w:rPr>
                            <w:rFonts w:ascii="Cambria Math" w:eastAsia="Calibri" w:hAnsi="Cambria Math" w:cs="Times New Roman"/>
                            <w:i/>
                            <w:sz w:val="28"/>
                            <w:szCs w:val="28"/>
                            <w:lang w:val="en-US" w:eastAsia="en-US"/>
                          </w:rPr>
                        </m:ctrlPr>
                      </m:dPr>
                      <m:e>
                        <m:f>
                          <m:fPr>
                            <m:ctrlPr>
                              <w:rPr>
                                <w:rFonts w:ascii="Cambria Math" w:eastAsia="Calibri" w:hAnsi="Cambria Math" w:cs="Times New Roman"/>
                                <w:i/>
                                <w:sz w:val="28"/>
                                <w:szCs w:val="28"/>
                                <w:lang w:val="en-US" w:eastAsia="en-US"/>
                              </w:rPr>
                            </m:ctrlPr>
                          </m:fPr>
                          <m:num>
                            <m:r>
                              <w:rPr>
                                <w:rFonts w:ascii="Cambria Math" w:eastAsia="Calibri" w:hAnsi="Cambria Math" w:cs="Times New Roman"/>
                                <w:sz w:val="28"/>
                                <w:szCs w:val="28"/>
                                <w:lang w:val="en-US" w:eastAsia="en-US"/>
                              </w:rPr>
                              <m:t>1</m:t>
                            </m:r>
                          </m:num>
                          <m:den>
                            <m:r>
                              <w:rPr>
                                <w:rFonts w:ascii="Cambria Math" w:eastAsia="Calibri" w:hAnsi="Cambria Math" w:cs="Times New Roman"/>
                                <w:sz w:val="28"/>
                                <w:szCs w:val="28"/>
                                <w:lang w:val="en-US" w:eastAsia="en-US"/>
                              </w:rPr>
                              <m:t>2</m:t>
                            </m:r>
                          </m:den>
                        </m:f>
                        <m:r>
                          <w:rPr>
                            <w:rFonts w:ascii="Cambria Math" w:eastAsia="Calibri" w:hAnsi="Cambria Math" w:cs="Times New Roman"/>
                            <w:sz w:val="28"/>
                            <w:szCs w:val="28"/>
                            <w:lang w:val="en-US" w:eastAsia="en-US"/>
                          </w:rPr>
                          <m:t xml:space="preserve"> n </m:t>
                        </m:r>
                        <m:d>
                          <m:dPr>
                            <m:ctrlPr>
                              <w:rPr>
                                <w:rFonts w:ascii="Cambria Math" w:eastAsia="Calibri" w:hAnsi="Cambria Math" w:cs="Times New Roman"/>
                                <w:i/>
                                <w:sz w:val="28"/>
                                <w:szCs w:val="28"/>
                                <w:lang w:val="en-US" w:eastAsia="en-US"/>
                              </w:rPr>
                            </m:ctrlPr>
                          </m:dPr>
                          <m:e>
                            <m:r>
                              <w:rPr>
                                <w:rFonts w:ascii="Cambria Math" w:eastAsia="Calibri" w:hAnsi="Cambria Math" w:cs="Times New Roman"/>
                                <w:sz w:val="28"/>
                                <w:szCs w:val="28"/>
                                <w:lang w:val="en-US" w:eastAsia="en-US"/>
                              </w:rPr>
                              <m:t>n-1</m:t>
                            </m:r>
                          </m:e>
                        </m:d>
                        <m:r>
                          <w:rPr>
                            <w:rFonts w:ascii="Cambria Math" w:eastAsia="Calibri" w:hAnsi="Cambria Math" w:cs="Times New Roman"/>
                            <w:sz w:val="28"/>
                            <w:szCs w:val="28"/>
                            <w:lang w:val="en-US" w:eastAsia="en-US"/>
                          </w:rPr>
                          <m:t>-</m:t>
                        </m:r>
                        <m:sSub>
                          <m:sSubPr>
                            <m:ctrlPr>
                              <w:rPr>
                                <w:rFonts w:ascii="Cambria Math" w:eastAsia="Calibri" w:hAnsi="Cambria Math" w:cs="Times New Roman"/>
                                <w:i/>
                                <w:sz w:val="28"/>
                                <w:szCs w:val="28"/>
                                <w:lang w:val="en-US" w:eastAsia="en-US"/>
                              </w:rPr>
                            </m:ctrlPr>
                          </m:sSubPr>
                          <m:e>
                            <m:r>
                              <w:rPr>
                                <w:rFonts w:ascii="Cambria Math" w:eastAsia="Calibri" w:hAnsi="Cambria Math" w:cs="Times New Roman"/>
                                <w:sz w:val="28"/>
                                <w:szCs w:val="28"/>
                                <w:lang w:val="en-US" w:eastAsia="en-US"/>
                              </w:rPr>
                              <m:t>n</m:t>
                            </m:r>
                          </m:e>
                          <m:sub>
                            <m:r>
                              <w:rPr>
                                <w:rFonts w:ascii="Cambria Math" w:eastAsia="Calibri" w:hAnsi="Cambria Math" w:cs="Times New Roman"/>
                                <w:sz w:val="28"/>
                                <w:szCs w:val="28"/>
                                <w:lang w:val="en-US" w:eastAsia="en-US"/>
                              </w:rPr>
                              <m:t>2</m:t>
                            </m:r>
                          </m:sub>
                        </m:sSub>
                      </m:e>
                    </m:d>
                  </m:e>
                </m:d>
              </m:e>
            </m:rad>
          </m:den>
        </m:f>
        <m:r>
          <w:rPr>
            <w:rFonts w:ascii="Cambria Math" w:eastAsia="Calibri" w:hAnsi="Cambria Math" w:cs="Times New Roman"/>
            <w:sz w:val="28"/>
            <w:szCs w:val="28"/>
            <w:lang w:val="en-US" w:eastAsia="en-US"/>
          </w:rPr>
          <m:t xml:space="preserve"> </m:t>
        </m:r>
      </m:oMath>
      <w:r w:rsidR="002D6D63" w:rsidRPr="002D6D63">
        <w:rPr>
          <w:rFonts w:ascii="Times New Roman" w:eastAsia="Calibri" w:hAnsi="Times New Roman" w:cs="Times New Roman"/>
          <w:sz w:val="24"/>
          <w:szCs w:val="24"/>
          <w:lang w:val="en-US" w:eastAsia="en-US"/>
        </w:rPr>
        <w:t xml:space="preserve">, </w:t>
      </w:r>
      <w:r w:rsidR="002D6D63" w:rsidRPr="002D6D63">
        <w:rPr>
          <w:rFonts w:ascii="Times New Roman" w:eastAsia="Calibri" w:hAnsi="Times New Roman" w:cs="Times New Roman"/>
          <w:sz w:val="24"/>
          <w:szCs w:val="24"/>
          <w:lang w:val="en-US" w:eastAsia="en-US"/>
        </w:rPr>
        <w:tab/>
        <w:t>(7)</w:t>
      </w:r>
    </w:p>
    <w:p w:rsidR="002D6D63" w:rsidRPr="002D6D63" w:rsidRDefault="002D6D63" w:rsidP="002D6D63">
      <w:pPr>
        <w:spacing w:line="480" w:lineRule="auto"/>
        <w:jc w:val="both"/>
        <w:rPr>
          <w:rFonts w:ascii="Times New Roman" w:eastAsia="Calibri" w:hAnsi="Times New Roman" w:cs="Times New Roman"/>
          <w:sz w:val="24"/>
          <w:szCs w:val="24"/>
          <w:lang w:val="en-US" w:eastAsia="en-US"/>
        </w:rPr>
      </w:pPr>
      <w:proofErr w:type="gramStart"/>
      <w:r w:rsidRPr="002D6D63">
        <w:rPr>
          <w:rFonts w:ascii="Times New Roman" w:eastAsia="Calibri" w:hAnsi="Times New Roman" w:cs="Times New Roman"/>
          <w:sz w:val="24"/>
          <w:szCs w:val="24"/>
          <w:lang w:val="en-US" w:eastAsia="en-US"/>
        </w:rPr>
        <w:t>where</w:t>
      </w:r>
      <w:proofErr w:type="gramEnd"/>
      <w:r w:rsidRPr="002D6D63">
        <w:rPr>
          <w:rFonts w:ascii="Times New Roman" w:eastAsia="Calibri" w:hAnsi="Times New Roman" w:cs="Times New Roman"/>
          <w:sz w:val="24"/>
          <w:szCs w:val="24"/>
          <w:lang w:val="en-US" w:eastAsia="en-US"/>
        </w:rPr>
        <w:t xml:space="preserve"> </w:t>
      </w:r>
      <w:r w:rsidRPr="002D6D63">
        <w:rPr>
          <w:rFonts w:ascii="Times New Roman" w:eastAsia="Calibri" w:hAnsi="Times New Roman" w:cs="Times New Roman"/>
          <w:i/>
          <w:sz w:val="24"/>
          <w:szCs w:val="24"/>
          <w:lang w:val="en-US" w:eastAsia="en-US"/>
        </w:rPr>
        <w:t>n</w:t>
      </w:r>
      <w:r w:rsidRPr="002D6D63">
        <w:rPr>
          <w:rFonts w:ascii="Times New Roman" w:eastAsia="Calibri" w:hAnsi="Times New Roman" w:cs="Times New Roman"/>
          <w:sz w:val="24"/>
          <w:szCs w:val="24"/>
          <w:lang w:val="en-US" w:eastAsia="en-US"/>
        </w:rPr>
        <w:t xml:space="preserve"> is the number of observations, are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c</m:t>
            </m:r>
          </m:sub>
        </m:sSub>
        <m:r>
          <w:rPr>
            <w:rFonts w:ascii="Cambria Math" w:eastAsia="Calibri" w:hAnsi="Cambria Math" w:cs="Times New Roman"/>
            <w:sz w:val="24"/>
            <w:szCs w:val="24"/>
            <w:lang w:val="en-US" w:eastAsia="en-US"/>
          </w:rPr>
          <m:t xml:space="preserve"> and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d</m:t>
            </m:r>
          </m:sub>
        </m:sSub>
      </m:oMath>
      <w:r w:rsidRPr="002D6D63">
        <w:rPr>
          <w:rFonts w:ascii="Times New Roman" w:eastAsia="Calibri" w:hAnsi="Times New Roman" w:cs="Times New Roman"/>
          <w:sz w:val="24"/>
          <w:szCs w:val="24"/>
          <w:lang w:val="en-US" w:eastAsia="en-US"/>
        </w:rPr>
        <w:t xml:space="preserve">  are the number of concordant pairs and the number of discordant pairs, respectively. Two pairs </w:t>
      </w:r>
      <m:oMath>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x</m:t>
                </m:r>
              </m:e>
              <m:sub>
                <m:r>
                  <w:rPr>
                    <w:rFonts w:ascii="Cambria Math" w:eastAsia="Calibri" w:hAnsi="Cambria Math" w:cs="Times New Roman"/>
                    <w:sz w:val="24"/>
                    <w:szCs w:val="24"/>
                    <w:lang w:val="en-US" w:eastAsia="en-US"/>
                  </w:rPr>
                  <m:t>i</m:t>
                </m:r>
              </m:sub>
            </m:sSub>
            <m:r>
              <w:rPr>
                <w:rFonts w:ascii="Cambria Math" w:eastAsia="Calibri" w:hAnsi="Cambria Math" w:cs="Times New Roman"/>
                <w:sz w:val="24"/>
                <w:szCs w:val="24"/>
                <w:lang w:val="en-US" w:eastAsia="en-US"/>
              </w:rPr>
              <m:t>,</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y</m:t>
                </m:r>
              </m:e>
              <m:sub>
                <m:r>
                  <w:rPr>
                    <w:rFonts w:ascii="Cambria Math" w:eastAsia="Calibri" w:hAnsi="Cambria Math" w:cs="Times New Roman"/>
                    <w:sz w:val="24"/>
                    <w:szCs w:val="24"/>
                    <w:lang w:val="en-US" w:eastAsia="en-US"/>
                  </w:rPr>
                  <m:t>i</m:t>
                </m:r>
              </m:sub>
            </m:sSub>
          </m:e>
        </m:d>
      </m:oMath>
      <w:r w:rsidRPr="002D6D63">
        <w:rPr>
          <w:rFonts w:ascii="Times New Roman" w:eastAsia="Calibri" w:hAnsi="Times New Roman" w:cs="Times New Roman"/>
          <w:sz w:val="24"/>
          <w:szCs w:val="24"/>
          <w:lang w:val="en-US" w:eastAsia="en-US"/>
        </w:rPr>
        <w:t xml:space="preserve"> and </w:t>
      </w:r>
      <m:oMath>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x</m:t>
                </m:r>
              </m:e>
              <m:sub>
                <m:r>
                  <w:rPr>
                    <w:rFonts w:ascii="Cambria Math" w:eastAsia="Calibri" w:hAnsi="Cambria Math" w:cs="Times New Roman"/>
                    <w:sz w:val="24"/>
                    <w:szCs w:val="24"/>
                    <w:lang w:val="en-US" w:eastAsia="en-US"/>
                  </w:rPr>
                  <m:t>j</m:t>
                </m:r>
              </m:sub>
            </m:sSub>
            <m:r>
              <w:rPr>
                <w:rFonts w:ascii="Cambria Math" w:eastAsia="Calibri" w:hAnsi="Cambria Math" w:cs="Times New Roman"/>
                <w:sz w:val="24"/>
                <w:szCs w:val="24"/>
                <w:lang w:val="en-US" w:eastAsia="en-US"/>
              </w:rPr>
              <m:t>,</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y</m:t>
                </m:r>
              </m:e>
              <m:sub>
                <m:r>
                  <w:rPr>
                    <w:rFonts w:ascii="Cambria Math" w:eastAsia="Calibri" w:hAnsi="Cambria Math" w:cs="Times New Roman"/>
                    <w:sz w:val="24"/>
                    <w:szCs w:val="24"/>
                    <w:lang w:val="en-US" w:eastAsia="en-US"/>
                  </w:rPr>
                  <m:t>j</m:t>
                </m:r>
              </m:sub>
            </m:sSub>
          </m:e>
        </m:d>
        <m:r>
          <m:rPr>
            <m:sty m:val="p"/>
          </m:rPr>
          <w:rPr>
            <w:rFonts w:ascii="Cambria Math" w:eastAsia="Calibri" w:hAnsi="Cambria Math" w:cs="Times New Roman"/>
            <w:sz w:val="24"/>
            <w:szCs w:val="24"/>
            <w:lang w:val="en-US" w:eastAsia="en-US"/>
          </w:rPr>
          <m:t xml:space="preserve"> </m:t>
        </m:r>
      </m:oMath>
      <w:r w:rsidRPr="002D6D63">
        <w:rPr>
          <w:rFonts w:ascii="Times New Roman" w:eastAsia="Calibri" w:hAnsi="Times New Roman" w:cs="Times New Roman"/>
          <w:sz w:val="24"/>
          <w:szCs w:val="24"/>
          <w:lang w:val="en-US" w:eastAsia="en-US"/>
        </w:rPr>
        <w:t xml:space="preserve"> for </w:t>
      </w:r>
      <m:oMath>
        <m:r>
          <w:rPr>
            <w:rFonts w:ascii="Cambria Math" w:eastAsia="Calibri" w:hAnsi="Cambria Math" w:cs="Times New Roman"/>
            <w:sz w:val="24"/>
            <w:szCs w:val="24"/>
            <w:lang w:val="en-US" w:eastAsia="en-US"/>
          </w:rPr>
          <m:t>1≤i,j≤n</m:t>
        </m:r>
      </m:oMath>
      <w:r w:rsidRPr="002D6D63">
        <w:rPr>
          <w:rFonts w:ascii="Times New Roman" w:eastAsia="Calibri" w:hAnsi="Times New Roman" w:cs="Times New Roman"/>
          <w:sz w:val="24"/>
          <w:szCs w:val="24"/>
          <w:lang w:val="en-US" w:eastAsia="en-US"/>
        </w:rPr>
        <w:t xml:space="preserve"> are said to be concordant if</w:t>
      </w:r>
      <m:oMath>
        <m:r>
          <w:rPr>
            <w:rFonts w:ascii="Cambria Math" w:eastAsia="Calibri" w:hAnsi="Cambria Math" w:cs="Times New Roman"/>
            <w:sz w:val="24"/>
            <w:szCs w:val="24"/>
            <w:lang w:val="en-US" w:eastAsia="en-US"/>
          </w:rPr>
          <m:t xml:space="preserve"> </m:t>
        </m:r>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x</m:t>
                </m:r>
              </m:e>
              <m:sub>
                <m:r>
                  <w:rPr>
                    <w:rFonts w:ascii="Cambria Math" w:eastAsia="Calibri" w:hAnsi="Cambria Math" w:cs="Times New Roman"/>
                    <w:sz w:val="24"/>
                    <w:szCs w:val="24"/>
                    <w:lang w:val="en-US" w:eastAsia="en-US"/>
                  </w:rPr>
                  <m:t>i</m:t>
                </m:r>
              </m:sub>
            </m:sSub>
            <m:r>
              <w:rPr>
                <w:rFonts w:ascii="Cambria Math" w:eastAsia="Calibri" w:hAnsi="Cambria Math" w:cs="Times New Roman"/>
                <w:sz w:val="24"/>
                <w:szCs w:val="24"/>
                <w:lang w:val="en-US" w:eastAsia="en-US"/>
              </w:rPr>
              <m:t>-</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x</m:t>
                </m:r>
              </m:e>
              <m:sub>
                <m:r>
                  <w:rPr>
                    <w:rFonts w:ascii="Cambria Math" w:eastAsia="Calibri" w:hAnsi="Cambria Math" w:cs="Times New Roman"/>
                    <w:sz w:val="24"/>
                    <w:szCs w:val="24"/>
                    <w:lang w:val="en-US" w:eastAsia="en-US"/>
                  </w:rPr>
                  <m:t>j</m:t>
                </m:r>
              </m:sub>
            </m:sSub>
          </m:e>
        </m:d>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y</m:t>
                </m:r>
              </m:e>
              <m:sub>
                <m:r>
                  <w:rPr>
                    <w:rFonts w:ascii="Cambria Math" w:eastAsia="Calibri" w:hAnsi="Cambria Math" w:cs="Times New Roman"/>
                    <w:sz w:val="24"/>
                    <w:szCs w:val="24"/>
                    <w:lang w:val="en-US" w:eastAsia="en-US"/>
                  </w:rPr>
                  <m:t>i</m:t>
                </m:r>
              </m:sub>
            </m:sSub>
            <m:r>
              <w:rPr>
                <w:rFonts w:ascii="Cambria Math" w:eastAsia="Calibri" w:hAnsi="Cambria Math" w:cs="Times New Roman"/>
                <w:sz w:val="24"/>
                <w:szCs w:val="24"/>
                <w:lang w:val="en-US" w:eastAsia="en-US"/>
              </w:rPr>
              <m:t>-</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y</m:t>
                </m:r>
              </m:e>
              <m:sub>
                <m:r>
                  <w:rPr>
                    <w:rFonts w:ascii="Cambria Math" w:eastAsia="Calibri" w:hAnsi="Cambria Math" w:cs="Times New Roman"/>
                    <w:sz w:val="24"/>
                    <w:szCs w:val="24"/>
                    <w:lang w:val="en-US" w:eastAsia="en-US"/>
                  </w:rPr>
                  <m:t>j</m:t>
                </m:r>
              </m:sub>
            </m:sSub>
          </m:e>
        </m:d>
        <m:r>
          <w:rPr>
            <w:rFonts w:ascii="Cambria Math" w:eastAsia="Calibri" w:hAnsi="Cambria Math" w:cs="Times New Roman"/>
            <w:sz w:val="24"/>
            <w:szCs w:val="24"/>
            <w:lang w:val="en-US" w:eastAsia="en-US"/>
          </w:rPr>
          <m:t>&gt;0</m:t>
        </m:r>
      </m:oMath>
      <w:r w:rsidRPr="002D6D63">
        <w:rPr>
          <w:rFonts w:ascii="Times New Roman" w:eastAsia="Calibri" w:hAnsi="Times New Roman" w:cs="Times New Roman"/>
          <w:sz w:val="24"/>
          <w:szCs w:val="24"/>
          <w:lang w:val="en-US" w:eastAsia="en-US"/>
        </w:rPr>
        <w:t xml:space="preserve">, and discordant if the product is less than 0. A tie is obtained when the product is equal to zero.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1</m:t>
            </m:r>
          </m:sub>
        </m:sSub>
        <m:r>
          <w:rPr>
            <w:rFonts w:ascii="Cambria Math" w:eastAsia="Calibri" w:hAnsi="Cambria Math" w:cs="Times New Roman"/>
            <w:sz w:val="24"/>
            <w:szCs w:val="24"/>
            <w:lang w:val="en-US" w:eastAsia="en-US"/>
          </w:rPr>
          <m:t>=</m:t>
        </m:r>
        <m:nary>
          <m:naryPr>
            <m:chr m:val="∑"/>
            <m:limLoc m:val="undOvr"/>
            <m:supHide m:val="1"/>
            <m:ctrlPr>
              <w:rPr>
                <w:rFonts w:ascii="Cambria Math" w:eastAsia="Calibri" w:hAnsi="Cambria Math" w:cs="Times New Roman"/>
                <w:i/>
                <w:sz w:val="24"/>
                <w:szCs w:val="24"/>
                <w:lang w:val="en-US" w:eastAsia="en-US"/>
              </w:rPr>
            </m:ctrlPr>
          </m:naryPr>
          <m:sub>
            <m:r>
              <w:rPr>
                <w:rFonts w:ascii="Cambria Math" w:eastAsia="Calibri" w:hAnsi="Cambria Math" w:cs="Times New Roman"/>
                <w:sz w:val="24"/>
                <w:szCs w:val="24"/>
                <w:lang w:val="en-US" w:eastAsia="en-US"/>
              </w:rPr>
              <m:t>i</m:t>
            </m:r>
          </m:sub>
          <m:sup/>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 xml:space="preserve">i </m:t>
                </m:r>
              </m:sub>
            </m:sSub>
          </m:e>
        </m:nary>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t</m:t>
                </m:r>
              </m:e>
              <m:sub>
                <m:r>
                  <w:rPr>
                    <w:rFonts w:ascii="Cambria Math" w:eastAsia="Calibri" w:hAnsi="Cambria Math" w:cs="Times New Roman"/>
                    <w:sz w:val="24"/>
                    <w:szCs w:val="24"/>
                    <w:lang w:val="en-US" w:eastAsia="en-US"/>
                  </w:rPr>
                  <m:t>i</m:t>
                </m:r>
              </m:sub>
            </m:sSub>
            <m:r>
              <w:rPr>
                <w:rFonts w:ascii="Cambria Math" w:eastAsia="Calibri" w:hAnsi="Cambria Math" w:cs="Times New Roman"/>
                <w:sz w:val="24"/>
                <w:szCs w:val="24"/>
                <w:lang w:val="en-US" w:eastAsia="en-US"/>
              </w:rPr>
              <m:t>-1</m:t>
            </m:r>
          </m:e>
        </m:d>
        <m:r>
          <w:rPr>
            <w:rFonts w:ascii="Cambria Math" w:eastAsia="Calibri" w:hAnsi="Cambria Math" w:cs="Times New Roman"/>
            <w:sz w:val="24"/>
            <w:szCs w:val="24"/>
            <w:lang w:val="en-US" w:eastAsia="en-US"/>
          </w:rPr>
          <m:t>/2</m:t>
        </m:r>
      </m:oMath>
      <w:r w:rsidRPr="002D6D63">
        <w:rPr>
          <w:rFonts w:ascii="Times New Roman" w:eastAsia="Calibri" w:hAnsi="Times New Roman" w:cs="Times New Roman"/>
          <w:sz w:val="24"/>
          <w:szCs w:val="24"/>
          <w:lang w:val="en-US" w:eastAsia="en-US"/>
        </w:rPr>
        <w:t xml:space="preserve">, </w:t>
      </w:r>
      <m:oMath>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2</m:t>
            </m:r>
          </m:sub>
        </m:sSub>
        <m:r>
          <w:rPr>
            <w:rFonts w:ascii="Cambria Math" w:eastAsia="Calibri" w:hAnsi="Cambria Math" w:cs="Times New Roman"/>
            <w:sz w:val="24"/>
            <w:szCs w:val="24"/>
            <w:lang w:val="en-US" w:eastAsia="en-US"/>
          </w:rPr>
          <m:t xml:space="preserve">= </m:t>
        </m:r>
        <m:nary>
          <m:naryPr>
            <m:chr m:val="∑"/>
            <m:limLoc m:val="undOvr"/>
            <m:supHide m:val="1"/>
            <m:ctrlPr>
              <w:rPr>
                <w:rFonts w:ascii="Cambria Math" w:eastAsia="Calibri" w:hAnsi="Cambria Math" w:cs="Times New Roman"/>
                <w:i/>
                <w:sz w:val="24"/>
                <w:szCs w:val="24"/>
                <w:lang w:val="en-US" w:eastAsia="en-US"/>
              </w:rPr>
            </m:ctrlPr>
          </m:naryPr>
          <m:sub>
            <m:r>
              <w:rPr>
                <w:rFonts w:ascii="Cambria Math" w:eastAsia="Calibri" w:hAnsi="Cambria Math" w:cs="Times New Roman"/>
                <w:sz w:val="24"/>
                <w:szCs w:val="24"/>
                <w:lang w:val="en-US" w:eastAsia="en-US"/>
              </w:rPr>
              <m:t>j</m:t>
            </m:r>
          </m:sub>
          <m:sup/>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u</m:t>
                </m:r>
              </m:e>
              <m:sub>
                <m:r>
                  <w:rPr>
                    <w:rFonts w:ascii="Cambria Math" w:eastAsia="Calibri" w:hAnsi="Cambria Math" w:cs="Times New Roman"/>
                    <w:sz w:val="24"/>
                    <w:szCs w:val="24"/>
                    <w:lang w:val="en-US" w:eastAsia="en-US"/>
                  </w:rPr>
                  <m:t>j</m:t>
                </m:r>
              </m:sub>
            </m:sSub>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u</m:t>
                    </m:r>
                  </m:e>
                  <m:sub>
                    <m:r>
                      <w:rPr>
                        <w:rFonts w:ascii="Cambria Math" w:eastAsia="Calibri" w:hAnsi="Cambria Math" w:cs="Times New Roman"/>
                        <w:sz w:val="24"/>
                        <w:szCs w:val="24"/>
                        <w:lang w:val="en-US" w:eastAsia="en-US"/>
                      </w:rPr>
                      <m:t>j</m:t>
                    </m:r>
                  </m:sub>
                </m:sSub>
                <m:r>
                  <w:rPr>
                    <w:rFonts w:ascii="Cambria Math" w:eastAsia="Calibri" w:hAnsi="Cambria Math" w:cs="Times New Roman"/>
                    <w:sz w:val="24"/>
                    <w:szCs w:val="24"/>
                    <w:lang w:val="en-US" w:eastAsia="en-US"/>
                  </w:rPr>
                  <m:t>-1</m:t>
                </m:r>
              </m:e>
            </m:d>
            <m:r>
              <w:rPr>
                <w:rFonts w:ascii="Cambria Math" w:eastAsia="Calibri" w:hAnsi="Cambria Math" w:cs="Times New Roman"/>
                <w:sz w:val="24"/>
                <w:szCs w:val="24"/>
                <w:lang w:val="en-US" w:eastAsia="en-US"/>
              </w:rPr>
              <m:t>/2</m:t>
            </m:r>
          </m:e>
        </m:nary>
      </m:oMath>
      <w:r w:rsidRPr="002D6D63">
        <w:rPr>
          <w:rFonts w:ascii="Times New Roman" w:eastAsia="Calibri" w:hAnsi="Times New Roman" w:cs="Times New Roman"/>
          <w:sz w:val="24"/>
          <w:szCs w:val="24"/>
          <w:lang w:val="en-US" w:eastAsia="en-US"/>
        </w:rPr>
        <w:t xml:space="preserve"> and </w:t>
      </w:r>
      <m:oMath>
        <m:sSub>
          <m:sSubPr>
            <m:ctrlPr>
              <w:rPr>
                <w:rFonts w:ascii="Cambria Math" w:eastAsia="Times New Roman" w:hAnsi="Cambria Math" w:cs="Times New Roman"/>
                <w:i/>
                <w:sz w:val="24"/>
                <w:szCs w:val="24"/>
                <w:lang w:val="en-US" w:eastAsia="en-US"/>
              </w:rPr>
            </m:ctrlPr>
          </m:sSubPr>
          <m:e>
            <m:r>
              <w:rPr>
                <w:rFonts w:ascii="Cambria Math" w:eastAsia="Times New Roman" w:hAnsi="Cambria Math" w:cs="Times New Roman"/>
                <w:sz w:val="24"/>
                <w:szCs w:val="24"/>
                <w:lang w:val="en-US" w:eastAsia="en-US"/>
              </w:rPr>
              <m:t>t</m:t>
            </m:r>
          </m:e>
          <m:sub>
            <m:r>
              <w:rPr>
                <w:rFonts w:ascii="Cambria Math" w:eastAsia="Times New Roman" w:hAnsi="Cambria Math" w:cs="Times New Roman"/>
                <w:sz w:val="24"/>
                <w:szCs w:val="24"/>
                <w:lang w:val="en-US" w:eastAsia="en-US"/>
              </w:rPr>
              <m:t>i</m:t>
            </m:r>
          </m:sub>
        </m:sSub>
      </m:oMath>
      <w:r w:rsidRPr="002D6D63">
        <w:rPr>
          <w:rFonts w:ascii="Times New Roman" w:eastAsia="Calibri" w:hAnsi="Times New Roman" w:cs="Times New Roman"/>
          <w:sz w:val="24"/>
          <w:szCs w:val="24"/>
          <w:lang w:val="en-US" w:eastAsia="en-US"/>
        </w:rPr>
        <w:t xml:space="preserve"> is the number of tied </w:t>
      </w:r>
      <w:r w:rsidRPr="002D6D63">
        <w:rPr>
          <w:rFonts w:ascii="Times New Roman" w:eastAsia="Calibri" w:hAnsi="Times New Roman" w:cs="Times New Roman"/>
          <w:i/>
          <w:sz w:val="24"/>
          <w:szCs w:val="24"/>
          <w:lang w:val="en-US" w:eastAsia="en-US"/>
        </w:rPr>
        <w:t>X</w:t>
      </w:r>
      <w:r w:rsidRPr="002D6D63">
        <w:rPr>
          <w:rFonts w:ascii="Times New Roman" w:eastAsia="Calibri" w:hAnsi="Times New Roman" w:cs="Times New Roman"/>
          <w:sz w:val="24"/>
          <w:szCs w:val="24"/>
          <w:lang w:val="en-US" w:eastAsia="en-US"/>
        </w:rPr>
        <w:t xml:space="preserve"> values in </w:t>
      </w:r>
      <w:proofErr w:type="gramStart"/>
      <w:r w:rsidRPr="002D6D63">
        <w:rPr>
          <w:rFonts w:ascii="Times New Roman" w:eastAsia="Calibri" w:hAnsi="Times New Roman" w:cs="Times New Roman"/>
          <w:sz w:val="24"/>
          <w:szCs w:val="24"/>
          <w:lang w:val="en-US" w:eastAsia="en-US"/>
        </w:rPr>
        <w:t xml:space="preserve">the </w:t>
      </w:r>
      <w:proofErr w:type="spellStart"/>
      <w:r w:rsidRPr="002D6D63">
        <w:rPr>
          <w:rFonts w:ascii="Times New Roman" w:eastAsia="Calibri" w:hAnsi="Times New Roman" w:cs="Times New Roman"/>
          <w:i/>
          <w:sz w:val="24"/>
          <w:szCs w:val="24"/>
          <w:lang w:val="en-US" w:eastAsia="en-US"/>
        </w:rPr>
        <w:t>i</w:t>
      </w:r>
      <w:proofErr w:type="gramEnd"/>
      <w:r w:rsidRPr="002D6D63">
        <w:rPr>
          <w:rFonts w:ascii="Times New Roman" w:eastAsia="Calibri" w:hAnsi="Times New Roman" w:cs="Times New Roman"/>
          <w:i/>
          <w:sz w:val="24"/>
          <w:szCs w:val="24"/>
          <w:lang w:val="en-US" w:eastAsia="en-US"/>
        </w:rPr>
        <w:t>-th</w:t>
      </w:r>
      <w:proofErr w:type="spellEnd"/>
      <w:r w:rsidRPr="002D6D63">
        <w:rPr>
          <w:rFonts w:ascii="Times New Roman" w:eastAsia="Calibri" w:hAnsi="Times New Roman" w:cs="Times New Roman"/>
          <w:sz w:val="24"/>
          <w:szCs w:val="24"/>
          <w:lang w:val="en-US" w:eastAsia="en-US"/>
        </w:rPr>
        <w:t xml:space="preserve"> group, and </w:t>
      </w:r>
      <m:oMath>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u</m:t>
            </m:r>
          </m:e>
          <m:sub>
            <m:r>
              <w:rPr>
                <w:rFonts w:ascii="Cambria Math" w:eastAsia="Calibri" w:hAnsi="Cambria Math" w:cs="Times New Roman"/>
                <w:sz w:val="24"/>
                <w:szCs w:val="24"/>
                <w:lang w:val="en-US" w:eastAsia="en-US"/>
              </w:rPr>
              <m:t>j</m:t>
            </m:r>
          </m:sub>
        </m:sSub>
      </m:oMath>
      <w:r w:rsidRPr="002D6D63">
        <w:rPr>
          <w:rFonts w:ascii="Times New Roman" w:eastAsia="Calibri" w:hAnsi="Times New Roman" w:cs="Times New Roman"/>
          <w:sz w:val="24"/>
          <w:szCs w:val="24"/>
          <w:lang w:val="en-US" w:eastAsia="en-US"/>
        </w:rPr>
        <w:t xml:space="preserve"> is the number of tied </w:t>
      </w:r>
      <w:r w:rsidRPr="002D6D63">
        <w:rPr>
          <w:rFonts w:ascii="Times New Roman" w:eastAsia="Calibri" w:hAnsi="Times New Roman" w:cs="Times New Roman"/>
          <w:i/>
          <w:sz w:val="24"/>
          <w:szCs w:val="24"/>
          <w:lang w:val="en-US" w:eastAsia="en-US"/>
        </w:rPr>
        <w:t>Y</w:t>
      </w:r>
      <w:r w:rsidRPr="002D6D63">
        <w:rPr>
          <w:rFonts w:ascii="Times New Roman" w:eastAsia="Calibri" w:hAnsi="Times New Roman" w:cs="Times New Roman"/>
          <w:sz w:val="24"/>
          <w:szCs w:val="24"/>
          <w:lang w:val="en-US" w:eastAsia="en-US"/>
        </w:rPr>
        <w:t xml:space="preserve"> values in the </w:t>
      </w:r>
      <w:r w:rsidRPr="002D6D63">
        <w:rPr>
          <w:rFonts w:ascii="Times New Roman" w:eastAsia="Calibri" w:hAnsi="Times New Roman" w:cs="Times New Roman"/>
          <w:i/>
          <w:sz w:val="24"/>
          <w:szCs w:val="24"/>
          <w:lang w:val="en-US" w:eastAsia="en-US"/>
        </w:rPr>
        <w:t>j-</w:t>
      </w:r>
      <w:proofErr w:type="spellStart"/>
      <w:r w:rsidRPr="002D6D63">
        <w:rPr>
          <w:rFonts w:ascii="Times New Roman" w:eastAsia="Calibri" w:hAnsi="Times New Roman" w:cs="Times New Roman"/>
          <w:i/>
          <w:sz w:val="24"/>
          <w:szCs w:val="24"/>
          <w:lang w:val="en-US" w:eastAsia="en-US"/>
        </w:rPr>
        <w:t>th.</w:t>
      </w:r>
      <w:proofErr w:type="spellEnd"/>
      <w:r w:rsidRPr="002D6D63">
        <w:rPr>
          <w:rFonts w:ascii="Times New Roman" w:eastAsia="Calibri" w:hAnsi="Times New Roman" w:cs="Times New Roman"/>
          <w:i/>
          <w:sz w:val="24"/>
          <w:szCs w:val="24"/>
          <w:lang w:val="en-US" w:eastAsia="en-US"/>
        </w:rPr>
        <w:t xml:space="preserve"> </w:t>
      </w:r>
      <w:r w:rsidRPr="002D6D63">
        <w:rPr>
          <w:rFonts w:ascii="Times New Roman" w:eastAsia="Calibri" w:hAnsi="Times New Roman" w:cs="Times New Roman"/>
          <w:sz w:val="24"/>
          <w:szCs w:val="24"/>
          <w:lang w:val="en-US" w:eastAsia="en-US"/>
        </w:rPr>
        <w:t xml:space="preserve">Under the null hypothesis of independence between </w:t>
      </w:r>
      <w:r w:rsidRPr="002D6D63">
        <w:rPr>
          <w:rFonts w:ascii="Times New Roman" w:eastAsia="Calibri" w:hAnsi="Times New Roman" w:cs="Times New Roman"/>
          <w:i/>
          <w:sz w:val="24"/>
          <w:szCs w:val="24"/>
          <w:lang w:val="en-US" w:eastAsia="en-US"/>
        </w:rPr>
        <w:t>X</w:t>
      </w:r>
      <w:r w:rsidRPr="002D6D63">
        <w:rPr>
          <w:rFonts w:ascii="Times New Roman" w:eastAsia="Calibri" w:hAnsi="Times New Roman" w:cs="Times New Roman"/>
          <w:sz w:val="24"/>
          <w:szCs w:val="24"/>
          <w:lang w:val="en-US" w:eastAsia="en-US"/>
        </w:rPr>
        <w:t xml:space="preserve"> and </w:t>
      </w:r>
      <w:r w:rsidRPr="002D6D63">
        <w:rPr>
          <w:rFonts w:ascii="Times New Roman" w:eastAsia="Calibri" w:hAnsi="Times New Roman" w:cs="Times New Roman"/>
          <w:i/>
          <w:sz w:val="24"/>
          <w:szCs w:val="24"/>
          <w:lang w:val="en-US" w:eastAsia="en-US"/>
        </w:rPr>
        <w:t>Y</w:t>
      </w:r>
      <w:r w:rsidRPr="002D6D63">
        <w:rPr>
          <w:rFonts w:ascii="Times New Roman" w:eastAsia="Calibri" w:hAnsi="Times New Roman" w:cs="Times New Roman"/>
          <w:sz w:val="24"/>
          <w:szCs w:val="24"/>
          <w:lang w:val="en-US" w:eastAsia="en-US"/>
        </w:rPr>
        <w:t xml:space="preserve">, the expectation of </w:t>
      </w:r>
      <m:oMath>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c</m:t>
                </m:r>
              </m:sub>
            </m:sSub>
            <m:r>
              <w:rPr>
                <w:rFonts w:ascii="Cambria Math" w:eastAsia="Calibri" w:hAnsi="Cambria Math" w:cs="Times New Roman"/>
                <w:sz w:val="24"/>
                <w:szCs w:val="24"/>
                <w:lang w:val="en-US" w:eastAsia="en-US"/>
              </w:rPr>
              <m:t>-</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d</m:t>
                </m:r>
              </m:sub>
            </m:sSub>
          </m:e>
        </m:d>
      </m:oMath>
      <w:r w:rsidRPr="002D6D63">
        <w:rPr>
          <w:rFonts w:ascii="Times New Roman" w:eastAsia="Calibri" w:hAnsi="Times New Roman" w:cs="Times New Roman"/>
          <w:sz w:val="24"/>
          <w:szCs w:val="24"/>
          <w:lang w:val="en-US" w:eastAsia="en-US"/>
        </w:rPr>
        <w:t xml:space="preserve"> is equal to zero, and one can show that the following test-statistic is approximately standard normally distributed: </w:t>
      </w:r>
    </w:p>
    <w:p w:rsidR="002D6D63" w:rsidRPr="002D6D63" w:rsidRDefault="002D6D63" w:rsidP="002D6D63">
      <w:pPr>
        <w:tabs>
          <w:tab w:val="left" w:pos="8647"/>
        </w:tabs>
        <w:spacing w:line="480" w:lineRule="auto"/>
        <w:ind w:left="3402"/>
        <w:jc w:val="center"/>
        <w:rPr>
          <w:rFonts w:ascii="Times New Roman" w:eastAsia="Calibri" w:hAnsi="Times New Roman" w:cs="Times New Roman"/>
          <w:sz w:val="24"/>
          <w:szCs w:val="24"/>
          <w:lang w:val="en-US" w:eastAsia="en-US"/>
        </w:rPr>
      </w:pPr>
      <m:oMath>
        <m:r>
          <w:rPr>
            <w:rFonts w:ascii="Cambria Math" w:eastAsia="Calibri" w:hAnsi="Cambria Math" w:cs="Times New Roman"/>
            <w:sz w:val="24"/>
            <w:szCs w:val="24"/>
            <w:lang w:val="en-US" w:eastAsia="en-US"/>
          </w:rPr>
          <m:t xml:space="preserve">Z= </m:t>
        </m:r>
        <m:f>
          <m:fPr>
            <m:ctrlPr>
              <w:rPr>
                <w:rFonts w:ascii="Cambria Math" w:eastAsia="Calibri" w:hAnsi="Cambria Math" w:cs="Times New Roman"/>
                <w:i/>
                <w:sz w:val="24"/>
                <w:szCs w:val="24"/>
                <w:lang w:val="en-US" w:eastAsia="en-US"/>
              </w:rPr>
            </m:ctrlPr>
          </m:fPr>
          <m:num>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c</m:t>
                    </m:r>
                  </m:sub>
                </m:sSub>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d</m:t>
                    </m:r>
                  </m:sub>
                </m:sSub>
              </m:e>
            </m:d>
          </m:num>
          <m:den>
            <m:rad>
              <m:radPr>
                <m:degHide m:val="1"/>
                <m:ctrlPr>
                  <w:rPr>
                    <w:rFonts w:ascii="Cambria Math" w:eastAsia="Calibri" w:hAnsi="Cambria Math" w:cs="Times New Roman"/>
                    <w:i/>
                    <w:sz w:val="24"/>
                    <w:szCs w:val="24"/>
                    <w:lang w:val="en-US" w:eastAsia="en-US"/>
                  </w:rPr>
                </m:ctrlPr>
              </m:radPr>
              <m:deg/>
              <m:e>
                <m:r>
                  <w:rPr>
                    <w:rFonts w:ascii="Cambria Math" w:eastAsia="Calibri" w:hAnsi="Cambria Math" w:cs="Times New Roman"/>
                    <w:sz w:val="24"/>
                    <w:szCs w:val="24"/>
                    <w:lang w:val="en-US" w:eastAsia="en-US"/>
                  </w:rPr>
                  <m:t>V</m:t>
                </m:r>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c</m:t>
                        </m:r>
                      </m:sub>
                    </m:sSub>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d</m:t>
                        </m:r>
                      </m:sub>
                    </m:sSub>
                  </m:e>
                </m:d>
              </m:e>
            </m:rad>
          </m:den>
        </m:f>
        <m:r>
          <w:rPr>
            <w:rFonts w:ascii="Cambria Math" w:eastAsia="Calibri" w:hAnsi="Cambria Math" w:cs="Times New Roman"/>
            <w:sz w:val="24"/>
            <w:szCs w:val="24"/>
            <w:lang w:val="en-US" w:eastAsia="en-US"/>
          </w:rPr>
          <m:t xml:space="preserve"> </m:t>
        </m:r>
      </m:oMath>
      <w:r w:rsidRPr="002D6D63">
        <w:rPr>
          <w:rFonts w:ascii="Times New Roman" w:eastAsia="Calibri" w:hAnsi="Times New Roman" w:cs="Times New Roman"/>
          <w:sz w:val="24"/>
          <w:szCs w:val="24"/>
          <w:lang w:val="en-US" w:eastAsia="en-US"/>
        </w:rPr>
        <w:tab/>
        <w:t>(8)</w:t>
      </w:r>
    </w:p>
    <w:p w:rsidR="002D6D63" w:rsidRDefault="002D6D63" w:rsidP="002D6D63">
      <w:pPr>
        <w:spacing w:line="480" w:lineRule="auto"/>
        <w:jc w:val="both"/>
        <w:rPr>
          <w:rFonts w:ascii="Times New Roman" w:eastAsia="Calibri" w:hAnsi="Times New Roman" w:cs="Times New Roman"/>
          <w:sz w:val="24"/>
          <w:szCs w:val="24"/>
          <w:lang w:val="en-US" w:eastAsia="en-US"/>
        </w:rPr>
      </w:pPr>
      <w:proofErr w:type="gramStart"/>
      <w:r w:rsidRPr="002D6D63">
        <w:rPr>
          <w:rFonts w:ascii="Times New Roman" w:eastAsia="Calibri" w:hAnsi="Times New Roman" w:cs="Times New Roman"/>
          <w:sz w:val="24"/>
          <w:szCs w:val="24"/>
          <w:lang w:val="en-US" w:eastAsia="en-US"/>
        </w:rPr>
        <w:lastRenderedPageBreak/>
        <w:t>where</w:t>
      </w:r>
      <w:proofErr w:type="gramEnd"/>
      <w:r w:rsidRPr="002D6D63">
        <w:rPr>
          <w:rFonts w:ascii="Times New Roman" w:eastAsia="Calibri" w:hAnsi="Times New Roman" w:cs="Times New Roman"/>
          <w:sz w:val="24"/>
          <w:szCs w:val="24"/>
          <w:lang w:val="en-US" w:eastAsia="en-US"/>
        </w:rPr>
        <w:t xml:space="preserve"> </w:t>
      </w:r>
      <m:oMath>
        <m:r>
          <w:rPr>
            <w:rFonts w:ascii="Cambria Math" w:eastAsia="Calibri" w:hAnsi="Cambria Math" w:cs="Times New Roman"/>
            <w:sz w:val="24"/>
            <w:szCs w:val="24"/>
            <w:lang w:val="en-US" w:eastAsia="en-US"/>
          </w:rPr>
          <m:t>V</m:t>
        </m:r>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c</m:t>
                </m:r>
              </m:sub>
            </m:sSub>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d</m:t>
                </m:r>
              </m:sub>
            </m:sSub>
          </m:e>
        </m:d>
      </m:oMath>
      <w:r w:rsidRPr="002D6D63">
        <w:rPr>
          <w:rFonts w:ascii="Times New Roman" w:eastAsia="Calibri" w:hAnsi="Times New Roman" w:cs="Times New Roman"/>
          <w:sz w:val="24"/>
          <w:szCs w:val="24"/>
          <w:lang w:val="en-US" w:eastAsia="en-US"/>
        </w:rPr>
        <w:t xml:space="preserve">is the variance of </w:t>
      </w:r>
      <m:oMath>
        <m:d>
          <m:dPr>
            <m:ctrlPr>
              <w:rPr>
                <w:rFonts w:ascii="Cambria Math" w:eastAsia="Calibri" w:hAnsi="Cambria Math" w:cs="Times New Roman"/>
                <w:i/>
                <w:sz w:val="24"/>
                <w:szCs w:val="24"/>
                <w:lang w:val="en-US" w:eastAsia="en-US"/>
              </w:rPr>
            </m:ctrlPr>
          </m:dPr>
          <m:e>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c</m:t>
                </m:r>
              </m:sub>
            </m:sSub>
            <m:r>
              <w:rPr>
                <w:rFonts w:ascii="Cambria Math" w:eastAsia="Calibri" w:hAnsi="Cambria Math" w:cs="Times New Roman"/>
                <w:sz w:val="24"/>
                <w:szCs w:val="24"/>
                <w:lang w:val="en-US" w:eastAsia="en-US"/>
              </w:rPr>
              <m:t xml:space="preserve">- </m:t>
            </m:r>
            <m:sSub>
              <m:sSubPr>
                <m:ctrlPr>
                  <w:rPr>
                    <w:rFonts w:ascii="Cambria Math" w:eastAsia="Calibri" w:hAnsi="Cambria Math" w:cs="Times New Roman"/>
                    <w:i/>
                    <w:sz w:val="24"/>
                    <w:szCs w:val="24"/>
                    <w:lang w:val="en-US" w:eastAsia="en-US"/>
                  </w:rPr>
                </m:ctrlPr>
              </m:sSubPr>
              <m:e>
                <m:r>
                  <w:rPr>
                    <w:rFonts w:ascii="Cambria Math" w:eastAsia="Calibri" w:hAnsi="Cambria Math" w:cs="Times New Roman"/>
                    <w:sz w:val="24"/>
                    <w:szCs w:val="24"/>
                    <w:lang w:val="en-US" w:eastAsia="en-US"/>
                  </w:rPr>
                  <m:t>n</m:t>
                </m:r>
              </m:e>
              <m:sub>
                <m:r>
                  <w:rPr>
                    <w:rFonts w:ascii="Cambria Math" w:eastAsia="Calibri" w:hAnsi="Cambria Math" w:cs="Times New Roman"/>
                    <w:sz w:val="24"/>
                    <w:szCs w:val="24"/>
                    <w:lang w:val="en-US" w:eastAsia="en-US"/>
                  </w:rPr>
                  <m:t>d</m:t>
                </m:r>
              </m:sub>
            </m:sSub>
          </m:e>
        </m:d>
      </m:oMath>
      <w:r w:rsidRPr="002D6D63">
        <w:rPr>
          <w:rStyle w:val="FootnoteReference"/>
          <w:rFonts w:ascii="Times New Roman" w:eastAsia="Calibri" w:hAnsi="Times New Roman" w:cs="Times New Roman"/>
          <w:sz w:val="24"/>
          <w:szCs w:val="24"/>
          <w:lang w:val="en-US" w:eastAsia="en-US"/>
        </w:rPr>
        <w:footnoteReference w:id="8"/>
      </w:r>
      <m:oMath>
        <m:r>
          <w:rPr>
            <w:rFonts w:ascii="Cambria Math" w:eastAsia="Calibri" w:hAnsi="Cambria Math" w:cs="Times New Roman"/>
            <w:sz w:val="24"/>
            <w:szCs w:val="24"/>
            <w:lang w:val="en-US" w:eastAsia="en-US"/>
          </w:rPr>
          <m:t>.</m:t>
        </m:r>
      </m:oMath>
    </w:p>
    <w:p w:rsidR="00221B31" w:rsidRPr="002D6D63" w:rsidRDefault="00221B31" w:rsidP="002D6D63">
      <w:pPr>
        <w:spacing w:line="480" w:lineRule="auto"/>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 xml:space="preserve">In order to avoid misleading test results, which may pick up dependencies due to the existence of common factors in the return series put under test, we do not perform the Kendall tau test directly on the return series, but </w:t>
      </w:r>
      <w:r w:rsidR="009A0C3B">
        <w:rPr>
          <w:rFonts w:ascii="Times New Roman" w:eastAsia="Calibri" w:hAnsi="Times New Roman" w:cs="Times New Roman"/>
          <w:sz w:val="24"/>
          <w:szCs w:val="24"/>
          <w:lang w:val="en-US" w:eastAsia="en-US"/>
        </w:rPr>
        <w:t xml:space="preserve">rather </w:t>
      </w:r>
      <w:r>
        <w:rPr>
          <w:rFonts w:ascii="Times New Roman" w:eastAsia="Calibri" w:hAnsi="Times New Roman" w:cs="Times New Roman"/>
          <w:sz w:val="24"/>
          <w:szCs w:val="24"/>
          <w:lang w:val="en-US" w:eastAsia="en-US"/>
        </w:rPr>
        <w:t xml:space="preserve">on the residual return series stemming from the estimation of an </w:t>
      </w:r>
      <w:proofErr w:type="gramStart"/>
      <w:r>
        <w:rPr>
          <w:rFonts w:ascii="Times New Roman" w:eastAsia="Calibri" w:hAnsi="Times New Roman" w:cs="Times New Roman"/>
          <w:sz w:val="24"/>
          <w:szCs w:val="24"/>
          <w:lang w:val="en-US" w:eastAsia="en-US"/>
        </w:rPr>
        <w:t>ARMA(</w:t>
      </w:r>
      <w:proofErr w:type="gramEnd"/>
      <w:r>
        <w:rPr>
          <w:rFonts w:ascii="Times New Roman" w:eastAsia="Calibri" w:hAnsi="Times New Roman" w:cs="Times New Roman"/>
          <w:sz w:val="24"/>
          <w:szCs w:val="24"/>
          <w:lang w:val="en-US" w:eastAsia="en-US"/>
        </w:rPr>
        <w:t>1,1) process for each of the return series. In doing so, we are able to exclude all common factors which could affect the return series</w:t>
      </w:r>
      <w:r w:rsidR="004A1FA3">
        <w:rPr>
          <w:rFonts w:ascii="Times New Roman" w:eastAsia="Calibri" w:hAnsi="Times New Roman" w:cs="Times New Roman"/>
          <w:sz w:val="24"/>
          <w:szCs w:val="24"/>
          <w:lang w:val="en-US" w:eastAsia="en-US"/>
        </w:rPr>
        <w:t>, and therefore the results of the test</w:t>
      </w:r>
      <w:r>
        <w:rPr>
          <w:rFonts w:ascii="Times New Roman" w:eastAsia="Calibri" w:hAnsi="Times New Roman" w:cs="Times New Roman"/>
          <w:sz w:val="24"/>
          <w:szCs w:val="24"/>
          <w:lang w:val="en-US" w:eastAsia="en-US"/>
        </w:rPr>
        <w:t>.</w:t>
      </w:r>
      <w:r>
        <w:rPr>
          <w:rStyle w:val="FootnoteReference"/>
          <w:rFonts w:ascii="Times New Roman" w:eastAsia="Calibri" w:hAnsi="Times New Roman" w:cs="Times New Roman"/>
          <w:sz w:val="24"/>
          <w:szCs w:val="24"/>
          <w:lang w:val="en-US" w:eastAsia="en-US"/>
        </w:rPr>
        <w:footnoteReference w:id="9"/>
      </w:r>
    </w:p>
    <w:p w:rsidR="002D6D63" w:rsidRPr="002D6D63" w:rsidRDefault="002D6D63" w:rsidP="002D6D63">
      <w:pPr>
        <w:spacing w:line="480" w:lineRule="auto"/>
        <w:jc w:val="both"/>
        <w:rPr>
          <w:rFonts w:ascii="Times New Roman" w:eastAsia="Calibri" w:hAnsi="Times New Roman"/>
          <w:sz w:val="24"/>
          <w:szCs w:val="24"/>
          <w:lang w:val="en-US" w:eastAsia="en-US"/>
        </w:rPr>
      </w:pPr>
      <w:r w:rsidRPr="002D6D63">
        <w:rPr>
          <w:rFonts w:ascii="Times New Roman" w:hAnsi="Times New Roman"/>
          <w:b/>
          <w:sz w:val="24"/>
          <w:szCs w:val="24"/>
          <w:lang w:val="en-US"/>
        </w:rPr>
        <w:t>V.</w:t>
      </w:r>
      <w:r w:rsidRPr="002D6D63">
        <w:rPr>
          <w:rFonts w:ascii="Times New Roman" w:hAnsi="Times New Roman"/>
          <w:sz w:val="24"/>
          <w:szCs w:val="24"/>
          <w:lang w:val="en-US"/>
        </w:rPr>
        <w:t xml:space="preserve"> </w:t>
      </w:r>
      <w:r w:rsidRPr="002D6D63">
        <w:rPr>
          <w:rFonts w:ascii="Times New Roman" w:hAnsi="Times New Roman"/>
          <w:b/>
          <w:sz w:val="24"/>
          <w:szCs w:val="24"/>
          <w:lang w:val="en-US"/>
        </w:rPr>
        <w:t>Empirical Analysis</w:t>
      </w:r>
    </w:p>
    <w:p w:rsidR="002D6D63" w:rsidRPr="002D6D63" w:rsidRDefault="002D6D63" w:rsidP="002D6D63">
      <w:pPr>
        <w:autoSpaceDE w:val="0"/>
        <w:autoSpaceDN w:val="0"/>
        <w:adjustRightInd w:val="0"/>
        <w:spacing w:line="480" w:lineRule="auto"/>
        <w:jc w:val="both"/>
        <w:rPr>
          <w:rFonts w:ascii="Times New Roman" w:hAnsi="Times New Roman"/>
          <w:i/>
          <w:sz w:val="24"/>
          <w:szCs w:val="24"/>
          <w:lang w:val="en-US"/>
        </w:rPr>
      </w:pPr>
      <w:r w:rsidRPr="002D6D63">
        <w:rPr>
          <w:rFonts w:ascii="Times New Roman" w:hAnsi="Times New Roman"/>
          <w:i/>
          <w:sz w:val="24"/>
          <w:szCs w:val="24"/>
          <w:lang w:val="en-US"/>
        </w:rPr>
        <w:t xml:space="preserve">5.1 Unit Roots and </w:t>
      </w:r>
      <w:proofErr w:type="spellStart"/>
      <w:r w:rsidRPr="002D6D63">
        <w:rPr>
          <w:rFonts w:ascii="Times New Roman" w:hAnsi="Times New Roman"/>
          <w:i/>
          <w:sz w:val="24"/>
          <w:szCs w:val="24"/>
          <w:lang w:val="en-US"/>
        </w:rPr>
        <w:t>Cointegration</w:t>
      </w:r>
      <w:proofErr w:type="spellEnd"/>
      <w:r w:rsidRPr="002D6D63">
        <w:rPr>
          <w:rFonts w:ascii="Times New Roman" w:hAnsi="Times New Roman"/>
          <w:i/>
          <w:sz w:val="24"/>
          <w:szCs w:val="24"/>
          <w:lang w:val="en-US"/>
        </w:rPr>
        <w:t xml:space="preserve"> </w:t>
      </w:r>
    </w:p>
    <w:p w:rsidR="002D6D63" w:rsidRPr="002D6D63" w:rsidRDefault="002D6D63" w:rsidP="002D6D63">
      <w:pPr>
        <w:autoSpaceDE w:val="0"/>
        <w:autoSpaceDN w:val="0"/>
        <w:adjustRightInd w:val="0"/>
        <w:spacing w:line="480" w:lineRule="auto"/>
        <w:ind w:firstLine="426"/>
        <w:jc w:val="both"/>
        <w:rPr>
          <w:rFonts w:ascii="Times New Roman" w:eastAsia="Calibri" w:hAnsi="Times New Roman"/>
          <w:sz w:val="24"/>
          <w:szCs w:val="24"/>
          <w:lang w:val="en-US" w:eastAsia="en-US"/>
        </w:rPr>
      </w:pPr>
      <w:r w:rsidRPr="002D6D63">
        <w:rPr>
          <w:rFonts w:ascii="Times New Roman" w:eastAsia="Calibri" w:hAnsi="Times New Roman"/>
          <w:sz w:val="24"/>
          <w:szCs w:val="24"/>
          <w:lang w:val="en-US" w:eastAsia="en-US"/>
        </w:rPr>
        <w:t>Table II below presents the results of the Augmented Dickey Fuller test assuming the equation contains an intercept and a trend, while the lag selection is based on Schwartz Information Criterion (Schwartz, 1978). As anticipated, we see that for each series the levels are non-stationary, whereas the first differences are. We would like to note that application of the ADF test without a trend leads to identical conclusions.</w:t>
      </w:r>
      <w:r w:rsidRPr="002D6D63">
        <w:rPr>
          <w:rStyle w:val="FootnoteReference"/>
          <w:rFonts w:ascii="Times New Roman" w:eastAsia="Calibri" w:hAnsi="Times New Roman"/>
          <w:sz w:val="24"/>
          <w:szCs w:val="24"/>
          <w:lang w:val="en-US" w:eastAsia="en-US"/>
        </w:rPr>
        <w:footnoteReference w:id="10"/>
      </w:r>
      <w:r w:rsidRPr="002D6D63">
        <w:rPr>
          <w:rFonts w:ascii="Times New Roman" w:eastAsia="Calibri" w:hAnsi="Times New Roman"/>
          <w:sz w:val="24"/>
          <w:szCs w:val="24"/>
          <w:lang w:val="en-US" w:eastAsia="en-US"/>
        </w:rPr>
        <w:t xml:space="preserve"> </w:t>
      </w:r>
    </w:p>
    <w:p w:rsidR="002D6D63" w:rsidRPr="002D6D63" w:rsidRDefault="002D6D63" w:rsidP="002D6D63">
      <w:pPr>
        <w:spacing w:line="480" w:lineRule="auto"/>
        <w:jc w:val="center"/>
        <w:rPr>
          <w:rFonts w:ascii="Times New Roman" w:eastAsia="Calibri" w:hAnsi="Times New Roman"/>
          <w:sz w:val="24"/>
          <w:szCs w:val="24"/>
          <w:lang w:val="en-US" w:eastAsia="en-US"/>
        </w:rPr>
      </w:pPr>
      <w:r w:rsidRPr="002D6D63">
        <w:rPr>
          <w:rFonts w:ascii="Times New Roman" w:eastAsia="Calibri" w:hAnsi="Times New Roman"/>
          <w:sz w:val="24"/>
          <w:szCs w:val="24"/>
          <w:lang w:val="en-US" w:eastAsia="en-US"/>
        </w:rPr>
        <w:t>[Insert Table II about here]</w:t>
      </w:r>
    </w:p>
    <w:p w:rsidR="002D6D63" w:rsidRPr="002D6D63" w:rsidRDefault="002D6D63" w:rsidP="002D6D63">
      <w:pPr>
        <w:autoSpaceDE w:val="0"/>
        <w:autoSpaceDN w:val="0"/>
        <w:adjustRightInd w:val="0"/>
        <w:spacing w:line="480" w:lineRule="auto"/>
        <w:ind w:firstLine="426"/>
        <w:jc w:val="both"/>
        <w:rPr>
          <w:rFonts w:ascii="Times New Roman" w:eastAsia="Calibri" w:hAnsi="Times New Roman"/>
          <w:sz w:val="24"/>
          <w:szCs w:val="24"/>
          <w:lang w:val="en-US" w:eastAsia="en-US"/>
        </w:rPr>
      </w:pPr>
      <w:r w:rsidRPr="002D6D63">
        <w:rPr>
          <w:rFonts w:ascii="Times New Roman" w:eastAsia="Calibri" w:hAnsi="Times New Roman"/>
          <w:sz w:val="24"/>
          <w:szCs w:val="24"/>
          <w:lang w:val="en-US" w:eastAsia="en-US"/>
        </w:rPr>
        <w:t xml:space="preserve">The results of the </w:t>
      </w:r>
      <w:proofErr w:type="spellStart"/>
      <w:r w:rsidRPr="002D6D63">
        <w:rPr>
          <w:rFonts w:ascii="Times New Roman" w:eastAsia="Calibri" w:hAnsi="Times New Roman"/>
          <w:sz w:val="24"/>
          <w:szCs w:val="24"/>
          <w:lang w:val="en-US" w:eastAsia="en-US"/>
        </w:rPr>
        <w:t>cointegration</w:t>
      </w:r>
      <w:proofErr w:type="spellEnd"/>
      <w:r w:rsidRPr="002D6D63">
        <w:rPr>
          <w:rFonts w:ascii="Times New Roman" w:eastAsia="Calibri" w:hAnsi="Times New Roman"/>
          <w:sz w:val="24"/>
          <w:szCs w:val="24"/>
          <w:lang w:val="en-US" w:eastAsia="en-US"/>
        </w:rPr>
        <w:t xml:space="preserve"> tests are summarized in Table III below. These tests are computed for six different pairings of variables; each pairing forms a two-equation system with two ADF residual tests. When examining the ADF Engle-Granger test statistic values with the critical values for one </w:t>
      </w:r>
      <w:proofErr w:type="spellStart"/>
      <w:r w:rsidRPr="002D6D63">
        <w:rPr>
          <w:rFonts w:ascii="Times New Roman" w:eastAsia="Calibri" w:hAnsi="Times New Roman"/>
          <w:sz w:val="24"/>
          <w:szCs w:val="24"/>
          <w:lang w:val="en-US" w:eastAsia="en-US"/>
        </w:rPr>
        <w:t>regressor</w:t>
      </w:r>
      <w:proofErr w:type="spellEnd"/>
      <w:r w:rsidRPr="002D6D63">
        <w:rPr>
          <w:rFonts w:ascii="Times New Roman" w:eastAsia="Calibri" w:hAnsi="Times New Roman"/>
          <w:sz w:val="24"/>
          <w:szCs w:val="24"/>
          <w:lang w:val="en-US" w:eastAsia="en-US"/>
        </w:rPr>
        <w:t xml:space="preserve">, we see that the null hypothesis of </w:t>
      </w:r>
      <w:r w:rsidRPr="002D6D63">
        <w:rPr>
          <w:rFonts w:ascii="Times New Roman" w:eastAsia="Calibri" w:hAnsi="Times New Roman"/>
          <w:i/>
          <w:sz w:val="24"/>
          <w:szCs w:val="24"/>
          <w:lang w:val="en-US" w:eastAsia="en-US"/>
        </w:rPr>
        <w:t>h</w:t>
      </w:r>
      <w:r w:rsidRPr="002D6D63">
        <w:rPr>
          <w:rFonts w:ascii="Times New Roman" w:eastAsia="Calibri" w:hAnsi="Times New Roman"/>
          <w:sz w:val="24"/>
          <w:szCs w:val="24"/>
          <w:lang w:val="en-US" w:eastAsia="en-US"/>
        </w:rPr>
        <w:t xml:space="preserve"> = 0 (i.e. no </w:t>
      </w:r>
      <w:proofErr w:type="spellStart"/>
      <w:r w:rsidRPr="002D6D63">
        <w:rPr>
          <w:rFonts w:ascii="Times New Roman" w:eastAsia="Calibri" w:hAnsi="Times New Roman"/>
          <w:sz w:val="24"/>
          <w:szCs w:val="24"/>
          <w:lang w:val="en-US" w:eastAsia="en-US"/>
        </w:rPr>
        <w:t>cointegration</w:t>
      </w:r>
      <w:proofErr w:type="spellEnd"/>
      <w:r w:rsidRPr="002D6D63">
        <w:rPr>
          <w:rFonts w:ascii="Times New Roman" w:eastAsia="Calibri" w:hAnsi="Times New Roman"/>
          <w:sz w:val="24"/>
          <w:szCs w:val="24"/>
          <w:lang w:val="en-US" w:eastAsia="en-US"/>
        </w:rPr>
        <w:t xml:space="preserve">) cannot be rejected at 1% level for each constellation of left hand variables. Moreover these results are also confirmed by Johannes’s Trace test which indicates that there is no </w:t>
      </w:r>
      <w:proofErr w:type="spellStart"/>
      <w:r w:rsidRPr="002D6D63">
        <w:rPr>
          <w:rFonts w:ascii="Times New Roman" w:eastAsia="Calibri" w:hAnsi="Times New Roman"/>
          <w:sz w:val="24"/>
          <w:szCs w:val="24"/>
          <w:lang w:val="en-US" w:eastAsia="en-US"/>
        </w:rPr>
        <w:t>cointegration</w:t>
      </w:r>
      <w:proofErr w:type="spellEnd"/>
      <w:r w:rsidRPr="002D6D63">
        <w:rPr>
          <w:rFonts w:ascii="Times New Roman" w:eastAsia="Calibri" w:hAnsi="Times New Roman"/>
          <w:sz w:val="24"/>
          <w:szCs w:val="24"/>
          <w:lang w:val="en-US" w:eastAsia="en-US"/>
        </w:rPr>
        <w:t xml:space="preserve"> between our variables. The </w:t>
      </w:r>
      <w:proofErr w:type="spellStart"/>
      <w:r w:rsidRPr="002D6D63">
        <w:rPr>
          <w:rFonts w:ascii="Times New Roman" w:eastAsia="Calibri" w:hAnsi="Times New Roman"/>
          <w:sz w:val="24"/>
          <w:szCs w:val="24"/>
          <w:lang w:val="en-US" w:eastAsia="en-US"/>
        </w:rPr>
        <w:t>cointegration</w:t>
      </w:r>
      <w:proofErr w:type="spellEnd"/>
      <w:r w:rsidRPr="002D6D63">
        <w:rPr>
          <w:rFonts w:ascii="Times New Roman" w:eastAsia="Calibri" w:hAnsi="Times New Roman"/>
          <w:sz w:val="24"/>
          <w:szCs w:val="24"/>
          <w:lang w:val="en-US" w:eastAsia="en-US"/>
        </w:rPr>
        <w:t xml:space="preserve"> tests suggest that a long-run relationship does not exist between the two jointly determined variables in either case. The </w:t>
      </w:r>
      <w:r w:rsidRPr="002D6D63">
        <w:rPr>
          <w:rFonts w:ascii="Times New Roman" w:eastAsia="Calibri" w:hAnsi="Times New Roman"/>
          <w:sz w:val="24"/>
          <w:szCs w:val="24"/>
          <w:lang w:val="en-US" w:eastAsia="en-US"/>
        </w:rPr>
        <w:lastRenderedPageBreak/>
        <w:t xml:space="preserve">absence of </w:t>
      </w:r>
      <w:proofErr w:type="spellStart"/>
      <w:r w:rsidRPr="002D6D63">
        <w:rPr>
          <w:rFonts w:ascii="Times New Roman" w:eastAsia="Calibri" w:hAnsi="Times New Roman"/>
          <w:sz w:val="24"/>
          <w:szCs w:val="24"/>
          <w:lang w:val="en-US" w:eastAsia="en-US"/>
        </w:rPr>
        <w:t>cointegration</w:t>
      </w:r>
      <w:proofErr w:type="spellEnd"/>
      <w:r w:rsidRPr="002D6D63">
        <w:rPr>
          <w:rFonts w:ascii="Times New Roman" w:eastAsia="Calibri" w:hAnsi="Times New Roman"/>
          <w:sz w:val="24"/>
          <w:szCs w:val="24"/>
          <w:lang w:val="en-US" w:eastAsia="en-US"/>
        </w:rPr>
        <w:t xml:space="preserve"> reveals, from the perspective of investors, that oil can be considered segmented rather than integrated with stock markets. To some extent, this could imply that diversification can be achieved through holding a mix of these assets. This result is in line with </w:t>
      </w:r>
      <w:proofErr w:type="spellStart"/>
      <w:r w:rsidRPr="002D6D63">
        <w:rPr>
          <w:rFonts w:ascii="Times New Roman" w:eastAsia="Calibri" w:hAnsi="Times New Roman"/>
          <w:sz w:val="24"/>
          <w:szCs w:val="24"/>
          <w:lang w:val="en-US" w:eastAsia="en-US"/>
        </w:rPr>
        <w:t>Apergis</w:t>
      </w:r>
      <w:proofErr w:type="spellEnd"/>
      <w:r w:rsidRPr="002D6D63">
        <w:rPr>
          <w:rFonts w:ascii="Times New Roman" w:eastAsia="Calibri" w:hAnsi="Times New Roman"/>
          <w:sz w:val="24"/>
          <w:szCs w:val="24"/>
          <w:lang w:val="en-US" w:eastAsia="en-US"/>
        </w:rPr>
        <w:t xml:space="preserve"> &amp; Miller (2009). The same conclusions can be reached when we consider bonds instead of crude oil in the </w:t>
      </w:r>
      <w:proofErr w:type="spellStart"/>
      <w:r w:rsidRPr="002D6D63">
        <w:rPr>
          <w:rFonts w:ascii="Times New Roman" w:eastAsia="Calibri" w:hAnsi="Times New Roman"/>
          <w:sz w:val="24"/>
          <w:szCs w:val="24"/>
          <w:lang w:val="en-US" w:eastAsia="en-US"/>
        </w:rPr>
        <w:t>cointegration</w:t>
      </w:r>
      <w:proofErr w:type="spellEnd"/>
      <w:r w:rsidRPr="002D6D63">
        <w:rPr>
          <w:rFonts w:ascii="Times New Roman" w:eastAsia="Calibri" w:hAnsi="Times New Roman"/>
          <w:sz w:val="24"/>
          <w:szCs w:val="24"/>
          <w:lang w:val="en-US" w:eastAsia="en-US"/>
        </w:rPr>
        <w:t xml:space="preserve"> tests. </w:t>
      </w:r>
    </w:p>
    <w:p w:rsidR="002D6D63" w:rsidRPr="002D6D63" w:rsidRDefault="002D6D63" w:rsidP="002D6D63">
      <w:pPr>
        <w:spacing w:line="480" w:lineRule="auto"/>
        <w:jc w:val="center"/>
        <w:rPr>
          <w:rFonts w:ascii="Times New Roman" w:hAnsi="Times New Roman"/>
          <w:i/>
          <w:sz w:val="24"/>
          <w:szCs w:val="24"/>
          <w:lang w:val="en-US"/>
        </w:rPr>
      </w:pPr>
      <w:r w:rsidRPr="002D6D63">
        <w:rPr>
          <w:rFonts w:ascii="Times New Roman" w:eastAsia="Calibri" w:hAnsi="Times New Roman"/>
          <w:sz w:val="24"/>
          <w:szCs w:val="24"/>
          <w:lang w:val="en-US" w:eastAsia="en-US"/>
        </w:rPr>
        <w:t>[Insert Table III about here]</w:t>
      </w:r>
    </w:p>
    <w:p w:rsidR="002D6D63" w:rsidRPr="002D6D63" w:rsidRDefault="002D6D63" w:rsidP="002D6D63">
      <w:pPr>
        <w:spacing w:line="480" w:lineRule="auto"/>
        <w:jc w:val="both"/>
        <w:rPr>
          <w:rFonts w:ascii="Times New Roman" w:hAnsi="Times New Roman"/>
          <w:i/>
          <w:sz w:val="24"/>
          <w:szCs w:val="24"/>
          <w:lang w:val="en-US"/>
        </w:rPr>
      </w:pPr>
      <w:r w:rsidRPr="002D6D63">
        <w:rPr>
          <w:rFonts w:ascii="Times New Roman" w:hAnsi="Times New Roman"/>
          <w:i/>
          <w:sz w:val="24"/>
          <w:szCs w:val="24"/>
          <w:lang w:val="en-US"/>
        </w:rPr>
        <w:t>5.2 US and International Stock Markets</w:t>
      </w:r>
    </w:p>
    <w:p w:rsidR="002D6D63" w:rsidRPr="002D6D63" w:rsidRDefault="002D6D63" w:rsidP="002D6D63">
      <w:pPr>
        <w:spacing w:line="480" w:lineRule="auto"/>
        <w:ind w:firstLine="426"/>
        <w:jc w:val="both"/>
        <w:rPr>
          <w:rFonts w:ascii="Times New Roman" w:hAnsi="Times New Roman"/>
          <w:sz w:val="24"/>
          <w:szCs w:val="24"/>
          <w:lang w:val="en-US"/>
        </w:rPr>
      </w:pPr>
      <w:r w:rsidRPr="002D6D63">
        <w:rPr>
          <w:rFonts w:ascii="Times New Roman" w:hAnsi="Times New Roman"/>
          <w:sz w:val="24"/>
          <w:szCs w:val="24"/>
          <w:lang w:val="en-US"/>
        </w:rPr>
        <w:t xml:space="preserve">In order to explore how equity indices react to the outbreak of an international conflict, we start our empirical investigation with the event study described in the methodology section. Table IV below reports the estimates of cumulative average abnormal returns (CAARs) with the corresponding test statistics, while Figure III graphically depicts the evolution of CAARs. The results pertaining to equities show a statistically significant abnormal decline in the period surrounding the start of political crises and wars. This is further demonstrated in Figure III. Thus, one could infer that stock market participants perceive warmongering to be, on average, a counter-productive activity. </w:t>
      </w:r>
    </w:p>
    <w:p w:rsidR="002D6D63" w:rsidRPr="002D6D63" w:rsidRDefault="002D6D63" w:rsidP="002D6D63">
      <w:pPr>
        <w:spacing w:line="480" w:lineRule="auto"/>
        <w:ind w:firstLine="426"/>
        <w:jc w:val="both"/>
        <w:rPr>
          <w:rFonts w:ascii="Times New Roman" w:hAnsi="Times New Roman"/>
          <w:sz w:val="24"/>
          <w:szCs w:val="24"/>
          <w:lang w:val="en-US"/>
        </w:rPr>
      </w:pPr>
      <w:r w:rsidRPr="002D6D63">
        <w:rPr>
          <w:rFonts w:ascii="Times New Roman" w:hAnsi="Times New Roman"/>
          <w:sz w:val="24"/>
          <w:szCs w:val="24"/>
          <w:lang w:val="en-US"/>
        </w:rPr>
        <w:t>The findings are unsurprising considering the extent of devastation to physical and human capital that an armed conflict could bring. As Nordhaus (2002: 78) eloquently put it: “...war is the ultimate negative-sum game in which the spoils of the victors are much less than the losses of the vanquished.” There is some evidence to show that excessive military spending can exert a negative effect on economic growth and development (</w:t>
      </w:r>
      <w:proofErr w:type="spellStart"/>
      <w:r w:rsidRPr="002D6D63">
        <w:rPr>
          <w:rFonts w:ascii="Times New Roman" w:hAnsi="Times New Roman"/>
          <w:sz w:val="24"/>
          <w:szCs w:val="24"/>
          <w:lang w:val="en-US"/>
        </w:rPr>
        <w:t>Deger</w:t>
      </w:r>
      <w:proofErr w:type="spellEnd"/>
      <w:r w:rsidRPr="002D6D63">
        <w:rPr>
          <w:rFonts w:ascii="Times New Roman" w:hAnsi="Times New Roman"/>
          <w:sz w:val="24"/>
          <w:szCs w:val="24"/>
          <w:lang w:val="en-US"/>
        </w:rPr>
        <w:t xml:space="preserve"> and Smith, 1983; </w:t>
      </w:r>
      <w:proofErr w:type="spellStart"/>
      <w:r w:rsidRPr="002D6D63">
        <w:rPr>
          <w:rFonts w:ascii="Times New Roman" w:hAnsi="Times New Roman"/>
          <w:sz w:val="24"/>
          <w:szCs w:val="24"/>
          <w:lang w:val="en-US"/>
        </w:rPr>
        <w:t>Cappelen</w:t>
      </w:r>
      <w:proofErr w:type="spellEnd"/>
      <w:r w:rsidRPr="002D6D63">
        <w:rPr>
          <w:rFonts w:ascii="Times New Roman" w:hAnsi="Times New Roman"/>
          <w:sz w:val="24"/>
          <w:szCs w:val="24"/>
          <w:lang w:val="en-US"/>
        </w:rPr>
        <w:t xml:space="preserve"> </w:t>
      </w:r>
      <w:r w:rsidRPr="002D6D63">
        <w:rPr>
          <w:rFonts w:ascii="Times New Roman" w:hAnsi="Times New Roman"/>
          <w:i/>
          <w:sz w:val="24"/>
          <w:szCs w:val="24"/>
          <w:lang w:val="en-US"/>
        </w:rPr>
        <w:t>et al.,</w:t>
      </w:r>
      <w:r w:rsidRPr="002D6D63">
        <w:rPr>
          <w:rFonts w:ascii="Times New Roman" w:hAnsi="Times New Roman"/>
          <w:sz w:val="24"/>
          <w:szCs w:val="24"/>
          <w:lang w:val="en-US"/>
        </w:rPr>
        <w:t xml:space="preserve"> 1984). Berkman </w:t>
      </w:r>
      <w:r w:rsidRPr="002D6D63">
        <w:rPr>
          <w:rFonts w:ascii="Times New Roman" w:hAnsi="Times New Roman"/>
          <w:i/>
          <w:sz w:val="24"/>
          <w:szCs w:val="24"/>
          <w:lang w:val="en-US"/>
        </w:rPr>
        <w:t xml:space="preserve">et al. </w:t>
      </w:r>
      <w:r w:rsidRPr="002D6D63">
        <w:rPr>
          <w:rFonts w:ascii="Times New Roman" w:hAnsi="Times New Roman"/>
          <w:sz w:val="24"/>
          <w:szCs w:val="24"/>
          <w:lang w:val="en-US"/>
        </w:rPr>
        <w:t xml:space="preserve">(2011) look at the issue from an investor’s perspective and argue that wars and international political crises depress the world stock market returns by almost 4% per annum. </w:t>
      </w:r>
      <w:proofErr w:type="spellStart"/>
      <w:r w:rsidRPr="002D6D63">
        <w:rPr>
          <w:rFonts w:ascii="Times New Roman" w:hAnsi="Times New Roman"/>
          <w:sz w:val="24"/>
          <w:szCs w:val="24"/>
          <w:lang w:val="en-US"/>
        </w:rPr>
        <w:t>Rigobon</w:t>
      </w:r>
      <w:proofErr w:type="spellEnd"/>
      <w:r w:rsidRPr="002D6D63">
        <w:rPr>
          <w:rFonts w:ascii="Times New Roman" w:hAnsi="Times New Roman"/>
          <w:sz w:val="24"/>
          <w:szCs w:val="24"/>
          <w:lang w:val="en-US"/>
        </w:rPr>
        <w:t xml:space="preserve"> and Sack (2005) further document that the heightened risk of a war on Iraq caused a fall in equity prices. </w:t>
      </w:r>
    </w:p>
    <w:p w:rsidR="002D6D63" w:rsidRPr="002D6D63" w:rsidRDefault="002D6D63" w:rsidP="002D6D63">
      <w:pPr>
        <w:spacing w:line="480" w:lineRule="auto"/>
        <w:ind w:firstLine="360"/>
        <w:jc w:val="both"/>
        <w:rPr>
          <w:rFonts w:ascii="Times New Roman" w:hAnsi="Times New Roman"/>
          <w:sz w:val="24"/>
          <w:szCs w:val="24"/>
          <w:lang w:val="en-US"/>
        </w:rPr>
      </w:pPr>
      <w:r w:rsidRPr="002D6D63">
        <w:rPr>
          <w:rFonts w:ascii="Times New Roman" w:hAnsi="Times New Roman"/>
          <w:sz w:val="24"/>
          <w:szCs w:val="24"/>
          <w:lang w:val="en-US"/>
        </w:rPr>
        <w:lastRenderedPageBreak/>
        <w:t xml:space="preserve">Our results cohere with the narrative present in the aforementioned studies and show that S&amp;P 500 drops by 4.67% due to war outbreaks in the 101 day event window. This decline is deeper than that observed for the MSCI World Index excl. U.S., possibly due to the relatively more frequent involvement of the US Armed Forces in international conflicts. These findings call for an examination of whether the fossil fuel and sovereign bonds react differently to the start of conflicts. Exhibiting a </w:t>
      </w:r>
      <w:r w:rsidR="00B4501A">
        <w:rPr>
          <w:rFonts w:ascii="Times New Roman" w:hAnsi="Times New Roman"/>
          <w:sz w:val="24"/>
          <w:szCs w:val="24"/>
          <w:lang w:val="en-US"/>
        </w:rPr>
        <w:t>dissimilar</w:t>
      </w:r>
      <w:r w:rsidRPr="002D6D63">
        <w:rPr>
          <w:rFonts w:ascii="Times New Roman" w:hAnsi="Times New Roman"/>
          <w:sz w:val="24"/>
          <w:szCs w:val="24"/>
          <w:lang w:val="en-US"/>
        </w:rPr>
        <w:t xml:space="preserve"> behavior provide impetus for investigating the safe haven property of oil and gove</w:t>
      </w:r>
      <w:r w:rsidR="00B4501A">
        <w:rPr>
          <w:rFonts w:ascii="Times New Roman" w:hAnsi="Times New Roman"/>
          <w:sz w:val="24"/>
          <w:szCs w:val="24"/>
          <w:lang w:val="en-US"/>
        </w:rPr>
        <w:t>rnment debt instruments. This would be</w:t>
      </w:r>
      <w:r w:rsidRPr="002D6D63">
        <w:rPr>
          <w:rFonts w:ascii="Times New Roman" w:hAnsi="Times New Roman"/>
          <w:sz w:val="24"/>
          <w:szCs w:val="24"/>
          <w:lang w:val="en-US"/>
        </w:rPr>
        <w:t xml:space="preserve"> a very valuable feature, as alternative ways to insure against war risk may be difficult to find. </w:t>
      </w:r>
    </w:p>
    <w:p w:rsidR="002D6D63" w:rsidRPr="002D6D63" w:rsidRDefault="002D6D63" w:rsidP="002D6D63">
      <w:pPr>
        <w:spacing w:line="480" w:lineRule="auto"/>
        <w:ind w:firstLine="360"/>
        <w:jc w:val="center"/>
        <w:rPr>
          <w:rFonts w:ascii="Times New Roman" w:hAnsi="Times New Roman"/>
          <w:sz w:val="24"/>
          <w:szCs w:val="24"/>
          <w:lang w:val="en-US"/>
        </w:rPr>
      </w:pPr>
      <w:r w:rsidRPr="002D6D63">
        <w:rPr>
          <w:rFonts w:ascii="Times New Roman" w:hAnsi="Times New Roman"/>
          <w:sz w:val="24"/>
          <w:szCs w:val="24"/>
          <w:lang w:val="en-US"/>
        </w:rPr>
        <w:t>[Insert Table IV and Figure III about here]</w:t>
      </w:r>
    </w:p>
    <w:p w:rsidR="002D6D63" w:rsidRPr="002D6D63" w:rsidRDefault="002D6D63" w:rsidP="002D6D63">
      <w:pPr>
        <w:autoSpaceDE w:val="0"/>
        <w:autoSpaceDN w:val="0"/>
        <w:adjustRightInd w:val="0"/>
        <w:spacing w:line="480" w:lineRule="auto"/>
        <w:jc w:val="both"/>
        <w:rPr>
          <w:rFonts w:ascii="Times New Roman" w:hAnsi="Times New Roman"/>
          <w:i/>
          <w:sz w:val="24"/>
          <w:szCs w:val="24"/>
          <w:lang w:val="en-US"/>
        </w:rPr>
      </w:pPr>
      <w:r w:rsidRPr="002D6D63">
        <w:rPr>
          <w:rFonts w:ascii="Times New Roman" w:hAnsi="Times New Roman"/>
          <w:i/>
          <w:sz w:val="24"/>
          <w:szCs w:val="24"/>
          <w:lang w:val="en-US"/>
        </w:rPr>
        <w:t>5.3 Crude Oil</w:t>
      </w:r>
    </w:p>
    <w:p w:rsidR="002D6D63" w:rsidRPr="002D6D63" w:rsidRDefault="00B4501A" w:rsidP="002D6D63">
      <w:pPr>
        <w:spacing w:line="480" w:lineRule="auto"/>
        <w:ind w:firstLine="360"/>
        <w:jc w:val="both"/>
        <w:rPr>
          <w:rFonts w:ascii="Times New Roman" w:hAnsi="Times New Roman"/>
          <w:sz w:val="24"/>
          <w:szCs w:val="24"/>
          <w:lang w:val="en-US"/>
        </w:rPr>
      </w:pPr>
      <w:r>
        <w:rPr>
          <w:rFonts w:ascii="Times New Roman" w:hAnsi="Times New Roman"/>
          <w:sz w:val="24"/>
          <w:szCs w:val="24"/>
          <w:lang w:val="en-US"/>
        </w:rPr>
        <w:t>Table IV and Figure III</w:t>
      </w:r>
      <w:r w:rsidR="002D6D63" w:rsidRPr="002D6D63">
        <w:rPr>
          <w:rFonts w:ascii="Times New Roman" w:hAnsi="Times New Roman"/>
          <w:sz w:val="24"/>
          <w:szCs w:val="24"/>
          <w:lang w:val="en-US"/>
        </w:rPr>
        <w:t xml:space="preserve"> present the findings on the behavior of oil valuations around the start of crises. The first striking result is that WTI crude oil prices increase on average by as much as 12.08% due to war outbreak and by 8.46% due to serious international crisis. This increase is statistically significant and a large fraction of the move occurs prior to Day 0. The oil price inflation could have several root causes, such as increased precautionary demand, military purchases, panic buying, or uncertainty about future supply stemming from the increased likelihood of oil embargoes and a breakdown of trade. The price pressures emerge in advance of conflicts, which may suggest that the military and governments are accumulating reserves ahead of planned operations. In an earlier study, </w:t>
      </w:r>
      <w:proofErr w:type="spellStart"/>
      <w:r w:rsidR="002D6D63" w:rsidRPr="002D6D63">
        <w:rPr>
          <w:rFonts w:ascii="Times New Roman" w:hAnsi="Times New Roman"/>
          <w:sz w:val="24"/>
          <w:szCs w:val="24"/>
          <w:lang w:val="en-US"/>
        </w:rPr>
        <w:t>Lieber</w:t>
      </w:r>
      <w:proofErr w:type="spellEnd"/>
      <w:r w:rsidR="002D6D63" w:rsidRPr="002D6D63">
        <w:rPr>
          <w:rFonts w:ascii="Times New Roman" w:hAnsi="Times New Roman"/>
          <w:sz w:val="24"/>
          <w:szCs w:val="24"/>
          <w:lang w:val="en-US"/>
        </w:rPr>
        <w:t xml:space="preserve"> (1992) notes a surge in crude oil prices during the Gulf War. Similarly, </w:t>
      </w:r>
      <w:proofErr w:type="spellStart"/>
      <w:r w:rsidR="002D6D63" w:rsidRPr="002D6D63">
        <w:rPr>
          <w:rFonts w:ascii="Times New Roman" w:hAnsi="Times New Roman"/>
          <w:sz w:val="24"/>
          <w:szCs w:val="24"/>
          <w:lang w:val="en-US"/>
        </w:rPr>
        <w:t>Rigobon</w:t>
      </w:r>
      <w:proofErr w:type="spellEnd"/>
      <w:r w:rsidR="002D6D63" w:rsidRPr="002D6D63">
        <w:rPr>
          <w:rFonts w:ascii="Times New Roman" w:hAnsi="Times New Roman"/>
          <w:sz w:val="24"/>
          <w:szCs w:val="24"/>
          <w:lang w:val="en-US"/>
        </w:rPr>
        <w:t xml:space="preserve"> and Sack (2005) and Leigh </w:t>
      </w:r>
      <w:r w:rsidR="002D6D63" w:rsidRPr="002D6D63">
        <w:rPr>
          <w:rFonts w:ascii="Times New Roman" w:hAnsi="Times New Roman"/>
          <w:i/>
          <w:sz w:val="24"/>
          <w:szCs w:val="24"/>
          <w:lang w:val="en-US"/>
        </w:rPr>
        <w:t xml:space="preserve">et al. </w:t>
      </w:r>
      <w:r w:rsidR="002D6D63" w:rsidRPr="002D6D63">
        <w:rPr>
          <w:rFonts w:ascii="Times New Roman" w:hAnsi="Times New Roman"/>
          <w:sz w:val="24"/>
          <w:szCs w:val="24"/>
          <w:lang w:val="en-US"/>
        </w:rPr>
        <w:t>(2003) argue that the increased risk of war in Iraq led to crude oil being more expensive. The rise in the prices of the fossil fuel during the Gulf crises might be partially explained by a surge in speculative demand in the period surrounding these two events (Kilian and Lee, 2014; Kilian and Murphy, 2013). Our findings show that these earlier conclusions can be generalized in a sample of 43 wars and 64 instances of international crisis.</w:t>
      </w:r>
    </w:p>
    <w:p w:rsidR="002D6D63" w:rsidRPr="002D6D63" w:rsidRDefault="002D6D63" w:rsidP="002D6D63">
      <w:pPr>
        <w:spacing w:line="480" w:lineRule="auto"/>
        <w:ind w:firstLine="360"/>
        <w:jc w:val="both"/>
        <w:rPr>
          <w:rFonts w:ascii="Times New Roman" w:hAnsi="Times New Roman"/>
          <w:sz w:val="24"/>
          <w:szCs w:val="24"/>
          <w:lang w:val="en-US"/>
        </w:rPr>
      </w:pPr>
      <w:r w:rsidRPr="002D6D63">
        <w:rPr>
          <w:rFonts w:ascii="Times New Roman" w:hAnsi="Times New Roman"/>
          <w:sz w:val="24"/>
          <w:szCs w:val="24"/>
          <w:lang w:val="en-US"/>
        </w:rPr>
        <w:lastRenderedPageBreak/>
        <w:t xml:space="preserve">Importantly, the diagrams in Panels A and B </w:t>
      </w:r>
      <w:r w:rsidR="00352DE4">
        <w:rPr>
          <w:rFonts w:ascii="Times New Roman" w:hAnsi="Times New Roman"/>
          <w:sz w:val="24"/>
          <w:szCs w:val="24"/>
          <w:lang w:val="en-US"/>
        </w:rPr>
        <w:t>in</w:t>
      </w:r>
      <w:r w:rsidR="00352DE4" w:rsidRPr="002D6D63">
        <w:rPr>
          <w:rFonts w:ascii="Times New Roman" w:hAnsi="Times New Roman"/>
          <w:sz w:val="24"/>
          <w:szCs w:val="24"/>
          <w:lang w:val="en-US"/>
        </w:rPr>
        <w:t xml:space="preserve"> </w:t>
      </w:r>
      <w:r w:rsidRPr="002D6D63">
        <w:rPr>
          <w:rFonts w:ascii="Times New Roman" w:hAnsi="Times New Roman"/>
          <w:sz w:val="24"/>
          <w:szCs w:val="24"/>
          <w:lang w:val="en-US"/>
        </w:rPr>
        <w:t>Figure III highlight the striking difference in the timing of abnormal price changes between oil and equities. This hints at the possibility that stock investors may not have access to the same information as the major players in the oil market. The oil price seems to anticipate the upcoming conflict at an earlier date than the stock market indices, which start to fall only a couple of days ahead of the trigger date. Some of the war preparations involve an element of secrecy and governments and military, while stockpiling oil in advance of planned operations, are unlikely to share all information with the general public.</w:t>
      </w:r>
    </w:p>
    <w:p w:rsidR="002D6D63" w:rsidRPr="002D6D63" w:rsidRDefault="002D6D63" w:rsidP="002D6D63">
      <w:pPr>
        <w:spacing w:line="480" w:lineRule="auto"/>
        <w:ind w:firstLine="360"/>
        <w:jc w:val="both"/>
        <w:rPr>
          <w:rFonts w:ascii="Times New Roman" w:hAnsi="Times New Roman"/>
          <w:sz w:val="24"/>
          <w:szCs w:val="24"/>
          <w:lang w:val="en-US"/>
        </w:rPr>
      </w:pPr>
      <w:r w:rsidRPr="002D6D63">
        <w:rPr>
          <w:rFonts w:ascii="Times New Roman" w:eastAsia="Calibri" w:hAnsi="Times New Roman"/>
          <w:sz w:val="24"/>
          <w:szCs w:val="24"/>
          <w:lang w:val="en-US" w:eastAsia="en-US"/>
        </w:rPr>
        <w:t xml:space="preserve">The findings of the unconditional analysis suggest that when crises spread throughout the markets, crude oil may provide a useful protection for investors. </w:t>
      </w:r>
      <w:r w:rsidRPr="002D6D63">
        <w:rPr>
          <w:rFonts w:ascii="Times New Roman" w:hAnsi="Times New Roman"/>
          <w:sz w:val="24"/>
          <w:szCs w:val="24"/>
          <w:lang w:val="en-US"/>
        </w:rPr>
        <w:t xml:space="preserve">This, in turn, incentivizes a formal test of the safe haven property of oil in times of political conflicts. To that end, Table V below reports the estimation results for different variations of the safe haven regression equation (5). The first thing to note from Table V is that the estimates of </w:t>
      </w:r>
      <w:r w:rsidRPr="002D6D63">
        <w:rPr>
          <w:rFonts w:ascii="Times New Roman" w:hAnsi="Times New Roman"/>
          <w:i/>
          <w:color w:val="000000"/>
          <w:lang w:val="en-US"/>
        </w:rPr>
        <w:t>β</w:t>
      </w:r>
      <w:r w:rsidRPr="002D6D63">
        <w:rPr>
          <w:rFonts w:ascii="Times New Roman" w:hAnsi="Times New Roman"/>
          <w:i/>
          <w:sz w:val="24"/>
          <w:szCs w:val="24"/>
          <w:vertAlign w:val="subscript"/>
          <w:lang w:val="en-US"/>
        </w:rPr>
        <w:t>1</w:t>
      </w:r>
      <w:r w:rsidRPr="002D6D63">
        <w:rPr>
          <w:rFonts w:ascii="Times New Roman" w:hAnsi="Times New Roman"/>
          <w:sz w:val="24"/>
          <w:szCs w:val="24"/>
          <w:lang w:val="en-US"/>
        </w:rPr>
        <w:t xml:space="preserve"> are either statistically significantly negative or insignificant, indicating that crude petroleum can be used by stockholders as a hedge. Since oil price hikes imply higher input prices and since the cost pass through to consumers may often be only partial, many companies may experience a reduction in cash flows as a result. Moreover, when confronted with a cost-push inflation caused by rising oil prices, central banks may be inclined to raise interest rates; which has ramifications for the discount rates. These theoretical arguments would be consistent with a non-positive </w:t>
      </w:r>
      <w:r w:rsidRPr="002D6D63">
        <w:rPr>
          <w:rFonts w:ascii="Times New Roman" w:hAnsi="Times New Roman"/>
          <w:i/>
          <w:color w:val="000000"/>
          <w:lang w:val="en-US"/>
        </w:rPr>
        <w:t>β</w:t>
      </w:r>
      <w:r w:rsidRPr="002D6D63">
        <w:rPr>
          <w:rFonts w:ascii="Times New Roman" w:hAnsi="Times New Roman"/>
          <w:i/>
          <w:sz w:val="24"/>
          <w:szCs w:val="24"/>
          <w:vertAlign w:val="subscript"/>
          <w:lang w:val="en-US"/>
        </w:rPr>
        <w:t>1</w:t>
      </w:r>
      <w:r w:rsidRPr="002D6D63">
        <w:rPr>
          <w:rFonts w:ascii="Times New Roman" w:hAnsi="Times New Roman"/>
          <w:sz w:val="24"/>
          <w:szCs w:val="24"/>
          <w:lang w:val="en-US"/>
        </w:rPr>
        <w:t xml:space="preserve">.  </w:t>
      </w:r>
    </w:p>
    <w:p w:rsidR="002D6D63" w:rsidRPr="002D6D63" w:rsidRDefault="002D6D63" w:rsidP="002D6D63">
      <w:pPr>
        <w:autoSpaceDE w:val="0"/>
        <w:autoSpaceDN w:val="0"/>
        <w:adjustRightInd w:val="0"/>
        <w:spacing w:line="480" w:lineRule="auto"/>
        <w:ind w:firstLine="426"/>
        <w:jc w:val="both"/>
        <w:rPr>
          <w:rFonts w:ascii="Times New Roman" w:hAnsi="Times New Roman"/>
          <w:sz w:val="24"/>
          <w:szCs w:val="24"/>
          <w:lang w:val="en-US"/>
        </w:rPr>
      </w:pPr>
      <w:r w:rsidRPr="002D6D63">
        <w:rPr>
          <w:rFonts w:ascii="Times New Roman" w:hAnsi="Times New Roman"/>
          <w:sz w:val="24"/>
          <w:szCs w:val="24"/>
          <w:lang w:val="en-US"/>
        </w:rPr>
        <w:t xml:space="preserve">Broadly speaking, our results are consistent with the existing empirical literature, which reports that the relationship between stock and oil returns is either negative or weak. Jones and </w:t>
      </w:r>
      <w:proofErr w:type="spellStart"/>
      <w:r w:rsidRPr="002D6D63">
        <w:rPr>
          <w:rFonts w:ascii="Times New Roman" w:hAnsi="Times New Roman"/>
          <w:sz w:val="24"/>
          <w:szCs w:val="24"/>
          <w:lang w:val="en-US"/>
        </w:rPr>
        <w:t>Kaul</w:t>
      </w:r>
      <w:proofErr w:type="spellEnd"/>
      <w:r w:rsidRPr="002D6D63">
        <w:rPr>
          <w:rFonts w:ascii="Times New Roman" w:hAnsi="Times New Roman"/>
          <w:sz w:val="24"/>
          <w:szCs w:val="24"/>
          <w:lang w:val="en-US"/>
        </w:rPr>
        <w:t xml:space="preserve"> (1996) and </w:t>
      </w:r>
      <w:proofErr w:type="spellStart"/>
      <w:r w:rsidRPr="002D6D63">
        <w:rPr>
          <w:rFonts w:ascii="Times New Roman" w:hAnsi="Times New Roman"/>
        </w:rPr>
        <w:t>Sadorsky</w:t>
      </w:r>
      <w:proofErr w:type="spellEnd"/>
      <w:r w:rsidRPr="002D6D63">
        <w:rPr>
          <w:rFonts w:ascii="Times New Roman" w:hAnsi="Times New Roman"/>
        </w:rPr>
        <w:t xml:space="preserve"> (1999) </w:t>
      </w:r>
      <w:r w:rsidRPr="002D6D63">
        <w:rPr>
          <w:rFonts w:ascii="Times New Roman" w:hAnsi="Times New Roman"/>
          <w:sz w:val="24"/>
          <w:szCs w:val="24"/>
          <w:lang w:val="en-US"/>
        </w:rPr>
        <w:t>show that oil price growth has a detrimental effect on equity values.</w:t>
      </w:r>
      <w:r w:rsidRPr="002D6D63">
        <w:rPr>
          <w:rStyle w:val="FootnoteReference"/>
          <w:rFonts w:ascii="Times New Roman" w:hAnsi="Times New Roman"/>
          <w:sz w:val="24"/>
          <w:szCs w:val="24"/>
          <w:lang w:val="en-US"/>
        </w:rPr>
        <w:footnoteReference w:id="11"/>
      </w:r>
      <w:r w:rsidRPr="002D6D63">
        <w:rPr>
          <w:rFonts w:ascii="Times New Roman" w:hAnsi="Times New Roman"/>
          <w:sz w:val="24"/>
          <w:szCs w:val="24"/>
          <w:lang w:val="en-US"/>
        </w:rPr>
        <w:t xml:space="preserve"> On the other hand, Chen </w:t>
      </w:r>
      <w:r w:rsidRPr="002D6D63">
        <w:rPr>
          <w:rFonts w:ascii="Times New Roman" w:hAnsi="Times New Roman"/>
          <w:i/>
          <w:sz w:val="24"/>
          <w:szCs w:val="24"/>
          <w:lang w:val="en-US"/>
        </w:rPr>
        <w:t>et al.,</w:t>
      </w:r>
      <w:r w:rsidRPr="002D6D63">
        <w:rPr>
          <w:rFonts w:ascii="Times New Roman" w:hAnsi="Times New Roman"/>
          <w:sz w:val="24"/>
          <w:szCs w:val="24"/>
          <w:lang w:val="en-US"/>
        </w:rPr>
        <w:t xml:space="preserve"> (1986) argue that the risk associated with oil price fluctuations is not a significant factor in pricing stocks. The issue is further convoluted </w:t>
      </w:r>
      <w:r w:rsidRPr="002D6D63">
        <w:rPr>
          <w:rFonts w:ascii="Times New Roman" w:hAnsi="Times New Roman"/>
          <w:sz w:val="24"/>
          <w:szCs w:val="24"/>
          <w:lang w:val="en-US"/>
        </w:rPr>
        <w:lastRenderedPageBreak/>
        <w:t xml:space="preserve">by the fact that, while petroleum price inflation may be bad news for most sectors of the economy, it is unlikely to hurt companies operating in the oil and gas industry (Faff and </w:t>
      </w:r>
      <w:proofErr w:type="spellStart"/>
      <w:r w:rsidRPr="002D6D63">
        <w:rPr>
          <w:rFonts w:ascii="Times New Roman" w:hAnsi="Times New Roman"/>
          <w:sz w:val="24"/>
          <w:szCs w:val="24"/>
          <w:lang w:val="en-US"/>
        </w:rPr>
        <w:t>Brailsford</w:t>
      </w:r>
      <w:proofErr w:type="spellEnd"/>
      <w:r w:rsidRPr="002D6D63">
        <w:rPr>
          <w:rFonts w:ascii="Times New Roman" w:hAnsi="Times New Roman"/>
          <w:sz w:val="24"/>
          <w:szCs w:val="24"/>
          <w:lang w:val="en-US"/>
        </w:rPr>
        <w:t xml:space="preserve">, 1999; El-Sharif </w:t>
      </w:r>
      <w:r w:rsidRPr="002D6D63">
        <w:rPr>
          <w:rFonts w:ascii="Times New Roman" w:hAnsi="Times New Roman"/>
          <w:i/>
          <w:sz w:val="24"/>
          <w:szCs w:val="24"/>
          <w:lang w:val="en-US"/>
        </w:rPr>
        <w:t>et al.,</w:t>
      </w:r>
      <w:r w:rsidRPr="002D6D63">
        <w:rPr>
          <w:rFonts w:ascii="Times New Roman" w:hAnsi="Times New Roman"/>
          <w:sz w:val="24"/>
          <w:szCs w:val="24"/>
          <w:lang w:val="en-US"/>
        </w:rPr>
        <w:t xml:space="preserve"> 2005; </w:t>
      </w:r>
      <w:proofErr w:type="spellStart"/>
      <w:r w:rsidRPr="002D6D63">
        <w:rPr>
          <w:rFonts w:ascii="Times New Roman" w:hAnsi="Times New Roman"/>
          <w:sz w:val="24"/>
          <w:szCs w:val="24"/>
          <w:lang w:val="en-US"/>
        </w:rPr>
        <w:t>Nandha</w:t>
      </w:r>
      <w:proofErr w:type="spellEnd"/>
      <w:r w:rsidRPr="002D6D63">
        <w:rPr>
          <w:rFonts w:ascii="Times New Roman" w:hAnsi="Times New Roman"/>
          <w:sz w:val="24"/>
          <w:szCs w:val="24"/>
          <w:lang w:val="en-US"/>
        </w:rPr>
        <w:t xml:space="preserve"> and Faff, 2008).</w:t>
      </w:r>
    </w:p>
    <w:p w:rsidR="002D6D63" w:rsidRPr="002D6D63" w:rsidRDefault="002D6D63" w:rsidP="002D6D63">
      <w:pPr>
        <w:autoSpaceDE w:val="0"/>
        <w:autoSpaceDN w:val="0"/>
        <w:adjustRightInd w:val="0"/>
        <w:spacing w:line="480" w:lineRule="auto"/>
        <w:ind w:firstLine="426"/>
        <w:jc w:val="center"/>
        <w:rPr>
          <w:rFonts w:ascii="Times New Roman" w:hAnsi="Times New Roman"/>
          <w:sz w:val="24"/>
          <w:szCs w:val="24"/>
          <w:lang w:val="en-US"/>
        </w:rPr>
      </w:pPr>
      <w:r w:rsidRPr="002D6D63">
        <w:rPr>
          <w:rFonts w:ascii="Times New Roman" w:hAnsi="Times New Roman"/>
          <w:sz w:val="24"/>
          <w:szCs w:val="24"/>
          <w:lang w:val="en-US"/>
        </w:rPr>
        <w:t>[Insert Table V about here]</w:t>
      </w:r>
    </w:p>
    <w:p w:rsidR="002D6D63" w:rsidRPr="002D6D63" w:rsidRDefault="002D6D63" w:rsidP="002D6D63">
      <w:pPr>
        <w:spacing w:line="480" w:lineRule="auto"/>
        <w:ind w:firstLine="360"/>
        <w:jc w:val="both"/>
        <w:rPr>
          <w:rFonts w:ascii="Times New Roman" w:hAnsi="Times New Roman"/>
          <w:sz w:val="24"/>
          <w:szCs w:val="24"/>
          <w:lang w:val="en-US"/>
        </w:rPr>
      </w:pPr>
      <w:r w:rsidRPr="002D6D63">
        <w:rPr>
          <w:rFonts w:ascii="Times New Roman" w:hAnsi="Times New Roman"/>
          <w:sz w:val="24"/>
          <w:szCs w:val="24"/>
          <w:lang w:val="en-US"/>
        </w:rPr>
        <w:t xml:space="preserve"> Secondly, it can be inferred from Table </w:t>
      </w:r>
      <w:r w:rsidRPr="002D6D63">
        <w:rPr>
          <w:rFonts w:ascii="Times New Roman" w:hAnsi="Times New Roman"/>
          <w:color w:val="000000"/>
          <w:lang w:val="en-US"/>
        </w:rPr>
        <w:t>V</w:t>
      </w:r>
      <w:r w:rsidRPr="002D6D63">
        <w:rPr>
          <w:rFonts w:ascii="Times New Roman" w:hAnsi="Times New Roman"/>
          <w:sz w:val="24"/>
          <w:szCs w:val="24"/>
          <w:lang w:val="en-US"/>
        </w:rPr>
        <w:t xml:space="preserve"> that (</w:t>
      </w:r>
      <w:r w:rsidRPr="002D6D63">
        <w:rPr>
          <w:rFonts w:ascii="Times New Roman" w:hAnsi="Times New Roman"/>
          <w:i/>
          <w:color w:val="000000"/>
          <w:lang w:val="en-US"/>
        </w:rPr>
        <w:t>β</w:t>
      </w:r>
      <w:r w:rsidRPr="002D6D63">
        <w:rPr>
          <w:rFonts w:ascii="Times New Roman" w:hAnsi="Times New Roman"/>
          <w:i/>
          <w:sz w:val="24"/>
          <w:szCs w:val="24"/>
          <w:vertAlign w:val="subscript"/>
          <w:lang w:val="en-US"/>
        </w:rPr>
        <w:t>1</w:t>
      </w:r>
      <w:r w:rsidRPr="002D6D63">
        <w:rPr>
          <w:rFonts w:ascii="Times New Roman" w:hAnsi="Times New Roman"/>
          <w:i/>
          <w:sz w:val="24"/>
          <w:szCs w:val="24"/>
          <w:lang w:val="en-US"/>
        </w:rPr>
        <w:t xml:space="preserve">+ </w:t>
      </w:r>
      <w:r w:rsidRPr="002D6D63">
        <w:rPr>
          <w:rFonts w:ascii="Times New Roman" w:hAnsi="Times New Roman"/>
          <w:i/>
          <w:color w:val="000000"/>
          <w:lang w:val="en-US"/>
        </w:rPr>
        <w:t>β</w:t>
      </w:r>
      <w:r w:rsidRPr="002D6D63">
        <w:rPr>
          <w:rFonts w:ascii="Times New Roman" w:hAnsi="Times New Roman"/>
          <w:i/>
          <w:sz w:val="24"/>
          <w:szCs w:val="24"/>
          <w:vertAlign w:val="subscript"/>
          <w:lang w:val="en-US"/>
        </w:rPr>
        <w:t>2</w:t>
      </w:r>
      <w:r w:rsidRPr="002D6D63">
        <w:rPr>
          <w:rFonts w:ascii="Times New Roman" w:hAnsi="Times New Roman"/>
          <w:sz w:val="24"/>
          <w:szCs w:val="24"/>
          <w:lang w:val="en-US"/>
        </w:rPr>
        <w:t xml:space="preserve">) is smaller than 0 in all of the regressions considered. All of the </w:t>
      </w:r>
      <w:r w:rsidRPr="002D6D63">
        <w:rPr>
          <w:rFonts w:ascii="Times New Roman" w:hAnsi="Times New Roman"/>
          <w:i/>
          <w:sz w:val="24"/>
          <w:szCs w:val="24"/>
          <w:lang w:val="en-US"/>
        </w:rPr>
        <w:t>t</w:t>
      </w:r>
      <w:r w:rsidRPr="002D6D63">
        <w:rPr>
          <w:rFonts w:ascii="Times New Roman" w:hAnsi="Times New Roman"/>
          <w:sz w:val="24"/>
          <w:szCs w:val="24"/>
          <w:lang w:val="en-US"/>
        </w:rPr>
        <w:t>-tests fail to reject the null hypotheses that (</w:t>
      </w:r>
      <w:r w:rsidRPr="002D6D63">
        <w:rPr>
          <w:rFonts w:ascii="Times New Roman" w:hAnsi="Times New Roman"/>
          <w:i/>
          <w:color w:val="000000"/>
          <w:lang w:val="en-US"/>
        </w:rPr>
        <w:t>β</w:t>
      </w:r>
      <w:r w:rsidRPr="002D6D63">
        <w:rPr>
          <w:rFonts w:ascii="Times New Roman" w:hAnsi="Times New Roman"/>
          <w:i/>
          <w:sz w:val="24"/>
          <w:szCs w:val="24"/>
          <w:vertAlign w:val="subscript"/>
          <w:lang w:val="en-US"/>
        </w:rPr>
        <w:t>1</w:t>
      </w:r>
      <w:r w:rsidRPr="002D6D63">
        <w:rPr>
          <w:rFonts w:ascii="Times New Roman" w:hAnsi="Times New Roman"/>
          <w:i/>
          <w:sz w:val="24"/>
          <w:szCs w:val="24"/>
          <w:lang w:val="en-US"/>
        </w:rPr>
        <w:t xml:space="preserve">+ </w:t>
      </w:r>
      <w:r w:rsidRPr="002D6D63">
        <w:rPr>
          <w:rFonts w:ascii="Times New Roman" w:hAnsi="Times New Roman"/>
          <w:i/>
          <w:color w:val="000000"/>
          <w:lang w:val="en-US"/>
        </w:rPr>
        <w:t>β</w:t>
      </w:r>
      <w:r w:rsidRPr="002D6D63">
        <w:rPr>
          <w:rFonts w:ascii="Times New Roman" w:hAnsi="Times New Roman"/>
          <w:i/>
          <w:sz w:val="24"/>
          <w:szCs w:val="24"/>
          <w:vertAlign w:val="subscript"/>
          <w:lang w:val="en-US"/>
        </w:rPr>
        <w:t>2</w:t>
      </w:r>
      <w:r w:rsidRPr="002D6D63">
        <w:rPr>
          <w:rFonts w:ascii="Times New Roman" w:hAnsi="Times New Roman"/>
          <w:sz w:val="24"/>
          <w:szCs w:val="24"/>
          <w:lang w:val="en-US"/>
        </w:rPr>
        <w:t>)</w:t>
      </w:r>
      <m:oMath>
        <m:r>
          <w:rPr>
            <w:rFonts w:ascii="Cambria Math" w:hAnsi="Cambria Math"/>
            <w:sz w:val="24"/>
            <w:szCs w:val="24"/>
            <w:lang w:val="en-US"/>
          </w:rPr>
          <m:t xml:space="preserve"> ≤0</m:t>
        </m:r>
      </m:oMath>
      <w:r w:rsidRPr="002D6D63">
        <w:rPr>
          <w:rFonts w:ascii="Times New Roman" w:hAnsi="Times New Roman"/>
          <w:sz w:val="24"/>
          <w:szCs w:val="24"/>
          <w:lang w:val="en-US"/>
        </w:rPr>
        <w:t>, suggesting that oil is a safe haven that has high payoff in the most turbulent of tim</w:t>
      </w:r>
      <w:proofErr w:type="spellStart"/>
      <w:r w:rsidRPr="002D6D63">
        <w:rPr>
          <w:rFonts w:ascii="Times New Roman" w:hAnsi="Times New Roman"/>
          <w:sz w:val="24"/>
          <w:szCs w:val="24"/>
          <w:lang w:val="en-US"/>
        </w:rPr>
        <w:t>es</w:t>
      </w:r>
      <w:proofErr w:type="spellEnd"/>
      <w:r w:rsidRPr="002D6D63">
        <w:rPr>
          <w:rFonts w:ascii="Times New Roman" w:hAnsi="Times New Roman"/>
          <w:sz w:val="24"/>
          <w:szCs w:val="24"/>
          <w:lang w:val="en-US"/>
        </w:rPr>
        <w:t>. Since the large positive returns from crude petroleum materialize when they are most needed, stock market investors are encouraged to use this commodity to diversify their portfolios. It needs to be noted that oil itself is a risky asset whose price is sensitive to the vagaries of market demand and supply, as well as technological innovations in the field of alternative energy sources. Nevertheless, historical data indicates that it has performed well as a hedge for equities and provided a refuge for those seeking a financial shelter during spells of warfare.</w:t>
      </w:r>
    </w:p>
    <w:p w:rsidR="002D6D63" w:rsidRPr="002D6D63" w:rsidRDefault="002D6D63" w:rsidP="002D6D63">
      <w:pPr>
        <w:spacing w:line="480" w:lineRule="auto"/>
        <w:ind w:firstLine="360"/>
        <w:jc w:val="both"/>
        <w:rPr>
          <w:rFonts w:ascii="Times New Roman" w:hAnsi="Times New Roman"/>
          <w:sz w:val="24"/>
          <w:szCs w:val="24"/>
          <w:lang w:val="en-US"/>
        </w:rPr>
      </w:pPr>
      <w:r w:rsidRPr="002D6D63">
        <w:rPr>
          <w:rFonts w:ascii="Times New Roman" w:eastAsia="Calibri" w:hAnsi="Times New Roman"/>
          <w:sz w:val="24"/>
          <w:szCs w:val="24"/>
          <w:lang w:val="en-US" w:eastAsia="en-US"/>
        </w:rPr>
        <w:t>Moving away from the regression analysis, we examine simple Pearson correlation coefficients between the returns on oil and equities during the periods surrounding hostilities. Table VI below reports these estimates which interestingly show that the valuations of WTI and stock markets co-vary inversely during these episodes and the null of no correlation is strongly rejected in all cases. This is testament to the safe haven property discovered earlier. The Kendall’s tau tests reported in Table VII below reassuringly confirm these conclusions. We can infer from the statistical property in combination with our new definition of a safe haven that WTI acts as a safe haven for S&amp;P 500, MCSI World and MSCI World excl. U.S. in times of political distress</w:t>
      </w:r>
    </w:p>
    <w:p w:rsidR="002D6D63" w:rsidRPr="002D6D63" w:rsidRDefault="002D6D63" w:rsidP="002D6D63">
      <w:pPr>
        <w:autoSpaceDE w:val="0"/>
        <w:autoSpaceDN w:val="0"/>
        <w:adjustRightInd w:val="0"/>
        <w:spacing w:line="480" w:lineRule="auto"/>
        <w:jc w:val="center"/>
        <w:rPr>
          <w:rFonts w:ascii="Times New Roman" w:hAnsi="Times New Roman"/>
          <w:color w:val="000000"/>
          <w:sz w:val="24"/>
          <w:szCs w:val="24"/>
          <w:lang w:val="en-US"/>
        </w:rPr>
      </w:pPr>
      <w:r w:rsidRPr="002D6D63">
        <w:rPr>
          <w:rFonts w:ascii="Times New Roman" w:hAnsi="Times New Roman"/>
          <w:color w:val="000000"/>
          <w:sz w:val="24"/>
          <w:szCs w:val="24"/>
          <w:lang w:val="en-US"/>
        </w:rPr>
        <w:t>[Insert Tables VI and VII about here]</w:t>
      </w:r>
    </w:p>
    <w:p w:rsidR="002D6D63" w:rsidRPr="002D6D63" w:rsidRDefault="002D6D63" w:rsidP="002D6D63">
      <w:pPr>
        <w:spacing w:line="480" w:lineRule="auto"/>
        <w:jc w:val="both"/>
        <w:rPr>
          <w:rFonts w:ascii="Times New Roman" w:hAnsi="Times New Roman"/>
          <w:i/>
          <w:sz w:val="24"/>
          <w:szCs w:val="24"/>
          <w:lang w:val="en-US"/>
        </w:rPr>
      </w:pPr>
      <w:r w:rsidRPr="002D6D63">
        <w:rPr>
          <w:rFonts w:ascii="Times New Roman" w:hAnsi="Times New Roman"/>
          <w:i/>
          <w:sz w:val="24"/>
          <w:szCs w:val="24"/>
          <w:lang w:val="en-US"/>
        </w:rPr>
        <w:t xml:space="preserve">5.4 World Sovereign Bonds </w:t>
      </w:r>
    </w:p>
    <w:p w:rsidR="002D6D63" w:rsidRPr="002D6D63" w:rsidRDefault="002D6D63" w:rsidP="002D6D63">
      <w:pPr>
        <w:spacing w:line="480" w:lineRule="auto"/>
        <w:ind w:firstLine="360"/>
        <w:jc w:val="both"/>
        <w:rPr>
          <w:rFonts w:ascii="Times New Roman" w:hAnsi="Times New Roman"/>
          <w:sz w:val="24"/>
          <w:szCs w:val="24"/>
          <w:lang w:val="en-US"/>
        </w:rPr>
      </w:pPr>
      <w:r w:rsidRPr="002D6D63">
        <w:rPr>
          <w:rFonts w:ascii="Times New Roman" w:hAnsi="Times New Roman"/>
          <w:sz w:val="24"/>
          <w:szCs w:val="24"/>
          <w:lang w:val="en-US"/>
        </w:rPr>
        <w:lastRenderedPageBreak/>
        <w:t>The results pertaining to the unconditional impact of political crises on the world government bond index for the period from January 1995 to December 2007 are reported in Table IV and Figure III above. The findings reveal a positive and statistically significant cumulative average abnormal behavior. Bondholders earn on average nearly 1.95% and 3.04% due to the outbreak of war and serious international crisis, respectively. Contrary to the timing of the rise in petroleum CAARs, a large fraction of the increase in bond prices appears to occur from Day 0 onwards. This comparatively delayed reaction could be due to the fact that the investors in fixed income markets are not privy to the same information as governments that stockpile oil ahead of military conflict. Previous examinations captured a significant responsiveness of government bonds to the outbreak of World War II and the subsequent developments in battlefields (</w:t>
      </w:r>
      <w:proofErr w:type="spellStart"/>
      <w:r w:rsidRPr="002D6D63">
        <w:rPr>
          <w:rFonts w:ascii="Times New Roman" w:hAnsi="Times New Roman"/>
          <w:sz w:val="24"/>
          <w:szCs w:val="24"/>
          <w:lang w:val="en-US"/>
        </w:rPr>
        <w:t>Waldenström</w:t>
      </w:r>
      <w:proofErr w:type="spellEnd"/>
      <w:r w:rsidRPr="002D6D63">
        <w:rPr>
          <w:rFonts w:ascii="Times New Roman" w:hAnsi="Times New Roman"/>
          <w:sz w:val="24"/>
          <w:szCs w:val="24"/>
          <w:lang w:val="en-US"/>
        </w:rPr>
        <w:t xml:space="preserve"> and Frey, 2008; </w:t>
      </w:r>
      <w:proofErr w:type="spellStart"/>
      <w:r w:rsidRPr="002D6D63">
        <w:rPr>
          <w:rFonts w:ascii="Times New Roman" w:hAnsi="Times New Roman"/>
          <w:sz w:val="24"/>
          <w:szCs w:val="24"/>
          <w:lang w:val="en-US"/>
        </w:rPr>
        <w:t>Oosterlinck</w:t>
      </w:r>
      <w:proofErr w:type="spellEnd"/>
      <w:r w:rsidRPr="002D6D63">
        <w:rPr>
          <w:rFonts w:ascii="Times New Roman" w:hAnsi="Times New Roman"/>
          <w:sz w:val="24"/>
          <w:szCs w:val="24"/>
          <w:lang w:val="en-US"/>
        </w:rPr>
        <w:t xml:space="preserve">, 2003; Brown and Burdekin, 2002; Frey and </w:t>
      </w:r>
      <w:proofErr w:type="spellStart"/>
      <w:r w:rsidRPr="002D6D63">
        <w:rPr>
          <w:rFonts w:ascii="Times New Roman" w:hAnsi="Times New Roman"/>
          <w:sz w:val="24"/>
          <w:szCs w:val="24"/>
          <w:lang w:val="en-US"/>
        </w:rPr>
        <w:t>Kucher</w:t>
      </w:r>
      <w:proofErr w:type="spellEnd"/>
      <w:r w:rsidRPr="002D6D63">
        <w:rPr>
          <w:rFonts w:ascii="Times New Roman" w:hAnsi="Times New Roman"/>
          <w:sz w:val="24"/>
          <w:szCs w:val="24"/>
          <w:lang w:val="en-US"/>
        </w:rPr>
        <w:t>, 2001). Thus, our results show that the presence of abnormal behavior in government bonds was not limited to the events of World War II, but has been observed on average during the more recent 21 wars and 32 intense international conflicts.</w:t>
      </w:r>
    </w:p>
    <w:p w:rsidR="002D6D63" w:rsidRPr="002D6D63" w:rsidRDefault="002D6D63" w:rsidP="002D6D63">
      <w:pPr>
        <w:spacing w:line="480" w:lineRule="auto"/>
        <w:ind w:firstLine="360"/>
        <w:jc w:val="both"/>
        <w:rPr>
          <w:rFonts w:ascii="Times New Roman" w:hAnsi="Times New Roman"/>
          <w:color w:val="00B050"/>
          <w:sz w:val="24"/>
          <w:szCs w:val="24"/>
          <w:lang w:val="en-US"/>
        </w:rPr>
      </w:pPr>
      <w:r w:rsidRPr="002D6D63">
        <w:rPr>
          <w:rFonts w:ascii="Times New Roman" w:hAnsi="Times New Roman"/>
          <w:sz w:val="24"/>
          <w:szCs w:val="24"/>
          <w:lang w:val="en-US"/>
        </w:rPr>
        <w:t>The significant rise in bonds CAARs might be explained in light of the evidence that suggests the ability of these fixed-income securities to act as a shelter for investors escaping crises in stock markets (</w:t>
      </w:r>
      <w:proofErr w:type="spellStart"/>
      <w:r w:rsidRPr="002D6D63">
        <w:rPr>
          <w:rFonts w:ascii="Times New Roman" w:hAnsi="Times New Roman"/>
          <w:sz w:val="24"/>
          <w:szCs w:val="24"/>
          <w:lang w:val="en-US"/>
        </w:rPr>
        <w:t>Baur</w:t>
      </w:r>
      <w:proofErr w:type="spellEnd"/>
      <w:r w:rsidRPr="002D6D63">
        <w:rPr>
          <w:rFonts w:ascii="Times New Roman" w:hAnsi="Times New Roman"/>
          <w:sz w:val="24"/>
          <w:szCs w:val="24"/>
          <w:lang w:val="en-US"/>
        </w:rPr>
        <w:t xml:space="preserve"> and Lucey, 2010). Sporadic or unexpected events force market participants to escape their risky investments and seek the stability afforded by the sovereign bonds (Caballero and Krishnamurthy, 2008). Specifically, the presence of the flight-to-liquidity and flight-to-quality phenomena that mobilize funds from stock markets to government bonds during times of financial turmoil is well documented both theoretically and empirically (</w:t>
      </w:r>
      <w:proofErr w:type="spellStart"/>
      <w:r w:rsidRPr="002D6D63">
        <w:rPr>
          <w:rFonts w:ascii="Times New Roman" w:hAnsi="Times New Roman"/>
          <w:sz w:val="24"/>
          <w:szCs w:val="24"/>
          <w:lang w:val="en-US"/>
        </w:rPr>
        <w:t>Briere</w:t>
      </w:r>
      <w:proofErr w:type="spellEnd"/>
      <w:r w:rsidRPr="002D6D63">
        <w:rPr>
          <w:rFonts w:ascii="Times New Roman" w:hAnsi="Times New Roman"/>
          <w:sz w:val="24"/>
          <w:szCs w:val="24"/>
          <w:lang w:val="en-US"/>
        </w:rPr>
        <w:t xml:space="preserve"> </w:t>
      </w:r>
      <w:r w:rsidRPr="002D6D63">
        <w:rPr>
          <w:rFonts w:ascii="Times New Roman" w:hAnsi="Times New Roman"/>
          <w:i/>
          <w:sz w:val="24"/>
          <w:szCs w:val="24"/>
          <w:lang w:val="en-US"/>
        </w:rPr>
        <w:t>et al</w:t>
      </w:r>
      <w:r w:rsidRPr="002D6D63">
        <w:rPr>
          <w:rFonts w:ascii="Times New Roman" w:hAnsi="Times New Roman"/>
          <w:sz w:val="24"/>
          <w:szCs w:val="24"/>
          <w:lang w:val="en-US"/>
        </w:rPr>
        <w:t xml:space="preserve">., 2012; </w:t>
      </w:r>
      <w:proofErr w:type="spellStart"/>
      <w:r w:rsidRPr="002D6D63">
        <w:rPr>
          <w:rFonts w:ascii="Times New Roman" w:hAnsi="Times New Roman"/>
          <w:sz w:val="24"/>
          <w:szCs w:val="24"/>
          <w:lang w:val="en-US"/>
        </w:rPr>
        <w:t>Baur</w:t>
      </w:r>
      <w:proofErr w:type="spellEnd"/>
      <w:r w:rsidRPr="002D6D63">
        <w:rPr>
          <w:rFonts w:ascii="Times New Roman" w:hAnsi="Times New Roman"/>
          <w:sz w:val="24"/>
          <w:szCs w:val="24"/>
          <w:lang w:val="en-US"/>
        </w:rPr>
        <w:t xml:space="preserve"> and Lucey, 2009; Caballero and Krishnamurthy, 2008; and Hartmann </w:t>
      </w:r>
      <w:r w:rsidRPr="002D6D63">
        <w:rPr>
          <w:rFonts w:ascii="Times New Roman" w:hAnsi="Times New Roman"/>
          <w:i/>
          <w:sz w:val="24"/>
          <w:szCs w:val="24"/>
          <w:lang w:val="en-US"/>
        </w:rPr>
        <w:t>et al.,</w:t>
      </w:r>
      <w:r w:rsidRPr="002D6D63">
        <w:rPr>
          <w:rFonts w:ascii="Times New Roman" w:hAnsi="Times New Roman"/>
          <w:sz w:val="24"/>
          <w:szCs w:val="24"/>
          <w:lang w:val="en-US"/>
        </w:rPr>
        <w:t xml:space="preserve"> 2004). Interestingly, our findings on the timing and the direction of the abnormal behavior of equity indices corroborate the flight-to-quality rationalization.</w:t>
      </w:r>
    </w:p>
    <w:p w:rsidR="002D6D63" w:rsidRPr="002D6D63" w:rsidRDefault="002D6D63" w:rsidP="002D6D63">
      <w:pPr>
        <w:autoSpaceDE w:val="0"/>
        <w:autoSpaceDN w:val="0"/>
        <w:adjustRightInd w:val="0"/>
        <w:spacing w:line="480" w:lineRule="auto"/>
        <w:ind w:firstLine="426"/>
        <w:jc w:val="both"/>
        <w:rPr>
          <w:rFonts w:ascii="Times New Roman" w:hAnsi="Times New Roman"/>
          <w:sz w:val="24"/>
          <w:szCs w:val="24"/>
          <w:lang w:val="en-US"/>
        </w:rPr>
      </w:pPr>
      <w:r w:rsidRPr="002D6D63">
        <w:rPr>
          <w:rFonts w:ascii="Times New Roman" w:hAnsi="Times New Roman"/>
          <w:sz w:val="24"/>
          <w:szCs w:val="24"/>
          <w:lang w:val="en-US"/>
        </w:rPr>
        <w:lastRenderedPageBreak/>
        <w:t xml:space="preserve">The results above provide rationale for an investigation of the ability of bonds to act as a shelter from tumbling equity markets. Table VIII below presents the estimation results from safe haven regression equation (6). The findings show the estimates of </w:t>
      </w:r>
      <w:r w:rsidRPr="002D6D63">
        <w:rPr>
          <w:rFonts w:ascii="Times New Roman" w:hAnsi="Times New Roman"/>
          <w:i/>
          <w:color w:val="000000"/>
          <w:lang w:val="en-US"/>
        </w:rPr>
        <w:t>β</w:t>
      </w:r>
      <w:r w:rsidRPr="002D6D63">
        <w:rPr>
          <w:rFonts w:ascii="Times New Roman" w:hAnsi="Times New Roman"/>
          <w:i/>
          <w:sz w:val="24"/>
          <w:szCs w:val="24"/>
          <w:vertAlign w:val="subscript"/>
          <w:lang w:val="en-US"/>
        </w:rPr>
        <w:t xml:space="preserve">1 </w:t>
      </w:r>
      <w:r w:rsidRPr="002D6D63">
        <w:rPr>
          <w:rFonts w:ascii="Times New Roman" w:hAnsi="Times New Roman"/>
          <w:sz w:val="24"/>
          <w:szCs w:val="24"/>
          <w:lang w:val="en-US"/>
        </w:rPr>
        <w:t xml:space="preserve">to be negative and statistically significant. This finding can be viewed in light of the relationship between interest rates and equity returns. The impact of interest rate changes on the discount rate, and in turn on the valuation of future cash flows, suggests that these rates are a pervasive state variable (Chen </w:t>
      </w:r>
      <w:r w:rsidRPr="002D6D63">
        <w:rPr>
          <w:rFonts w:ascii="Times New Roman" w:hAnsi="Times New Roman"/>
          <w:i/>
          <w:sz w:val="24"/>
          <w:szCs w:val="24"/>
          <w:lang w:val="en-US"/>
        </w:rPr>
        <w:t>et al.</w:t>
      </w:r>
      <w:r w:rsidRPr="002D6D63">
        <w:rPr>
          <w:rFonts w:ascii="Times New Roman" w:hAnsi="Times New Roman"/>
          <w:sz w:val="24"/>
          <w:szCs w:val="24"/>
          <w:lang w:val="en-US"/>
        </w:rPr>
        <w:t>, 1986). While high interest rates may inflate the yields accruing to the holders of fixed</w:t>
      </w:r>
      <w:r w:rsidR="007C3860">
        <w:rPr>
          <w:rFonts w:ascii="Times New Roman" w:hAnsi="Times New Roman"/>
          <w:sz w:val="24"/>
          <w:szCs w:val="24"/>
          <w:lang w:val="en-US"/>
        </w:rPr>
        <w:t>-</w:t>
      </w:r>
      <w:r w:rsidRPr="002D6D63">
        <w:rPr>
          <w:rFonts w:ascii="Times New Roman" w:hAnsi="Times New Roman"/>
          <w:sz w:val="24"/>
          <w:szCs w:val="24"/>
          <w:lang w:val="en-US"/>
        </w:rPr>
        <w:t>income securities, they increase the cost of servicing the debt for corporations and deter investors from buying stocks on margin. Empirical examinations indicate that changes in interest rates have an adverse effect on the equity returns of U.S. financial intermediaries (Bae, 1990), U.S. banks (</w:t>
      </w:r>
      <w:proofErr w:type="spellStart"/>
      <w:r w:rsidRPr="002D6D63">
        <w:rPr>
          <w:rFonts w:ascii="Times New Roman" w:hAnsi="Times New Roman"/>
          <w:sz w:val="24"/>
          <w:szCs w:val="24"/>
          <w:lang w:val="en-US"/>
        </w:rPr>
        <w:t>Elyasiani</w:t>
      </w:r>
      <w:proofErr w:type="spellEnd"/>
      <w:r w:rsidRPr="002D6D63">
        <w:rPr>
          <w:rFonts w:ascii="Times New Roman" w:hAnsi="Times New Roman"/>
          <w:sz w:val="24"/>
          <w:szCs w:val="24"/>
          <w:lang w:val="en-US"/>
        </w:rPr>
        <w:t xml:space="preserve"> and Mansur, 1998), and U.K. financial and non-financial firms (</w:t>
      </w:r>
      <w:proofErr w:type="spellStart"/>
      <w:r w:rsidRPr="002D6D63">
        <w:rPr>
          <w:rFonts w:ascii="Times New Roman" w:hAnsi="Times New Roman"/>
          <w:sz w:val="24"/>
          <w:szCs w:val="24"/>
          <w:lang w:val="en-US"/>
        </w:rPr>
        <w:t>Dinenis</w:t>
      </w:r>
      <w:proofErr w:type="spellEnd"/>
      <w:r w:rsidRPr="002D6D63">
        <w:rPr>
          <w:rFonts w:ascii="Times New Roman" w:hAnsi="Times New Roman"/>
          <w:sz w:val="24"/>
          <w:szCs w:val="24"/>
          <w:lang w:val="en-US"/>
        </w:rPr>
        <w:t xml:space="preserve"> and </w:t>
      </w:r>
      <w:proofErr w:type="spellStart"/>
      <w:r w:rsidRPr="002D6D63">
        <w:rPr>
          <w:rFonts w:ascii="Times New Roman" w:hAnsi="Times New Roman"/>
          <w:sz w:val="24"/>
          <w:szCs w:val="24"/>
          <w:lang w:val="en-US"/>
        </w:rPr>
        <w:t>Staikouras</w:t>
      </w:r>
      <w:proofErr w:type="spellEnd"/>
      <w:r w:rsidRPr="002D6D63">
        <w:rPr>
          <w:rFonts w:ascii="Times New Roman" w:hAnsi="Times New Roman"/>
          <w:sz w:val="24"/>
          <w:szCs w:val="24"/>
          <w:lang w:val="en-US"/>
        </w:rPr>
        <w:t xml:space="preserve">, 1998). Chen </w:t>
      </w:r>
      <w:r w:rsidRPr="002D6D63">
        <w:rPr>
          <w:rFonts w:ascii="Times New Roman" w:hAnsi="Times New Roman"/>
          <w:i/>
          <w:sz w:val="24"/>
          <w:szCs w:val="24"/>
          <w:lang w:val="en-US"/>
        </w:rPr>
        <w:t>et al.</w:t>
      </w:r>
      <w:r w:rsidRPr="002D6D63">
        <w:rPr>
          <w:rFonts w:ascii="Times New Roman" w:hAnsi="Times New Roman"/>
          <w:sz w:val="24"/>
          <w:szCs w:val="24"/>
          <w:lang w:val="en-US"/>
        </w:rPr>
        <w:t xml:space="preserve"> (1986) document a significant and negative relation between U.S. stock returns and the spread between long and short-term U.S. treasuries</w:t>
      </w:r>
      <w:r w:rsidRPr="002D6D63">
        <w:rPr>
          <w:rFonts w:ascii="Times New Roman" w:hAnsi="Times New Roman"/>
          <w:color w:val="00B050"/>
          <w:sz w:val="24"/>
          <w:szCs w:val="24"/>
          <w:lang w:val="en-US"/>
        </w:rPr>
        <w:t xml:space="preserve">. </w:t>
      </w:r>
      <w:r w:rsidRPr="002D6D63">
        <w:rPr>
          <w:rFonts w:ascii="Times New Roman" w:hAnsi="Times New Roman"/>
          <w:sz w:val="24"/>
          <w:szCs w:val="24"/>
          <w:lang w:val="en-US"/>
        </w:rPr>
        <w:t xml:space="preserve">The effect of interest rate changes is also shown to transcend national borders and exert an impact on equity returns of foreign stock markets (Stevenson, 2002). </w:t>
      </w:r>
    </w:p>
    <w:p w:rsidR="002D6D63" w:rsidRPr="002D6D63" w:rsidRDefault="002D6D63" w:rsidP="002D6D63">
      <w:pPr>
        <w:autoSpaceDE w:val="0"/>
        <w:autoSpaceDN w:val="0"/>
        <w:adjustRightInd w:val="0"/>
        <w:spacing w:line="480" w:lineRule="auto"/>
        <w:ind w:firstLine="426"/>
        <w:jc w:val="center"/>
        <w:rPr>
          <w:rFonts w:ascii="Times New Roman" w:hAnsi="Times New Roman"/>
          <w:sz w:val="24"/>
          <w:szCs w:val="24"/>
          <w:lang w:val="en-US"/>
        </w:rPr>
      </w:pPr>
      <w:r w:rsidRPr="002D6D63">
        <w:rPr>
          <w:rFonts w:ascii="Times New Roman" w:hAnsi="Times New Roman"/>
          <w:sz w:val="24"/>
          <w:szCs w:val="24"/>
          <w:lang w:val="en-US"/>
        </w:rPr>
        <w:t>[Insert Table VIII about here]</w:t>
      </w:r>
    </w:p>
    <w:p w:rsidR="002D6D63" w:rsidRPr="002D6D63" w:rsidRDefault="002D6D63" w:rsidP="002D6D63">
      <w:pPr>
        <w:autoSpaceDE w:val="0"/>
        <w:autoSpaceDN w:val="0"/>
        <w:adjustRightInd w:val="0"/>
        <w:spacing w:line="480" w:lineRule="auto"/>
        <w:ind w:firstLine="426"/>
        <w:jc w:val="both"/>
        <w:rPr>
          <w:rFonts w:ascii="Times New Roman" w:hAnsi="Times New Roman"/>
          <w:sz w:val="24"/>
          <w:szCs w:val="24"/>
          <w:lang w:val="en-US"/>
        </w:rPr>
      </w:pPr>
      <w:r w:rsidRPr="002D6D63">
        <w:rPr>
          <w:rFonts w:ascii="Times New Roman" w:hAnsi="Times New Roman"/>
          <w:sz w:val="24"/>
          <w:szCs w:val="24"/>
          <w:lang w:val="en-US"/>
        </w:rPr>
        <w:t>The further examination of (</w:t>
      </w:r>
      <w:r w:rsidRPr="002D6D63">
        <w:rPr>
          <w:rFonts w:ascii="Times New Roman" w:hAnsi="Times New Roman"/>
          <w:i/>
          <w:color w:val="000000"/>
          <w:lang w:val="en-US"/>
        </w:rPr>
        <w:t>β</w:t>
      </w:r>
      <w:r w:rsidRPr="002D6D63">
        <w:rPr>
          <w:rFonts w:ascii="Times New Roman" w:hAnsi="Times New Roman"/>
          <w:i/>
          <w:sz w:val="24"/>
          <w:szCs w:val="24"/>
          <w:vertAlign w:val="subscript"/>
          <w:lang w:val="en-US"/>
        </w:rPr>
        <w:t>1</w:t>
      </w:r>
      <w:r w:rsidRPr="002D6D63">
        <w:rPr>
          <w:rFonts w:ascii="Times New Roman" w:hAnsi="Times New Roman"/>
          <w:i/>
          <w:sz w:val="24"/>
          <w:szCs w:val="24"/>
          <w:lang w:val="en-US"/>
        </w:rPr>
        <w:t xml:space="preserve">+ </w:t>
      </w:r>
      <w:r w:rsidRPr="002D6D63">
        <w:rPr>
          <w:rFonts w:ascii="Times New Roman" w:hAnsi="Times New Roman"/>
          <w:i/>
          <w:color w:val="000000"/>
          <w:lang w:val="en-US"/>
        </w:rPr>
        <w:t>β</w:t>
      </w:r>
      <w:r w:rsidRPr="002D6D63">
        <w:rPr>
          <w:rFonts w:ascii="Times New Roman" w:hAnsi="Times New Roman"/>
          <w:i/>
          <w:sz w:val="24"/>
          <w:szCs w:val="24"/>
          <w:vertAlign w:val="subscript"/>
          <w:lang w:val="en-US"/>
        </w:rPr>
        <w:t>2</w:t>
      </w:r>
      <w:r w:rsidRPr="002D6D63">
        <w:rPr>
          <w:rFonts w:ascii="Times New Roman" w:hAnsi="Times New Roman"/>
          <w:sz w:val="24"/>
          <w:szCs w:val="24"/>
          <w:lang w:val="en-US"/>
        </w:rPr>
        <w:t>)</w:t>
      </w:r>
      <w:r w:rsidRPr="002D6D63">
        <w:rPr>
          <w:rFonts w:ascii="Times New Roman" w:hAnsi="Times New Roman"/>
          <w:i/>
          <w:sz w:val="24"/>
          <w:szCs w:val="24"/>
          <w:lang w:val="en-US"/>
        </w:rPr>
        <w:t xml:space="preserve"> </w:t>
      </w:r>
      <w:r w:rsidRPr="002D6D63">
        <w:rPr>
          <w:rFonts w:ascii="Times New Roman" w:hAnsi="Times New Roman"/>
          <w:sz w:val="24"/>
          <w:szCs w:val="24"/>
          <w:lang w:val="en-US"/>
        </w:rPr>
        <w:t xml:space="preserve">reveals analogous findings to those of the fossil fuel. The </w:t>
      </w:r>
      <w:r w:rsidRPr="002D6D63">
        <w:rPr>
          <w:rFonts w:ascii="Times New Roman" w:hAnsi="Times New Roman"/>
          <w:i/>
          <w:sz w:val="24"/>
          <w:szCs w:val="24"/>
          <w:lang w:val="en-US"/>
        </w:rPr>
        <w:t>t</w:t>
      </w:r>
      <w:r w:rsidRPr="002D6D63">
        <w:rPr>
          <w:rFonts w:ascii="Times New Roman" w:hAnsi="Times New Roman"/>
          <w:sz w:val="24"/>
          <w:szCs w:val="24"/>
          <w:lang w:val="en-US"/>
        </w:rPr>
        <w:t>-tests fail to reject the null hypotheses that (</w:t>
      </w:r>
      <w:r w:rsidRPr="002D6D63">
        <w:rPr>
          <w:rFonts w:ascii="Times New Roman" w:hAnsi="Times New Roman"/>
          <w:i/>
          <w:color w:val="000000"/>
          <w:lang w:val="en-US"/>
        </w:rPr>
        <w:t>β</w:t>
      </w:r>
      <w:r w:rsidRPr="002D6D63">
        <w:rPr>
          <w:rFonts w:ascii="Times New Roman" w:hAnsi="Times New Roman"/>
          <w:i/>
          <w:sz w:val="24"/>
          <w:szCs w:val="24"/>
          <w:vertAlign w:val="subscript"/>
          <w:lang w:val="en-US"/>
        </w:rPr>
        <w:t>1</w:t>
      </w:r>
      <w:r w:rsidRPr="002D6D63">
        <w:rPr>
          <w:rFonts w:ascii="Times New Roman" w:hAnsi="Times New Roman"/>
          <w:i/>
          <w:sz w:val="24"/>
          <w:szCs w:val="24"/>
          <w:lang w:val="en-US"/>
        </w:rPr>
        <w:t xml:space="preserve">+ </w:t>
      </w:r>
      <w:r w:rsidRPr="002D6D63">
        <w:rPr>
          <w:rFonts w:ascii="Times New Roman" w:hAnsi="Times New Roman"/>
          <w:i/>
          <w:color w:val="000000"/>
          <w:lang w:val="en-US"/>
        </w:rPr>
        <w:t>β</w:t>
      </w:r>
      <w:r w:rsidRPr="002D6D63">
        <w:rPr>
          <w:rFonts w:ascii="Times New Roman" w:hAnsi="Times New Roman"/>
          <w:i/>
          <w:sz w:val="24"/>
          <w:szCs w:val="24"/>
          <w:vertAlign w:val="subscript"/>
          <w:lang w:val="en-US"/>
        </w:rPr>
        <w:t>2</w:t>
      </w:r>
      <w:r w:rsidRPr="002D6D63">
        <w:rPr>
          <w:rFonts w:ascii="Times New Roman" w:hAnsi="Times New Roman"/>
          <w:sz w:val="24"/>
          <w:szCs w:val="24"/>
          <w:lang w:val="en-US"/>
        </w:rPr>
        <w:t>)</w:t>
      </w:r>
      <m:oMath>
        <m:r>
          <w:rPr>
            <w:rFonts w:ascii="Cambria Math" w:hAnsi="Cambria Math"/>
            <w:sz w:val="24"/>
            <w:szCs w:val="24"/>
            <w:lang w:val="en-US"/>
          </w:rPr>
          <m:t xml:space="preserve"> ≤0</m:t>
        </m:r>
      </m:oMath>
      <w:r w:rsidRPr="002D6D63">
        <w:rPr>
          <w:rFonts w:ascii="Times New Roman" w:hAnsi="Times New Roman"/>
          <w:sz w:val="24"/>
          <w:szCs w:val="24"/>
          <w:lang w:val="en-US"/>
        </w:rPr>
        <w:t xml:space="preserve"> in all regressions, suggesting that world government bonds can provide a shelter from war to both U.S. and international investors. The inference is further supported by returning back to the estimates of simple Pearson correlations and Kendall Tau’s tests in Table VI and VII above. The results show statistically significant and negative correlation coefficients between the returns on bonds and equities in times of international hostilities. </w:t>
      </w:r>
      <w:r w:rsidRPr="002D6D63">
        <w:rPr>
          <w:rFonts w:ascii="Times New Roman" w:eastAsia="Calibri" w:hAnsi="Times New Roman"/>
          <w:sz w:val="24"/>
          <w:szCs w:val="24"/>
          <w:lang w:val="en-US" w:eastAsia="en-US"/>
        </w:rPr>
        <w:t xml:space="preserve">The findings from the nonparametric tests for bonds during the period 1995 to 2007 are even more clear-cut than those documented for oil. </w:t>
      </w:r>
      <w:r w:rsidRPr="002D6D63">
        <w:rPr>
          <w:rFonts w:ascii="Times New Roman" w:eastAsia="Calibri" w:hAnsi="Times New Roman"/>
          <w:sz w:val="24"/>
          <w:szCs w:val="24"/>
          <w:lang w:val="en-US" w:eastAsia="en-US"/>
        </w:rPr>
        <w:lastRenderedPageBreak/>
        <w:t xml:space="preserve">We always reject the null hypothesis that the series are independent, and can conclude that they are negatively dependent. </w:t>
      </w:r>
      <w:r w:rsidRPr="002D6D63">
        <w:rPr>
          <w:rFonts w:ascii="Times New Roman" w:hAnsi="Times New Roman"/>
          <w:sz w:val="24"/>
          <w:szCs w:val="24"/>
          <w:lang w:val="en-US"/>
        </w:rPr>
        <w:t xml:space="preserve"> </w:t>
      </w:r>
    </w:p>
    <w:p w:rsidR="002D6D63" w:rsidRPr="002D6D63" w:rsidRDefault="002D6D63" w:rsidP="002D6D63">
      <w:pPr>
        <w:autoSpaceDE w:val="0"/>
        <w:autoSpaceDN w:val="0"/>
        <w:adjustRightInd w:val="0"/>
        <w:spacing w:line="480" w:lineRule="auto"/>
        <w:ind w:firstLine="426"/>
        <w:jc w:val="both"/>
        <w:rPr>
          <w:rFonts w:ascii="Times New Roman" w:hAnsi="Times New Roman"/>
          <w:sz w:val="24"/>
          <w:szCs w:val="24"/>
          <w:lang w:val="en-US"/>
        </w:rPr>
      </w:pPr>
      <w:r w:rsidRPr="002D6D63">
        <w:rPr>
          <w:rFonts w:ascii="Times New Roman" w:hAnsi="Times New Roman"/>
          <w:sz w:val="24"/>
          <w:szCs w:val="24"/>
          <w:lang w:val="en-US"/>
        </w:rPr>
        <w:t>This evidence reinforces the finding that bonds act as a safe haven in times of financial turmoil (</w:t>
      </w:r>
      <w:proofErr w:type="spellStart"/>
      <w:r w:rsidRPr="002D6D63">
        <w:rPr>
          <w:rFonts w:ascii="Times New Roman" w:hAnsi="Times New Roman"/>
          <w:sz w:val="24"/>
          <w:szCs w:val="24"/>
          <w:lang w:val="en-US"/>
        </w:rPr>
        <w:t>Baur</w:t>
      </w:r>
      <w:proofErr w:type="spellEnd"/>
      <w:r w:rsidRPr="002D6D63">
        <w:rPr>
          <w:rFonts w:ascii="Times New Roman" w:hAnsi="Times New Roman"/>
          <w:sz w:val="24"/>
          <w:szCs w:val="24"/>
          <w:lang w:val="en-US"/>
        </w:rPr>
        <w:t xml:space="preserve"> and Lucey, 2010; and Upper, 2000). Our results are also in line with the literature documenting the presence of flights to the quality and liquidity of government bonds. The tendency for a flight of funds from distressed markets towards the safety of sovereign bonds is reported for the U.S., Japan, the U.K., and the Euro Zone (</w:t>
      </w:r>
      <w:proofErr w:type="spellStart"/>
      <w:r w:rsidRPr="002D6D63">
        <w:rPr>
          <w:rFonts w:ascii="Times New Roman" w:hAnsi="Times New Roman"/>
          <w:sz w:val="24"/>
          <w:szCs w:val="24"/>
          <w:lang w:val="en-US"/>
        </w:rPr>
        <w:t>Briere</w:t>
      </w:r>
      <w:proofErr w:type="spellEnd"/>
      <w:r w:rsidRPr="002D6D63">
        <w:rPr>
          <w:rFonts w:ascii="Times New Roman" w:hAnsi="Times New Roman"/>
          <w:sz w:val="24"/>
          <w:szCs w:val="24"/>
          <w:lang w:val="en-US"/>
        </w:rPr>
        <w:t xml:space="preserve"> </w:t>
      </w:r>
      <w:r w:rsidRPr="002D6D63">
        <w:rPr>
          <w:rFonts w:ascii="Times New Roman" w:hAnsi="Times New Roman"/>
          <w:i/>
          <w:sz w:val="24"/>
          <w:szCs w:val="24"/>
          <w:lang w:val="en-US"/>
        </w:rPr>
        <w:t>et al.</w:t>
      </w:r>
      <w:r w:rsidRPr="002D6D63">
        <w:rPr>
          <w:rFonts w:ascii="Times New Roman" w:hAnsi="Times New Roman"/>
          <w:sz w:val="24"/>
          <w:szCs w:val="24"/>
          <w:lang w:val="en-US"/>
        </w:rPr>
        <w:t xml:space="preserve">, 2012). </w:t>
      </w:r>
      <w:proofErr w:type="spellStart"/>
      <w:r w:rsidRPr="002D6D63">
        <w:rPr>
          <w:rFonts w:ascii="Times New Roman" w:hAnsi="Times New Roman"/>
          <w:sz w:val="24"/>
          <w:szCs w:val="24"/>
          <w:lang w:val="en-US"/>
        </w:rPr>
        <w:t>Baur</w:t>
      </w:r>
      <w:proofErr w:type="spellEnd"/>
      <w:r w:rsidRPr="002D6D63">
        <w:rPr>
          <w:rFonts w:ascii="Times New Roman" w:hAnsi="Times New Roman"/>
          <w:sz w:val="24"/>
          <w:szCs w:val="24"/>
          <w:lang w:val="en-US"/>
        </w:rPr>
        <w:t xml:space="preserve"> and Lucey (2009) show similar findings in their examinations of the markets in eight developed countries, while Hartmann </w:t>
      </w:r>
      <w:r w:rsidRPr="002D6D63">
        <w:rPr>
          <w:rFonts w:ascii="Times New Roman" w:hAnsi="Times New Roman"/>
          <w:i/>
          <w:sz w:val="24"/>
          <w:szCs w:val="24"/>
          <w:lang w:val="en-US"/>
        </w:rPr>
        <w:t>et al.</w:t>
      </w:r>
      <w:r w:rsidRPr="002D6D63">
        <w:rPr>
          <w:rFonts w:ascii="Times New Roman" w:hAnsi="Times New Roman"/>
          <w:sz w:val="24"/>
          <w:szCs w:val="24"/>
          <w:lang w:val="en-US"/>
        </w:rPr>
        <w:t xml:space="preserve"> (2004) document the phenomenon in the markets of G5 countries.</w:t>
      </w:r>
    </w:p>
    <w:p w:rsidR="002D6D63" w:rsidRPr="002D6D63" w:rsidRDefault="002D6D63" w:rsidP="002D6D63">
      <w:pPr>
        <w:autoSpaceDE w:val="0"/>
        <w:autoSpaceDN w:val="0"/>
        <w:adjustRightInd w:val="0"/>
        <w:spacing w:line="480" w:lineRule="auto"/>
        <w:ind w:firstLine="426"/>
        <w:jc w:val="both"/>
        <w:rPr>
          <w:rFonts w:ascii="Times New Roman" w:hAnsi="Times New Roman"/>
          <w:sz w:val="24"/>
          <w:szCs w:val="24"/>
          <w:lang w:val="en-US"/>
        </w:rPr>
      </w:pPr>
      <w:r w:rsidRPr="002D6D63">
        <w:rPr>
          <w:rFonts w:ascii="Times New Roman" w:hAnsi="Times New Roman"/>
          <w:sz w:val="24"/>
          <w:szCs w:val="24"/>
          <w:lang w:val="en-US"/>
        </w:rPr>
        <w:t>To sum up, our results point to the ability of crude oil and world government bonds to act as safe havens from crumbling stock markets during periods of wars and intense international political crises. The importance of our findings and the underlying necessity of searching for safe haven assets are highlighted by three factors. Firstly, one needs to consider the nature of the events in question. An investor in financial markets might not have complete certainty about the timing of future wars or violent political conflicts. Secondly, stock markets plummet during occurrences of violent political conflicts, which we document in our paper. The third factor is linked to the evidence suggesting the presence of contagion or a domino effect among equity markets of different countries (</w:t>
      </w:r>
      <w:proofErr w:type="spellStart"/>
      <w:r w:rsidRPr="002D6D63">
        <w:rPr>
          <w:rFonts w:ascii="Times New Roman" w:hAnsi="Times New Roman"/>
          <w:sz w:val="24"/>
          <w:szCs w:val="24"/>
          <w:lang w:val="en-US"/>
        </w:rPr>
        <w:t>Syllignakis</w:t>
      </w:r>
      <w:proofErr w:type="spellEnd"/>
      <w:r w:rsidRPr="002D6D63">
        <w:rPr>
          <w:rFonts w:ascii="Times New Roman" w:hAnsi="Times New Roman"/>
          <w:sz w:val="24"/>
          <w:szCs w:val="24"/>
          <w:lang w:val="en-US"/>
        </w:rPr>
        <w:t xml:space="preserve"> and Kouretas, 2011; </w:t>
      </w:r>
      <w:proofErr w:type="spellStart"/>
      <w:r w:rsidRPr="002D6D63">
        <w:rPr>
          <w:rFonts w:ascii="Times New Roman" w:hAnsi="Times New Roman"/>
          <w:sz w:val="24"/>
          <w:szCs w:val="24"/>
          <w:lang w:val="en-US"/>
        </w:rPr>
        <w:t>Markwat</w:t>
      </w:r>
      <w:proofErr w:type="spellEnd"/>
      <w:r w:rsidRPr="002D6D63">
        <w:rPr>
          <w:rFonts w:ascii="Times New Roman" w:hAnsi="Times New Roman"/>
          <w:sz w:val="24"/>
          <w:szCs w:val="24"/>
          <w:lang w:val="en-US"/>
        </w:rPr>
        <w:t xml:space="preserve"> </w:t>
      </w:r>
      <w:r w:rsidRPr="002D6D63">
        <w:rPr>
          <w:rFonts w:ascii="Times New Roman" w:hAnsi="Times New Roman"/>
          <w:i/>
          <w:sz w:val="24"/>
          <w:szCs w:val="24"/>
          <w:lang w:val="en-US"/>
        </w:rPr>
        <w:t>et al</w:t>
      </w:r>
      <w:r w:rsidRPr="002D6D63">
        <w:rPr>
          <w:rFonts w:ascii="Times New Roman" w:hAnsi="Times New Roman"/>
          <w:sz w:val="24"/>
          <w:szCs w:val="24"/>
          <w:lang w:val="en-US"/>
        </w:rPr>
        <w:t xml:space="preserve">., 2009; </w:t>
      </w:r>
      <w:proofErr w:type="spellStart"/>
      <w:r w:rsidRPr="002D6D63">
        <w:rPr>
          <w:rFonts w:ascii="Times New Roman" w:hAnsi="Times New Roman"/>
          <w:sz w:val="24"/>
          <w:szCs w:val="24"/>
          <w:lang w:val="en-US"/>
        </w:rPr>
        <w:t>Bodart</w:t>
      </w:r>
      <w:proofErr w:type="spellEnd"/>
      <w:r w:rsidRPr="002D6D63">
        <w:rPr>
          <w:rFonts w:ascii="Times New Roman" w:hAnsi="Times New Roman"/>
          <w:sz w:val="24"/>
          <w:szCs w:val="24"/>
          <w:lang w:val="en-US"/>
        </w:rPr>
        <w:t xml:space="preserve"> and </w:t>
      </w:r>
      <w:proofErr w:type="spellStart"/>
      <w:r w:rsidRPr="002D6D63">
        <w:rPr>
          <w:rFonts w:ascii="Times New Roman" w:hAnsi="Times New Roman"/>
          <w:sz w:val="24"/>
          <w:szCs w:val="24"/>
          <w:lang w:val="en-US"/>
        </w:rPr>
        <w:t>Candelon</w:t>
      </w:r>
      <w:proofErr w:type="spellEnd"/>
      <w:r w:rsidRPr="002D6D63">
        <w:rPr>
          <w:rFonts w:ascii="Times New Roman" w:hAnsi="Times New Roman"/>
          <w:sz w:val="24"/>
          <w:szCs w:val="24"/>
          <w:lang w:val="en-US"/>
        </w:rPr>
        <w:t xml:space="preserve">, 2009). Consequently, our results suggest that </w:t>
      </w:r>
      <w:r w:rsidR="00C22887">
        <w:rPr>
          <w:rFonts w:ascii="Times New Roman" w:hAnsi="Times New Roman"/>
          <w:sz w:val="24"/>
          <w:szCs w:val="24"/>
          <w:lang w:val="en-US"/>
        </w:rPr>
        <w:t xml:space="preserve">crude </w:t>
      </w:r>
      <w:r w:rsidRPr="002D6D63">
        <w:rPr>
          <w:rFonts w:ascii="Times New Roman" w:hAnsi="Times New Roman"/>
          <w:sz w:val="24"/>
          <w:szCs w:val="24"/>
          <w:lang w:val="en-US"/>
        </w:rPr>
        <w:t>petroleum and world sovereign bonds should be a permanent component of diversified portfolios in order to protect against war risk.</w:t>
      </w:r>
    </w:p>
    <w:p w:rsidR="002D6D63" w:rsidRPr="00470E8F" w:rsidRDefault="002D6D63" w:rsidP="002D6D63">
      <w:pPr>
        <w:autoSpaceDE w:val="0"/>
        <w:autoSpaceDN w:val="0"/>
        <w:adjustRightInd w:val="0"/>
        <w:spacing w:line="480" w:lineRule="auto"/>
        <w:ind w:firstLine="720"/>
        <w:jc w:val="both"/>
        <w:rPr>
          <w:rFonts w:ascii="Times New Roman" w:hAnsi="Times New Roman"/>
          <w:sz w:val="24"/>
          <w:szCs w:val="24"/>
          <w:lang w:val="en-US"/>
        </w:rPr>
      </w:pPr>
      <w:r w:rsidRPr="002D6D63">
        <w:rPr>
          <w:rFonts w:ascii="Times New Roman" w:hAnsi="Times New Roman"/>
          <w:sz w:val="24"/>
          <w:szCs w:val="24"/>
          <w:lang w:val="en-US"/>
        </w:rPr>
        <w:t xml:space="preserve">The potential diversification benefits from an exposure to the fossil fuel and government bonds might also be advantageous to the insurance industry. Numerous insurance corporations provide products designed to protect against war and political risk (they include the U.S. government agency OPIC and other privately-owned insurers). The types of </w:t>
      </w:r>
      <w:r w:rsidRPr="002D6D63">
        <w:rPr>
          <w:rFonts w:ascii="Times New Roman" w:hAnsi="Times New Roman"/>
          <w:sz w:val="24"/>
          <w:szCs w:val="24"/>
          <w:lang w:val="en-US"/>
        </w:rPr>
        <w:lastRenderedPageBreak/>
        <w:t>coverage range from protection against currency inconvertibility and confiscation of funds, to assets and income losses due to declared or undeclared wars. The costs and characteristics of such products vary depending on location, type of assets, type of coverage and other regulatory and taxation aspects. It then follows that players in the insurance industry may also wish to consider allocating a proportion of their portfolios to crude oil and world sovereign bonds to hedge the risk arising from selling such products.</w:t>
      </w:r>
    </w:p>
    <w:p w:rsidR="002D6D63" w:rsidRPr="00470E8F" w:rsidRDefault="002D6D63" w:rsidP="002D6D63">
      <w:pPr>
        <w:autoSpaceDE w:val="0"/>
        <w:autoSpaceDN w:val="0"/>
        <w:adjustRightInd w:val="0"/>
        <w:spacing w:line="480" w:lineRule="auto"/>
        <w:jc w:val="both"/>
        <w:rPr>
          <w:rFonts w:ascii="Times New Roman" w:hAnsi="Times New Roman"/>
          <w:i/>
          <w:sz w:val="24"/>
          <w:szCs w:val="24"/>
          <w:lang w:val="en-US"/>
        </w:rPr>
      </w:pPr>
      <w:r w:rsidRPr="00470E8F">
        <w:rPr>
          <w:rFonts w:ascii="Times New Roman" w:hAnsi="Times New Roman"/>
          <w:i/>
          <w:sz w:val="24"/>
          <w:szCs w:val="24"/>
          <w:lang w:val="en-US"/>
        </w:rPr>
        <w:t>5.</w:t>
      </w:r>
      <w:r>
        <w:rPr>
          <w:rFonts w:ascii="Times New Roman" w:hAnsi="Times New Roman"/>
          <w:i/>
          <w:sz w:val="24"/>
          <w:szCs w:val="24"/>
          <w:lang w:val="en-US"/>
        </w:rPr>
        <w:t>5</w:t>
      </w:r>
      <w:r w:rsidRPr="00470E8F">
        <w:rPr>
          <w:rFonts w:ascii="Times New Roman" w:hAnsi="Times New Roman"/>
          <w:i/>
          <w:sz w:val="24"/>
          <w:szCs w:val="24"/>
          <w:lang w:val="en-US"/>
        </w:rPr>
        <w:t xml:space="preserve"> Portfolio Analysis</w:t>
      </w:r>
    </w:p>
    <w:p w:rsidR="002D6D63" w:rsidRPr="00470E8F" w:rsidRDefault="002D6D63" w:rsidP="002D6D63">
      <w:pPr>
        <w:spacing w:line="480" w:lineRule="auto"/>
        <w:ind w:firstLine="426"/>
        <w:jc w:val="both"/>
        <w:rPr>
          <w:rFonts w:ascii="Times New Roman" w:hAnsi="Times New Roman"/>
          <w:sz w:val="24"/>
          <w:szCs w:val="24"/>
          <w:lang w:val="en-US"/>
        </w:rPr>
      </w:pPr>
      <w:r w:rsidRPr="00470E8F">
        <w:rPr>
          <w:rFonts w:ascii="Times New Roman" w:hAnsi="Times New Roman"/>
          <w:sz w:val="24"/>
          <w:szCs w:val="24"/>
          <w:lang w:val="en-US"/>
        </w:rPr>
        <w:t xml:space="preserve">The results from our preceding analysis hint at the potential diversification benefits from including crude oil and world government bonds in an investment portfolio. We take on the perspective of an international investor who is holding both a position in stocks and real estate, which is </w:t>
      </w:r>
      <w:proofErr w:type="spellStart"/>
      <w:r w:rsidRPr="00470E8F">
        <w:rPr>
          <w:rFonts w:ascii="Times New Roman" w:hAnsi="Times New Roman"/>
          <w:sz w:val="24"/>
          <w:szCs w:val="24"/>
          <w:lang w:val="en-US"/>
        </w:rPr>
        <w:t>proxied</w:t>
      </w:r>
      <w:proofErr w:type="spellEnd"/>
      <w:r w:rsidRPr="00470E8F">
        <w:rPr>
          <w:rFonts w:ascii="Times New Roman" w:hAnsi="Times New Roman"/>
          <w:sz w:val="24"/>
          <w:szCs w:val="24"/>
          <w:lang w:val="en-US"/>
        </w:rPr>
        <w:t xml:space="preserve"> here by the movements in the value of the World-</w:t>
      </w:r>
      <w:proofErr w:type="spellStart"/>
      <w:r w:rsidRPr="00470E8F">
        <w:rPr>
          <w:rFonts w:ascii="Times New Roman" w:hAnsi="Times New Roman"/>
          <w:sz w:val="24"/>
          <w:szCs w:val="24"/>
          <w:lang w:val="en-US"/>
        </w:rPr>
        <w:t>Datastream</w:t>
      </w:r>
      <w:proofErr w:type="spellEnd"/>
      <w:r w:rsidRPr="00470E8F">
        <w:rPr>
          <w:rFonts w:ascii="Times New Roman" w:hAnsi="Times New Roman"/>
          <w:sz w:val="24"/>
          <w:szCs w:val="24"/>
          <w:lang w:val="en-US"/>
        </w:rPr>
        <w:t xml:space="preserve"> Real Estate Investment Trusts Price Index. By firstly introducing the fossil fuel and subsequently the world government bonds, we aim at identifying the optimal risky portfolios</w:t>
      </w:r>
      <w:r>
        <w:rPr>
          <w:rFonts w:ascii="Times New Roman" w:hAnsi="Times New Roman"/>
          <w:sz w:val="24"/>
          <w:szCs w:val="24"/>
          <w:lang w:val="en-US"/>
        </w:rPr>
        <w:t>,</w:t>
      </w:r>
      <w:r w:rsidRPr="00470E8F">
        <w:rPr>
          <w:rFonts w:ascii="Times New Roman" w:hAnsi="Times New Roman"/>
          <w:sz w:val="24"/>
          <w:szCs w:val="24"/>
          <w:lang w:val="en-US"/>
        </w:rPr>
        <w:t xml:space="preserve"> which generate the highest return per unit of risk. Our first portfolio is constructed from crude oil, world equities and real estate investment trusts, and comprises our entire sample period. The second portfolio has the same constituents with the addition of world government bonds, and covers a shorter period due to the length of the bond series. </w:t>
      </w:r>
      <w:r>
        <w:rPr>
          <w:rFonts w:ascii="Times New Roman" w:hAnsi="Times New Roman"/>
          <w:sz w:val="24"/>
          <w:szCs w:val="24"/>
          <w:lang w:val="en-US"/>
        </w:rPr>
        <w:t>The optimization procedure that follows is implemented using daily data.</w:t>
      </w:r>
      <w:r w:rsidRPr="00470E8F">
        <w:rPr>
          <w:rFonts w:ascii="Times New Roman" w:hAnsi="Times New Roman"/>
          <w:sz w:val="24"/>
          <w:szCs w:val="24"/>
          <w:lang w:val="en-US"/>
        </w:rPr>
        <w:t xml:space="preserve"> </w:t>
      </w:r>
    </w:p>
    <w:p w:rsidR="002D6D63" w:rsidRDefault="002D6D63" w:rsidP="002D6D63">
      <w:pPr>
        <w:spacing w:line="480" w:lineRule="auto"/>
        <w:ind w:firstLine="426"/>
        <w:jc w:val="both"/>
        <w:rPr>
          <w:rFonts w:ascii="Times New Roman" w:hAnsi="Times New Roman"/>
          <w:sz w:val="24"/>
          <w:szCs w:val="24"/>
          <w:lang w:val="en-US"/>
        </w:rPr>
      </w:pPr>
      <w:r w:rsidRPr="00470E8F">
        <w:rPr>
          <w:rFonts w:ascii="Times New Roman" w:hAnsi="Times New Roman"/>
          <w:sz w:val="24"/>
          <w:szCs w:val="24"/>
          <w:lang w:val="en-US"/>
        </w:rPr>
        <w:t xml:space="preserve">Our optimal portfolio analysis follows the procedure outlined in </w:t>
      </w:r>
      <w:r>
        <w:rPr>
          <w:rFonts w:ascii="Times New Roman" w:hAnsi="Times New Roman"/>
          <w:sz w:val="24"/>
          <w:szCs w:val="24"/>
          <w:lang w:val="en-US"/>
        </w:rPr>
        <w:t>Peterson (2012)</w:t>
      </w:r>
      <w:r w:rsidRPr="00470E8F">
        <w:rPr>
          <w:rFonts w:ascii="Times New Roman" w:hAnsi="Times New Roman"/>
          <w:sz w:val="24"/>
          <w:szCs w:val="24"/>
          <w:lang w:val="en-US"/>
        </w:rPr>
        <w:t>. Finding the optimal portfolio weights requires firstly the calculation of excess returns of assets over the U</w:t>
      </w:r>
      <w:r>
        <w:rPr>
          <w:rFonts w:ascii="Times New Roman" w:hAnsi="Times New Roman"/>
          <w:sz w:val="24"/>
          <w:szCs w:val="24"/>
          <w:lang w:val="en-US"/>
        </w:rPr>
        <w:t>.</w:t>
      </w:r>
      <w:r w:rsidRPr="00470E8F">
        <w:rPr>
          <w:rFonts w:ascii="Times New Roman" w:hAnsi="Times New Roman"/>
          <w:sz w:val="24"/>
          <w:szCs w:val="24"/>
          <w:lang w:val="en-US"/>
        </w:rPr>
        <w:t>S</w:t>
      </w:r>
      <w:r>
        <w:rPr>
          <w:rFonts w:ascii="Times New Roman" w:hAnsi="Times New Roman"/>
          <w:sz w:val="24"/>
          <w:szCs w:val="24"/>
          <w:lang w:val="en-US"/>
        </w:rPr>
        <w:t>.</w:t>
      </w:r>
      <w:r w:rsidRPr="00470E8F">
        <w:rPr>
          <w:rFonts w:ascii="Times New Roman" w:hAnsi="Times New Roman"/>
          <w:sz w:val="24"/>
          <w:szCs w:val="24"/>
          <w:lang w:val="en-US"/>
        </w:rPr>
        <w:t xml:space="preserve"> three months’ Treasury bill rates, and secondly the construction of </w:t>
      </w:r>
      <w:r>
        <w:rPr>
          <w:rFonts w:ascii="Times New Roman" w:hAnsi="Times New Roman"/>
          <w:sz w:val="24"/>
          <w:szCs w:val="24"/>
          <w:lang w:val="en-US"/>
        </w:rPr>
        <w:t xml:space="preserve">a </w:t>
      </w:r>
      <w:r w:rsidRPr="00470E8F">
        <w:rPr>
          <w:rFonts w:ascii="Times New Roman" w:hAnsi="Times New Roman"/>
          <w:sz w:val="24"/>
          <w:szCs w:val="24"/>
          <w:lang w:val="en-US"/>
        </w:rPr>
        <w:t xml:space="preserve">covariance matrix from the excess returns. We then proceed to the formulation of the efficient frontier by minimizing the standard deviation of the portfolio with respect to portfolio weights subject to the constraints that the portfolio return is equal to a certain value and that the sum of portfolio weights is equal to one. We define the minimum variance portfolio as a combination of assets that has the lowest level of risk on the efficient frontier. The final step involves identifying the </w:t>
      </w:r>
      <w:r w:rsidRPr="00470E8F">
        <w:rPr>
          <w:rFonts w:ascii="Times New Roman" w:hAnsi="Times New Roman"/>
          <w:sz w:val="24"/>
          <w:szCs w:val="24"/>
          <w:lang w:val="en-US"/>
        </w:rPr>
        <w:lastRenderedPageBreak/>
        <w:t>optimal risky portfolio residing on the frontier</w:t>
      </w:r>
      <w:r>
        <w:rPr>
          <w:rFonts w:ascii="Times New Roman" w:hAnsi="Times New Roman"/>
          <w:sz w:val="24"/>
          <w:szCs w:val="24"/>
          <w:lang w:val="en-US"/>
        </w:rPr>
        <w:t>,</w:t>
      </w:r>
      <w:r w:rsidRPr="00470E8F">
        <w:rPr>
          <w:rFonts w:ascii="Times New Roman" w:hAnsi="Times New Roman"/>
          <w:sz w:val="24"/>
          <w:szCs w:val="24"/>
          <w:lang w:val="en-US"/>
        </w:rPr>
        <w:t xml:space="preserve"> which generates the highest level of return per unit of risk. To this end, we maximize the Sharpe ratio of the portfolio subject to the constraint of its summed weights being equal to one. Since the procedures discussed above do not impose restrictions on short selling, we replicate the same analysis and assume long positions only. We find that almost none of the weights change due to the imposition of short selling constraints. Since these constraints were never binding for 19 out of 20 portfolios considered, we only report optimal weights without short selling constraints.</w:t>
      </w:r>
      <w:r>
        <w:rPr>
          <w:rFonts w:ascii="Times New Roman" w:hAnsi="Times New Roman"/>
          <w:sz w:val="24"/>
          <w:szCs w:val="24"/>
          <w:lang w:val="en-US"/>
        </w:rPr>
        <w:t xml:space="preserve"> It needs to be noted that different combinations of the optimal portfolio and the riskless asset define the efficient frontier. </w:t>
      </w:r>
    </w:p>
    <w:p w:rsidR="002D6D63" w:rsidRPr="00470E8F" w:rsidRDefault="002D6D63" w:rsidP="002D6D63">
      <w:pPr>
        <w:spacing w:line="480" w:lineRule="auto"/>
        <w:jc w:val="center"/>
        <w:rPr>
          <w:rFonts w:ascii="Times New Roman" w:hAnsi="Times New Roman"/>
          <w:sz w:val="24"/>
          <w:szCs w:val="24"/>
          <w:lang w:val="en-US"/>
        </w:rPr>
      </w:pPr>
      <w:r w:rsidRPr="00470E8F">
        <w:rPr>
          <w:rFonts w:ascii="Times New Roman" w:hAnsi="Times New Roman"/>
          <w:sz w:val="24"/>
          <w:szCs w:val="24"/>
          <w:lang w:val="en-US"/>
        </w:rPr>
        <w:t xml:space="preserve"> [Insert Tables IX and X about here]</w:t>
      </w:r>
    </w:p>
    <w:p w:rsidR="002D6D63" w:rsidRDefault="002D6D63" w:rsidP="002D6D63">
      <w:pPr>
        <w:spacing w:line="480" w:lineRule="auto"/>
        <w:ind w:firstLine="426"/>
        <w:jc w:val="both"/>
        <w:rPr>
          <w:rFonts w:ascii="Times New Roman" w:hAnsi="Times New Roman"/>
          <w:sz w:val="24"/>
          <w:szCs w:val="24"/>
          <w:lang w:val="en-US"/>
        </w:rPr>
      </w:pPr>
      <w:r w:rsidRPr="00470E8F">
        <w:rPr>
          <w:rFonts w:ascii="Times New Roman" w:hAnsi="Times New Roman"/>
          <w:sz w:val="24"/>
          <w:szCs w:val="24"/>
          <w:lang w:val="en-US"/>
        </w:rPr>
        <w:t>A notable finding from Tables IX and X pertains to the allocations of crude oil in both portfolios. The weight of petroleum in an optimal risky portfoli</w:t>
      </w:r>
      <w:r>
        <w:rPr>
          <w:rFonts w:ascii="Times New Roman" w:hAnsi="Times New Roman"/>
          <w:sz w:val="24"/>
          <w:szCs w:val="24"/>
          <w:lang w:val="en-US"/>
        </w:rPr>
        <w:t>o with equities and real estate</w:t>
      </w:r>
      <w:r w:rsidRPr="00470E8F">
        <w:rPr>
          <w:rFonts w:ascii="Times New Roman" w:hAnsi="Times New Roman"/>
          <w:sz w:val="24"/>
          <w:szCs w:val="24"/>
          <w:lang w:val="en-US"/>
        </w:rPr>
        <w:t xml:space="preserve"> is 16.53%. This optimal weight is diminished to 6.16% when the portfolio is loaded significantly with world government bonds. This implies that, to a certain extent, bonds can act as a substitute </w:t>
      </w:r>
      <w:r>
        <w:rPr>
          <w:rFonts w:ascii="Times New Roman" w:hAnsi="Times New Roman"/>
          <w:sz w:val="24"/>
          <w:szCs w:val="24"/>
          <w:lang w:val="en-US"/>
        </w:rPr>
        <w:t>for</w:t>
      </w:r>
      <w:r w:rsidRPr="00470E8F">
        <w:rPr>
          <w:rFonts w:ascii="Times New Roman" w:hAnsi="Times New Roman"/>
          <w:sz w:val="24"/>
          <w:szCs w:val="24"/>
          <w:lang w:val="en-US"/>
        </w:rPr>
        <w:t xml:space="preserve"> petroleum when it comes to diversifying the risk. This re-confirms our earlier findings from the event study analysis, where bonds and oil reacted analogously in periods of conflict. The weights on bonds and real estate in two optimal portfolios are substantial, which can be easily rationalized. A common observation is that as we move right from the minimum variance portfolio towards portfolio (9), the weights of crude oil and real estate investment trusts increase gradually along the efficient frontier. The opposite is reported for government bonds and world equities. </w:t>
      </w:r>
      <w:r>
        <w:rPr>
          <w:rFonts w:ascii="Times New Roman" w:hAnsi="Times New Roman"/>
          <w:sz w:val="24"/>
          <w:szCs w:val="24"/>
          <w:lang w:val="en-US"/>
        </w:rPr>
        <w:t>It</w:t>
      </w:r>
      <w:r w:rsidRPr="00470E8F">
        <w:rPr>
          <w:rFonts w:ascii="Times New Roman" w:hAnsi="Times New Roman"/>
          <w:sz w:val="24"/>
          <w:szCs w:val="24"/>
          <w:lang w:val="en-US"/>
        </w:rPr>
        <w:t xml:space="preserve"> can also be inferred from the tables that the introduction of world government bonds into the portfolio has the advantage of generating a higher return per unit of risk. The Sharpe ratio for this all-inclusive portfolio stands at almost 3.74%, which is consistent with the notion of broad diversification generating a better risk-return </w:t>
      </w:r>
      <w:r>
        <w:rPr>
          <w:rFonts w:ascii="Times New Roman" w:hAnsi="Times New Roman"/>
          <w:sz w:val="24"/>
          <w:szCs w:val="24"/>
          <w:lang w:val="en-US"/>
        </w:rPr>
        <w:t>trade-off.</w:t>
      </w:r>
    </w:p>
    <w:p w:rsidR="00D30D62" w:rsidRDefault="00D30D62" w:rsidP="00D30D62">
      <w:pPr>
        <w:autoSpaceDE w:val="0"/>
        <w:autoSpaceDN w:val="0"/>
        <w:adjustRightInd w:val="0"/>
        <w:spacing w:line="480" w:lineRule="auto"/>
        <w:jc w:val="both"/>
        <w:rPr>
          <w:rFonts w:ascii="Times New Roman" w:hAnsi="Times New Roman"/>
          <w:b/>
          <w:sz w:val="24"/>
          <w:szCs w:val="24"/>
          <w:lang w:val="en-US"/>
        </w:rPr>
      </w:pPr>
      <w:r>
        <w:rPr>
          <w:rFonts w:ascii="Times New Roman" w:hAnsi="Times New Roman"/>
          <w:b/>
          <w:sz w:val="24"/>
          <w:szCs w:val="24"/>
          <w:lang w:val="en-US"/>
        </w:rPr>
        <w:lastRenderedPageBreak/>
        <w:t>VI. Further Considerations</w:t>
      </w:r>
      <w:r w:rsidR="005B450F">
        <w:rPr>
          <w:rStyle w:val="FootnoteReference"/>
          <w:rFonts w:ascii="Times New Roman" w:hAnsi="Times New Roman"/>
          <w:b/>
          <w:sz w:val="24"/>
          <w:szCs w:val="24"/>
          <w:lang w:val="en-US"/>
        </w:rPr>
        <w:footnoteReference w:id="12"/>
      </w:r>
    </w:p>
    <w:p w:rsidR="00D30D62" w:rsidRDefault="00D30D62" w:rsidP="00D30D62">
      <w:pPr>
        <w:autoSpaceDE w:val="0"/>
        <w:autoSpaceDN w:val="0"/>
        <w:adjustRightInd w:val="0"/>
        <w:spacing w:line="480" w:lineRule="auto"/>
        <w:jc w:val="both"/>
        <w:rPr>
          <w:rFonts w:ascii="Times New Roman" w:hAnsi="Times New Roman"/>
          <w:sz w:val="24"/>
          <w:szCs w:val="24"/>
        </w:rPr>
      </w:pPr>
      <w:r>
        <w:rPr>
          <w:rFonts w:ascii="Times New Roman" w:hAnsi="Times New Roman"/>
          <w:sz w:val="24"/>
          <w:szCs w:val="24"/>
          <w:lang w:val="en-US"/>
        </w:rPr>
        <w:tab/>
      </w:r>
      <w:r w:rsidRPr="005B7C13">
        <w:rPr>
          <w:rFonts w:ascii="Times New Roman" w:hAnsi="Times New Roman"/>
          <w:sz w:val="24"/>
          <w:szCs w:val="24"/>
          <w:lang w:val="en-US"/>
        </w:rPr>
        <w:t xml:space="preserve">In their seminal paper, </w:t>
      </w:r>
      <w:proofErr w:type="spellStart"/>
      <w:r w:rsidRPr="005B7C13">
        <w:rPr>
          <w:rFonts w:ascii="Times New Roman" w:hAnsi="Times New Roman"/>
          <w:sz w:val="24"/>
          <w:szCs w:val="24"/>
        </w:rPr>
        <w:t>Baur</w:t>
      </w:r>
      <w:proofErr w:type="spellEnd"/>
      <w:r w:rsidRPr="005B7C13">
        <w:rPr>
          <w:rFonts w:ascii="Times New Roman" w:hAnsi="Times New Roman"/>
          <w:sz w:val="24"/>
          <w:szCs w:val="24"/>
        </w:rPr>
        <w:t xml:space="preserve"> and Lucey (2010) find that gold can act as </w:t>
      </w:r>
      <w:r>
        <w:rPr>
          <w:rFonts w:ascii="Times New Roman" w:hAnsi="Times New Roman"/>
          <w:sz w:val="24"/>
          <w:szCs w:val="24"/>
        </w:rPr>
        <w:t xml:space="preserve">a </w:t>
      </w:r>
      <w:r w:rsidRPr="005B7C13">
        <w:rPr>
          <w:rFonts w:ascii="Times New Roman" w:hAnsi="Times New Roman"/>
          <w:sz w:val="24"/>
          <w:szCs w:val="24"/>
        </w:rPr>
        <w:t xml:space="preserve">safe haven asset in times of stock market collapses. Therefore, it would be interesting to verify whether this property is maintained during periods of political crises. Our analysis indicates that prices of this precious metal do not change significantly in the event window and that the null hypothesis of the safe haven cannot be rejected. At the same time, gold had the lowest daily return of all the assets considered </w:t>
      </w:r>
      <w:r>
        <w:rPr>
          <w:rFonts w:ascii="Times New Roman" w:hAnsi="Times New Roman"/>
          <w:sz w:val="24"/>
          <w:szCs w:val="24"/>
        </w:rPr>
        <w:t xml:space="preserve">in this paper </w:t>
      </w:r>
      <w:r w:rsidRPr="005B7C13">
        <w:rPr>
          <w:rFonts w:ascii="Times New Roman" w:hAnsi="Times New Roman"/>
          <w:sz w:val="24"/>
          <w:szCs w:val="24"/>
        </w:rPr>
        <w:t xml:space="preserve">(0.0139%). This can be attributed to poor investment performance in the early sample years. Between the beginning of January 1987 and </w:t>
      </w:r>
      <w:r>
        <w:rPr>
          <w:rFonts w:ascii="Times New Roman" w:hAnsi="Times New Roman"/>
          <w:sz w:val="24"/>
          <w:szCs w:val="24"/>
        </w:rPr>
        <w:t xml:space="preserve">the </w:t>
      </w:r>
      <w:r w:rsidRPr="005B7C13">
        <w:rPr>
          <w:rFonts w:ascii="Times New Roman" w:hAnsi="Times New Roman"/>
          <w:sz w:val="24"/>
          <w:szCs w:val="24"/>
        </w:rPr>
        <w:t xml:space="preserve">end of December 2000 the total continuously compounded return on gold was </w:t>
      </w:r>
      <w:r w:rsidR="007D08F8">
        <w:rPr>
          <w:rFonts w:ascii="Times New Roman" w:hAnsi="Times New Roman"/>
          <w:sz w:val="24"/>
          <w:szCs w:val="24"/>
        </w:rPr>
        <w:t xml:space="preserve">as low as </w:t>
      </w:r>
      <w:r w:rsidRPr="005B7C13">
        <w:rPr>
          <w:rFonts w:ascii="Times New Roman" w:hAnsi="Times New Roman"/>
          <w:sz w:val="24"/>
          <w:szCs w:val="24"/>
        </w:rPr>
        <w:t>-35.94% and it is only in this millennium that the price of this precious metal started to recover.</w:t>
      </w:r>
      <w:r>
        <w:rPr>
          <w:rFonts w:ascii="Times New Roman" w:hAnsi="Times New Roman"/>
          <w:sz w:val="24"/>
          <w:szCs w:val="24"/>
        </w:rPr>
        <w:t xml:space="preserve"> As a result, in our portfolio optimization problem, gold is completely dominated by other assets and the results in</w:t>
      </w:r>
      <w:r w:rsidR="005B450F">
        <w:rPr>
          <w:rFonts w:ascii="Times New Roman" w:hAnsi="Times New Roman"/>
          <w:sz w:val="24"/>
          <w:szCs w:val="24"/>
        </w:rPr>
        <w:t xml:space="preserve">dicate that it should not be a part of </w:t>
      </w:r>
      <w:r>
        <w:rPr>
          <w:rFonts w:ascii="Times New Roman" w:hAnsi="Times New Roman"/>
          <w:sz w:val="24"/>
          <w:szCs w:val="24"/>
        </w:rPr>
        <w:t>the optimal portfolio.</w:t>
      </w:r>
    </w:p>
    <w:p w:rsidR="00D30D62" w:rsidRDefault="00D30D62" w:rsidP="00D30D62">
      <w:pPr>
        <w:autoSpaceDE w:val="0"/>
        <w:autoSpaceDN w:val="0"/>
        <w:adjustRightInd w:val="0"/>
        <w:spacing w:line="480" w:lineRule="auto"/>
        <w:jc w:val="both"/>
        <w:rPr>
          <w:rFonts w:ascii="Times New Roman" w:hAnsi="Times New Roman"/>
          <w:sz w:val="24"/>
          <w:szCs w:val="24"/>
        </w:rPr>
      </w:pPr>
      <w:r>
        <w:rPr>
          <w:rFonts w:ascii="Times New Roman" w:hAnsi="Times New Roman"/>
          <w:sz w:val="24"/>
          <w:szCs w:val="24"/>
        </w:rPr>
        <w:tab/>
        <w:t>We also examine the question of whether high-rated corporate bonds act in a similar way to the sovereign bonds described in the paper. On one hand, our results for stock prices suggest that the perceived value of corporate assets falls during times of crisis, which could have negative repercussions for corporate debt repayment. On the other hand, investors who flee stock markets in times of political tensions may seek safer investment alternatives and bonds of creditworthy corporations could be considered one such</w:t>
      </w:r>
      <w:r w:rsidR="005B450F">
        <w:rPr>
          <w:rFonts w:ascii="Times New Roman" w:hAnsi="Times New Roman"/>
          <w:sz w:val="24"/>
          <w:szCs w:val="24"/>
        </w:rPr>
        <w:t xml:space="preserve"> alternative</w:t>
      </w:r>
      <w:r>
        <w:rPr>
          <w:rFonts w:ascii="Times New Roman" w:hAnsi="Times New Roman"/>
          <w:sz w:val="24"/>
          <w:szCs w:val="24"/>
        </w:rPr>
        <w:t xml:space="preserve">. We used the </w:t>
      </w:r>
      <w:r w:rsidRPr="008A1BE8">
        <w:rPr>
          <w:rFonts w:ascii="Times New Roman" w:hAnsi="Times New Roman"/>
          <w:sz w:val="24"/>
          <w:szCs w:val="24"/>
        </w:rPr>
        <w:t>US Corporate AAA index</w:t>
      </w:r>
      <w:r>
        <w:rPr>
          <w:rFonts w:ascii="Times New Roman" w:hAnsi="Times New Roman"/>
          <w:sz w:val="24"/>
          <w:szCs w:val="24"/>
        </w:rPr>
        <w:t xml:space="preserve"> and </w:t>
      </w:r>
      <w:r w:rsidRPr="008A1BE8">
        <w:rPr>
          <w:rFonts w:ascii="Times New Roman" w:hAnsi="Times New Roman"/>
          <w:sz w:val="24"/>
          <w:szCs w:val="24"/>
        </w:rPr>
        <w:t>AAA-A Emerging Markets Corporate</w:t>
      </w:r>
      <w:r>
        <w:rPr>
          <w:rFonts w:ascii="Times New Roman" w:hAnsi="Times New Roman"/>
          <w:sz w:val="24"/>
          <w:szCs w:val="24"/>
        </w:rPr>
        <w:t xml:space="preserve"> index compiled by </w:t>
      </w:r>
      <w:r w:rsidRPr="008A1BE8">
        <w:rPr>
          <w:rFonts w:ascii="Times New Roman" w:hAnsi="Times New Roman"/>
          <w:sz w:val="24"/>
          <w:szCs w:val="24"/>
        </w:rPr>
        <w:t>Bank of America Merrill Lynch</w:t>
      </w:r>
      <w:r>
        <w:rPr>
          <w:rFonts w:ascii="Times New Roman" w:hAnsi="Times New Roman"/>
          <w:sz w:val="24"/>
          <w:szCs w:val="24"/>
        </w:rPr>
        <w:t xml:space="preserve"> and available from </w:t>
      </w:r>
      <w:r w:rsidRPr="00675CFF">
        <w:rPr>
          <w:rFonts w:ascii="Times New Roman" w:hAnsi="Times New Roman"/>
          <w:sz w:val="24"/>
          <w:szCs w:val="24"/>
        </w:rPr>
        <w:t xml:space="preserve">the Federal Reserve Economic Data (FRED) </w:t>
      </w:r>
      <w:r>
        <w:rPr>
          <w:rFonts w:ascii="Times New Roman" w:hAnsi="Times New Roman"/>
          <w:sz w:val="24"/>
          <w:szCs w:val="24"/>
        </w:rPr>
        <w:t>at</w:t>
      </w:r>
      <w:r w:rsidRPr="00675CFF">
        <w:rPr>
          <w:rFonts w:ascii="Times New Roman" w:hAnsi="Times New Roman"/>
          <w:sz w:val="24"/>
          <w:szCs w:val="24"/>
        </w:rPr>
        <w:t xml:space="preserve"> the St. Louis Fed</w:t>
      </w:r>
      <w:r>
        <w:rPr>
          <w:rFonts w:ascii="Times New Roman" w:hAnsi="Times New Roman"/>
          <w:sz w:val="24"/>
          <w:szCs w:val="24"/>
        </w:rPr>
        <w:t xml:space="preserve">. Although the CAARs on these total </w:t>
      </w:r>
      <w:r w:rsidRPr="00675CFF">
        <w:rPr>
          <w:rFonts w:ascii="Times New Roman" w:hAnsi="Times New Roman"/>
          <w:sz w:val="24"/>
          <w:szCs w:val="24"/>
        </w:rPr>
        <w:t>return</w:t>
      </w:r>
      <w:r>
        <w:rPr>
          <w:rFonts w:ascii="Times New Roman" w:hAnsi="Times New Roman"/>
          <w:sz w:val="24"/>
          <w:szCs w:val="24"/>
        </w:rPr>
        <w:t xml:space="preserve"> indices</w:t>
      </w:r>
      <w:r w:rsidRPr="00675CFF">
        <w:rPr>
          <w:rFonts w:ascii="Times New Roman" w:hAnsi="Times New Roman"/>
          <w:sz w:val="24"/>
          <w:szCs w:val="24"/>
        </w:rPr>
        <w:t xml:space="preserve"> in the (-50</w:t>
      </w:r>
      <w:proofErr w:type="gramStart"/>
      <w:r w:rsidRPr="00675CFF">
        <w:rPr>
          <w:rFonts w:ascii="Times New Roman" w:hAnsi="Times New Roman"/>
          <w:sz w:val="24"/>
          <w:szCs w:val="24"/>
        </w:rPr>
        <w:t>,50</w:t>
      </w:r>
      <w:proofErr w:type="gramEnd"/>
      <w:r w:rsidRPr="00675CFF">
        <w:rPr>
          <w:rFonts w:ascii="Times New Roman" w:hAnsi="Times New Roman"/>
          <w:sz w:val="24"/>
          <w:szCs w:val="24"/>
        </w:rPr>
        <w:t>) event window were statistically insignificant</w:t>
      </w:r>
      <w:r>
        <w:rPr>
          <w:rFonts w:ascii="Times New Roman" w:hAnsi="Times New Roman"/>
          <w:sz w:val="24"/>
          <w:szCs w:val="24"/>
        </w:rPr>
        <w:t xml:space="preserve">, the null hypothesis of </w:t>
      </w:r>
      <w:r w:rsidR="005B450F">
        <w:rPr>
          <w:rFonts w:ascii="Times New Roman" w:hAnsi="Times New Roman"/>
          <w:sz w:val="24"/>
          <w:szCs w:val="24"/>
        </w:rPr>
        <w:t xml:space="preserve">a </w:t>
      </w:r>
      <w:r>
        <w:rPr>
          <w:rFonts w:ascii="Times New Roman" w:hAnsi="Times New Roman"/>
          <w:sz w:val="24"/>
          <w:szCs w:val="24"/>
        </w:rPr>
        <w:t>safe haven could not be rejected</w:t>
      </w:r>
      <w:r w:rsidR="00D67512">
        <w:rPr>
          <w:rFonts w:ascii="Times New Roman" w:hAnsi="Times New Roman"/>
          <w:sz w:val="24"/>
          <w:szCs w:val="24"/>
        </w:rPr>
        <w:t xml:space="preserve"> for nearly all specifications considered</w:t>
      </w:r>
      <w:r>
        <w:rPr>
          <w:rFonts w:ascii="Times New Roman" w:hAnsi="Times New Roman"/>
          <w:sz w:val="24"/>
          <w:szCs w:val="24"/>
        </w:rPr>
        <w:t xml:space="preserve">. While the safe haven property is exhibited, sovereign bonds could be </w:t>
      </w:r>
      <w:r w:rsidR="00D67512">
        <w:rPr>
          <w:rFonts w:ascii="Times New Roman" w:hAnsi="Times New Roman"/>
          <w:sz w:val="24"/>
          <w:szCs w:val="24"/>
        </w:rPr>
        <w:t>viewed as</w:t>
      </w:r>
      <w:r>
        <w:rPr>
          <w:rFonts w:ascii="Times New Roman" w:hAnsi="Times New Roman"/>
          <w:sz w:val="24"/>
          <w:szCs w:val="24"/>
        </w:rPr>
        <w:t xml:space="preserve"> a more reliable shelter</w:t>
      </w:r>
      <w:r w:rsidR="00D67512">
        <w:rPr>
          <w:rFonts w:ascii="Times New Roman" w:hAnsi="Times New Roman"/>
          <w:sz w:val="24"/>
          <w:szCs w:val="24"/>
        </w:rPr>
        <w:t>,</w:t>
      </w:r>
      <w:r>
        <w:rPr>
          <w:rFonts w:ascii="Times New Roman" w:hAnsi="Times New Roman"/>
          <w:sz w:val="24"/>
          <w:szCs w:val="24"/>
        </w:rPr>
        <w:t xml:space="preserve"> since they clearly appreciate in value during </w:t>
      </w:r>
      <w:r w:rsidR="005B450F">
        <w:rPr>
          <w:rFonts w:ascii="Times New Roman" w:hAnsi="Times New Roman"/>
          <w:sz w:val="24"/>
          <w:szCs w:val="24"/>
        </w:rPr>
        <w:t xml:space="preserve">an </w:t>
      </w:r>
      <w:r>
        <w:rPr>
          <w:rFonts w:ascii="Times New Roman" w:hAnsi="Times New Roman"/>
          <w:sz w:val="24"/>
          <w:szCs w:val="24"/>
        </w:rPr>
        <w:t>identical event window. This is because</w:t>
      </w:r>
      <w:r w:rsidRPr="004315B9">
        <w:rPr>
          <w:rFonts w:ascii="Times New Roman" w:hAnsi="Times New Roman"/>
          <w:sz w:val="24"/>
          <w:szCs w:val="24"/>
        </w:rPr>
        <w:t xml:space="preserve"> national governments</w:t>
      </w:r>
      <w:r>
        <w:rPr>
          <w:rFonts w:ascii="Times New Roman" w:hAnsi="Times New Roman"/>
          <w:sz w:val="24"/>
          <w:szCs w:val="24"/>
        </w:rPr>
        <w:t>, unlike companies,</w:t>
      </w:r>
      <w:r w:rsidRPr="004315B9">
        <w:rPr>
          <w:rFonts w:ascii="Times New Roman" w:hAnsi="Times New Roman"/>
          <w:sz w:val="24"/>
          <w:szCs w:val="24"/>
        </w:rPr>
        <w:t xml:space="preserve"> have the </w:t>
      </w:r>
      <w:r w:rsidRPr="004315B9">
        <w:rPr>
          <w:rFonts w:ascii="Times New Roman" w:hAnsi="Times New Roman"/>
          <w:sz w:val="24"/>
          <w:szCs w:val="24"/>
        </w:rPr>
        <w:lastRenderedPageBreak/>
        <w:t>mandate to levy taxes and,</w:t>
      </w:r>
      <w:r>
        <w:rPr>
          <w:rFonts w:ascii="Times New Roman" w:hAnsi="Times New Roman"/>
          <w:sz w:val="24"/>
          <w:szCs w:val="24"/>
        </w:rPr>
        <w:t xml:space="preserve"> in some</w:t>
      </w:r>
      <w:r w:rsidRPr="004315B9">
        <w:rPr>
          <w:rFonts w:ascii="Times New Roman" w:hAnsi="Times New Roman"/>
          <w:sz w:val="24"/>
          <w:szCs w:val="24"/>
        </w:rPr>
        <w:t xml:space="preserve"> countries, could use seigniorage revenue to rep</w:t>
      </w:r>
      <w:r>
        <w:rPr>
          <w:rFonts w:ascii="Times New Roman" w:hAnsi="Times New Roman"/>
          <w:sz w:val="24"/>
          <w:szCs w:val="24"/>
        </w:rPr>
        <w:t>ay the debt. Consequently, the value of underlying physical assets may not be as important as in the corporate case and sovereign</w:t>
      </w:r>
      <w:r w:rsidRPr="004315B9">
        <w:rPr>
          <w:rFonts w:ascii="Times New Roman" w:hAnsi="Times New Roman"/>
          <w:sz w:val="24"/>
          <w:szCs w:val="24"/>
        </w:rPr>
        <w:t xml:space="preserve"> bonds will</w:t>
      </w:r>
      <w:r w:rsidR="007D08F8">
        <w:rPr>
          <w:rFonts w:ascii="Times New Roman" w:hAnsi="Times New Roman"/>
          <w:sz w:val="24"/>
          <w:szCs w:val="24"/>
        </w:rPr>
        <w:t>,</w:t>
      </w:r>
      <w:r w:rsidRPr="004315B9">
        <w:rPr>
          <w:rFonts w:ascii="Times New Roman" w:hAnsi="Times New Roman"/>
          <w:sz w:val="24"/>
          <w:szCs w:val="24"/>
        </w:rPr>
        <w:t xml:space="preserve"> to a larger extent</w:t>
      </w:r>
      <w:r w:rsidR="007D08F8">
        <w:rPr>
          <w:rFonts w:ascii="Times New Roman" w:hAnsi="Times New Roman"/>
          <w:sz w:val="24"/>
          <w:szCs w:val="24"/>
        </w:rPr>
        <w:t>,</w:t>
      </w:r>
      <w:r w:rsidRPr="004315B9">
        <w:rPr>
          <w:rFonts w:ascii="Times New Roman" w:hAnsi="Times New Roman"/>
          <w:sz w:val="24"/>
          <w:szCs w:val="24"/>
        </w:rPr>
        <w:t xml:space="preserve"> benefit</w:t>
      </w:r>
      <w:r w:rsidR="007D08F8">
        <w:rPr>
          <w:rFonts w:ascii="Times New Roman" w:hAnsi="Times New Roman"/>
          <w:sz w:val="24"/>
          <w:szCs w:val="24"/>
        </w:rPr>
        <w:t xml:space="preserve"> from panicked investors</w:t>
      </w:r>
      <w:r w:rsidRPr="004315B9">
        <w:rPr>
          <w:rFonts w:ascii="Times New Roman" w:hAnsi="Times New Roman"/>
          <w:sz w:val="24"/>
          <w:szCs w:val="24"/>
        </w:rPr>
        <w:t xml:space="preserve"> </w:t>
      </w:r>
      <w:proofErr w:type="gramStart"/>
      <w:r w:rsidRPr="004315B9">
        <w:rPr>
          <w:rFonts w:ascii="Times New Roman" w:hAnsi="Times New Roman"/>
          <w:sz w:val="24"/>
          <w:szCs w:val="24"/>
        </w:rPr>
        <w:t>shift</w:t>
      </w:r>
      <w:r w:rsidR="007D08F8">
        <w:rPr>
          <w:rFonts w:ascii="Times New Roman" w:hAnsi="Times New Roman"/>
          <w:sz w:val="24"/>
          <w:szCs w:val="24"/>
        </w:rPr>
        <w:t>ing</w:t>
      </w:r>
      <w:proofErr w:type="gramEnd"/>
      <w:r w:rsidRPr="004315B9">
        <w:rPr>
          <w:rFonts w:ascii="Times New Roman" w:hAnsi="Times New Roman"/>
          <w:sz w:val="24"/>
          <w:szCs w:val="24"/>
        </w:rPr>
        <w:t xml:space="preserve"> their money from stock markets to safer alternatives.</w:t>
      </w:r>
    </w:p>
    <w:p w:rsidR="00D30D62" w:rsidRDefault="00D30D62" w:rsidP="00D30D62">
      <w:pPr>
        <w:autoSpaceDE w:val="0"/>
        <w:autoSpaceDN w:val="0"/>
        <w:adjustRightInd w:val="0"/>
        <w:spacing w:line="480" w:lineRule="auto"/>
        <w:jc w:val="both"/>
        <w:rPr>
          <w:rFonts w:ascii="Times New Roman" w:hAnsi="Times New Roman"/>
          <w:sz w:val="24"/>
          <w:szCs w:val="24"/>
        </w:rPr>
      </w:pPr>
      <w:r>
        <w:rPr>
          <w:rFonts w:ascii="Times New Roman" w:hAnsi="Times New Roman"/>
          <w:sz w:val="24"/>
          <w:szCs w:val="24"/>
        </w:rPr>
        <w:tab/>
        <w:t>Another issue of interest is whether the strength of oil price response to international political tensions has changed over time. After all, following the oil price shocks in the 1970s, most countries tried to reduce their dependence on fossil fuels by developing other energy sources, such as bio fuels, as well as solar and wind technologies. The global economy</w:t>
      </w:r>
      <w:r w:rsidR="00C37194">
        <w:rPr>
          <w:rFonts w:ascii="Times New Roman" w:hAnsi="Times New Roman"/>
          <w:sz w:val="24"/>
          <w:szCs w:val="24"/>
        </w:rPr>
        <w:t>’s appetite</w:t>
      </w:r>
      <w:r>
        <w:rPr>
          <w:rFonts w:ascii="Times New Roman" w:hAnsi="Times New Roman"/>
          <w:sz w:val="24"/>
          <w:szCs w:val="24"/>
        </w:rPr>
        <w:t xml:space="preserve"> for energy has </w:t>
      </w:r>
      <w:r w:rsidR="00E73C72">
        <w:rPr>
          <w:rFonts w:ascii="Times New Roman" w:hAnsi="Times New Roman"/>
          <w:sz w:val="24"/>
          <w:szCs w:val="24"/>
        </w:rPr>
        <w:t xml:space="preserve">however </w:t>
      </w:r>
      <w:r>
        <w:rPr>
          <w:rFonts w:ascii="Times New Roman" w:hAnsi="Times New Roman"/>
          <w:sz w:val="24"/>
          <w:szCs w:val="24"/>
        </w:rPr>
        <w:t>been progressively increasing and, despite the aforementioned diversification efforts, the consumption of petrol</w:t>
      </w:r>
      <w:r w:rsidR="00E73C72">
        <w:rPr>
          <w:rFonts w:ascii="Times New Roman" w:hAnsi="Times New Roman"/>
          <w:sz w:val="24"/>
          <w:szCs w:val="24"/>
        </w:rPr>
        <w:t xml:space="preserve">eum has risen. According to </w:t>
      </w:r>
      <w:r>
        <w:rPr>
          <w:rFonts w:ascii="Times New Roman" w:hAnsi="Times New Roman"/>
          <w:sz w:val="24"/>
          <w:szCs w:val="24"/>
        </w:rPr>
        <w:t xml:space="preserve">data provided by U.S. Energy Information Administration, the total consumption level of 63.1 million barrels per day in 1987 escalated to 91.2 million barrels in 2013. These considerations may influence the magnitude of our abnormal returns throughout the duration of our sample. To examine this possibility, we </w:t>
      </w:r>
      <w:proofErr w:type="gramStart"/>
      <w:r>
        <w:rPr>
          <w:rFonts w:ascii="Times New Roman" w:hAnsi="Times New Roman"/>
          <w:sz w:val="24"/>
          <w:szCs w:val="24"/>
        </w:rPr>
        <w:t>regressed</w:t>
      </w:r>
      <w:proofErr w:type="gramEnd"/>
      <w:r>
        <w:rPr>
          <w:rFonts w:ascii="Times New Roman" w:hAnsi="Times New Roman"/>
          <w:sz w:val="24"/>
          <w:szCs w:val="24"/>
        </w:rPr>
        <w:t xml:space="preserve"> our CARs against a time trend and concluded that the passage of time had no statistically significant effect on oil market response. In other words, the abnormal price reaction that can be expected nowadays would not be materially different from that registered in the past and global addiction</w:t>
      </w:r>
      <w:r w:rsidR="007D08F8">
        <w:rPr>
          <w:rFonts w:ascii="Times New Roman" w:hAnsi="Times New Roman"/>
          <w:sz w:val="24"/>
          <w:szCs w:val="24"/>
        </w:rPr>
        <w:t xml:space="preserve"> to oil</w:t>
      </w:r>
      <w:r>
        <w:rPr>
          <w:rFonts w:ascii="Times New Roman" w:hAnsi="Times New Roman"/>
          <w:sz w:val="24"/>
          <w:szCs w:val="24"/>
        </w:rPr>
        <w:t xml:space="preserve"> has not been lessened. </w:t>
      </w:r>
    </w:p>
    <w:p w:rsidR="00D30D62" w:rsidRDefault="00D30D62" w:rsidP="00D30D62">
      <w:pPr>
        <w:autoSpaceDE w:val="0"/>
        <w:autoSpaceDN w:val="0"/>
        <w:adjustRightInd w:val="0"/>
        <w:spacing w:line="480" w:lineRule="auto"/>
        <w:jc w:val="both"/>
        <w:rPr>
          <w:rFonts w:ascii="Times New Roman" w:hAnsi="Times New Roman"/>
          <w:sz w:val="24"/>
          <w:szCs w:val="24"/>
          <w:lang w:val="en-US"/>
        </w:rPr>
      </w:pPr>
      <w:r>
        <w:rPr>
          <w:rFonts w:ascii="Times New Roman" w:hAnsi="Times New Roman"/>
          <w:sz w:val="24"/>
          <w:szCs w:val="24"/>
        </w:rPr>
        <w:tab/>
        <w:t xml:space="preserve">As a robustness check, we endeavoured to verify whether the large magnitudes of CAARs reported for oil are driven exclusively by crises involving OPEC members. We want to note that the </w:t>
      </w:r>
      <w:r w:rsidR="00C67550">
        <w:rPr>
          <w:rFonts w:ascii="Times New Roman" w:hAnsi="Times New Roman"/>
          <w:sz w:val="24"/>
          <w:szCs w:val="24"/>
        </w:rPr>
        <w:t>w</w:t>
      </w:r>
      <w:r>
        <w:rPr>
          <w:rFonts w:ascii="Times New Roman" w:hAnsi="Times New Roman"/>
          <w:sz w:val="24"/>
          <w:szCs w:val="24"/>
        </w:rPr>
        <w:t xml:space="preserve">ar on Iraq launched under George Bush </w:t>
      </w:r>
      <w:r w:rsidR="00C67550">
        <w:rPr>
          <w:rFonts w:ascii="Times New Roman" w:hAnsi="Times New Roman"/>
          <w:sz w:val="24"/>
          <w:szCs w:val="24"/>
        </w:rPr>
        <w:t>J</w:t>
      </w:r>
      <w:r>
        <w:rPr>
          <w:rFonts w:ascii="Times New Roman" w:hAnsi="Times New Roman"/>
          <w:sz w:val="24"/>
          <w:szCs w:val="24"/>
        </w:rPr>
        <w:t>unior</w:t>
      </w:r>
      <w:r w:rsidR="00C67550">
        <w:rPr>
          <w:rFonts w:ascii="Times New Roman" w:hAnsi="Times New Roman"/>
          <w:sz w:val="24"/>
          <w:szCs w:val="24"/>
        </w:rPr>
        <w:t>’s</w:t>
      </w:r>
      <w:r>
        <w:rPr>
          <w:rFonts w:ascii="Times New Roman" w:hAnsi="Times New Roman"/>
          <w:sz w:val="24"/>
          <w:szCs w:val="24"/>
        </w:rPr>
        <w:t xml:space="preserve"> administration is not part of our initial sample, which includes only episodes </w:t>
      </w:r>
      <w:r>
        <w:rPr>
          <w:rFonts w:ascii="Times New Roman" w:hAnsi="Times New Roman"/>
          <w:sz w:val="24"/>
          <w:szCs w:val="24"/>
          <w:lang w:val="en-US"/>
        </w:rPr>
        <w:t xml:space="preserve">that started with an immediate challenge to the regime (i.e. trigger to foreign policy crisis of 6 or higher in the ICB database). Operation Iraqi Freedom was preceded by many declarations, coalition-building exercises, significant diplomatic efforts and inspections of Iraqi weapons, which resulted </w:t>
      </w:r>
      <w:r w:rsidR="00C67550">
        <w:rPr>
          <w:rFonts w:ascii="Times New Roman" w:hAnsi="Times New Roman"/>
          <w:sz w:val="24"/>
          <w:szCs w:val="24"/>
          <w:lang w:val="en-US"/>
        </w:rPr>
        <w:t>in</w:t>
      </w:r>
      <w:r>
        <w:rPr>
          <w:rFonts w:ascii="Times New Roman" w:hAnsi="Times New Roman"/>
          <w:sz w:val="24"/>
          <w:szCs w:val="24"/>
          <w:lang w:val="en-US"/>
        </w:rPr>
        <w:t xml:space="preserve"> the severity of the trigger being classified below 6. Secondly, exclusion of the first Gulf War from our sample does not </w:t>
      </w:r>
      <w:r w:rsidR="00357DD4">
        <w:rPr>
          <w:rFonts w:ascii="Times New Roman" w:hAnsi="Times New Roman"/>
          <w:sz w:val="24"/>
          <w:szCs w:val="24"/>
          <w:lang w:val="en-US"/>
        </w:rPr>
        <w:t xml:space="preserve">materially </w:t>
      </w:r>
      <w:r>
        <w:rPr>
          <w:rFonts w:ascii="Times New Roman" w:hAnsi="Times New Roman"/>
          <w:sz w:val="24"/>
          <w:szCs w:val="24"/>
          <w:lang w:val="en-US"/>
        </w:rPr>
        <w:t xml:space="preserve">change the conclusions reached in this paper. Thirdly, we have </w:t>
      </w:r>
      <w:r>
        <w:rPr>
          <w:rFonts w:ascii="Times New Roman" w:hAnsi="Times New Roman"/>
          <w:sz w:val="24"/>
          <w:szCs w:val="24"/>
          <w:lang w:val="en-US"/>
        </w:rPr>
        <w:lastRenderedPageBreak/>
        <w:t>constructed a dummy variable for crisis involvement of an OPEC member. However, when we regressed the cumulative abnormal returns in the (-50, 50) window for each of the events against the newly-constructed OPEC dummy, it proved to be statistically insignificant.</w:t>
      </w:r>
      <w:r w:rsidR="00A177E3">
        <w:rPr>
          <w:rFonts w:ascii="Times New Roman" w:hAnsi="Times New Roman"/>
          <w:sz w:val="24"/>
          <w:szCs w:val="24"/>
          <w:lang w:val="en-US"/>
        </w:rPr>
        <w:t xml:space="preserve"> This means that demand factors</w:t>
      </w:r>
      <w:r>
        <w:rPr>
          <w:rFonts w:ascii="Times New Roman" w:hAnsi="Times New Roman"/>
          <w:sz w:val="24"/>
          <w:szCs w:val="24"/>
          <w:lang w:val="en-US"/>
        </w:rPr>
        <w:t xml:space="preserve"> are important </w:t>
      </w:r>
      <w:r w:rsidR="00A177E3">
        <w:rPr>
          <w:rFonts w:ascii="Times New Roman" w:hAnsi="Times New Roman"/>
          <w:sz w:val="24"/>
          <w:szCs w:val="24"/>
          <w:lang w:val="en-US"/>
        </w:rPr>
        <w:t>in</w:t>
      </w:r>
      <w:r>
        <w:rPr>
          <w:rFonts w:ascii="Times New Roman" w:hAnsi="Times New Roman"/>
          <w:sz w:val="24"/>
          <w:szCs w:val="24"/>
          <w:lang w:val="en-US"/>
        </w:rPr>
        <w:t xml:space="preserve"> determin</w:t>
      </w:r>
      <w:r w:rsidR="00A177E3">
        <w:rPr>
          <w:rFonts w:ascii="Times New Roman" w:hAnsi="Times New Roman"/>
          <w:sz w:val="24"/>
          <w:szCs w:val="24"/>
          <w:lang w:val="en-US"/>
        </w:rPr>
        <w:t>ing</w:t>
      </w:r>
      <w:r>
        <w:rPr>
          <w:rFonts w:ascii="Times New Roman" w:hAnsi="Times New Roman"/>
          <w:sz w:val="24"/>
          <w:szCs w:val="24"/>
          <w:lang w:val="en-US"/>
        </w:rPr>
        <w:t xml:space="preserve"> oil prices in times of political crisis, even in absence of supply disruptions.</w:t>
      </w:r>
    </w:p>
    <w:p w:rsidR="00D30D62" w:rsidRPr="007D08F8" w:rsidRDefault="00D30D62" w:rsidP="00D30D62">
      <w:pPr>
        <w:autoSpaceDE w:val="0"/>
        <w:autoSpaceDN w:val="0"/>
        <w:adjustRightInd w:val="0"/>
        <w:spacing w:line="480" w:lineRule="auto"/>
        <w:jc w:val="both"/>
        <w:rPr>
          <w:rFonts w:ascii="Times New Roman" w:hAnsi="Times New Roman"/>
          <w:sz w:val="24"/>
          <w:szCs w:val="24"/>
          <w:lang w:val="en-US"/>
        </w:rPr>
      </w:pPr>
      <w:r>
        <w:rPr>
          <w:rFonts w:ascii="Times New Roman" w:hAnsi="Times New Roman"/>
          <w:sz w:val="24"/>
          <w:szCs w:val="24"/>
          <w:lang w:val="en-US"/>
        </w:rPr>
        <w:tab/>
        <w:t xml:space="preserve">It may be argued that the magnitude of oil price response to the emergence of new political conflict could be dependent on ongoing economic conditions. To verify this assertion, we collected monthly data on macroeconomic aggregates for the total OECD. These variables are taken to act as proxies of the global business cycle. More specifically, we obtained year-on-year growth in industrial production and CPI, as well as the harmonized unemployment rate from the </w:t>
      </w:r>
      <w:r w:rsidRPr="00C21705">
        <w:rPr>
          <w:rFonts w:ascii="Times New Roman" w:hAnsi="Times New Roman"/>
          <w:sz w:val="24"/>
          <w:szCs w:val="24"/>
          <w:lang w:val="en-US"/>
        </w:rPr>
        <w:t>Key Short-Term Economic Indicators database.</w:t>
      </w:r>
      <w:r>
        <w:rPr>
          <w:rStyle w:val="FootnoteReference"/>
          <w:rFonts w:ascii="Times New Roman" w:hAnsi="Times New Roman"/>
          <w:sz w:val="24"/>
          <w:szCs w:val="24"/>
          <w:lang w:val="en-US"/>
        </w:rPr>
        <w:footnoteReference w:id="13"/>
      </w:r>
      <w:r w:rsidRPr="00C21705">
        <w:rPr>
          <w:rFonts w:ascii="Times New Roman" w:hAnsi="Times New Roman"/>
          <w:sz w:val="24"/>
          <w:szCs w:val="24"/>
          <w:lang w:val="en-US"/>
        </w:rPr>
        <w:t xml:space="preserve"> We estimat</w:t>
      </w:r>
      <w:r>
        <w:rPr>
          <w:rFonts w:ascii="Times New Roman" w:hAnsi="Times New Roman"/>
          <w:sz w:val="24"/>
          <w:szCs w:val="24"/>
          <w:lang w:val="en-US"/>
        </w:rPr>
        <w:t>ed a number of models that linked</w:t>
      </w:r>
      <w:r w:rsidRPr="00C21705">
        <w:rPr>
          <w:rFonts w:ascii="Times New Roman" w:hAnsi="Times New Roman"/>
          <w:sz w:val="24"/>
          <w:szCs w:val="24"/>
          <w:lang w:val="en-US"/>
        </w:rPr>
        <w:t xml:space="preserve"> our </w:t>
      </w:r>
      <w:r w:rsidR="00914533" w:rsidRPr="00C21705">
        <w:rPr>
          <w:rFonts w:ascii="Times New Roman" w:hAnsi="Times New Roman"/>
          <w:sz w:val="24"/>
          <w:szCs w:val="24"/>
          <w:lang w:val="en-US"/>
        </w:rPr>
        <w:t xml:space="preserve">CARs </w:t>
      </w:r>
      <w:r w:rsidRPr="00C21705">
        <w:rPr>
          <w:rFonts w:ascii="Times New Roman" w:hAnsi="Times New Roman"/>
          <w:sz w:val="24"/>
          <w:szCs w:val="24"/>
          <w:lang w:val="en-US"/>
        </w:rPr>
        <w:t xml:space="preserve">for particular events </w:t>
      </w:r>
      <w:r>
        <w:rPr>
          <w:rFonts w:ascii="Times New Roman" w:hAnsi="Times New Roman"/>
          <w:sz w:val="24"/>
          <w:szCs w:val="24"/>
          <w:lang w:val="en-US"/>
        </w:rPr>
        <w:t>to</w:t>
      </w:r>
      <w:r w:rsidRPr="00C21705">
        <w:rPr>
          <w:rFonts w:ascii="Times New Roman" w:hAnsi="Times New Roman"/>
          <w:sz w:val="24"/>
          <w:szCs w:val="24"/>
          <w:lang w:val="en-US"/>
        </w:rPr>
        <w:t xml:space="preserve"> </w:t>
      </w:r>
      <w:r>
        <w:rPr>
          <w:rFonts w:ascii="Times New Roman" w:hAnsi="Times New Roman"/>
          <w:sz w:val="24"/>
          <w:szCs w:val="24"/>
          <w:lang w:val="en-US"/>
        </w:rPr>
        <w:t xml:space="preserve">values of the </w:t>
      </w:r>
      <w:r w:rsidRPr="00C21705">
        <w:rPr>
          <w:rFonts w:ascii="Times New Roman" w:hAnsi="Times New Roman"/>
          <w:sz w:val="24"/>
          <w:szCs w:val="24"/>
          <w:lang w:val="en-US"/>
        </w:rPr>
        <w:t>macroeconomic indicator</w:t>
      </w:r>
      <w:r>
        <w:rPr>
          <w:rFonts w:ascii="Times New Roman" w:hAnsi="Times New Roman"/>
          <w:sz w:val="24"/>
          <w:szCs w:val="24"/>
          <w:lang w:val="en-US"/>
        </w:rPr>
        <w:t>s</w:t>
      </w:r>
      <w:r w:rsidRPr="00C21705">
        <w:rPr>
          <w:rFonts w:ascii="Times New Roman" w:hAnsi="Times New Roman"/>
          <w:sz w:val="24"/>
          <w:szCs w:val="24"/>
          <w:lang w:val="en-US"/>
        </w:rPr>
        <w:t xml:space="preserve"> recorded in the month of the conflict.</w:t>
      </w:r>
      <w:r>
        <w:rPr>
          <w:rFonts w:ascii="Times New Roman" w:hAnsi="Times New Roman"/>
          <w:sz w:val="24"/>
          <w:szCs w:val="24"/>
          <w:lang w:val="en-US"/>
        </w:rPr>
        <w:t xml:space="preserve"> Interestingly, the macro variables always appeared st</w:t>
      </w:r>
      <w:r w:rsidR="00C67550">
        <w:rPr>
          <w:rFonts w:ascii="Times New Roman" w:hAnsi="Times New Roman"/>
          <w:sz w:val="24"/>
          <w:szCs w:val="24"/>
          <w:lang w:val="en-US"/>
        </w:rPr>
        <w:t>atistically insignificant in the</w:t>
      </w:r>
      <w:r>
        <w:rPr>
          <w:rFonts w:ascii="Times New Roman" w:hAnsi="Times New Roman"/>
          <w:sz w:val="24"/>
          <w:szCs w:val="24"/>
          <w:lang w:val="en-US"/>
        </w:rPr>
        <w:t xml:space="preserve">se regressions. </w:t>
      </w:r>
      <w:r w:rsidRPr="00C21705">
        <w:rPr>
          <w:rFonts w:ascii="Times New Roman" w:hAnsi="Times New Roman"/>
          <w:sz w:val="24"/>
          <w:szCs w:val="24"/>
        </w:rPr>
        <w:t>It appears that</w:t>
      </w:r>
      <w:r>
        <w:rPr>
          <w:rFonts w:ascii="Times New Roman" w:hAnsi="Times New Roman"/>
          <w:sz w:val="24"/>
          <w:szCs w:val="24"/>
        </w:rPr>
        <w:t>,</w:t>
      </w:r>
      <w:r w:rsidRPr="00C21705">
        <w:rPr>
          <w:rFonts w:ascii="Times New Roman" w:hAnsi="Times New Roman"/>
          <w:sz w:val="24"/>
          <w:szCs w:val="24"/>
        </w:rPr>
        <w:t xml:space="preserve"> in </w:t>
      </w:r>
      <w:r w:rsidR="00C67550">
        <w:rPr>
          <w:rFonts w:ascii="Times New Roman" w:hAnsi="Times New Roman"/>
          <w:sz w:val="24"/>
          <w:szCs w:val="24"/>
        </w:rPr>
        <w:t xml:space="preserve">the </w:t>
      </w:r>
      <w:r w:rsidRPr="00C21705">
        <w:rPr>
          <w:rFonts w:ascii="Times New Roman" w:hAnsi="Times New Roman"/>
          <w:sz w:val="24"/>
          <w:szCs w:val="24"/>
        </w:rPr>
        <w:t>short-term</w:t>
      </w:r>
      <w:r>
        <w:rPr>
          <w:rFonts w:ascii="Times New Roman" w:hAnsi="Times New Roman"/>
          <w:sz w:val="24"/>
          <w:szCs w:val="24"/>
        </w:rPr>
        <w:t>,</w:t>
      </w:r>
      <w:r w:rsidRPr="00C21705">
        <w:rPr>
          <w:rFonts w:ascii="Times New Roman" w:hAnsi="Times New Roman"/>
          <w:sz w:val="24"/>
          <w:szCs w:val="24"/>
        </w:rPr>
        <w:t xml:space="preserve"> political tension takes precedence over business cycle consideration</w:t>
      </w:r>
      <w:r w:rsidR="00C67550">
        <w:rPr>
          <w:rFonts w:ascii="Times New Roman" w:hAnsi="Times New Roman"/>
          <w:sz w:val="24"/>
          <w:szCs w:val="24"/>
        </w:rPr>
        <w:t>s</w:t>
      </w:r>
      <w:r w:rsidRPr="00C21705">
        <w:rPr>
          <w:rFonts w:ascii="Times New Roman" w:hAnsi="Times New Roman"/>
          <w:sz w:val="24"/>
          <w:szCs w:val="24"/>
        </w:rPr>
        <w:t xml:space="preserve">, </w:t>
      </w:r>
      <w:r>
        <w:rPr>
          <w:rFonts w:ascii="Times New Roman" w:hAnsi="Times New Roman"/>
          <w:sz w:val="24"/>
          <w:szCs w:val="24"/>
        </w:rPr>
        <w:t xml:space="preserve">as the joint effect of </w:t>
      </w:r>
      <w:r w:rsidRPr="00C21705">
        <w:rPr>
          <w:rFonts w:ascii="Times New Roman" w:hAnsi="Times New Roman"/>
          <w:sz w:val="24"/>
          <w:szCs w:val="24"/>
        </w:rPr>
        <w:t>military demand</w:t>
      </w:r>
      <w:r>
        <w:rPr>
          <w:rFonts w:ascii="Times New Roman" w:hAnsi="Times New Roman"/>
          <w:sz w:val="24"/>
          <w:szCs w:val="24"/>
        </w:rPr>
        <w:t>,</w:t>
      </w:r>
      <w:r w:rsidRPr="00C21705">
        <w:rPr>
          <w:rFonts w:ascii="Times New Roman" w:hAnsi="Times New Roman"/>
          <w:sz w:val="24"/>
          <w:szCs w:val="24"/>
        </w:rPr>
        <w:t xml:space="preserve"> </w:t>
      </w:r>
      <w:r>
        <w:rPr>
          <w:rFonts w:ascii="Times New Roman" w:hAnsi="Times New Roman"/>
          <w:sz w:val="24"/>
          <w:szCs w:val="24"/>
        </w:rPr>
        <w:t>c</w:t>
      </w:r>
      <w:r w:rsidRPr="00C21705">
        <w:rPr>
          <w:rFonts w:ascii="Times New Roman" w:hAnsi="Times New Roman"/>
          <w:sz w:val="24"/>
          <w:szCs w:val="24"/>
        </w:rPr>
        <w:t>reation of precautionary reserves, speculation, and investors</w:t>
      </w:r>
      <w:r w:rsidR="00C67550">
        <w:rPr>
          <w:rFonts w:ascii="Times New Roman" w:hAnsi="Times New Roman"/>
          <w:sz w:val="24"/>
          <w:szCs w:val="24"/>
        </w:rPr>
        <w:t>’</w:t>
      </w:r>
      <w:r w:rsidRPr="00C21705">
        <w:rPr>
          <w:rFonts w:ascii="Times New Roman" w:hAnsi="Times New Roman"/>
          <w:sz w:val="24"/>
          <w:szCs w:val="24"/>
        </w:rPr>
        <w:t xml:space="preserve"> panic </w:t>
      </w:r>
      <w:r w:rsidRPr="007D08F8">
        <w:rPr>
          <w:rFonts w:ascii="Times New Roman" w:hAnsi="Times New Roman"/>
          <w:sz w:val="24"/>
          <w:szCs w:val="24"/>
        </w:rPr>
        <w:t>c</w:t>
      </w:r>
      <w:r w:rsidR="00C67550">
        <w:rPr>
          <w:rFonts w:ascii="Times New Roman" w:hAnsi="Times New Roman"/>
          <w:sz w:val="24"/>
          <w:szCs w:val="24"/>
        </w:rPr>
        <w:t>an</w:t>
      </w:r>
      <w:r w:rsidRPr="007D08F8">
        <w:rPr>
          <w:rFonts w:ascii="Times New Roman" w:hAnsi="Times New Roman"/>
          <w:sz w:val="24"/>
          <w:szCs w:val="24"/>
        </w:rPr>
        <w:t xml:space="preserve"> be substantial.</w:t>
      </w:r>
    </w:p>
    <w:p w:rsidR="00D30D62" w:rsidRPr="007D08F8" w:rsidRDefault="00D30D62" w:rsidP="00D30D62">
      <w:pPr>
        <w:autoSpaceDE w:val="0"/>
        <w:autoSpaceDN w:val="0"/>
        <w:adjustRightInd w:val="0"/>
        <w:spacing w:line="480" w:lineRule="auto"/>
        <w:jc w:val="both"/>
        <w:rPr>
          <w:rFonts w:ascii="Times New Roman" w:hAnsi="Times New Roman"/>
          <w:sz w:val="24"/>
          <w:szCs w:val="24"/>
          <w:lang w:val="en-US"/>
        </w:rPr>
      </w:pPr>
      <w:r w:rsidRPr="007D08F8">
        <w:rPr>
          <w:rFonts w:ascii="Times New Roman" w:hAnsi="Times New Roman"/>
          <w:sz w:val="24"/>
          <w:szCs w:val="24"/>
          <w:lang w:val="en-US"/>
        </w:rPr>
        <w:tab/>
        <w:t xml:space="preserve">It can be argued that the assumption of homoscedastic residuals in our safe haven regressions is too restrictive, as the volatility of asset returns tends to cluster in time (Engle, 2001). We performed additional estimation of our regressions using a maximum likelihood method that allows the errors to follow a </w:t>
      </w:r>
      <w:proofErr w:type="gramStart"/>
      <w:r w:rsidRPr="007D08F8">
        <w:rPr>
          <w:rFonts w:ascii="Times New Roman" w:hAnsi="Times New Roman"/>
          <w:sz w:val="24"/>
          <w:szCs w:val="24"/>
          <w:lang w:val="en-US"/>
        </w:rPr>
        <w:t>GARCH(</w:t>
      </w:r>
      <w:proofErr w:type="gramEnd"/>
      <w:r w:rsidRPr="007D08F8">
        <w:rPr>
          <w:rFonts w:ascii="Times New Roman" w:hAnsi="Times New Roman"/>
          <w:sz w:val="24"/>
          <w:szCs w:val="24"/>
          <w:lang w:val="en-US"/>
        </w:rPr>
        <w:t xml:space="preserve">1,1) process. Allowing </w:t>
      </w:r>
      <w:proofErr w:type="spellStart"/>
      <w:r w:rsidRPr="007D08F8">
        <w:rPr>
          <w:rFonts w:ascii="Times New Roman" w:hAnsi="Times New Roman"/>
          <w:sz w:val="24"/>
          <w:szCs w:val="24"/>
          <w:lang w:val="en-US"/>
        </w:rPr>
        <w:t>heteroskedasticity</w:t>
      </w:r>
      <w:proofErr w:type="spellEnd"/>
      <w:r w:rsidRPr="007D08F8">
        <w:rPr>
          <w:rFonts w:ascii="Times New Roman" w:hAnsi="Times New Roman"/>
          <w:sz w:val="24"/>
          <w:szCs w:val="24"/>
          <w:lang w:val="en-US"/>
        </w:rPr>
        <w:t xml:space="preserve"> in our models did not alter the main conclusions of our study. The null hypothesis of </w:t>
      </w:r>
      <w:r w:rsidRPr="009A0C3B">
        <w:rPr>
          <w:rFonts w:ascii="Times New Roman" w:hAnsi="Times New Roman"/>
          <w:i/>
          <w:color w:val="000000"/>
          <w:sz w:val="24"/>
          <w:szCs w:val="24"/>
          <w:lang w:val="en-US"/>
        </w:rPr>
        <w:t>(β</w:t>
      </w:r>
      <w:r w:rsidRPr="009A0C3B">
        <w:rPr>
          <w:rFonts w:ascii="Times New Roman" w:hAnsi="Times New Roman"/>
          <w:i/>
          <w:color w:val="000000"/>
          <w:sz w:val="24"/>
          <w:szCs w:val="24"/>
          <w:vertAlign w:val="subscript"/>
          <w:lang w:val="en-US"/>
        </w:rPr>
        <w:t>1</w:t>
      </w:r>
      <w:r w:rsidRPr="009A0C3B">
        <w:rPr>
          <w:rFonts w:ascii="Times New Roman" w:hAnsi="Times New Roman"/>
          <w:i/>
          <w:color w:val="000000"/>
          <w:sz w:val="24"/>
          <w:szCs w:val="24"/>
          <w:lang w:val="en-US"/>
        </w:rPr>
        <w:t>+ β</w:t>
      </w:r>
      <w:r w:rsidRPr="009A0C3B">
        <w:rPr>
          <w:rFonts w:ascii="Times New Roman" w:hAnsi="Times New Roman"/>
          <w:i/>
          <w:color w:val="000000"/>
          <w:sz w:val="24"/>
          <w:szCs w:val="24"/>
          <w:vertAlign w:val="subscript"/>
          <w:lang w:val="en-US"/>
        </w:rPr>
        <w:t xml:space="preserve"> 2</w:t>
      </w:r>
      <w:r w:rsidRPr="009A0C3B">
        <w:rPr>
          <w:rFonts w:ascii="Times New Roman" w:hAnsi="Times New Roman"/>
          <w:i/>
          <w:color w:val="000000"/>
          <w:sz w:val="24"/>
          <w:szCs w:val="24"/>
          <w:lang w:val="en-US"/>
        </w:rPr>
        <w:t>)</w:t>
      </w:r>
      <w:r w:rsidRPr="007D08F8">
        <w:rPr>
          <w:rFonts w:ascii="Times New Roman" w:hAnsi="Times New Roman"/>
          <w:color w:val="000000"/>
          <w:sz w:val="24"/>
          <w:szCs w:val="24"/>
          <w:lang w:val="en-US"/>
        </w:rPr>
        <w:t xml:space="preserve"> </w:t>
      </w:r>
      <w:r w:rsidRPr="007D08F8">
        <w:rPr>
          <w:rFonts w:ascii="Times New Roman" w:hAnsi="Times New Roman"/>
          <w:color w:val="000000"/>
          <w:sz w:val="24"/>
          <w:szCs w:val="24"/>
          <w:lang w:val="en-US"/>
        </w:rPr>
        <w:sym w:font="Symbol" w:char="F0A3"/>
      </w:r>
      <w:r w:rsidRPr="007D08F8">
        <w:rPr>
          <w:rFonts w:ascii="Times New Roman" w:hAnsi="Times New Roman"/>
          <w:color w:val="000000"/>
          <w:sz w:val="24"/>
          <w:szCs w:val="24"/>
          <w:lang w:val="en-US"/>
        </w:rPr>
        <w:t xml:space="preserve"> 0 could not be rejected in any of the specifications, which re-confirmed that both oil and sovereign bonds have safe haven properties.</w:t>
      </w:r>
      <w:r w:rsidRPr="007D08F8">
        <w:rPr>
          <w:rFonts w:ascii="Times New Roman" w:hAnsi="Times New Roman"/>
          <w:sz w:val="24"/>
          <w:szCs w:val="24"/>
          <w:lang w:val="en-US"/>
        </w:rPr>
        <w:t xml:space="preserve"> </w:t>
      </w:r>
    </w:p>
    <w:p w:rsidR="00D30D62" w:rsidRPr="00470E8F" w:rsidRDefault="00D30D62" w:rsidP="00D30D62">
      <w:pPr>
        <w:autoSpaceDE w:val="0"/>
        <w:autoSpaceDN w:val="0"/>
        <w:adjustRightInd w:val="0"/>
        <w:spacing w:line="480" w:lineRule="auto"/>
        <w:jc w:val="both"/>
        <w:rPr>
          <w:rFonts w:ascii="Times New Roman" w:hAnsi="Times New Roman"/>
          <w:b/>
          <w:sz w:val="24"/>
          <w:szCs w:val="24"/>
          <w:lang w:val="en-US"/>
        </w:rPr>
      </w:pPr>
      <w:r w:rsidRPr="00470E8F">
        <w:rPr>
          <w:rFonts w:ascii="Times New Roman" w:hAnsi="Times New Roman"/>
          <w:b/>
          <w:sz w:val="24"/>
          <w:szCs w:val="24"/>
          <w:lang w:val="en-US"/>
        </w:rPr>
        <w:t>VI</w:t>
      </w:r>
      <w:r>
        <w:rPr>
          <w:rFonts w:ascii="Times New Roman" w:hAnsi="Times New Roman"/>
          <w:b/>
          <w:sz w:val="24"/>
          <w:szCs w:val="24"/>
          <w:lang w:val="en-US"/>
        </w:rPr>
        <w:t>I</w:t>
      </w:r>
      <w:r w:rsidRPr="00470E8F">
        <w:rPr>
          <w:rFonts w:ascii="Times New Roman" w:hAnsi="Times New Roman"/>
          <w:b/>
          <w:sz w:val="24"/>
          <w:szCs w:val="24"/>
          <w:lang w:val="en-US"/>
        </w:rPr>
        <w:t>. Conclusions</w:t>
      </w:r>
    </w:p>
    <w:p w:rsidR="00D30D62" w:rsidRPr="00470E8F" w:rsidRDefault="00D30D62" w:rsidP="00D30D62">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lastRenderedPageBreak/>
        <w:t xml:space="preserve">This paper examined the behavior of WTI crude oil prices, </w:t>
      </w:r>
      <w:r>
        <w:rPr>
          <w:rFonts w:ascii="Times New Roman" w:hAnsi="Times New Roman"/>
          <w:sz w:val="24"/>
          <w:szCs w:val="24"/>
          <w:lang w:val="en-US"/>
        </w:rPr>
        <w:t xml:space="preserve">the </w:t>
      </w:r>
      <w:r w:rsidRPr="00470E8F">
        <w:rPr>
          <w:rFonts w:ascii="Times New Roman" w:hAnsi="Times New Roman"/>
          <w:sz w:val="24"/>
          <w:szCs w:val="24"/>
          <w:lang w:val="en-US"/>
        </w:rPr>
        <w:t>World Government Bond Index and stock market indices around the dates when international hostilities were triggered. Using the ICB database, we focused on 64 instances of intense international crisis, out of which 43 cases could be classified as full-blown wars. By employing a standard event study methodology, we documented that oil and international sovereign bond index returns tend t</w:t>
      </w:r>
      <w:r>
        <w:rPr>
          <w:rFonts w:ascii="Times New Roman" w:hAnsi="Times New Roman"/>
          <w:sz w:val="24"/>
          <w:szCs w:val="24"/>
          <w:lang w:val="en-US"/>
        </w:rPr>
        <w:t>o be abnormally elevated close to the</w:t>
      </w:r>
      <w:r w:rsidRPr="00470E8F">
        <w:rPr>
          <w:rFonts w:ascii="Times New Roman" w:hAnsi="Times New Roman"/>
          <w:sz w:val="24"/>
          <w:szCs w:val="24"/>
          <w:lang w:val="en-US"/>
        </w:rPr>
        <w:t xml:space="preserve"> trigger dates. The magnitude of these price changes was found to be both statistically and economically significant. At the same time, militarized disputes proved to be detrimental to the wealth of both U</w:t>
      </w:r>
      <w:r>
        <w:rPr>
          <w:rFonts w:ascii="Times New Roman" w:hAnsi="Times New Roman"/>
          <w:sz w:val="24"/>
          <w:szCs w:val="24"/>
          <w:lang w:val="en-US"/>
        </w:rPr>
        <w:t>.</w:t>
      </w:r>
      <w:r w:rsidRPr="00470E8F">
        <w:rPr>
          <w:rFonts w:ascii="Times New Roman" w:hAnsi="Times New Roman"/>
          <w:sz w:val="24"/>
          <w:szCs w:val="24"/>
          <w:lang w:val="en-US"/>
        </w:rPr>
        <w:t>S</w:t>
      </w:r>
      <w:r>
        <w:rPr>
          <w:rFonts w:ascii="Times New Roman" w:hAnsi="Times New Roman"/>
          <w:sz w:val="24"/>
          <w:szCs w:val="24"/>
          <w:lang w:val="en-US"/>
        </w:rPr>
        <w:t>.</w:t>
      </w:r>
      <w:r w:rsidRPr="00470E8F">
        <w:rPr>
          <w:rFonts w:ascii="Times New Roman" w:hAnsi="Times New Roman"/>
          <w:sz w:val="24"/>
          <w:szCs w:val="24"/>
          <w:lang w:val="en-US"/>
        </w:rPr>
        <w:t xml:space="preserve"> and international shareholders. </w:t>
      </w:r>
    </w:p>
    <w:p w:rsidR="00D30D62" w:rsidRPr="00470E8F" w:rsidRDefault="00D30D62" w:rsidP="00D30D62">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 xml:space="preserve">The logical implication arising from such constellations in asset returns is that crude petroleum and world government bonds </w:t>
      </w:r>
      <w:r>
        <w:rPr>
          <w:rFonts w:ascii="Times New Roman" w:hAnsi="Times New Roman"/>
          <w:sz w:val="24"/>
          <w:szCs w:val="24"/>
          <w:lang w:val="en-US"/>
        </w:rPr>
        <w:t>could</w:t>
      </w:r>
      <w:r w:rsidRPr="00470E8F">
        <w:rPr>
          <w:rFonts w:ascii="Times New Roman" w:hAnsi="Times New Roman"/>
          <w:sz w:val="24"/>
          <w:szCs w:val="24"/>
          <w:lang w:val="en-US"/>
        </w:rPr>
        <w:t xml:space="preserve"> have a role to play in risk management. The question of whether oil and bonds can offer protection was formally addressed here using and extending the definition of safe haven put forward by </w:t>
      </w:r>
      <w:proofErr w:type="spellStart"/>
      <w:r w:rsidRPr="00470E8F">
        <w:rPr>
          <w:rFonts w:ascii="Times New Roman" w:hAnsi="Times New Roman"/>
          <w:sz w:val="24"/>
          <w:szCs w:val="24"/>
          <w:lang w:val="en-US"/>
        </w:rPr>
        <w:t>Baur</w:t>
      </w:r>
      <w:proofErr w:type="spellEnd"/>
      <w:r w:rsidRPr="00470E8F">
        <w:rPr>
          <w:rFonts w:ascii="Times New Roman" w:hAnsi="Times New Roman"/>
          <w:sz w:val="24"/>
          <w:szCs w:val="24"/>
          <w:lang w:val="en-US"/>
        </w:rPr>
        <w:t xml:space="preserve"> and Lucey (2010)</w:t>
      </w:r>
      <w:r>
        <w:rPr>
          <w:rFonts w:ascii="Times New Roman" w:hAnsi="Times New Roman"/>
          <w:sz w:val="24"/>
          <w:szCs w:val="24"/>
          <w:lang w:val="en-US"/>
        </w:rPr>
        <w:t>. We found</w:t>
      </w:r>
      <w:r w:rsidRPr="00470E8F">
        <w:rPr>
          <w:rFonts w:ascii="Times New Roman" w:hAnsi="Times New Roman"/>
          <w:sz w:val="24"/>
          <w:szCs w:val="24"/>
          <w:lang w:val="en-US"/>
        </w:rPr>
        <w:t xml:space="preserve"> that the answer to this question is in the affirmative. Three factors highlight the importance of our findings. Firstly, information related to future outbreaks of violent political conflicts might not be available to investors in advance. Secondly, we document the significant negative effect of wars and intense crises on the returns of U</w:t>
      </w:r>
      <w:r>
        <w:rPr>
          <w:rFonts w:ascii="Times New Roman" w:hAnsi="Times New Roman"/>
          <w:sz w:val="24"/>
          <w:szCs w:val="24"/>
          <w:lang w:val="en-US"/>
        </w:rPr>
        <w:t>.</w:t>
      </w:r>
      <w:r w:rsidRPr="00470E8F">
        <w:rPr>
          <w:rFonts w:ascii="Times New Roman" w:hAnsi="Times New Roman"/>
          <w:sz w:val="24"/>
          <w:szCs w:val="24"/>
          <w:lang w:val="en-US"/>
        </w:rPr>
        <w:t>S</w:t>
      </w:r>
      <w:r>
        <w:rPr>
          <w:rFonts w:ascii="Times New Roman" w:hAnsi="Times New Roman"/>
          <w:sz w:val="24"/>
          <w:szCs w:val="24"/>
          <w:lang w:val="en-US"/>
        </w:rPr>
        <w:t>.</w:t>
      </w:r>
      <w:r w:rsidRPr="00470E8F">
        <w:rPr>
          <w:rFonts w:ascii="Times New Roman" w:hAnsi="Times New Roman"/>
          <w:sz w:val="24"/>
          <w:szCs w:val="24"/>
          <w:lang w:val="en-US"/>
        </w:rPr>
        <w:t xml:space="preserve"> and </w:t>
      </w:r>
      <w:r>
        <w:rPr>
          <w:rFonts w:ascii="Times New Roman" w:hAnsi="Times New Roman"/>
          <w:sz w:val="24"/>
          <w:szCs w:val="24"/>
          <w:lang w:val="en-US"/>
        </w:rPr>
        <w:t>i</w:t>
      </w:r>
      <w:r w:rsidRPr="00470E8F">
        <w:rPr>
          <w:rFonts w:ascii="Times New Roman" w:hAnsi="Times New Roman"/>
          <w:sz w:val="24"/>
          <w:szCs w:val="24"/>
          <w:lang w:val="en-US"/>
        </w:rPr>
        <w:t xml:space="preserve">nternational equities. Thirdly, correlations between stocks can increase during crisis periods due to contagion, dwarfing any diversification benefits for portfolios invested in shares alone (Chiang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2007). Thus, equity market investors may want to allocate a fraction of their portfolio to crude petroleum and world sovereign bonds. This is in sharp contrast to a strategy of diversifying entirely </w:t>
      </w:r>
      <w:r>
        <w:rPr>
          <w:rFonts w:ascii="Times New Roman" w:hAnsi="Times New Roman"/>
          <w:sz w:val="24"/>
          <w:szCs w:val="24"/>
          <w:lang w:val="en-US"/>
        </w:rPr>
        <w:t xml:space="preserve">in </w:t>
      </w:r>
      <w:r w:rsidRPr="00470E8F">
        <w:rPr>
          <w:rFonts w:ascii="Times New Roman" w:hAnsi="Times New Roman"/>
          <w:sz w:val="24"/>
          <w:szCs w:val="24"/>
          <w:lang w:val="en-US"/>
        </w:rPr>
        <w:t>stocks; as such strategy may prove incomplete and ineffective in times of market turmoil.</w:t>
      </w:r>
    </w:p>
    <w:p w:rsidR="00D30D62" w:rsidRPr="00470E8F" w:rsidRDefault="00D30D62" w:rsidP="00D30D62">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 xml:space="preserve">Oil shocks and wars pose significant dangers, but both of these risks can be mitigated by taking a long position on crude oil. </w:t>
      </w:r>
      <w:proofErr w:type="spellStart"/>
      <w:r w:rsidRPr="00470E8F">
        <w:rPr>
          <w:rFonts w:ascii="Times New Roman" w:hAnsi="Times New Roman"/>
          <w:sz w:val="24"/>
          <w:szCs w:val="24"/>
          <w:lang w:val="en-US"/>
        </w:rPr>
        <w:t>Nandha</w:t>
      </w:r>
      <w:proofErr w:type="spellEnd"/>
      <w:r w:rsidRPr="00470E8F">
        <w:rPr>
          <w:rFonts w:ascii="Times New Roman" w:hAnsi="Times New Roman"/>
          <w:sz w:val="24"/>
          <w:szCs w:val="24"/>
          <w:lang w:val="en-US"/>
        </w:rPr>
        <w:t xml:space="preserve"> and Faff (2008) and </w:t>
      </w:r>
      <w:proofErr w:type="spellStart"/>
      <w:r w:rsidRPr="00470E8F">
        <w:rPr>
          <w:rFonts w:ascii="Times New Roman" w:hAnsi="Times New Roman"/>
          <w:sz w:val="24"/>
          <w:szCs w:val="24"/>
          <w:lang w:val="en-US"/>
        </w:rPr>
        <w:t>Arouri</w:t>
      </w:r>
      <w:proofErr w:type="spellEnd"/>
      <w:r w:rsidRPr="00470E8F">
        <w:rPr>
          <w:rFonts w:ascii="Times New Roman" w:hAnsi="Times New Roman"/>
          <w:sz w:val="24"/>
          <w:szCs w:val="24"/>
          <w:lang w:val="en-US"/>
        </w:rPr>
        <w:t xml:space="preserve">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(2012) have previously alluded to the fact that oil </w:t>
      </w:r>
      <w:r>
        <w:rPr>
          <w:rFonts w:ascii="Times New Roman" w:hAnsi="Times New Roman"/>
          <w:sz w:val="24"/>
          <w:szCs w:val="24"/>
          <w:lang w:val="en-US"/>
        </w:rPr>
        <w:t>could</w:t>
      </w:r>
      <w:r w:rsidRPr="00470E8F">
        <w:rPr>
          <w:rFonts w:ascii="Times New Roman" w:hAnsi="Times New Roman"/>
          <w:sz w:val="24"/>
          <w:szCs w:val="24"/>
          <w:lang w:val="en-US"/>
        </w:rPr>
        <w:t xml:space="preserve"> be a useful commodity for the purposes of diversification. We concur and additionally note that the diversification benefits are likely to be particularly evident </w:t>
      </w:r>
      <w:r>
        <w:rPr>
          <w:rFonts w:ascii="Times New Roman" w:hAnsi="Times New Roman"/>
          <w:sz w:val="24"/>
          <w:szCs w:val="24"/>
          <w:lang w:val="en-US"/>
        </w:rPr>
        <w:t>during</w:t>
      </w:r>
      <w:r w:rsidRPr="00470E8F">
        <w:rPr>
          <w:rFonts w:ascii="Times New Roman" w:hAnsi="Times New Roman"/>
          <w:sz w:val="24"/>
          <w:szCs w:val="24"/>
          <w:lang w:val="en-US"/>
        </w:rPr>
        <w:t xml:space="preserve"> periods of international conflict. By the same token, the </w:t>
      </w:r>
      <w:r w:rsidRPr="00470E8F">
        <w:rPr>
          <w:rFonts w:ascii="Times New Roman" w:hAnsi="Times New Roman"/>
          <w:sz w:val="24"/>
          <w:szCs w:val="24"/>
          <w:lang w:val="en-US"/>
        </w:rPr>
        <w:lastRenderedPageBreak/>
        <w:t>negative relationship between world government bonds and stocks during periods of international political hostilities calls for the use of the fixed</w:t>
      </w:r>
      <w:r w:rsidR="00914533">
        <w:rPr>
          <w:rFonts w:ascii="Times New Roman" w:hAnsi="Times New Roman"/>
          <w:sz w:val="24"/>
          <w:szCs w:val="24"/>
          <w:lang w:val="en-US"/>
        </w:rPr>
        <w:t>-</w:t>
      </w:r>
      <w:r w:rsidRPr="00470E8F">
        <w:rPr>
          <w:rFonts w:ascii="Times New Roman" w:hAnsi="Times New Roman"/>
          <w:sz w:val="24"/>
          <w:szCs w:val="24"/>
          <w:lang w:val="en-US"/>
        </w:rPr>
        <w:t>income securities in diversifying equity portfolios. This is in line with evidence on the presence of flights from stock markets to the safety and liquidity of the sovereign bond markets in times of financial turmoil (</w:t>
      </w:r>
      <w:proofErr w:type="spellStart"/>
      <w:r w:rsidRPr="00470E8F">
        <w:rPr>
          <w:rFonts w:ascii="Times New Roman" w:hAnsi="Times New Roman"/>
          <w:sz w:val="24"/>
          <w:szCs w:val="24"/>
          <w:lang w:val="en-US"/>
        </w:rPr>
        <w:t>Baur</w:t>
      </w:r>
      <w:proofErr w:type="spellEnd"/>
      <w:r w:rsidRPr="00470E8F">
        <w:rPr>
          <w:rFonts w:ascii="Times New Roman" w:hAnsi="Times New Roman"/>
          <w:sz w:val="24"/>
          <w:szCs w:val="24"/>
          <w:lang w:val="en-US"/>
        </w:rPr>
        <w:t xml:space="preserve"> and Lucey, 2009; and Hartmann </w:t>
      </w:r>
      <w:r w:rsidRPr="00470E8F">
        <w:rPr>
          <w:rFonts w:ascii="Times New Roman" w:hAnsi="Times New Roman"/>
          <w:i/>
          <w:sz w:val="24"/>
          <w:szCs w:val="24"/>
          <w:lang w:val="en-US"/>
        </w:rPr>
        <w:t>et al</w:t>
      </w:r>
      <w:r w:rsidRPr="00470E8F">
        <w:rPr>
          <w:rFonts w:ascii="Times New Roman" w:hAnsi="Times New Roman"/>
          <w:sz w:val="24"/>
          <w:szCs w:val="24"/>
          <w:lang w:val="en-US"/>
        </w:rPr>
        <w:t xml:space="preserve">., 2004). </w:t>
      </w:r>
    </w:p>
    <w:p w:rsidR="00D30D62" w:rsidRDefault="00D30D62" w:rsidP="00D30D62">
      <w:pPr>
        <w:spacing w:line="480" w:lineRule="auto"/>
        <w:ind w:firstLine="360"/>
        <w:jc w:val="both"/>
        <w:rPr>
          <w:rFonts w:ascii="Times New Roman" w:hAnsi="Times New Roman"/>
          <w:sz w:val="24"/>
          <w:szCs w:val="24"/>
          <w:lang w:val="en-US"/>
        </w:rPr>
      </w:pPr>
      <w:r w:rsidRPr="00470E8F">
        <w:rPr>
          <w:rFonts w:ascii="Times New Roman" w:hAnsi="Times New Roman"/>
          <w:sz w:val="24"/>
          <w:szCs w:val="24"/>
          <w:lang w:val="en-US"/>
        </w:rPr>
        <w:t xml:space="preserve">Several practical issues need to be contemplated at this stage. As physical possession of oil is troublesome for most investors, a long position could be taken in the “paper market” instead. Oil futures and oil ETFs are suitable vehicles to accomplish this goal. </w:t>
      </w:r>
      <w:proofErr w:type="spellStart"/>
      <w:r w:rsidRPr="00470E8F">
        <w:rPr>
          <w:rFonts w:ascii="Times New Roman" w:hAnsi="Times New Roman"/>
          <w:sz w:val="24"/>
          <w:szCs w:val="24"/>
          <w:lang w:val="en-US"/>
        </w:rPr>
        <w:t>Geman</w:t>
      </w:r>
      <w:proofErr w:type="spellEnd"/>
      <w:r w:rsidRPr="00470E8F">
        <w:rPr>
          <w:rFonts w:ascii="Times New Roman" w:hAnsi="Times New Roman"/>
          <w:sz w:val="24"/>
          <w:szCs w:val="24"/>
          <w:lang w:val="en-US"/>
        </w:rPr>
        <w:t xml:space="preserve"> and </w:t>
      </w:r>
      <w:proofErr w:type="spellStart"/>
      <w:r w:rsidRPr="00470E8F">
        <w:rPr>
          <w:rFonts w:ascii="Times New Roman" w:hAnsi="Times New Roman"/>
          <w:sz w:val="24"/>
          <w:szCs w:val="24"/>
          <w:lang w:val="en-US"/>
        </w:rPr>
        <w:t>Kharoubi</w:t>
      </w:r>
      <w:proofErr w:type="spellEnd"/>
      <w:r w:rsidRPr="00470E8F">
        <w:rPr>
          <w:rFonts w:ascii="Times New Roman" w:hAnsi="Times New Roman"/>
          <w:sz w:val="24"/>
          <w:szCs w:val="24"/>
          <w:lang w:val="en-US"/>
        </w:rPr>
        <w:t xml:space="preserve"> (2008) advocate the use of NYMEX WTI crude oil futures with 18 month maturity to diversify a portfolio of stocks. Furthermore, we do not recommend using oil stocks as a substitute for holding crude petroleum. Given the current industry structure, most of the windfall gains arising from oil price increases accrue to host governments, rather than the international oil companies (Stevens, 2005). Finally, it would not be prudent to switch in and out of an oil position depending on a subjectively perceived probability of war. </w:t>
      </w:r>
      <w:r w:rsidRPr="005C6703">
        <w:rPr>
          <w:rFonts w:ascii="Times New Roman" w:hAnsi="Times New Roman"/>
          <w:sz w:val="24"/>
          <w:szCs w:val="24"/>
          <w:lang w:val="en-US"/>
        </w:rPr>
        <w:t>Governments could stockpile supplies well in advance of any secretly planned military operations and to a casual observer the dynamics of the oil price may be understood only with the benefit of hindsight. In our judgment, oil holdings should be a permanent feature of a well-constructed portfolio.</w:t>
      </w:r>
      <w:r w:rsidRPr="00470E8F">
        <w:rPr>
          <w:rFonts w:ascii="Times New Roman" w:hAnsi="Times New Roman"/>
          <w:sz w:val="24"/>
          <w:szCs w:val="24"/>
          <w:lang w:val="en-US"/>
        </w:rPr>
        <w:t xml:space="preserve"> Our results from optimization indicate that a properly diversified portf</w:t>
      </w:r>
      <w:r w:rsidR="00E90797">
        <w:rPr>
          <w:rFonts w:ascii="Times New Roman" w:hAnsi="Times New Roman"/>
          <w:sz w:val="24"/>
          <w:szCs w:val="24"/>
          <w:lang w:val="en-US"/>
        </w:rPr>
        <w:t xml:space="preserve">olio should aim to contain between </w:t>
      </w:r>
      <w:r w:rsidRPr="00470E8F">
        <w:rPr>
          <w:rFonts w:ascii="Times New Roman" w:hAnsi="Times New Roman"/>
          <w:sz w:val="24"/>
          <w:szCs w:val="24"/>
          <w:lang w:val="en-US"/>
        </w:rPr>
        <w:t xml:space="preserve">16.53% of its value in crude oil, unless the portfolio is loaded heavily on sovereign bonds, in which case the proportion could be lower.  </w:t>
      </w:r>
    </w:p>
    <w:p w:rsidR="00D30D62" w:rsidRDefault="00D30D62" w:rsidP="00D30D62">
      <w:pPr>
        <w:spacing w:line="480" w:lineRule="auto"/>
        <w:ind w:firstLine="360"/>
        <w:jc w:val="both"/>
        <w:rPr>
          <w:rFonts w:ascii="Times New Roman" w:hAnsi="Times New Roman"/>
          <w:sz w:val="24"/>
          <w:szCs w:val="24"/>
        </w:rPr>
      </w:pPr>
      <w:r>
        <w:rPr>
          <w:rFonts w:ascii="Times New Roman" w:hAnsi="Times New Roman"/>
          <w:sz w:val="24"/>
          <w:szCs w:val="24"/>
        </w:rPr>
        <w:br w:type="page"/>
      </w:r>
    </w:p>
    <w:p w:rsidR="00D30D62" w:rsidRDefault="00D30D62" w:rsidP="00D30D62">
      <w:pPr>
        <w:rPr>
          <w:rFonts w:ascii="Times New Roman" w:hAnsi="Times New Roman"/>
          <w:b/>
          <w:sz w:val="24"/>
          <w:szCs w:val="24"/>
        </w:rPr>
      </w:pPr>
      <w:r>
        <w:rPr>
          <w:rFonts w:ascii="Times New Roman" w:hAnsi="Times New Roman"/>
          <w:b/>
          <w:sz w:val="24"/>
          <w:szCs w:val="24"/>
        </w:rPr>
        <w:lastRenderedPageBreak/>
        <w:t>References</w:t>
      </w:r>
    </w:p>
    <w:p w:rsidR="00821514" w:rsidRDefault="00821514" w:rsidP="00821514">
      <w:pPr>
        <w:spacing w:before="120" w:after="120" w:line="360" w:lineRule="auto"/>
        <w:ind w:left="426" w:hanging="426"/>
        <w:jc w:val="both"/>
        <w:rPr>
          <w:rFonts w:ascii="Times New Roman" w:hAnsi="Times New Roman"/>
          <w:sz w:val="24"/>
          <w:szCs w:val="24"/>
        </w:rPr>
      </w:pPr>
      <w:proofErr w:type="spellStart"/>
      <w:r>
        <w:rPr>
          <w:rFonts w:ascii="Times New Roman" w:hAnsi="Times New Roman"/>
          <w:sz w:val="24"/>
          <w:szCs w:val="24"/>
        </w:rPr>
        <w:t>Abeysinghe</w:t>
      </w:r>
      <w:proofErr w:type="spellEnd"/>
      <w:r w:rsidRPr="00902D4C">
        <w:rPr>
          <w:rFonts w:ascii="Times New Roman" w:hAnsi="Times New Roman"/>
          <w:sz w:val="24"/>
          <w:szCs w:val="24"/>
        </w:rPr>
        <w:t xml:space="preserve"> T</w:t>
      </w:r>
      <w:r>
        <w:rPr>
          <w:rFonts w:ascii="Times New Roman" w:hAnsi="Times New Roman"/>
          <w:sz w:val="24"/>
          <w:szCs w:val="24"/>
        </w:rPr>
        <w:t>. (2001)</w:t>
      </w:r>
      <w:r w:rsidR="004D0458">
        <w:rPr>
          <w:rFonts w:ascii="Times New Roman" w:hAnsi="Times New Roman"/>
          <w:sz w:val="24"/>
          <w:szCs w:val="24"/>
        </w:rPr>
        <w:t>.</w:t>
      </w:r>
      <w:r w:rsidRPr="00902D4C">
        <w:rPr>
          <w:rFonts w:ascii="Times New Roman" w:hAnsi="Times New Roman"/>
          <w:sz w:val="24"/>
          <w:szCs w:val="24"/>
        </w:rPr>
        <w:t xml:space="preserve"> </w:t>
      </w:r>
      <w:proofErr w:type="gramStart"/>
      <w:r w:rsidRPr="00902D4C">
        <w:rPr>
          <w:rFonts w:ascii="Times New Roman" w:hAnsi="Times New Roman"/>
          <w:sz w:val="24"/>
          <w:szCs w:val="24"/>
        </w:rPr>
        <w:t xml:space="preserve">Estimation of </w:t>
      </w:r>
      <w:r>
        <w:rPr>
          <w:rFonts w:ascii="Times New Roman" w:hAnsi="Times New Roman"/>
          <w:sz w:val="24"/>
          <w:szCs w:val="24"/>
        </w:rPr>
        <w:t>d</w:t>
      </w:r>
      <w:r w:rsidRPr="00902D4C">
        <w:rPr>
          <w:rFonts w:ascii="Times New Roman" w:hAnsi="Times New Roman"/>
          <w:sz w:val="24"/>
          <w:szCs w:val="24"/>
        </w:rPr>
        <w:t xml:space="preserve">irect and </w:t>
      </w:r>
      <w:r>
        <w:rPr>
          <w:rFonts w:ascii="Times New Roman" w:hAnsi="Times New Roman"/>
          <w:sz w:val="24"/>
          <w:szCs w:val="24"/>
        </w:rPr>
        <w:t>i</w:t>
      </w:r>
      <w:r w:rsidRPr="00902D4C">
        <w:rPr>
          <w:rFonts w:ascii="Times New Roman" w:hAnsi="Times New Roman"/>
          <w:sz w:val="24"/>
          <w:szCs w:val="24"/>
        </w:rPr>
        <w:t xml:space="preserve">ndirect </w:t>
      </w:r>
      <w:r>
        <w:rPr>
          <w:rFonts w:ascii="Times New Roman" w:hAnsi="Times New Roman"/>
          <w:sz w:val="24"/>
          <w:szCs w:val="24"/>
        </w:rPr>
        <w:t>i</w:t>
      </w:r>
      <w:r w:rsidRPr="00902D4C">
        <w:rPr>
          <w:rFonts w:ascii="Times New Roman" w:hAnsi="Times New Roman"/>
          <w:sz w:val="24"/>
          <w:szCs w:val="24"/>
        </w:rPr>
        <w:t xml:space="preserve">mpact of </w:t>
      </w:r>
      <w:r>
        <w:rPr>
          <w:rFonts w:ascii="Times New Roman" w:hAnsi="Times New Roman"/>
          <w:sz w:val="24"/>
          <w:szCs w:val="24"/>
        </w:rPr>
        <w:t>o</w:t>
      </w:r>
      <w:r w:rsidRPr="00902D4C">
        <w:rPr>
          <w:rFonts w:ascii="Times New Roman" w:hAnsi="Times New Roman"/>
          <w:sz w:val="24"/>
          <w:szCs w:val="24"/>
        </w:rPr>
        <w:t xml:space="preserve">il </w:t>
      </w:r>
      <w:r>
        <w:rPr>
          <w:rFonts w:ascii="Times New Roman" w:hAnsi="Times New Roman"/>
          <w:sz w:val="24"/>
          <w:szCs w:val="24"/>
        </w:rPr>
        <w:t>p</w:t>
      </w:r>
      <w:r w:rsidRPr="00902D4C">
        <w:rPr>
          <w:rFonts w:ascii="Times New Roman" w:hAnsi="Times New Roman"/>
          <w:sz w:val="24"/>
          <w:szCs w:val="24"/>
        </w:rPr>
        <w:t xml:space="preserve">rice on </w:t>
      </w:r>
      <w:r>
        <w:rPr>
          <w:rFonts w:ascii="Times New Roman" w:hAnsi="Times New Roman"/>
          <w:sz w:val="24"/>
          <w:szCs w:val="24"/>
        </w:rPr>
        <w:t>g</w:t>
      </w:r>
      <w:r w:rsidRPr="00902D4C">
        <w:rPr>
          <w:rFonts w:ascii="Times New Roman" w:hAnsi="Times New Roman"/>
          <w:sz w:val="24"/>
          <w:szCs w:val="24"/>
        </w:rPr>
        <w:t>rowth</w:t>
      </w:r>
      <w:r w:rsidR="004D0458">
        <w:rPr>
          <w:rFonts w:ascii="Times New Roman" w:hAnsi="Times New Roman"/>
          <w:sz w:val="24"/>
          <w:szCs w:val="24"/>
        </w:rPr>
        <w:t>.</w:t>
      </w:r>
      <w:proofErr w:type="gramEnd"/>
      <w:r w:rsidRPr="00902D4C">
        <w:rPr>
          <w:rFonts w:ascii="Times New Roman" w:hAnsi="Times New Roman"/>
          <w:sz w:val="24"/>
          <w:szCs w:val="24"/>
        </w:rPr>
        <w:t xml:space="preserve"> </w:t>
      </w:r>
      <w:r w:rsidRPr="00156E8C">
        <w:rPr>
          <w:rFonts w:ascii="Times New Roman" w:hAnsi="Times New Roman"/>
          <w:i/>
          <w:sz w:val="24"/>
          <w:szCs w:val="24"/>
        </w:rPr>
        <w:t>Economics Letters</w:t>
      </w:r>
      <w:r>
        <w:rPr>
          <w:rFonts w:ascii="Times New Roman" w:hAnsi="Times New Roman"/>
          <w:sz w:val="24"/>
          <w:szCs w:val="24"/>
        </w:rPr>
        <w:t>,</w:t>
      </w:r>
      <w:r>
        <w:rPr>
          <w:rFonts w:ascii="Times New Roman" w:hAnsi="Times New Roman"/>
          <w:i/>
          <w:sz w:val="24"/>
          <w:szCs w:val="24"/>
        </w:rPr>
        <w:t xml:space="preserve"> </w:t>
      </w:r>
      <w:r w:rsidRPr="00902D4C">
        <w:rPr>
          <w:rFonts w:ascii="Times New Roman" w:hAnsi="Times New Roman"/>
          <w:sz w:val="24"/>
          <w:szCs w:val="24"/>
        </w:rPr>
        <w:t>Vol. 73, No. 2, pp.</w:t>
      </w:r>
      <w:r>
        <w:rPr>
          <w:rFonts w:ascii="Times New Roman" w:hAnsi="Times New Roman"/>
          <w:sz w:val="24"/>
          <w:szCs w:val="24"/>
        </w:rPr>
        <w:t>:</w:t>
      </w:r>
      <w:r w:rsidRPr="00902D4C">
        <w:rPr>
          <w:rFonts w:ascii="Times New Roman" w:hAnsi="Times New Roman"/>
          <w:sz w:val="24"/>
          <w:szCs w:val="24"/>
        </w:rPr>
        <w:t xml:space="preserve"> 147-153. </w:t>
      </w:r>
    </w:p>
    <w:p w:rsidR="004D0458" w:rsidRDefault="004D0458" w:rsidP="00821514">
      <w:pPr>
        <w:spacing w:before="120" w:after="120" w:line="360" w:lineRule="auto"/>
        <w:ind w:left="426" w:hanging="426"/>
        <w:jc w:val="both"/>
        <w:rPr>
          <w:rFonts w:ascii="Times New Roman" w:hAnsi="Times New Roman"/>
          <w:sz w:val="24"/>
          <w:szCs w:val="24"/>
        </w:rPr>
      </w:pPr>
      <w:proofErr w:type="spellStart"/>
      <w:proofErr w:type="gramStart"/>
      <w:r w:rsidRPr="00964FD2">
        <w:rPr>
          <w:rFonts w:ascii="Times New Roman" w:hAnsi="Times New Roman" w:cs="Times New Roman"/>
          <w:sz w:val="24"/>
          <w:szCs w:val="24"/>
        </w:rPr>
        <w:t>Alquist</w:t>
      </w:r>
      <w:proofErr w:type="spellEnd"/>
      <w:r w:rsidRPr="00964FD2">
        <w:rPr>
          <w:rFonts w:ascii="Times New Roman" w:hAnsi="Times New Roman" w:cs="Times New Roman"/>
          <w:sz w:val="24"/>
          <w:szCs w:val="24"/>
        </w:rPr>
        <w:t>, R., and Kilian, L. (2010)</w:t>
      </w:r>
      <w:r>
        <w:rPr>
          <w:rFonts w:ascii="Times New Roman" w:hAnsi="Times New Roman" w:cs="Times New Roman"/>
          <w:sz w:val="24"/>
          <w:szCs w:val="24"/>
        </w:rPr>
        <w:t>.</w:t>
      </w:r>
      <w:proofErr w:type="gramEnd"/>
      <w:r w:rsidRPr="00964FD2">
        <w:rPr>
          <w:rFonts w:ascii="Times New Roman" w:hAnsi="Times New Roman" w:cs="Times New Roman"/>
          <w:sz w:val="24"/>
          <w:szCs w:val="24"/>
        </w:rPr>
        <w:t xml:space="preserve"> What do we learn from </w:t>
      </w:r>
      <w:r>
        <w:rPr>
          <w:rFonts w:ascii="Times New Roman" w:hAnsi="Times New Roman" w:cs="Times New Roman"/>
          <w:sz w:val="24"/>
          <w:szCs w:val="24"/>
        </w:rPr>
        <w:t>the price of crude oil futures</w:t>
      </w:r>
      <w:proofErr w:type="gramStart"/>
      <w:r>
        <w:rPr>
          <w:rFonts w:ascii="Times New Roman" w:hAnsi="Times New Roman" w:cs="Times New Roman"/>
          <w:sz w:val="24"/>
          <w:szCs w:val="24"/>
        </w:rPr>
        <w:t>?.</w:t>
      </w:r>
      <w:proofErr w:type="gramEnd"/>
      <w:r w:rsidRPr="00964FD2">
        <w:rPr>
          <w:rFonts w:ascii="Times New Roman" w:hAnsi="Times New Roman" w:cs="Times New Roman"/>
          <w:sz w:val="24"/>
          <w:szCs w:val="24"/>
        </w:rPr>
        <w:t xml:space="preserve"> </w:t>
      </w:r>
      <w:r w:rsidRPr="00964FD2">
        <w:rPr>
          <w:rFonts w:ascii="Times New Roman" w:hAnsi="Times New Roman" w:cs="Times New Roman"/>
          <w:i/>
          <w:sz w:val="24"/>
          <w:szCs w:val="24"/>
        </w:rPr>
        <w:t>Journal of Applied Econometrics</w:t>
      </w:r>
      <w:r w:rsidRPr="00964FD2">
        <w:rPr>
          <w:rFonts w:ascii="Times New Roman" w:hAnsi="Times New Roman" w:cs="Times New Roman"/>
          <w:sz w:val="24"/>
          <w:szCs w:val="24"/>
        </w:rPr>
        <w:t>, Vol. 25, pp.: 537-573.</w:t>
      </w:r>
    </w:p>
    <w:p w:rsidR="00821514" w:rsidRDefault="00821514" w:rsidP="00821514">
      <w:pPr>
        <w:spacing w:before="120" w:after="120" w:line="360" w:lineRule="auto"/>
        <w:ind w:left="426" w:hanging="426"/>
        <w:jc w:val="both"/>
        <w:rPr>
          <w:rFonts w:ascii="Times New Roman" w:hAnsi="Times New Roman"/>
          <w:sz w:val="24"/>
          <w:szCs w:val="24"/>
        </w:rPr>
      </w:pPr>
      <w:r>
        <w:rPr>
          <w:rFonts w:ascii="Times New Roman" w:hAnsi="Times New Roman"/>
          <w:sz w:val="24"/>
          <w:szCs w:val="24"/>
        </w:rPr>
        <w:t xml:space="preserve">Amano, R.A., and van </w:t>
      </w:r>
      <w:proofErr w:type="spellStart"/>
      <w:r>
        <w:rPr>
          <w:rFonts w:ascii="Times New Roman" w:hAnsi="Times New Roman"/>
          <w:sz w:val="24"/>
          <w:szCs w:val="24"/>
        </w:rPr>
        <w:t>Norden</w:t>
      </w:r>
      <w:proofErr w:type="spellEnd"/>
      <w:r>
        <w:rPr>
          <w:rFonts w:ascii="Times New Roman" w:hAnsi="Times New Roman"/>
          <w:sz w:val="24"/>
          <w:szCs w:val="24"/>
        </w:rPr>
        <w:t xml:space="preserve">, S. (1998). Oil prices and the rise and fall of the US real exchange rate, </w:t>
      </w:r>
      <w:r w:rsidRPr="00747A38">
        <w:rPr>
          <w:rFonts w:ascii="Times New Roman" w:hAnsi="Times New Roman"/>
          <w:i/>
          <w:sz w:val="24"/>
          <w:szCs w:val="24"/>
        </w:rPr>
        <w:t>Journal of International Money and Finance</w:t>
      </w:r>
      <w:r>
        <w:rPr>
          <w:rFonts w:ascii="Times New Roman" w:hAnsi="Times New Roman"/>
          <w:sz w:val="24"/>
          <w:szCs w:val="24"/>
        </w:rPr>
        <w:t xml:space="preserve">, Vol. 17, pp.: 299-316. </w:t>
      </w:r>
    </w:p>
    <w:p w:rsidR="00821514" w:rsidRPr="00F33A79"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Amihud</w:t>
      </w:r>
      <w:proofErr w:type="spellEnd"/>
      <w:r>
        <w:rPr>
          <w:rFonts w:ascii="Times New Roman" w:hAnsi="Times New Roman"/>
          <w:sz w:val="24"/>
          <w:szCs w:val="24"/>
        </w:rPr>
        <w:t>, Y., and</w:t>
      </w:r>
      <w:r w:rsidRPr="00F33A79">
        <w:rPr>
          <w:rFonts w:ascii="Times New Roman" w:hAnsi="Times New Roman"/>
          <w:sz w:val="24"/>
          <w:szCs w:val="24"/>
        </w:rPr>
        <w:t xml:space="preserve"> </w:t>
      </w:r>
      <w:proofErr w:type="spellStart"/>
      <w:r w:rsidRPr="00F33A79">
        <w:rPr>
          <w:rFonts w:ascii="Times New Roman" w:hAnsi="Times New Roman"/>
          <w:sz w:val="24"/>
          <w:szCs w:val="24"/>
        </w:rPr>
        <w:t>Wohl</w:t>
      </w:r>
      <w:proofErr w:type="spellEnd"/>
      <w:r w:rsidRPr="00F33A79">
        <w:rPr>
          <w:rFonts w:ascii="Times New Roman" w:hAnsi="Times New Roman"/>
          <w:sz w:val="24"/>
          <w:szCs w:val="24"/>
        </w:rPr>
        <w:t>, A. (2004).</w:t>
      </w:r>
      <w:proofErr w:type="gramEnd"/>
      <w:r w:rsidRPr="00F33A79">
        <w:rPr>
          <w:rFonts w:ascii="Times New Roman" w:hAnsi="Times New Roman"/>
          <w:sz w:val="24"/>
          <w:szCs w:val="24"/>
        </w:rPr>
        <w:t xml:space="preserve"> Political news and stock prices: The case of Saddam Hussein contracts. </w:t>
      </w:r>
      <w:r w:rsidRPr="00F33A79">
        <w:rPr>
          <w:rFonts w:ascii="Times New Roman" w:hAnsi="Times New Roman"/>
          <w:i/>
          <w:iCs/>
          <w:sz w:val="24"/>
          <w:szCs w:val="24"/>
        </w:rPr>
        <w:t>Journal of Banking &amp; Finance</w:t>
      </w:r>
      <w:r w:rsidRPr="00F33A79">
        <w:rPr>
          <w:rFonts w:ascii="Times New Roman" w:hAnsi="Times New Roman"/>
          <w:sz w:val="24"/>
          <w:szCs w:val="24"/>
        </w:rPr>
        <w:t>, </w:t>
      </w:r>
      <w:r>
        <w:rPr>
          <w:rFonts w:ascii="Times New Roman" w:hAnsi="Times New Roman"/>
          <w:sz w:val="24"/>
          <w:szCs w:val="24"/>
        </w:rPr>
        <w:t xml:space="preserve">Vol. </w:t>
      </w:r>
      <w:r w:rsidRPr="00F33A79">
        <w:rPr>
          <w:rFonts w:ascii="Times New Roman" w:hAnsi="Times New Roman"/>
          <w:iCs/>
          <w:sz w:val="24"/>
          <w:szCs w:val="24"/>
        </w:rPr>
        <w:t>28</w:t>
      </w:r>
      <w:r>
        <w:rPr>
          <w:rFonts w:ascii="Times New Roman" w:hAnsi="Times New Roman"/>
          <w:iCs/>
          <w:sz w:val="24"/>
          <w:szCs w:val="24"/>
        </w:rPr>
        <w:t xml:space="preserve">, No. </w:t>
      </w:r>
      <w:r w:rsidRPr="00F33A79">
        <w:rPr>
          <w:rFonts w:ascii="Times New Roman" w:hAnsi="Times New Roman"/>
          <w:sz w:val="24"/>
          <w:szCs w:val="24"/>
        </w:rPr>
        <w:t>5, pp.</w:t>
      </w:r>
      <w:r>
        <w:rPr>
          <w:rFonts w:ascii="Times New Roman" w:hAnsi="Times New Roman"/>
          <w:sz w:val="24"/>
          <w:szCs w:val="24"/>
        </w:rPr>
        <w:t>:</w:t>
      </w:r>
      <w:r w:rsidRPr="00F33A79">
        <w:rPr>
          <w:rFonts w:ascii="Times New Roman" w:hAnsi="Times New Roman"/>
          <w:sz w:val="24"/>
          <w:szCs w:val="24"/>
        </w:rPr>
        <w:t xml:space="preserve"> 1185-1200.</w:t>
      </w:r>
    </w:p>
    <w:p w:rsidR="00821514" w:rsidRPr="00EC68B9"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EC68B9">
        <w:rPr>
          <w:rFonts w:ascii="Times New Roman" w:hAnsi="Times New Roman"/>
          <w:sz w:val="24"/>
          <w:szCs w:val="24"/>
        </w:rPr>
        <w:t>Apergis</w:t>
      </w:r>
      <w:proofErr w:type="spellEnd"/>
      <w:r w:rsidRPr="00EC68B9">
        <w:rPr>
          <w:rFonts w:ascii="Times New Roman" w:hAnsi="Times New Roman"/>
          <w:sz w:val="24"/>
          <w:szCs w:val="24"/>
        </w:rPr>
        <w:t xml:space="preserve">, N. </w:t>
      </w:r>
      <w:r>
        <w:rPr>
          <w:rFonts w:ascii="Times New Roman" w:hAnsi="Times New Roman"/>
          <w:sz w:val="24"/>
          <w:szCs w:val="24"/>
        </w:rPr>
        <w:t>and</w:t>
      </w:r>
      <w:r w:rsidRPr="00EC68B9">
        <w:rPr>
          <w:rFonts w:ascii="Times New Roman" w:hAnsi="Times New Roman"/>
          <w:sz w:val="24"/>
          <w:szCs w:val="24"/>
        </w:rPr>
        <w:t xml:space="preserve"> Miller</w:t>
      </w:r>
      <w:r>
        <w:rPr>
          <w:rFonts w:ascii="Times New Roman" w:hAnsi="Times New Roman"/>
          <w:sz w:val="24"/>
          <w:szCs w:val="24"/>
        </w:rPr>
        <w:t>, S.M.</w:t>
      </w:r>
      <w:r w:rsidRPr="00EC68B9">
        <w:rPr>
          <w:rFonts w:ascii="Times New Roman" w:hAnsi="Times New Roman"/>
          <w:sz w:val="24"/>
          <w:szCs w:val="24"/>
        </w:rPr>
        <w:t xml:space="preserve"> (2009)</w:t>
      </w:r>
      <w:r>
        <w:rPr>
          <w:rFonts w:ascii="Times New Roman" w:hAnsi="Times New Roman"/>
          <w:sz w:val="24"/>
          <w:szCs w:val="24"/>
        </w:rPr>
        <w:t>.</w:t>
      </w:r>
      <w:proofErr w:type="gramEnd"/>
      <w:r w:rsidRPr="00EC68B9">
        <w:rPr>
          <w:rFonts w:ascii="Times New Roman" w:hAnsi="Times New Roman"/>
          <w:sz w:val="24"/>
          <w:szCs w:val="24"/>
        </w:rPr>
        <w:t xml:space="preserve"> Do </w:t>
      </w:r>
      <w:r>
        <w:rPr>
          <w:rFonts w:ascii="Times New Roman" w:hAnsi="Times New Roman"/>
          <w:sz w:val="24"/>
          <w:szCs w:val="24"/>
        </w:rPr>
        <w:t>s</w:t>
      </w:r>
      <w:r w:rsidRPr="00EC68B9">
        <w:rPr>
          <w:rFonts w:ascii="Times New Roman" w:hAnsi="Times New Roman"/>
          <w:sz w:val="24"/>
          <w:szCs w:val="24"/>
        </w:rPr>
        <w:t xml:space="preserve">tructural </w:t>
      </w:r>
      <w:r>
        <w:rPr>
          <w:rFonts w:ascii="Times New Roman" w:hAnsi="Times New Roman"/>
          <w:sz w:val="24"/>
          <w:szCs w:val="24"/>
        </w:rPr>
        <w:t>o</w:t>
      </w:r>
      <w:r w:rsidRPr="00EC68B9">
        <w:rPr>
          <w:rFonts w:ascii="Times New Roman" w:hAnsi="Times New Roman"/>
          <w:sz w:val="24"/>
          <w:szCs w:val="24"/>
        </w:rPr>
        <w:t>il-</w:t>
      </w:r>
      <w:r>
        <w:rPr>
          <w:rFonts w:ascii="Times New Roman" w:hAnsi="Times New Roman"/>
          <w:sz w:val="24"/>
          <w:szCs w:val="24"/>
        </w:rPr>
        <w:t>m</w:t>
      </w:r>
      <w:r w:rsidRPr="00EC68B9">
        <w:rPr>
          <w:rFonts w:ascii="Times New Roman" w:hAnsi="Times New Roman"/>
          <w:sz w:val="24"/>
          <w:szCs w:val="24"/>
        </w:rPr>
        <w:t>arket shocks affect stock</w:t>
      </w:r>
      <w:r>
        <w:rPr>
          <w:rFonts w:ascii="Times New Roman" w:hAnsi="Times New Roman"/>
          <w:sz w:val="24"/>
          <w:szCs w:val="24"/>
        </w:rPr>
        <w:t xml:space="preserve"> </w:t>
      </w:r>
      <w:r w:rsidRPr="00EC68B9">
        <w:rPr>
          <w:rFonts w:ascii="Times New Roman" w:hAnsi="Times New Roman"/>
          <w:sz w:val="24"/>
          <w:szCs w:val="24"/>
        </w:rPr>
        <w:t>prices</w:t>
      </w:r>
      <w:proofErr w:type="gramStart"/>
      <w:r w:rsidRPr="00EC68B9">
        <w:rPr>
          <w:rFonts w:ascii="Times New Roman" w:hAnsi="Times New Roman"/>
          <w:sz w:val="24"/>
          <w:szCs w:val="24"/>
        </w:rPr>
        <w:t>?</w:t>
      </w:r>
      <w:r>
        <w:rPr>
          <w:rFonts w:ascii="Times New Roman" w:hAnsi="Times New Roman"/>
          <w:sz w:val="24"/>
          <w:szCs w:val="24"/>
        </w:rPr>
        <w:t>,</w:t>
      </w:r>
      <w:proofErr w:type="gramEnd"/>
      <w:r w:rsidRPr="00EC68B9">
        <w:rPr>
          <w:rFonts w:ascii="Times New Roman" w:hAnsi="Times New Roman"/>
          <w:sz w:val="24"/>
          <w:szCs w:val="24"/>
        </w:rPr>
        <w:t xml:space="preserve"> </w:t>
      </w:r>
      <w:r w:rsidRPr="006A18A8">
        <w:rPr>
          <w:rFonts w:ascii="Times New Roman" w:hAnsi="Times New Roman"/>
          <w:i/>
          <w:sz w:val="24"/>
          <w:szCs w:val="24"/>
        </w:rPr>
        <w:t>Energy Economics</w:t>
      </w:r>
      <w:r w:rsidRPr="00EC68B9">
        <w:rPr>
          <w:rFonts w:ascii="Times New Roman" w:hAnsi="Times New Roman"/>
          <w:sz w:val="24"/>
          <w:szCs w:val="24"/>
        </w:rPr>
        <w:t xml:space="preserve">, </w:t>
      </w:r>
      <w:r>
        <w:rPr>
          <w:rFonts w:ascii="Times New Roman" w:hAnsi="Times New Roman"/>
          <w:sz w:val="24"/>
          <w:szCs w:val="24"/>
        </w:rPr>
        <w:t xml:space="preserve">Vol. </w:t>
      </w:r>
      <w:r w:rsidRPr="00EC68B9">
        <w:rPr>
          <w:rFonts w:ascii="Times New Roman" w:hAnsi="Times New Roman"/>
          <w:sz w:val="24"/>
          <w:szCs w:val="24"/>
        </w:rPr>
        <w:t>31</w:t>
      </w:r>
      <w:r>
        <w:rPr>
          <w:rFonts w:ascii="Times New Roman" w:hAnsi="Times New Roman"/>
          <w:sz w:val="24"/>
          <w:szCs w:val="24"/>
        </w:rPr>
        <w:t>, No. 4</w:t>
      </w:r>
      <w:r w:rsidRPr="00EC68B9">
        <w:rPr>
          <w:rFonts w:ascii="Times New Roman" w:hAnsi="Times New Roman"/>
          <w:sz w:val="24"/>
          <w:szCs w:val="24"/>
        </w:rPr>
        <w:t xml:space="preserve">, </w:t>
      </w:r>
      <w:r>
        <w:rPr>
          <w:rFonts w:ascii="Times New Roman" w:hAnsi="Times New Roman"/>
          <w:sz w:val="24"/>
          <w:szCs w:val="24"/>
        </w:rPr>
        <w:t xml:space="preserve">pp.: </w:t>
      </w:r>
      <w:r w:rsidRPr="00EC68B9">
        <w:rPr>
          <w:rFonts w:ascii="Times New Roman" w:hAnsi="Times New Roman"/>
          <w:sz w:val="24"/>
          <w:szCs w:val="24"/>
        </w:rPr>
        <w:t>569–575.</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Arouri</w:t>
      </w:r>
      <w:proofErr w:type="spellEnd"/>
      <w:r>
        <w:rPr>
          <w:rFonts w:ascii="Times New Roman" w:hAnsi="Times New Roman"/>
          <w:sz w:val="24"/>
          <w:szCs w:val="24"/>
        </w:rPr>
        <w:t xml:space="preserve">, M.E.H., </w:t>
      </w:r>
      <w:proofErr w:type="spellStart"/>
      <w:r>
        <w:rPr>
          <w:rFonts w:ascii="Times New Roman" w:hAnsi="Times New Roman"/>
          <w:sz w:val="24"/>
          <w:szCs w:val="24"/>
        </w:rPr>
        <w:t>Jouini</w:t>
      </w:r>
      <w:proofErr w:type="spellEnd"/>
      <w:r>
        <w:rPr>
          <w:rFonts w:ascii="Times New Roman" w:hAnsi="Times New Roman"/>
          <w:sz w:val="24"/>
          <w:szCs w:val="24"/>
        </w:rPr>
        <w:t>, J., and Nguyen, D.K. (2012).</w:t>
      </w:r>
      <w:proofErr w:type="gramEnd"/>
      <w:r>
        <w:rPr>
          <w:rFonts w:ascii="Times New Roman" w:hAnsi="Times New Roman"/>
          <w:sz w:val="24"/>
          <w:szCs w:val="24"/>
        </w:rPr>
        <w:t xml:space="preserve"> On the impacts of oil price fluctuations on European equity markets: Volatility </w:t>
      </w:r>
      <w:proofErr w:type="spellStart"/>
      <w:r>
        <w:rPr>
          <w:rFonts w:ascii="Times New Roman" w:hAnsi="Times New Roman"/>
          <w:sz w:val="24"/>
          <w:szCs w:val="24"/>
        </w:rPr>
        <w:t>spillover</w:t>
      </w:r>
      <w:proofErr w:type="spellEnd"/>
      <w:r>
        <w:rPr>
          <w:rFonts w:ascii="Times New Roman" w:hAnsi="Times New Roman"/>
          <w:sz w:val="24"/>
          <w:szCs w:val="24"/>
        </w:rPr>
        <w:t xml:space="preserve"> and hedging effectiveness, </w:t>
      </w:r>
      <w:r w:rsidRPr="00156E8C">
        <w:rPr>
          <w:rFonts w:ascii="Times New Roman" w:hAnsi="Times New Roman"/>
          <w:i/>
          <w:sz w:val="24"/>
          <w:szCs w:val="24"/>
        </w:rPr>
        <w:t>Energy Economics,</w:t>
      </w:r>
      <w:r>
        <w:rPr>
          <w:rFonts w:ascii="Times New Roman" w:hAnsi="Times New Roman"/>
          <w:i/>
          <w:sz w:val="24"/>
          <w:szCs w:val="24"/>
        </w:rPr>
        <w:t xml:space="preserve"> </w:t>
      </w:r>
      <w:r>
        <w:rPr>
          <w:rFonts w:ascii="Times New Roman" w:hAnsi="Times New Roman"/>
          <w:sz w:val="24"/>
          <w:szCs w:val="24"/>
        </w:rPr>
        <w:t>Vol. 34, No. 2, pp.: 611-617.</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933194">
        <w:rPr>
          <w:rFonts w:ascii="Times New Roman" w:hAnsi="Times New Roman"/>
          <w:sz w:val="24"/>
          <w:szCs w:val="24"/>
        </w:rPr>
        <w:t>Arshanapalli</w:t>
      </w:r>
      <w:proofErr w:type="spellEnd"/>
      <w:r w:rsidRPr="00933194">
        <w:rPr>
          <w:rFonts w:ascii="Times New Roman" w:hAnsi="Times New Roman"/>
          <w:sz w:val="24"/>
          <w:szCs w:val="24"/>
        </w:rPr>
        <w:t xml:space="preserve">, B., and </w:t>
      </w:r>
      <w:proofErr w:type="spellStart"/>
      <w:r w:rsidRPr="00933194">
        <w:rPr>
          <w:rFonts w:ascii="Times New Roman" w:hAnsi="Times New Roman"/>
          <w:sz w:val="24"/>
          <w:szCs w:val="24"/>
        </w:rPr>
        <w:t>Doukas</w:t>
      </w:r>
      <w:proofErr w:type="spellEnd"/>
      <w:r w:rsidRPr="00933194">
        <w:rPr>
          <w:rFonts w:ascii="Times New Roman" w:hAnsi="Times New Roman"/>
          <w:sz w:val="24"/>
          <w:szCs w:val="24"/>
        </w:rPr>
        <w:t>, J. (1993)</w:t>
      </w:r>
      <w:r>
        <w:rPr>
          <w:rFonts w:ascii="Times New Roman" w:hAnsi="Times New Roman"/>
          <w:sz w:val="24"/>
          <w:szCs w:val="24"/>
        </w:rPr>
        <w:t>.</w:t>
      </w:r>
      <w:proofErr w:type="gramEnd"/>
      <w:r w:rsidRPr="00933194">
        <w:rPr>
          <w:rFonts w:ascii="Times New Roman" w:hAnsi="Times New Roman"/>
          <w:sz w:val="24"/>
          <w:szCs w:val="24"/>
        </w:rPr>
        <w:t xml:space="preserve"> International stock market linkages: Evidence from the pre- and post-October 1987 period</w:t>
      </w:r>
      <w:r>
        <w:rPr>
          <w:rFonts w:ascii="Times New Roman" w:hAnsi="Times New Roman"/>
          <w:sz w:val="24"/>
          <w:szCs w:val="24"/>
        </w:rPr>
        <w:t>,</w:t>
      </w:r>
      <w:r w:rsidRPr="00933194">
        <w:rPr>
          <w:rFonts w:ascii="Times New Roman" w:hAnsi="Times New Roman"/>
          <w:sz w:val="24"/>
          <w:szCs w:val="24"/>
        </w:rPr>
        <w:t xml:space="preserve"> </w:t>
      </w:r>
      <w:r w:rsidRPr="00933194">
        <w:rPr>
          <w:rFonts w:ascii="Times New Roman" w:hAnsi="Times New Roman"/>
          <w:i/>
          <w:sz w:val="24"/>
          <w:szCs w:val="24"/>
        </w:rPr>
        <w:t>Journal of Banking and Finance</w:t>
      </w:r>
      <w:r>
        <w:rPr>
          <w:rFonts w:ascii="Times New Roman" w:hAnsi="Times New Roman"/>
          <w:i/>
          <w:sz w:val="24"/>
          <w:szCs w:val="24"/>
        </w:rPr>
        <w:t>,</w:t>
      </w:r>
      <w:r w:rsidRPr="00933194">
        <w:rPr>
          <w:rFonts w:ascii="Times New Roman" w:hAnsi="Times New Roman"/>
          <w:sz w:val="24"/>
          <w:szCs w:val="24"/>
        </w:rPr>
        <w:t xml:space="preserve"> </w:t>
      </w:r>
      <w:r>
        <w:rPr>
          <w:rFonts w:ascii="Times New Roman" w:hAnsi="Times New Roman"/>
          <w:sz w:val="24"/>
          <w:szCs w:val="24"/>
        </w:rPr>
        <w:t xml:space="preserve">Vol. </w:t>
      </w:r>
      <w:r w:rsidRPr="00933194">
        <w:rPr>
          <w:rFonts w:ascii="Times New Roman" w:hAnsi="Times New Roman"/>
          <w:sz w:val="24"/>
          <w:szCs w:val="24"/>
        </w:rPr>
        <w:t>17</w:t>
      </w:r>
      <w:r>
        <w:rPr>
          <w:rFonts w:ascii="Times New Roman" w:hAnsi="Times New Roman"/>
          <w:sz w:val="24"/>
          <w:szCs w:val="24"/>
        </w:rPr>
        <w:t>,</w:t>
      </w:r>
      <w:r w:rsidRPr="00933194">
        <w:rPr>
          <w:rFonts w:ascii="Times New Roman" w:hAnsi="Times New Roman"/>
          <w:sz w:val="24"/>
          <w:szCs w:val="24"/>
        </w:rPr>
        <w:t xml:space="preserve"> </w:t>
      </w:r>
      <w:r>
        <w:rPr>
          <w:rFonts w:ascii="Times New Roman" w:hAnsi="Times New Roman"/>
          <w:sz w:val="24"/>
          <w:szCs w:val="24"/>
        </w:rPr>
        <w:t xml:space="preserve">No. 1, </w:t>
      </w:r>
      <w:r w:rsidRPr="00933194">
        <w:rPr>
          <w:rFonts w:ascii="Times New Roman" w:hAnsi="Times New Roman"/>
          <w:sz w:val="24"/>
          <w:szCs w:val="24"/>
        </w:rPr>
        <w:t xml:space="preserve">pp.:193-208.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933194">
        <w:rPr>
          <w:rFonts w:ascii="Times New Roman" w:hAnsi="Times New Roman"/>
          <w:sz w:val="24"/>
          <w:szCs w:val="24"/>
        </w:rPr>
        <w:t>Asgharian</w:t>
      </w:r>
      <w:proofErr w:type="spellEnd"/>
      <w:r w:rsidRPr="00933194">
        <w:rPr>
          <w:rFonts w:ascii="Times New Roman" w:hAnsi="Times New Roman"/>
          <w:sz w:val="24"/>
          <w:szCs w:val="24"/>
        </w:rPr>
        <w:t xml:space="preserve">, H., and </w:t>
      </w:r>
      <w:proofErr w:type="spellStart"/>
      <w:r w:rsidRPr="00933194">
        <w:rPr>
          <w:rFonts w:ascii="Times New Roman" w:hAnsi="Times New Roman"/>
          <w:sz w:val="24"/>
          <w:szCs w:val="24"/>
        </w:rPr>
        <w:t>Nossman</w:t>
      </w:r>
      <w:proofErr w:type="spellEnd"/>
      <w:r w:rsidRPr="00933194">
        <w:rPr>
          <w:rFonts w:ascii="Times New Roman" w:hAnsi="Times New Roman"/>
          <w:sz w:val="24"/>
          <w:szCs w:val="24"/>
        </w:rPr>
        <w:t xml:space="preserve">, M. (2011) Risk </w:t>
      </w:r>
      <w:r>
        <w:rPr>
          <w:rFonts w:ascii="Times New Roman" w:hAnsi="Times New Roman"/>
          <w:sz w:val="24"/>
          <w:szCs w:val="24"/>
        </w:rPr>
        <w:t>c</w:t>
      </w:r>
      <w:r w:rsidRPr="00933194">
        <w:rPr>
          <w:rFonts w:ascii="Times New Roman" w:hAnsi="Times New Roman"/>
          <w:sz w:val="24"/>
          <w:szCs w:val="24"/>
        </w:rPr>
        <w:t xml:space="preserve">ontagion among </w:t>
      </w:r>
      <w:r>
        <w:rPr>
          <w:rFonts w:ascii="Times New Roman" w:hAnsi="Times New Roman"/>
          <w:sz w:val="24"/>
          <w:szCs w:val="24"/>
        </w:rPr>
        <w:t>i</w:t>
      </w:r>
      <w:r w:rsidRPr="00933194">
        <w:rPr>
          <w:rFonts w:ascii="Times New Roman" w:hAnsi="Times New Roman"/>
          <w:sz w:val="24"/>
          <w:szCs w:val="24"/>
        </w:rPr>
        <w:t xml:space="preserve">nternational </w:t>
      </w:r>
      <w:r>
        <w:rPr>
          <w:rFonts w:ascii="Times New Roman" w:hAnsi="Times New Roman"/>
          <w:sz w:val="24"/>
          <w:szCs w:val="24"/>
        </w:rPr>
        <w:t>s</w:t>
      </w:r>
      <w:r w:rsidRPr="00933194">
        <w:rPr>
          <w:rFonts w:ascii="Times New Roman" w:hAnsi="Times New Roman"/>
          <w:sz w:val="24"/>
          <w:szCs w:val="24"/>
        </w:rPr>
        <w:t xml:space="preserve">tock </w:t>
      </w:r>
      <w:r>
        <w:rPr>
          <w:rFonts w:ascii="Times New Roman" w:hAnsi="Times New Roman"/>
          <w:sz w:val="24"/>
          <w:szCs w:val="24"/>
        </w:rPr>
        <w:t>m</w:t>
      </w:r>
      <w:r w:rsidRPr="00933194">
        <w:rPr>
          <w:rFonts w:ascii="Times New Roman" w:hAnsi="Times New Roman"/>
          <w:sz w:val="24"/>
          <w:szCs w:val="24"/>
        </w:rPr>
        <w:t>arkets</w:t>
      </w:r>
      <w:r>
        <w:rPr>
          <w:rFonts w:ascii="Times New Roman" w:hAnsi="Times New Roman"/>
          <w:sz w:val="24"/>
          <w:szCs w:val="24"/>
        </w:rPr>
        <w:t>,</w:t>
      </w:r>
      <w:r w:rsidRPr="00933194">
        <w:rPr>
          <w:rFonts w:ascii="Times New Roman" w:hAnsi="Times New Roman"/>
          <w:sz w:val="24"/>
          <w:szCs w:val="24"/>
        </w:rPr>
        <w:t xml:space="preserve"> </w:t>
      </w:r>
      <w:r w:rsidRPr="00933194">
        <w:rPr>
          <w:rFonts w:ascii="Times New Roman" w:hAnsi="Times New Roman"/>
          <w:i/>
          <w:sz w:val="24"/>
          <w:szCs w:val="24"/>
        </w:rPr>
        <w:t>Journal of International Money and Finance</w:t>
      </w:r>
      <w:r>
        <w:rPr>
          <w:rFonts w:ascii="Times New Roman" w:hAnsi="Times New Roman"/>
          <w:i/>
          <w:sz w:val="24"/>
          <w:szCs w:val="24"/>
        </w:rPr>
        <w:t>.</w:t>
      </w:r>
      <w:proofErr w:type="gramEnd"/>
      <w:r w:rsidRPr="00933194">
        <w:rPr>
          <w:rFonts w:ascii="Times New Roman" w:hAnsi="Times New Roman"/>
          <w:sz w:val="24"/>
          <w:szCs w:val="24"/>
        </w:rPr>
        <w:t xml:space="preserve"> </w:t>
      </w:r>
      <w:r>
        <w:rPr>
          <w:rFonts w:ascii="Times New Roman" w:hAnsi="Times New Roman"/>
          <w:sz w:val="24"/>
          <w:szCs w:val="24"/>
        </w:rPr>
        <w:t xml:space="preserve">Vol. </w:t>
      </w:r>
      <w:r w:rsidRPr="00933194">
        <w:rPr>
          <w:rFonts w:ascii="Times New Roman" w:hAnsi="Times New Roman"/>
          <w:sz w:val="24"/>
          <w:szCs w:val="24"/>
        </w:rPr>
        <w:t>30</w:t>
      </w:r>
      <w:r>
        <w:rPr>
          <w:rFonts w:ascii="Times New Roman" w:hAnsi="Times New Roman"/>
          <w:sz w:val="24"/>
          <w:szCs w:val="24"/>
        </w:rPr>
        <w:t>,</w:t>
      </w:r>
      <w:r w:rsidRPr="00933194">
        <w:rPr>
          <w:rFonts w:ascii="Times New Roman" w:hAnsi="Times New Roman"/>
          <w:sz w:val="24"/>
          <w:szCs w:val="24"/>
        </w:rPr>
        <w:t xml:space="preserve"> </w:t>
      </w:r>
      <w:r>
        <w:rPr>
          <w:rFonts w:ascii="Times New Roman" w:hAnsi="Times New Roman"/>
          <w:sz w:val="24"/>
          <w:szCs w:val="24"/>
        </w:rPr>
        <w:t xml:space="preserve">No 1, </w:t>
      </w:r>
      <w:r w:rsidRPr="00933194">
        <w:rPr>
          <w:rFonts w:ascii="Times New Roman" w:hAnsi="Times New Roman"/>
          <w:sz w:val="24"/>
          <w:szCs w:val="24"/>
        </w:rPr>
        <w:t xml:space="preserve">pp.: 22-38. </w:t>
      </w:r>
    </w:p>
    <w:p w:rsidR="00821514" w:rsidRDefault="00821514" w:rsidP="00821514">
      <w:pPr>
        <w:spacing w:before="120" w:after="120" w:line="360" w:lineRule="auto"/>
        <w:ind w:left="426" w:hanging="426"/>
        <w:jc w:val="both"/>
        <w:rPr>
          <w:rFonts w:ascii="Times New Roman" w:hAnsi="Times New Roman"/>
          <w:sz w:val="24"/>
          <w:szCs w:val="24"/>
        </w:rPr>
      </w:pPr>
      <w:r w:rsidRPr="00C17666">
        <w:rPr>
          <w:rFonts w:ascii="Times New Roman" w:hAnsi="Times New Roman"/>
          <w:sz w:val="24"/>
          <w:szCs w:val="24"/>
        </w:rPr>
        <w:t>Bae, S.C. (1990)</w:t>
      </w:r>
      <w:r>
        <w:rPr>
          <w:rFonts w:ascii="Times New Roman" w:hAnsi="Times New Roman"/>
          <w:sz w:val="24"/>
          <w:szCs w:val="24"/>
        </w:rPr>
        <w:t>.</w:t>
      </w:r>
      <w:r w:rsidRPr="00C17666">
        <w:rPr>
          <w:rFonts w:ascii="Times New Roman" w:hAnsi="Times New Roman"/>
          <w:sz w:val="24"/>
          <w:szCs w:val="24"/>
        </w:rPr>
        <w:t xml:space="preserve"> Interest rate changes and common stock returns of financial institutions: Revised</w:t>
      </w:r>
      <w:r>
        <w:rPr>
          <w:rFonts w:ascii="Times New Roman" w:hAnsi="Times New Roman"/>
          <w:sz w:val="24"/>
          <w:szCs w:val="24"/>
        </w:rPr>
        <w:t>,</w:t>
      </w:r>
      <w:r w:rsidRPr="00C17666">
        <w:rPr>
          <w:rFonts w:ascii="Times New Roman" w:hAnsi="Times New Roman"/>
          <w:sz w:val="24"/>
          <w:szCs w:val="24"/>
        </w:rPr>
        <w:t xml:space="preserve"> </w:t>
      </w:r>
      <w:r w:rsidRPr="00220A55">
        <w:rPr>
          <w:rFonts w:ascii="Times New Roman" w:hAnsi="Times New Roman"/>
          <w:i/>
          <w:sz w:val="24"/>
          <w:szCs w:val="24"/>
        </w:rPr>
        <w:t>The Journal of Financial Research</w:t>
      </w:r>
      <w:r>
        <w:rPr>
          <w:rFonts w:ascii="Times New Roman" w:hAnsi="Times New Roman"/>
          <w:i/>
          <w:sz w:val="24"/>
          <w:szCs w:val="24"/>
        </w:rPr>
        <w:t>,</w:t>
      </w:r>
      <w:r>
        <w:rPr>
          <w:rFonts w:ascii="Times New Roman" w:hAnsi="Times New Roman"/>
          <w:sz w:val="24"/>
          <w:szCs w:val="24"/>
        </w:rPr>
        <w:t xml:space="preserve"> </w:t>
      </w:r>
      <w:r w:rsidRPr="00C17666">
        <w:rPr>
          <w:rFonts w:ascii="Times New Roman" w:hAnsi="Times New Roman"/>
          <w:sz w:val="24"/>
          <w:szCs w:val="24"/>
        </w:rPr>
        <w:t xml:space="preserve">Vol. </w:t>
      </w:r>
      <w:r>
        <w:rPr>
          <w:rFonts w:ascii="Times New Roman" w:hAnsi="Times New Roman"/>
          <w:sz w:val="24"/>
          <w:szCs w:val="24"/>
        </w:rPr>
        <w:t>8</w:t>
      </w:r>
      <w:r w:rsidRPr="00C17666">
        <w:rPr>
          <w:rFonts w:ascii="Times New Roman" w:hAnsi="Times New Roman"/>
          <w:sz w:val="24"/>
          <w:szCs w:val="24"/>
        </w:rPr>
        <w:t xml:space="preserve">, No. 1, </w:t>
      </w:r>
      <w:r>
        <w:rPr>
          <w:rFonts w:ascii="Times New Roman" w:hAnsi="Times New Roman"/>
          <w:sz w:val="24"/>
          <w:szCs w:val="24"/>
        </w:rPr>
        <w:t>pp.</w:t>
      </w:r>
      <w:r w:rsidRPr="00C17666">
        <w:rPr>
          <w:rFonts w:ascii="Times New Roman" w:hAnsi="Times New Roman"/>
          <w:sz w:val="24"/>
          <w:szCs w:val="24"/>
        </w:rPr>
        <w:t xml:space="preserve">: 71-79. </w:t>
      </w:r>
    </w:p>
    <w:p w:rsidR="00821514" w:rsidRPr="00E52F8F"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Barsky</w:t>
      </w:r>
      <w:proofErr w:type="spellEnd"/>
      <w:r>
        <w:rPr>
          <w:rFonts w:ascii="Times New Roman" w:hAnsi="Times New Roman"/>
          <w:sz w:val="24"/>
          <w:szCs w:val="24"/>
        </w:rPr>
        <w:t>, R.B., and Kilian,</w:t>
      </w:r>
      <w:r w:rsidRPr="00B85BBC">
        <w:rPr>
          <w:rFonts w:ascii="Times New Roman" w:hAnsi="Times New Roman"/>
          <w:sz w:val="24"/>
          <w:szCs w:val="24"/>
        </w:rPr>
        <w:t xml:space="preserve"> </w:t>
      </w:r>
      <w:r>
        <w:rPr>
          <w:rFonts w:ascii="Times New Roman" w:hAnsi="Times New Roman"/>
          <w:sz w:val="24"/>
          <w:szCs w:val="24"/>
        </w:rPr>
        <w:t>L. (2004).</w:t>
      </w:r>
      <w:proofErr w:type="gramEnd"/>
      <w:r>
        <w:rPr>
          <w:rFonts w:ascii="Times New Roman" w:hAnsi="Times New Roman"/>
          <w:sz w:val="24"/>
          <w:szCs w:val="24"/>
        </w:rPr>
        <w:t xml:space="preserve"> Oil and the </w:t>
      </w:r>
      <w:proofErr w:type="spellStart"/>
      <w:r>
        <w:rPr>
          <w:rFonts w:ascii="Times New Roman" w:hAnsi="Times New Roman"/>
          <w:sz w:val="24"/>
          <w:szCs w:val="24"/>
        </w:rPr>
        <w:t>Macroeconomy</w:t>
      </w:r>
      <w:proofErr w:type="spellEnd"/>
      <w:r>
        <w:rPr>
          <w:rFonts w:ascii="Times New Roman" w:hAnsi="Times New Roman"/>
          <w:sz w:val="24"/>
          <w:szCs w:val="24"/>
        </w:rPr>
        <w:t xml:space="preserve"> since the 1970s, </w:t>
      </w:r>
      <w:r w:rsidRPr="00B85BBC">
        <w:rPr>
          <w:rFonts w:ascii="Times New Roman" w:hAnsi="Times New Roman"/>
          <w:i/>
          <w:sz w:val="24"/>
          <w:szCs w:val="24"/>
        </w:rPr>
        <w:t>Journal of Economic Perspectives</w:t>
      </w:r>
      <w:r>
        <w:rPr>
          <w:rFonts w:ascii="Times New Roman" w:hAnsi="Times New Roman"/>
          <w:i/>
          <w:sz w:val="24"/>
          <w:szCs w:val="24"/>
        </w:rPr>
        <w:t xml:space="preserve">, </w:t>
      </w:r>
      <w:r w:rsidRPr="00E34F6A">
        <w:rPr>
          <w:rFonts w:ascii="Times New Roman" w:hAnsi="Times New Roman"/>
          <w:sz w:val="24"/>
          <w:szCs w:val="24"/>
        </w:rPr>
        <w:t>Vol. 18, No. 4, pp.</w:t>
      </w:r>
      <w:r>
        <w:rPr>
          <w:rFonts w:ascii="Times New Roman" w:hAnsi="Times New Roman"/>
          <w:sz w:val="24"/>
          <w:szCs w:val="24"/>
        </w:rPr>
        <w:t>:</w:t>
      </w:r>
      <w:r w:rsidRPr="00E34F6A">
        <w:rPr>
          <w:rFonts w:ascii="Times New Roman" w:hAnsi="Times New Roman"/>
          <w:sz w:val="24"/>
          <w:szCs w:val="24"/>
        </w:rPr>
        <w:t xml:space="preserve"> 115-134</w:t>
      </w:r>
      <w:r>
        <w:rPr>
          <w:rFonts w:ascii="Times New Roman" w:hAnsi="Times New Roman"/>
          <w:sz w:val="24"/>
          <w:szCs w:val="24"/>
        </w:rPr>
        <w:t xml:space="preserve">.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CB335B">
        <w:rPr>
          <w:rFonts w:ascii="Times New Roman" w:hAnsi="Times New Roman"/>
          <w:sz w:val="24"/>
          <w:szCs w:val="24"/>
        </w:rPr>
        <w:t>Baur</w:t>
      </w:r>
      <w:proofErr w:type="spellEnd"/>
      <w:r w:rsidRPr="00CB335B">
        <w:rPr>
          <w:rFonts w:ascii="Times New Roman" w:hAnsi="Times New Roman"/>
          <w:sz w:val="24"/>
          <w:szCs w:val="24"/>
        </w:rPr>
        <w:t>, D.G., and Lucey, B.M. (2009)</w:t>
      </w:r>
      <w:r>
        <w:rPr>
          <w:rFonts w:ascii="Times New Roman" w:hAnsi="Times New Roman"/>
          <w:sz w:val="24"/>
          <w:szCs w:val="24"/>
        </w:rPr>
        <w:t>.</w:t>
      </w:r>
      <w:proofErr w:type="gramEnd"/>
      <w:r w:rsidRPr="00CB335B">
        <w:rPr>
          <w:rFonts w:ascii="Times New Roman" w:hAnsi="Times New Roman"/>
          <w:sz w:val="24"/>
          <w:szCs w:val="24"/>
        </w:rPr>
        <w:t xml:space="preserve"> Flights and </w:t>
      </w:r>
      <w:r>
        <w:rPr>
          <w:rFonts w:ascii="Times New Roman" w:hAnsi="Times New Roman"/>
          <w:sz w:val="24"/>
          <w:szCs w:val="24"/>
        </w:rPr>
        <w:t>c</w:t>
      </w:r>
      <w:r w:rsidRPr="00CB335B">
        <w:rPr>
          <w:rFonts w:ascii="Times New Roman" w:hAnsi="Times New Roman"/>
          <w:sz w:val="24"/>
          <w:szCs w:val="24"/>
        </w:rPr>
        <w:t>ontagion – An empirical analysis of stock-bond correlations</w:t>
      </w:r>
      <w:r>
        <w:rPr>
          <w:rFonts w:ascii="Times New Roman" w:hAnsi="Times New Roman"/>
          <w:sz w:val="24"/>
          <w:szCs w:val="24"/>
        </w:rPr>
        <w:t>,</w:t>
      </w:r>
      <w:r w:rsidRPr="00CB335B">
        <w:rPr>
          <w:rFonts w:ascii="Times New Roman" w:hAnsi="Times New Roman"/>
          <w:sz w:val="24"/>
          <w:szCs w:val="24"/>
        </w:rPr>
        <w:t xml:space="preserve"> </w:t>
      </w:r>
      <w:r w:rsidRPr="00220A55">
        <w:rPr>
          <w:rFonts w:ascii="Times New Roman" w:hAnsi="Times New Roman"/>
          <w:i/>
          <w:sz w:val="24"/>
          <w:szCs w:val="24"/>
        </w:rPr>
        <w:t>Journal of Financial Stability</w:t>
      </w:r>
      <w:r>
        <w:rPr>
          <w:rFonts w:ascii="Times New Roman" w:hAnsi="Times New Roman"/>
          <w:i/>
          <w:sz w:val="24"/>
          <w:szCs w:val="24"/>
        </w:rPr>
        <w:t>,</w:t>
      </w:r>
      <w:r>
        <w:rPr>
          <w:rFonts w:ascii="Times New Roman" w:hAnsi="Times New Roman"/>
          <w:sz w:val="24"/>
          <w:szCs w:val="24"/>
        </w:rPr>
        <w:t xml:space="preserve"> Vol. </w:t>
      </w:r>
      <w:r w:rsidRPr="00CB335B">
        <w:rPr>
          <w:rFonts w:ascii="Times New Roman" w:hAnsi="Times New Roman"/>
          <w:sz w:val="24"/>
          <w:szCs w:val="24"/>
        </w:rPr>
        <w:t>5</w:t>
      </w:r>
      <w:r>
        <w:rPr>
          <w:rFonts w:ascii="Times New Roman" w:hAnsi="Times New Roman"/>
          <w:sz w:val="24"/>
          <w:szCs w:val="24"/>
        </w:rPr>
        <w:t>, No. 4,</w:t>
      </w:r>
      <w:r w:rsidRPr="00CB335B">
        <w:rPr>
          <w:rFonts w:ascii="Times New Roman" w:hAnsi="Times New Roman"/>
          <w:sz w:val="24"/>
          <w:szCs w:val="24"/>
        </w:rPr>
        <w:t xml:space="preserve"> </w:t>
      </w:r>
      <w:r>
        <w:rPr>
          <w:rFonts w:ascii="Times New Roman" w:hAnsi="Times New Roman"/>
          <w:sz w:val="24"/>
          <w:szCs w:val="24"/>
        </w:rPr>
        <w:t>pp.</w:t>
      </w:r>
      <w:r w:rsidRPr="00CB335B">
        <w:rPr>
          <w:rFonts w:ascii="Times New Roman" w:hAnsi="Times New Roman"/>
          <w:sz w:val="24"/>
          <w:szCs w:val="24"/>
        </w:rPr>
        <w:t>: 339-352.</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Baur</w:t>
      </w:r>
      <w:proofErr w:type="spellEnd"/>
      <w:r>
        <w:rPr>
          <w:rFonts w:ascii="Times New Roman" w:hAnsi="Times New Roman"/>
          <w:sz w:val="24"/>
          <w:szCs w:val="24"/>
        </w:rPr>
        <w:t>, D.G., and Lucey, B.M. (2010).</w:t>
      </w:r>
      <w:proofErr w:type="gramEnd"/>
      <w:r>
        <w:rPr>
          <w:rFonts w:ascii="Times New Roman" w:hAnsi="Times New Roman"/>
          <w:sz w:val="24"/>
          <w:szCs w:val="24"/>
        </w:rPr>
        <w:t xml:space="preserve"> Is gold a hedge or a safe haven? An analysis of stock, bonds and gold, </w:t>
      </w:r>
      <w:r w:rsidRPr="003058D7">
        <w:rPr>
          <w:rFonts w:ascii="Times New Roman" w:hAnsi="Times New Roman"/>
          <w:i/>
          <w:sz w:val="24"/>
          <w:szCs w:val="24"/>
        </w:rPr>
        <w:t>Financial Review</w:t>
      </w:r>
      <w:r>
        <w:rPr>
          <w:rFonts w:ascii="Times New Roman" w:hAnsi="Times New Roman"/>
          <w:sz w:val="24"/>
          <w:szCs w:val="24"/>
        </w:rPr>
        <w:t xml:space="preserve">, Vol. 45, No. 2, pp.: 217-229.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9E7CB1">
        <w:rPr>
          <w:rFonts w:ascii="Times New Roman" w:hAnsi="Times New Roman"/>
          <w:sz w:val="24"/>
          <w:szCs w:val="24"/>
        </w:rPr>
        <w:t>Beber</w:t>
      </w:r>
      <w:proofErr w:type="spellEnd"/>
      <w:r w:rsidRPr="009E7CB1">
        <w:rPr>
          <w:rFonts w:ascii="Times New Roman" w:hAnsi="Times New Roman"/>
          <w:sz w:val="24"/>
          <w:szCs w:val="24"/>
        </w:rPr>
        <w:t xml:space="preserve">, A., Brandt, M.W., and </w:t>
      </w:r>
      <w:proofErr w:type="spellStart"/>
      <w:r w:rsidRPr="009E7CB1">
        <w:rPr>
          <w:rFonts w:ascii="Times New Roman" w:hAnsi="Times New Roman"/>
          <w:sz w:val="24"/>
          <w:szCs w:val="24"/>
        </w:rPr>
        <w:t>Kavajecz</w:t>
      </w:r>
      <w:proofErr w:type="spellEnd"/>
      <w:r w:rsidRPr="009E7CB1">
        <w:rPr>
          <w:rFonts w:ascii="Times New Roman" w:hAnsi="Times New Roman"/>
          <w:sz w:val="24"/>
          <w:szCs w:val="24"/>
        </w:rPr>
        <w:t>, K.A. (2009)</w:t>
      </w:r>
      <w:r>
        <w:rPr>
          <w:rFonts w:ascii="Times New Roman" w:hAnsi="Times New Roman"/>
          <w:sz w:val="24"/>
          <w:szCs w:val="24"/>
        </w:rPr>
        <w:t>.</w:t>
      </w:r>
      <w:proofErr w:type="gramEnd"/>
      <w:r w:rsidRPr="009E7CB1">
        <w:rPr>
          <w:rFonts w:ascii="Times New Roman" w:hAnsi="Times New Roman"/>
          <w:sz w:val="24"/>
          <w:szCs w:val="24"/>
        </w:rPr>
        <w:t xml:space="preserve"> </w:t>
      </w:r>
      <w:proofErr w:type="gramStart"/>
      <w:r w:rsidRPr="009E7CB1">
        <w:rPr>
          <w:rFonts w:ascii="Times New Roman" w:hAnsi="Times New Roman"/>
          <w:sz w:val="24"/>
          <w:szCs w:val="24"/>
        </w:rPr>
        <w:t>Flight-to-quality or flight-to-liquidity?</w:t>
      </w:r>
      <w:proofErr w:type="gramEnd"/>
      <w:r w:rsidRPr="009E7CB1">
        <w:rPr>
          <w:rFonts w:ascii="Times New Roman" w:hAnsi="Times New Roman"/>
          <w:sz w:val="24"/>
          <w:szCs w:val="24"/>
        </w:rPr>
        <w:t xml:space="preserve"> Evidence from the Euro-Area bond market</w:t>
      </w:r>
      <w:r>
        <w:rPr>
          <w:rFonts w:ascii="Times New Roman" w:hAnsi="Times New Roman"/>
          <w:sz w:val="24"/>
          <w:szCs w:val="24"/>
        </w:rPr>
        <w:t>,</w:t>
      </w:r>
      <w:r w:rsidRPr="009E7CB1">
        <w:rPr>
          <w:rFonts w:ascii="Times New Roman" w:hAnsi="Times New Roman"/>
          <w:sz w:val="24"/>
          <w:szCs w:val="24"/>
        </w:rPr>
        <w:t xml:space="preserve"> </w:t>
      </w:r>
      <w:r w:rsidRPr="009E7CB1">
        <w:rPr>
          <w:rFonts w:ascii="Times New Roman" w:hAnsi="Times New Roman"/>
          <w:i/>
          <w:sz w:val="24"/>
          <w:szCs w:val="24"/>
        </w:rPr>
        <w:t>The Review of Financial Studies</w:t>
      </w:r>
      <w:r>
        <w:rPr>
          <w:rFonts w:ascii="Times New Roman" w:hAnsi="Times New Roman"/>
          <w:i/>
          <w:sz w:val="24"/>
          <w:szCs w:val="24"/>
        </w:rPr>
        <w:t>,</w:t>
      </w:r>
      <w:r>
        <w:rPr>
          <w:rFonts w:ascii="Times New Roman" w:hAnsi="Times New Roman"/>
          <w:sz w:val="24"/>
          <w:szCs w:val="24"/>
        </w:rPr>
        <w:t xml:space="preserve"> Vol. 22, No. 3, pp.</w:t>
      </w:r>
      <w:r w:rsidRPr="009E7CB1">
        <w:rPr>
          <w:rFonts w:ascii="Times New Roman" w:hAnsi="Times New Roman"/>
          <w:sz w:val="24"/>
          <w:szCs w:val="24"/>
        </w:rPr>
        <w:t>: 925-957.</w:t>
      </w:r>
      <w:r w:rsidRPr="00CB335B">
        <w:rPr>
          <w:rFonts w:ascii="Times New Roman" w:hAnsi="Times New Roman"/>
          <w:sz w:val="24"/>
          <w:szCs w:val="24"/>
        </w:rPr>
        <w:t xml:space="preserve">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Berkman, H., Jacobsen, B., and Lee, J.B.</w:t>
      </w:r>
      <w:r w:rsidRPr="00156E8C">
        <w:rPr>
          <w:rFonts w:ascii="Times New Roman" w:hAnsi="Times New Roman"/>
          <w:sz w:val="24"/>
          <w:szCs w:val="24"/>
        </w:rPr>
        <w:t xml:space="preserve"> </w:t>
      </w:r>
      <w:r>
        <w:rPr>
          <w:rFonts w:ascii="Times New Roman" w:hAnsi="Times New Roman"/>
          <w:sz w:val="24"/>
          <w:szCs w:val="24"/>
        </w:rPr>
        <w:t>(2011).</w:t>
      </w:r>
      <w:proofErr w:type="gramEnd"/>
      <w:r>
        <w:rPr>
          <w:rFonts w:ascii="Times New Roman" w:hAnsi="Times New Roman"/>
          <w:sz w:val="24"/>
          <w:szCs w:val="24"/>
        </w:rPr>
        <w:t xml:space="preserve"> Time-varying rare disaster risk and stock returns, </w:t>
      </w:r>
      <w:r w:rsidRPr="00B85BBC">
        <w:rPr>
          <w:rFonts w:ascii="Times New Roman" w:hAnsi="Times New Roman"/>
          <w:i/>
          <w:sz w:val="24"/>
          <w:szCs w:val="24"/>
        </w:rPr>
        <w:t>Journal of Financial Economics</w:t>
      </w:r>
      <w:r>
        <w:rPr>
          <w:rFonts w:ascii="Times New Roman" w:hAnsi="Times New Roman"/>
          <w:i/>
          <w:sz w:val="24"/>
          <w:szCs w:val="24"/>
        </w:rPr>
        <w:t xml:space="preserve">, </w:t>
      </w:r>
      <w:r>
        <w:rPr>
          <w:rFonts w:ascii="Times New Roman" w:hAnsi="Times New Roman"/>
          <w:sz w:val="24"/>
          <w:szCs w:val="24"/>
        </w:rPr>
        <w:t xml:space="preserve">Vol. 101, No. 2, pp.: 313-332.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lastRenderedPageBreak/>
        <w:t xml:space="preserve">Blomberg, S.B., Hess, G.D., and </w:t>
      </w:r>
      <w:proofErr w:type="spellStart"/>
      <w:r>
        <w:rPr>
          <w:rFonts w:ascii="Times New Roman" w:hAnsi="Times New Roman"/>
          <w:sz w:val="24"/>
          <w:szCs w:val="24"/>
        </w:rPr>
        <w:t>Orphanides</w:t>
      </w:r>
      <w:proofErr w:type="spellEnd"/>
      <w:r>
        <w:rPr>
          <w:rFonts w:ascii="Times New Roman" w:hAnsi="Times New Roman"/>
          <w:sz w:val="24"/>
          <w:szCs w:val="24"/>
        </w:rPr>
        <w:t>, A.</w:t>
      </w:r>
      <w:r w:rsidRPr="00156E8C">
        <w:rPr>
          <w:rFonts w:ascii="Times New Roman" w:hAnsi="Times New Roman"/>
          <w:sz w:val="24"/>
          <w:szCs w:val="24"/>
        </w:rPr>
        <w:t xml:space="preserve"> </w:t>
      </w:r>
      <w:r>
        <w:rPr>
          <w:rFonts w:ascii="Times New Roman" w:hAnsi="Times New Roman"/>
          <w:sz w:val="24"/>
          <w:szCs w:val="24"/>
        </w:rPr>
        <w:t>(2004).</w:t>
      </w:r>
      <w:proofErr w:type="gramEnd"/>
      <w:r>
        <w:rPr>
          <w:rFonts w:ascii="Times New Roman" w:hAnsi="Times New Roman"/>
          <w:sz w:val="24"/>
          <w:szCs w:val="24"/>
        </w:rPr>
        <w:t xml:space="preserve"> The Macroeconomic Consequences of Terrorism, </w:t>
      </w:r>
      <w:r w:rsidRPr="00B85BBC">
        <w:rPr>
          <w:rFonts w:ascii="Times New Roman" w:hAnsi="Times New Roman"/>
          <w:i/>
          <w:sz w:val="24"/>
          <w:szCs w:val="24"/>
        </w:rPr>
        <w:t>Journal of Monetary Economics</w:t>
      </w:r>
      <w:r>
        <w:rPr>
          <w:rFonts w:ascii="Times New Roman" w:hAnsi="Times New Roman"/>
          <w:i/>
          <w:sz w:val="24"/>
          <w:szCs w:val="24"/>
        </w:rPr>
        <w:t xml:space="preserve">, </w:t>
      </w:r>
      <w:r>
        <w:rPr>
          <w:rFonts w:ascii="Times New Roman" w:hAnsi="Times New Roman"/>
          <w:sz w:val="24"/>
          <w:szCs w:val="24"/>
        </w:rPr>
        <w:t xml:space="preserve">Vol. 51, No. 5, pp.: 1007-1032.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FE6B1D">
        <w:rPr>
          <w:rFonts w:ascii="Times New Roman" w:hAnsi="Times New Roman"/>
          <w:sz w:val="24"/>
          <w:szCs w:val="24"/>
        </w:rPr>
        <w:t>Bodart</w:t>
      </w:r>
      <w:proofErr w:type="spellEnd"/>
      <w:r w:rsidRPr="00FE6B1D">
        <w:rPr>
          <w:rFonts w:ascii="Times New Roman" w:hAnsi="Times New Roman"/>
          <w:sz w:val="24"/>
          <w:szCs w:val="24"/>
        </w:rPr>
        <w:t xml:space="preserve">, V., </w:t>
      </w:r>
      <w:proofErr w:type="spellStart"/>
      <w:r w:rsidRPr="00FE6B1D">
        <w:rPr>
          <w:rFonts w:ascii="Times New Roman" w:hAnsi="Times New Roman"/>
          <w:sz w:val="24"/>
          <w:szCs w:val="24"/>
        </w:rPr>
        <w:t>Candelon</w:t>
      </w:r>
      <w:proofErr w:type="spellEnd"/>
      <w:r w:rsidRPr="00FE6B1D">
        <w:rPr>
          <w:rFonts w:ascii="Times New Roman" w:hAnsi="Times New Roman"/>
          <w:sz w:val="24"/>
          <w:szCs w:val="24"/>
        </w:rPr>
        <w:t>, B. (2009)</w:t>
      </w:r>
      <w:r>
        <w:rPr>
          <w:rFonts w:ascii="Times New Roman" w:hAnsi="Times New Roman"/>
          <w:sz w:val="24"/>
          <w:szCs w:val="24"/>
        </w:rPr>
        <w:t>.</w:t>
      </w:r>
      <w:proofErr w:type="gramEnd"/>
      <w:r w:rsidRPr="00FE6B1D">
        <w:rPr>
          <w:rFonts w:ascii="Times New Roman" w:hAnsi="Times New Roman"/>
          <w:sz w:val="24"/>
          <w:szCs w:val="24"/>
        </w:rPr>
        <w:t xml:space="preserve"> Evidence of interdependence and contagion using a frequency domain framework</w:t>
      </w:r>
      <w:r>
        <w:rPr>
          <w:rFonts w:ascii="Times New Roman" w:hAnsi="Times New Roman"/>
          <w:sz w:val="24"/>
          <w:szCs w:val="24"/>
        </w:rPr>
        <w:t>,</w:t>
      </w:r>
      <w:r w:rsidRPr="00FE6B1D">
        <w:rPr>
          <w:rFonts w:ascii="Times New Roman" w:hAnsi="Times New Roman"/>
          <w:sz w:val="24"/>
          <w:szCs w:val="24"/>
        </w:rPr>
        <w:t xml:space="preserve"> </w:t>
      </w:r>
      <w:r w:rsidRPr="00FE6B1D">
        <w:rPr>
          <w:rFonts w:ascii="Times New Roman" w:hAnsi="Times New Roman"/>
          <w:i/>
          <w:sz w:val="24"/>
          <w:szCs w:val="24"/>
        </w:rPr>
        <w:t>Emerging Markets Review</w:t>
      </w:r>
      <w:r>
        <w:rPr>
          <w:rFonts w:ascii="Times New Roman" w:hAnsi="Times New Roman"/>
          <w:i/>
          <w:sz w:val="24"/>
          <w:szCs w:val="24"/>
        </w:rPr>
        <w:t>,</w:t>
      </w:r>
      <w:r>
        <w:rPr>
          <w:rFonts w:ascii="Times New Roman" w:hAnsi="Times New Roman"/>
          <w:sz w:val="24"/>
          <w:szCs w:val="24"/>
        </w:rPr>
        <w:t xml:space="preserve"> Vol. 10, No. 2, pp.</w:t>
      </w:r>
      <w:r w:rsidRPr="00FE6B1D">
        <w:rPr>
          <w:rFonts w:ascii="Times New Roman" w:hAnsi="Times New Roman"/>
          <w:sz w:val="24"/>
          <w:szCs w:val="24"/>
        </w:rPr>
        <w:t xml:space="preserve">: 140-150. </w:t>
      </w:r>
    </w:p>
    <w:p w:rsidR="00821514" w:rsidRDefault="00821514" w:rsidP="00821514">
      <w:pPr>
        <w:spacing w:before="120" w:after="120" w:line="360" w:lineRule="auto"/>
        <w:ind w:left="426" w:hanging="426"/>
        <w:jc w:val="both"/>
        <w:rPr>
          <w:rFonts w:ascii="Times New Roman" w:hAnsi="Times New Roman"/>
          <w:sz w:val="24"/>
          <w:szCs w:val="24"/>
        </w:rPr>
      </w:pPr>
      <w:r w:rsidRPr="00B67EBA">
        <w:rPr>
          <w:rFonts w:ascii="Times New Roman" w:hAnsi="Times New Roman"/>
          <w:sz w:val="24"/>
          <w:szCs w:val="24"/>
        </w:rPr>
        <w:t xml:space="preserve">BP </w:t>
      </w:r>
      <w:proofErr w:type="spellStart"/>
      <w:r w:rsidRPr="00B67EBA">
        <w:rPr>
          <w:rFonts w:ascii="Times New Roman" w:hAnsi="Times New Roman"/>
          <w:sz w:val="24"/>
          <w:szCs w:val="24"/>
        </w:rPr>
        <w:t>p.l.c</w:t>
      </w:r>
      <w:proofErr w:type="spellEnd"/>
      <w:r w:rsidRPr="00B67EBA">
        <w:rPr>
          <w:rFonts w:ascii="Times New Roman" w:hAnsi="Times New Roman"/>
          <w:sz w:val="24"/>
          <w:szCs w:val="24"/>
        </w:rPr>
        <w:t xml:space="preserve">. (2012) </w:t>
      </w:r>
      <w:r w:rsidRPr="00B67EBA">
        <w:rPr>
          <w:rFonts w:ascii="Times New Roman" w:hAnsi="Times New Roman"/>
          <w:i/>
          <w:sz w:val="24"/>
          <w:szCs w:val="24"/>
        </w:rPr>
        <w:t>BP Statistical Review of World Energy June 2012</w:t>
      </w:r>
      <w:r>
        <w:rPr>
          <w:rFonts w:ascii="Times New Roman" w:hAnsi="Times New Roman"/>
          <w:i/>
          <w:sz w:val="24"/>
          <w:szCs w:val="24"/>
        </w:rPr>
        <w:t>,</w:t>
      </w:r>
      <w:r w:rsidRPr="00B67EBA">
        <w:rPr>
          <w:rFonts w:ascii="Times New Roman" w:hAnsi="Times New Roman"/>
          <w:sz w:val="24"/>
          <w:szCs w:val="24"/>
        </w:rPr>
        <w:t xml:space="preserve"> available at: bp.com/</w:t>
      </w:r>
      <w:proofErr w:type="spellStart"/>
      <w:r w:rsidRPr="00B67EBA">
        <w:rPr>
          <w:rFonts w:ascii="Times New Roman" w:hAnsi="Times New Roman"/>
          <w:sz w:val="24"/>
          <w:szCs w:val="24"/>
        </w:rPr>
        <w:t>sta</w:t>
      </w:r>
      <w:r>
        <w:rPr>
          <w:rFonts w:ascii="Times New Roman" w:hAnsi="Times New Roman"/>
          <w:sz w:val="24"/>
          <w:szCs w:val="24"/>
        </w:rPr>
        <w:t>tisticalreview</w:t>
      </w:r>
      <w:proofErr w:type="spellEnd"/>
      <w:r>
        <w:rPr>
          <w:rFonts w:ascii="Times New Roman" w:hAnsi="Times New Roman"/>
          <w:sz w:val="24"/>
          <w:szCs w:val="24"/>
        </w:rPr>
        <w:t xml:space="preserve"> accessed 29.10.</w:t>
      </w:r>
      <w:r w:rsidRPr="00B67EBA">
        <w:rPr>
          <w:rFonts w:ascii="Times New Roman" w:hAnsi="Times New Roman"/>
          <w:sz w:val="24"/>
          <w:szCs w:val="24"/>
        </w:rPr>
        <w:t xml:space="preserve"> 2012.</w:t>
      </w:r>
      <w:r w:rsidRPr="00902D4C">
        <w:rPr>
          <w:rFonts w:ascii="Times New Roman" w:hAnsi="Times New Roman"/>
          <w:sz w:val="24"/>
          <w:szCs w:val="24"/>
        </w:rPr>
        <w:t xml:space="preserve"> </w:t>
      </w:r>
    </w:p>
    <w:p w:rsidR="00821514" w:rsidRPr="00613EF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613EF4">
        <w:rPr>
          <w:rFonts w:ascii="Times New Roman" w:hAnsi="Times New Roman"/>
          <w:sz w:val="24"/>
          <w:szCs w:val="24"/>
        </w:rPr>
        <w:t>Briere</w:t>
      </w:r>
      <w:proofErr w:type="spellEnd"/>
      <w:r w:rsidRPr="00613EF4">
        <w:rPr>
          <w:rFonts w:ascii="Times New Roman" w:hAnsi="Times New Roman"/>
          <w:sz w:val="24"/>
          <w:szCs w:val="24"/>
        </w:rPr>
        <w:t xml:space="preserve">, M., </w:t>
      </w:r>
      <w:proofErr w:type="spellStart"/>
      <w:r w:rsidRPr="00613EF4">
        <w:rPr>
          <w:rFonts w:ascii="Times New Roman" w:hAnsi="Times New Roman"/>
          <w:sz w:val="24"/>
          <w:szCs w:val="24"/>
        </w:rPr>
        <w:t>Chapelle</w:t>
      </w:r>
      <w:proofErr w:type="spellEnd"/>
      <w:r w:rsidRPr="00613EF4">
        <w:rPr>
          <w:rFonts w:ascii="Times New Roman" w:hAnsi="Times New Roman"/>
          <w:sz w:val="24"/>
          <w:szCs w:val="24"/>
        </w:rPr>
        <w:t xml:space="preserve">, A., </w:t>
      </w:r>
      <w:r>
        <w:rPr>
          <w:rFonts w:ascii="Times New Roman" w:hAnsi="Times New Roman"/>
          <w:sz w:val="24"/>
          <w:szCs w:val="24"/>
        </w:rPr>
        <w:t xml:space="preserve">and </w:t>
      </w:r>
      <w:proofErr w:type="spellStart"/>
      <w:r w:rsidRPr="00613EF4">
        <w:rPr>
          <w:rFonts w:ascii="Times New Roman" w:hAnsi="Times New Roman"/>
          <w:sz w:val="24"/>
          <w:szCs w:val="24"/>
        </w:rPr>
        <w:t>Szafarz</w:t>
      </w:r>
      <w:proofErr w:type="spellEnd"/>
      <w:r w:rsidRPr="00613EF4">
        <w:rPr>
          <w:rFonts w:ascii="Times New Roman" w:hAnsi="Times New Roman"/>
          <w:sz w:val="24"/>
          <w:szCs w:val="24"/>
        </w:rPr>
        <w:t>, A. (2012)</w:t>
      </w:r>
      <w:r>
        <w:rPr>
          <w:rFonts w:ascii="Times New Roman" w:hAnsi="Times New Roman"/>
          <w:sz w:val="24"/>
          <w:szCs w:val="24"/>
        </w:rPr>
        <w:t>.</w:t>
      </w:r>
      <w:proofErr w:type="gramEnd"/>
      <w:r w:rsidRPr="00613EF4">
        <w:rPr>
          <w:rFonts w:ascii="Times New Roman" w:hAnsi="Times New Roman"/>
          <w:sz w:val="24"/>
          <w:szCs w:val="24"/>
        </w:rPr>
        <w:t xml:space="preserve"> No contagion, only globalization and flight to quality</w:t>
      </w:r>
      <w:r>
        <w:rPr>
          <w:rFonts w:ascii="Times New Roman" w:hAnsi="Times New Roman"/>
          <w:sz w:val="24"/>
          <w:szCs w:val="24"/>
        </w:rPr>
        <w:t>,</w:t>
      </w:r>
      <w:r w:rsidRPr="00613EF4">
        <w:rPr>
          <w:rFonts w:ascii="Times New Roman" w:hAnsi="Times New Roman"/>
          <w:sz w:val="24"/>
          <w:szCs w:val="24"/>
        </w:rPr>
        <w:t xml:space="preserve"> </w:t>
      </w:r>
      <w:r w:rsidRPr="00613EF4">
        <w:rPr>
          <w:rFonts w:ascii="Times New Roman" w:hAnsi="Times New Roman"/>
          <w:i/>
          <w:sz w:val="24"/>
          <w:szCs w:val="24"/>
        </w:rPr>
        <w:t>Journal of International Money and Finance</w:t>
      </w:r>
      <w:r>
        <w:rPr>
          <w:rFonts w:ascii="Times New Roman" w:hAnsi="Times New Roman"/>
          <w:i/>
          <w:sz w:val="24"/>
          <w:szCs w:val="24"/>
        </w:rPr>
        <w:t>,</w:t>
      </w:r>
      <w:r w:rsidRPr="00613EF4">
        <w:rPr>
          <w:rFonts w:ascii="Times New Roman" w:hAnsi="Times New Roman"/>
          <w:i/>
          <w:sz w:val="24"/>
          <w:szCs w:val="24"/>
        </w:rPr>
        <w:t xml:space="preserve"> </w:t>
      </w:r>
      <w:r w:rsidRPr="00613EF4">
        <w:rPr>
          <w:rFonts w:ascii="Times New Roman" w:hAnsi="Times New Roman"/>
          <w:sz w:val="24"/>
          <w:szCs w:val="24"/>
        </w:rPr>
        <w:t>31</w:t>
      </w:r>
      <w:r>
        <w:rPr>
          <w:rFonts w:ascii="Times New Roman" w:hAnsi="Times New Roman"/>
          <w:sz w:val="24"/>
          <w:szCs w:val="24"/>
        </w:rPr>
        <w:t>,</w:t>
      </w:r>
      <w:r w:rsidRPr="00613EF4">
        <w:rPr>
          <w:rFonts w:ascii="Times New Roman" w:hAnsi="Times New Roman"/>
          <w:sz w:val="24"/>
          <w:szCs w:val="24"/>
        </w:rPr>
        <w:t xml:space="preserve"> </w:t>
      </w:r>
      <w:r>
        <w:rPr>
          <w:rFonts w:ascii="Times New Roman" w:hAnsi="Times New Roman"/>
          <w:sz w:val="24"/>
          <w:szCs w:val="24"/>
        </w:rPr>
        <w:t>No. 6, pp.</w:t>
      </w:r>
      <w:r w:rsidRPr="00613EF4">
        <w:rPr>
          <w:rFonts w:ascii="Times New Roman" w:hAnsi="Times New Roman"/>
          <w:sz w:val="24"/>
          <w:szCs w:val="24"/>
        </w:rPr>
        <w:t xml:space="preserve">: 1729-1744.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sidRPr="00223234">
        <w:rPr>
          <w:rFonts w:ascii="Times New Roman" w:hAnsi="Times New Roman"/>
          <w:sz w:val="24"/>
          <w:szCs w:val="24"/>
        </w:rPr>
        <w:t>Brown, W.O., and Burdekin, R.C.K. (2002)</w:t>
      </w:r>
      <w:r>
        <w:rPr>
          <w:rFonts w:ascii="Times New Roman" w:hAnsi="Times New Roman"/>
          <w:sz w:val="24"/>
          <w:szCs w:val="24"/>
        </w:rPr>
        <w:t>.</w:t>
      </w:r>
      <w:proofErr w:type="gramEnd"/>
      <w:r w:rsidRPr="00223234">
        <w:rPr>
          <w:rFonts w:ascii="Times New Roman" w:hAnsi="Times New Roman"/>
          <w:sz w:val="24"/>
          <w:szCs w:val="24"/>
        </w:rPr>
        <w:t xml:space="preserve"> German debt traded in London during the Second World War: A British perspective on Hitler</w:t>
      </w:r>
      <w:r>
        <w:rPr>
          <w:rFonts w:ascii="Times New Roman" w:hAnsi="Times New Roman"/>
          <w:sz w:val="24"/>
          <w:szCs w:val="24"/>
        </w:rPr>
        <w:t>,</w:t>
      </w:r>
      <w:r w:rsidRPr="00223234">
        <w:rPr>
          <w:rFonts w:ascii="Times New Roman" w:hAnsi="Times New Roman"/>
          <w:sz w:val="24"/>
          <w:szCs w:val="24"/>
        </w:rPr>
        <w:t xml:space="preserve"> </w:t>
      </w:r>
      <w:proofErr w:type="spellStart"/>
      <w:r w:rsidRPr="00220A55">
        <w:rPr>
          <w:rFonts w:ascii="Times New Roman" w:hAnsi="Times New Roman"/>
          <w:i/>
          <w:sz w:val="24"/>
          <w:szCs w:val="24"/>
        </w:rPr>
        <w:t>Economica</w:t>
      </w:r>
      <w:proofErr w:type="spellEnd"/>
      <w:r>
        <w:rPr>
          <w:rFonts w:ascii="Times New Roman" w:hAnsi="Times New Roman"/>
          <w:i/>
          <w:sz w:val="24"/>
          <w:szCs w:val="24"/>
        </w:rPr>
        <w:t>,</w:t>
      </w:r>
      <w:r>
        <w:rPr>
          <w:rFonts w:ascii="Times New Roman" w:hAnsi="Times New Roman"/>
          <w:sz w:val="24"/>
          <w:szCs w:val="24"/>
        </w:rPr>
        <w:t xml:space="preserve"> Vol. </w:t>
      </w:r>
      <w:r w:rsidRPr="00223234">
        <w:rPr>
          <w:rFonts w:ascii="Times New Roman" w:hAnsi="Times New Roman"/>
          <w:sz w:val="24"/>
          <w:szCs w:val="24"/>
        </w:rPr>
        <w:t>69</w:t>
      </w:r>
      <w:r>
        <w:rPr>
          <w:rFonts w:ascii="Times New Roman" w:hAnsi="Times New Roman"/>
          <w:sz w:val="24"/>
          <w:szCs w:val="24"/>
        </w:rPr>
        <w:t>,</w:t>
      </w:r>
      <w:r w:rsidRPr="00223234">
        <w:rPr>
          <w:rFonts w:ascii="Times New Roman" w:hAnsi="Times New Roman"/>
          <w:sz w:val="24"/>
          <w:szCs w:val="24"/>
        </w:rPr>
        <w:t xml:space="preserve"> </w:t>
      </w:r>
      <w:r>
        <w:rPr>
          <w:rFonts w:ascii="Times New Roman" w:hAnsi="Times New Roman"/>
          <w:sz w:val="24"/>
          <w:szCs w:val="24"/>
        </w:rPr>
        <w:t xml:space="preserve">No. 276, </w:t>
      </w:r>
      <w:r w:rsidRPr="00223234">
        <w:rPr>
          <w:rFonts w:ascii="Times New Roman" w:hAnsi="Times New Roman"/>
          <w:sz w:val="24"/>
          <w:szCs w:val="24"/>
        </w:rPr>
        <w:t xml:space="preserve">pp.: 655-669. </w:t>
      </w:r>
    </w:p>
    <w:p w:rsidR="00821514" w:rsidRPr="004542A2" w:rsidRDefault="00821514" w:rsidP="00821514">
      <w:pPr>
        <w:spacing w:before="120" w:after="120" w:line="360" w:lineRule="auto"/>
        <w:ind w:left="426" w:hanging="426"/>
        <w:jc w:val="both"/>
        <w:rPr>
          <w:rFonts w:ascii="Times New Roman" w:hAnsi="Times New Roman"/>
          <w:sz w:val="24"/>
          <w:szCs w:val="24"/>
        </w:rPr>
      </w:pPr>
      <w:proofErr w:type="gramStart"/>
      <w:r w:rsidRPr="004542A2">
        <w:rPr>
          <w:rFonts w:ascii="Times New Roman" w:hAnsi="Times New Roman"/>
          <w:sz w:val="24"/>
          <w:szCs w:val="24"/>
        </w:rPr>
        <w:t>Brown, S.J., and Warner, J.B. (1980)</w:t>
      </w:r>
      <w:r>
        <w:rPr>
          <w:rFonts w:ascii="Times New Roman" w:hAnsi="Times New Roman"/>
          <w:sz w:val="24"/>
          <w:szCs w:val="24"/>
        </w:rPr>
        <w:t>.</w:t>
      </w:r>
      <w:proofErr w:type="gramEnd"/>
      <w:r w:rsidRPr="004542A2">
        <w:rPr>
          <w:rFonts w:ascii="Times New Roman" w:hAnsi="Times New Roman"/>
          <w:sz w:val="24"/>
          <w:szCs w:val="24"/>
        </w:rPr>
        <w:t xml:space="preserve"> </w:t>
      </w:r>
      <w:proofErr w:type="gramStart"/>
      <w:r w:rsidRPr="004542A2">
        <w:rPr>
          <w:rFonts w:ascii="Times New Roman" w:hAnsi="Times New Roman"/>
          <w:sz w:val="24"/>
          <w:szCs w:val="24"/>
        </w:rPr>
        <w:t xml:space="preserve">Measuring </w:t>
      </w:r>
      <w:r>
        <w:rPr>
          <w:rFonts w:ascii="Times New Roman" w:hAnsi="Times New Roman"/>
          <w:sz w:val="24"/>
          <w:szCs w:val="24"/>
        </w:rPr>
        <w:t>s</w:t>
      </w:r>
      <w:r w:rsidRPr="004542A2">
        <w:rPr>
          <w:rFonts w:ascii="Times New Roman" w:hAnsi="Times New Roman"/>
          <w:sz w:val="24"/>
          <w:szCs w:val="24"/>
        </w:rPr>
        <w:t xml:space="preserve">ecurity </w:t>
      </w:r>
      <w:r>
        <w:rPr>
          <w:rFonts w:ascii="Times New Roman" w:hAnsi="Times New Roman"/>
          <w:sz w:val="24"/>
          <w:szCs w:val="24"/>
        </w:rPr>
        <w:t>p</w:t>
      </w:r>
      <w:r w:rsidRPr="004542A2">
        <w:rPr>
          <w:rFonts w:ascii="Times New Roman" w:hAnsi="Times New Roman"/>
          <w:sz w:val="24"/>
          <w:szCs w:val="24"/>
        </w:rPr>
        <w:t xml:space="preserve">rice </w:t>
      </w:r>
      <w:r>
        <w:rPr>
          <w:rFonts w:ascii="Times New Roman" w:hAnsi="Times New Roman"/>
          <w:sz w:val="24"/>
          <w:szCs w:val="24"/>
        </w:rPr>
        <w:t>p</w:t>
      </w:r>
      <w:r w:rsidRPr="004542A2">
        <w:rPr>
          <w:rFonts w:ascii="Times New Roman" w:hAnsi="Times New Roman"/>
          <w:sz w:val="24"/>
          <w:szCs w:val="24"/>
        </w:rPr>
        <w:t>erformance,</w:t>
      </w:r>
      <w:r>
        <w:rPr>
          <w:rFonts w:ascii="Times New Roman" w:hAnsi="Times New Roman"/>
          <w:sz w:val="24"/>
          <w:szCs w:val="24"/>
        </w:rPr>
        <w:t xml:space="preserve"> </w:t>
      </w:r>
      <w:r w:rsidRPr="00E448A4">
        <w:rPr>
          <w:rFonts w:ascii="Times New Roman" w:hAnsi="Times New Roman"/>
          <w:i/>
          <w:sz w:val="24"/>
          <w:szCs w:val="24"/>
        </w:rPr>
        <w:t>Journal of Financial Economics</w:t>
      </w:r>
      <w:r w:rsidRPr="004542A2">
        <w:rPr>
          <w:rFonts w:ascii="Times New Roman" w:hAnsi="Times New Roman"/>
          <w:sz w:val="24"/>
          <w:szCs w:val="24"/>
        </w:rPr>
        <w:t xml:space="preserve">, </w:t>
      </w:r>
      <w:r>
        <w:rPr>
          <w:rFonts w:ascii="Times New Roman" w:hAnsi="Times New Roman"/>
          <w:sz w:val="24"/>
          <w:szCs w:val="24"/>
        </w:rPr>
        <w:t xml:space="preserve">Vol. </w:t>
      </w:r>
      <w:r w:rsidRPr="004542A2">
        <w:rPr>
          <w:rFonts w:ascii="Times New Roman" w:hAnsi="Times New Roman"/>
          <w:sz w:val="24"/>
          <w:szCs w:val="24"/>
        </w:rPr>
        <w:t xml:space="preserve">8, </w:t>
      </w:r>
      <w:r>
        <w:rPr>
          <w:rFonts w:ascii="Times New Roman" w:hAnsi="Times New Roman"/>
          <w:sz w:val="24"/>
          <w:szCs w:val="24"/>
        </w:rPr>
        <w:t xml:space="preserve">No. 3, pp.: </w:t>
      </w:r>
      <w:r w:rsidRPr="004542A2">
        <w:rPr>
          <w:rFonts w:ascii="Times New Roman" w:hAnsi="Times New Roman"/>
          <w:sz w:val="24"/>
          <w:szCs w:val="24"/>
        </w:rPr>
        <w:t>205–258.</w:t>
      </w:r>
      <w:proofErr w:type="gramEnd"/>
    </w:p>
    <w:p w:rsidR="00821514" w:rsidRPr="004542A2" w:rsidRDefault="00821514" w:rsidP="00821514">
      <w:pPr>
        <w:spacing w:before="120" w:after="120" w:line="360" w:lineRule="auto"/>
        <w:ind w:left="426" w:hanging="426"/>
        <w:jc w:val="both"/>
        <w:rPr>
          <w:rFonts w:ascii="Times New Roman" w:hAnsi="Times New Roman"/>
          <w:sz w:val="24"/>
          <w:szCs w:val="24"/>
        </w:rPr>
      </w:pPr>
      <w:proofErr w:type="gramStart"/>
      <w:r w:rsidRPr="004542A2">
        <w:rPr>
          <w:rFonts w:ascii="Times New Roman" w:hAnsi="Times New Roman"/>
          <w:sz w:val="24"/>
          <w:szCs w:val="24"/>
        </w:rPr>
        <w:t>Brown, S.J., and Warner, J.B. (1985)</w:t>
      </w:r>
      <w:r>
        <w:rPr>
          <w:rFonts w:ascii="Times New Roman" w:hAnsi="Times New Roman"/>
          <w:sz w:val="24"/>
          <w:szCs w:val="24"/>
        </w:rPr>
        <w:t>.</w:t>
      </w:r>
      <w:proofErr w:type="gramEnd"/>
      <w:r w:rsidRPr="004542A2">
        <w:rPr>
          <w:rFonts w:ascii="Times New Roman" w:hAnsi="Times New Roman"/>
          <w:sz w:val="24"/>
          <w:szCs w:val="24"/>
        </w:rPr>
        <w:t xml:space="preserve"> Using </w:t>
      </w:r>
      <w:r>
        <w:rPr>
          <w:rFonts w:ascii="Times New Roman" w:hAnsi="Times New Roman"/>
          <w:sz w:val="24"/>
          <w:szCs w:val="24"/>
        </w:rPr>
        <w:t>d</w:t>
      </w:r>
      <w:r w:rsidRPr="004542A2">
        <w:rPr>
          <w:rFonts w:ascii="Times New Roman" w:hAnsi="Times New Roman"/>
          <w:sz w:val="24"/>
          <w:szCs w:val="24"/>
        </w:rPr>
        <w:t xml:space="preserve">aily </w:t>
      </w:r>
      <w:r>
        <w:rPr>
          <w:rFonts w:ascii="Times New Roman" w:hAnsi="Times New Roman"/>
          <w:sz w:val="24"/>
          <w:szCs w:val="24"/>
        </w:rPr>
        <w:t>s</w:t>
      </w:r>
      <w:r w:rsidRPr="004542A2">
        <w:rPr>
          <w:rFonts w:ascii="Times New Roman" w:hAnsi="Times New Roman"/>
          <w:sz w:val="24"/>
          <w:szCs w:val="24"/>
        </w:rPr>
        <w:t xml:space="preserve">tock </w:t>
      </w:r>
      <w:r>
        <w:rPr>
          <w:rFonts w:ascii="Times New Roman" w:hAnsi="Times New Roman"/>
          <w:sz w:val="24"/>
          <w:szCs w:val="24"/>
        </w:rPr>
        <w:t>r</w:t>
      </w:r>
      <w:r w:rsidRPr="004542A2">
        <w:rPr>
          <w:rFonts w:ascii="Times New Roman" w:hAnsi="Times New Roman"/>
          <w:sz w:val="24"/>
          <w:szCs w:val="24"/>
        </w:rPr>
        <w:t xml:space="preserve">eturns: The </w:t>
      </w:r>
      <w:r>
        <w:rPr>
          <w:rFonts w:ascii="Times New Roman" w:hAnsi="Times New Roman"/>
          <w:sz w:val="24"/>
          <w:szCs w:val="24"/>
        </w:rPr>
        <w:t>c</w:t>
      </w:r>
      <w:r w:rsidRPr="004542A2">
        <w:rPr>
          <w:rFonts w:ascii="Times New Roman" w:hAnsi="Times New Roman"/>
          <w:sz w:val="24"/>
          <w:szCs w:val="24"/>
        </w:rPr>
        <w:t xml:space="preserve">ase of </w:t>
      </w:r>
      <w:r>
        <w:rPr>
          <w:rFonts w:ascii="Times New Roman" w:hAnsi="Times New Roman"/>
          <w:sz w:val="24"/>
          <w:szCs w:val="24"/>
        </w:rPr>
        <w:t>e</w:t>
      </w:r>
      <w:r w:rsidRPr="004542A2">
        <w:rPr>
          <w:rFonts w:ascii="Times New Roman" w:hAnsi="Times New Roman"/>
          <w:sz w:val="24"/>
          <w:szCs w:val="24"/>
        </w:rPr>
        <w:t xml:space="preserve">vent </w:t>
      </w:r>
      <w:r>
        <w:rPr>
          <w:rFonts w:ascii="Times New Roman" w:hAnsi="Times New Roman"/>
          <w:sz w:val="24"/>
          <w:szCs w:val="24"/>
        </w:rPr>
        <w:t>s</w:t>
      </w:r>
      <w:r w:rsidRPr="004542A2">
        <w:rPr>
          <w:rFonts w:ascii="Times New Roman" w:hAnsi="Times New Roman"/>
          <w:sz w:val="24"/>
          <w:szCs w:val="24"/>
        </w:rPr>
        <w:t xml:space="preserve">tudies, </w:t>
      </w:r>
      <w:r w:rsidRPr="002B65A4">
        <w:rPr>
          <w:rFonts w:ascii="Times New Roman" w:hAnsi="Times New Roman"/>
          <w:i/>
          <w:sz w:val="24"/>
          <w:szCs w:val="24"/>
        </w:rPr>
        <w:t>Journal of Financial Economics</w:t>
      </w:r>
      <w:r w:rsidRPr="004542A2">
        <w:rPr>
          <w:rFonts w:ascii="Times New Roman" w:hAnsi="Times New Roman"/>
          <w:sz w:val="24"/>
          <w:szCs w:val="24"/>
        </w:rPr>
        <w:t xml:space="preserve">, </w:t>
      </w:r>
      <w:r>
        <w:rPr>
          <w:rFonts w:ascii="Times New Roman" w:hAnsi="Times New Roman"/>
          <w:sz w:val="24"/>
          <w:szCs w:val="24"/>
        </w:rPr>
        <w:t xml:space="preserve">Vol. </w:t>
      </w:r>
      <w:r w:rsidRPr="004542A2">
        <w:rPr>
          <w:rFonts w:ascii="Times New Roman" w:hAnsi="Times New Roman"/>
          <w:sz w:val="24"/>
          <w:szCs w:val="24"/>
        </w:rPr>
        <w:t xml:space="preserve">14, </w:t>
      </w:r>
      <w:r>
        <w:rPr>
          <w:rFonts w:ascii="Times New Roman" w:hAnsi="Times New Roman"/>
          <w:sz w:val="24"/>
          <w:szCs w:val="24"/>
        </w:rPr>
        <w:t xml:space="preserve">No. 1, pp.: </w:t>
      </w:r>
      <w:r w:rsidRPr="004542A2">
        <w:rPr>
          <w:rFonts w:ascii="Times New Roman" w:hAnsi="Times New Roman"/>
          <w:sz w:val="24"/>
          <w:szCs w:val="24"/>
        </w:rPr>
        <w:t>3–31.</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sidRPr="009E7CB1">
        <w:rPr>
          <w:rFonts w:ascii="Times New Roman" w:hAnsi="Times New Roman"/>
          <w:sz w:val="24"/>
          <w:szCs w:val="24"/>
        </w:rPr>
        <w:t>Caballero, R. J., and Krishnamurthy, A. (2008)</w:t>
      </w:r>
      <w:r>
        <w:rPr>
          <w:rFonts w:ascii="Times New Roman" w:hAnsi="Times New Roman"/>
          <w:sz w:val="24"/>
          <w:szCs w:val="24"/>
        </w:rPr>
        <w:t>.</w:t>
      </w:r>
      <w:proofErr w:type="gramEnd"/>
      <w:r w:rsidRPr="009E7CB1">
        <w:rPr>
          <w:rFonts w:ascii="Times New Roman" w:hAnsi="Times New Roman"/>
          <w:sz w:val="24"/>
          <w:szCs w:val="24"/>
        </w:rPr>
        <w:t xml:space="preserve"> Collective risk management in a flight to quality episode</w:t>
      </w:r>
      <w:r>
        <w:rPr>
          <w:rFonts w:ascii="Times New Roman" w:hAnsi="Times New Roman"/>
          <w:sz w:val="24"/>
          <w:szCs w:val="24"/>
        </w:rPr>
        <w:t>,</w:t>
      </w:r>
      <w:r w:rsidRPr="009E7CB1">
        <w:rPr>
          <w:rFonts w:ascii="Times New Roman" w:hAnsi="Times New Roman"/>
          <w:sz w:val="24"/>
          <w:szCs w:val="24"/>
        </w:rPr>
        <w:t xml:space="preserve"> </w:t>
      </w:r>
      <w:r w:rsidRPr="00613EF4">
        <w:rPr>
          <w:rFonts w:ascii="Times New Roman" w:hAnsi="Times New Roman"/>
          <w:i/>
          <w:sz w:val="24"/>
          <w:szCs w:val="24"/>
        </w:rPr>
        <w:t>The Journal of Finance</w:t>
      </w:r>
      <w:r>
        <w:rPr>
          <w:rFonts w:ascii="Times New Roman" w:hAnsi="Times New Roman"/>
          <w:i/>
          <w:sz w:val="24"/>
          <w:szCs w:val="24"/>
        </w:rPr>
        <w:t>,</w:t>
      </w:r>
      <w:r w:rsidRPr="009E7CB1">
        <w:rPr>
          <w:rFonts w:ascii="Times New Roman" w:hAnsi="Times New Roman"/>
          <w:sz w:val="24"/>
          <w:szCs w:val="24"/>
        </w:rPr>
        <w:t xml:space="preserve"> </w:t>
      </w:r>
      <w:r>
        <w:rPr>
          <w:rFonts w:ascii="Times New Roman" w:hAnsi="Times New Roman"/>
          <w:sz w:val="24"/>
          <w:szCs w:val="24"/>
        </w:rPr>
        <w:t>V</w:t>
      </w:r>
      <w:r w:rsidRPr="009E7CB1">
        <w:rPr>
          <w:rFonts w:ascii="Times New Roman" w:hAnsi="Times New Roman"/>
          <w:sz w:val="24"/>
          <w:szCs w:val="24"/>
        </w:rPr>
        <w:t xml:space="preserve">ol. </w:t>
      </w:r>
      <w:r>
        <w:rPr>
          <w:rFonts w:ascii="Times New Roman" w:hAnsi="Times New Roman"/>
          <w:sz w:val="24"/>
          <w:szCs w:val="24"/>
        </w:rPr>
        <w:t>63</w:t>
      </w:r>
      <w:r w:rsidRPr="009E7CB1">
        <w:rPr>
          <w:rFonts w:ascii="Times New Roman" w:hAnsi="Times New Roman"/>
          <w:sz w:val="24"/>
          <w:szCs w:val="24"/>
        </w:rPr>
        <w:t xml:space="preserve">, </w:t>
      </w:r>
      <w:r>
        <w:rPr>
          <w:rFonts w:ascii="Times New Roman" w:hAnsi="Times New Roman"/>
          <w:sz w:val="24"/>
          <w:szCs w:val="24"/>
        </w:rPr>
        <w:t>No. 5, pp.</w:t>
      </w:r>
      <w:r w:rsidRPr="009E7CB1">
        <w:rPr>
          <w:rFonts w:ascii="Times New Roman" w:hAnsi="Times New Roman"/>
          <w:sz w:val="24"/>
          <w:szCs w:val="24"/>
        </w:rPr>
        <w:t>: 2195</w:t>
      </w:r>
      <w:r>
        <w:rPr>
          <w:rFonts w:ascii="Times New Roman" w:hAnsi="Times New Roman"/>
          <w:sz w:val="24"/>
          <w:szCs w:val="24"/>
        </w:rPr>
        <w:t>-</w:t>
      </w:r>
      <w:r w:rsidRPr="009E7CB1">
        <w:rPr>
          <w:rFonts w:ascii="Times New Roman" w:hAnsi="Times New Roman"/>
          <w:sz w:val="24"/>
          <w:szCs w:val="24"/>
        </w:rPr>
        <w:t>2230.</w:t>
      </w:r>
    </w:p>
    <w:p w:rsidR="00821514" w:rsidRDefault="00821514" w:rsidP="00821514">
      <w:pPr>
        <w:spacing w:before="120" w:after="120" w:line="360" w:lineRule="auto"/>
        <w:ind w:left="426" w:hanging="426"/>
        <w:jc w:val="both"/>
        <w:rPr>
          <w:rFonts w:ascii="Times New Roman" w:hAnsi="Times New Roman"/>
          <w:sz w:val="24"/>
          <w:szCs w:val="24"/>
        </w:rPr>
      </w:pPr>
      <w:r>
        <w:rPr>
          <w:rFonts w:ascii="Times New Roman" w:hAnsi="Times New Roman"/>
          <w:sz w:val="24"/>
          <w:szCs w:val="24"/>
        </w:rPr>
        <w:t>Campbell</w:t>
      </w:r>
      <w:r w:rsidRPr="008447CF">
        <w:rPr>
          <w:rFonts w:ascii="Times New Roman" w:hAnsi="Times New Roman"/>
          <w:sz w:val="24"/>
          <w:szCs w:val="24"/>
        </w:rPr>
        <w:t xml:space="preserve"> J.Y., Lo</w:t>
      </w:r>
      <w:r>
        <w:rPr>
          <w:rFonts w:ascii="Times New Roman" w:hAnsi="Times New Roman"/>
          <w:sz w:val="24"/>
          <w:szCs w:val="24"/>
        </w:rPr>
        <w:t xml:space="preserve"> A.W., </w:t>
      </w:r>
      <w:proofErr w:type="spellStart"/>
      <w:r>
        <w:rPr>
          <w:rFonts w:ascii="Times New Roman" w:hAnsi="Times New Roman"/>
          <w:sz w:val="24"/>
          <w:szCs w:val="24"/>
        </w:rPr>
        <w:t>MacKinlay</w:t>
      </w:r>
      <w:proofErr w:type="spellEnd"/>
      <w:r>
        <w:rPr>
          <w:rFonts w:ascii="Times New Roman" w:hAnsi="Times New Roman"/>
          <w:sz w:val="24"/>
          <w:szCs w:val="24"/>
        </w:rPr>
        <w:t xml:space="preserve">, A.C. (1997) </w:t>
      </w:r>
      <w:proofErr w:type="gramStart"/>
      <w:r w:rsidRPr="00173579">
        <w:rPr>
          <w:rFonts w:ascii="Times New Roman" w:hAnsi="Times New Roman"/>
          <w:i/>
          <w:iCs/>
          <w:sz w:val="24"/>
          <w:szCs w:val="24"/>
        </w:rPr>
        <w:t>The</w:t>
      </w:r>
      <w:proofErr w:type="gramEnd"/>
      <w:r w:rsidRPr="00173579">
        <w:rPr>
          <w:rFonts w:ascii="Times New Roman" w:hAnsi="Times New Roman"/>
          <w:i/>
          <w:iCs/>
          <w:sz w:val="24"/>
          <w:szCs w:val="24"/>
        </w:rPr>
        <w:t xml:space="preserve"> </w:t>
      </w:r>
      <w:r>
        <w:rPr>
          <w:rFonts w:ascii="Times New Roman" w:hAnsi="Times New Roman"/>
          <w:i/>
          <w:iCs/>
          <w:sz w:val="24"/>
          <w:szCs w:val="24"/>
        </w:rPr>
        <w:t>e</w:t>
      </w:r>
      <w:r w:rsidRPr="00173579">
        <w:rPr>
          <w:rFonts w:ascii="Times New Roman" w:hAnsi="Times New Roman"/>
          <w:i/>
          <w:iCs/>
          <w:sz w:val="24"/>
          <w:szCs w:val="24"/>
        </w:rPr>
        <w:t xml:space="preserve">conometrics of </w:t>
      </w:r>
      <w:r>
        <w:rPr>
          <w:rFonts w:ascii="Times New Roman" w:hAnsi="Times New Roman"/>
          <w:i/>
          <w:iCs/>
          <w:sz w:val="24"/>
          <w:szCs w:val="24"/>
        </w:rPr>
        <w:t>f</w:t>
      </w:r>
      <w:r w:rsidRPr="00173579">
        <w:rPr>
          <w:rFonts w:ascii="Times New Roman" w:hAnsi="Times New Roman"/>
          <w:i/>
          <w:iCs/>
          <w:sz w:val="24"/>
          <w:szCs w:val="24"/>
        </w:rPr>
        <w:t xml:space="preserve">inancial </w:t>
      </w:r>
      <w:r>
        <w:rPr>
          <w:rFonts w:ascii="Times New Roman" w:hAnsi="Times New Roman"/>
          <w:i/>
          <w:iCs/>
          <w:sz w:val="24"/>
          <w:szCs w:val="24"/>
        </w:rPr>
        <w:t>m</w:t>
      </w:r>
      <w:r w:rsidRPr="00173579">
        <w:rPr>
          <w:rFonts w:ascii="Times New Roman" w:hAnsi="Times New Roman"/>
          <w:i/>
          <w:iCs/>
          <w:sz w:val="24"/>
          <w:szCs w:val="24"/>
        </w:rPr>
        <w:t>arkets</w:t>
      </w:r>
      <w:r w:rsidRPr="008447CF">
        <w:rPr>
          <w:rFonts w:ascii="Times New Roman" w:hAnsi="Times New Roman"/>
          <w:i/>
          <w:iCs/>
          <w:sz w:val="24"/>
          <w:szCs w:val="24"/>
        </w:rPr>
        <w:t xml:space="preserve">. </w:t>
      </w:r>
      <w:r w:rsidRPr="008447CF">
        <w:rPr>
          <w:rFonts w:ascii="Times New Roman" w:hAnsi="Times New Roman"/>
          <w:sz w:val="24"/>
          <w:szCs w:val="24"/>
        </w:rPr>
        <w:t>Princeton University Press</w:t>
      </w:r>
      <w:r>
        <w:rPr>
          <w:rFonts w:ascii="Times New Roman" w:hAnsi="Times New Roman"/>
          <w:sz w:val="24"/>
          <w:szCs w:val="24"/>
        </w:rPr>
        <w:t>, Princeton</w:t>
      </w:r>
      <w:r w:rsidRPr="008447CF">
        <w:rPr>
          <w:rFonts w:ascii="Times New Roman" w:hAnsi="Times New Roman"/>
          <w:sz w:val="24"/>
          <w:szCs w:val="24"/>
        </w:rPr>
        <w:t>.</w:t>
      </w:r>
    </w:p>
    <w:p w:rsidR="00821514" w:rsidRDefault="00821514" w:rsidP="00821514">
      <w:pPr>
        <w:spacing w:before="120" w:after="120" w:line="360" w:lineRule="auto"/>
        <w:ind w:left="426" w:hanging="426"/>
        <w:jc w:val="both"/>
        <w:rPr>
          <w:rFonts w:ascii="Times New Roman" w:hAnsi="Times New Roman"/>
          <w:sz w:val="24"/>
          <w:szCs w:val="24"/>
        </w:rPr>
      </w:pPr>
      <w:proofErr w:type="spellStart"/>
      <w:r>
        <w:rPr>
          <w:rFonts w:ascii="Times New Roman" w:hAnsi="Times New Roman"/>
          <w:sz w:val="24"/>
          <w:szCs w:val="24"/>
        </w:rPr>
        <w:t>Cappelen</w:t>
      </w:r>
      <w:proofErr w:type="spellEnd"/>
      <w:r>
        <w:rPr>
          <w:rFonts w:ascii="Times New Roman" w:hAnsi="Times New Roman"/>
          <w:sz w:val="24"/>
          <w:szCs w:val="24"/>
        </w:rPr>
        <w:t xml:space="preserve">, A., </w:t>
      </w:r>
      <w:proofErr w:type="spellStart"/>
      <w:r>
        <w:rPr>
          <w:rFonts w:ascii="Times New Roman" w:hAnsi="Times New Roman"/>
          <w:sz w:val="24"/>
          <w:szCs w:val="24"/>
        </w:rPr>
        <w:t>Gleditsch</w:t>
      </w:r>
      <w:proofErr w:type="spellEnd"/>
      <w:r>
        <w:rPr>
          <w:rFonts w:ascii="Times New Roman" w:hAnsi="Times New Roman"/>
          <w:sz w:val="24"/>
          <w:szCs w:val="24"/>
        </w:rPr>
        <w:t xml:space="preserve">, N.P., </w:t>
      </w:r>
      <w:proofErr w:type="spellStart"/>
      <w:r>
        <w:rPr>
          <w:rFonts w:ascii="Times New Roman" w:hAnsi="Times New Roman"/>
          <w:sz w:val="24"/>
          <w:szCs w:val="24"/>
        </w:rPr>
        <w:t>Bjerkholt</w:t>
      </w:r>
      <w:proofErr w:type="spellEnd"/>
      <w:r>
        <w:rPr>
          <w:rFonts w:ascii="Times New Roman" w:hAnsi="Times New Roman"/>
          <w:sz w:val="24"/>
          <w:szCs w:val="24"/>
        </w:rPr>
        <w:t>, O. (1984). Military spending and economic growth in the OECD countries,</w:t>
      </w:r>
      <w:r w:rsidRPr="00173579">
        <w:rPr>
          <w:rFonts w:ascii="Times New Roman" w:hAnsi="Times New Roman"/>
          <w:i/>
          <w:sz w:val="24"/>
          <w:szCs w:val="24"/>
        </w:rPr>
        <w:t xml:space="preserve"> Journal of Peace Research</w:t>
      </w:r>
      <w:r>
        <w:rPr>
          <w:rFonts w:ascii="Times New Roman" w:hAnsi="Times New Roman"/>
          <w:i/>
          <w:sz w:val="24"/>
          <w:szCs w:val="24"/>
        </w:rPr>
        <w:t xml:space="preserve">, </w:t>
      </w:r>
      <w:r>
        <w:rPr>
          <w:rFonts w:ascii="Times New Roman" w:hAnsi="Times New Roman"/>
          <w:sz w:val="24"/>
          <w:szCs w:val="24"/>
        </w:rPr>
        <w:t xml:space="preserve">Vol. 21, No. 4, pp.: 361-373.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Chen, N., Roll, R., Ross, S. (1986).</w:t>
      </w:r>
      <w:proofErr w:type="gramEnd"/>
      <w:r>
        <w:rPr>
          <w:rFonts w:ascii="Times New Roman" w:hAnsi="Times New Roman"/>
          <w:sz w:val="24"/>
          <w:szCs w:val="24"/>
        </w:rPr>
        <w:t xml:space="preserve"> Economic forces and the stock market, </w:t>
      </w:r>
      <w:r w:rsidRPr="00173579">
        <w:rPr>
          <w:rFonts w:ascii="Times New Roman" w:hAnsi="Times New Roman"/>
          <w:i/>
          <w:sz w:val="24"/>
          <w:szCs w:val="24"/>
        </w:rPr>
        <w:t>Journal of Business</w:t>
      </w:r>
      <w:r>
        <w:rPr>
          <w:rFonts w:ascii="Times New Roman" w:hAnsi="Times New Roman"/>
          <w:i/>
          <w:sz w:val="24"/>
          <w:szCs w:val="24"/>
        </w:rPr>
        <w:t xml:space="preserve">, </w:t>
      </w:r>
      <w:r>
        <w:rPr>
          <w:rFonts w:ascii="Times New Roman" w:hAnsi="Times New Roman"/>
          <w:sz w:val="24"/>
          <w:szCs w:val="24"/>
        </w:rPr>
        <w:t>Vol. 59, No. 3, pp.: 383-403.</w:t>
      </w:r>
    </w:p>
    <w:p w:rsidR="00821514" w:rsidRDefault="00821514" w:rsidP="00821514">
      <w:pPr>
        <w:spacing w:before="120" w:after="120" w:line="360" w:lineRule="auto"/>
        <w:ind w:left="426" w:hanging="426"/>
        <w:jc w:val="both"/>
        <w:rPr>
          <w:rFonts w:ascii="Times New Roman" w:hAnsi="Times New Roman"/>
          <w:sz w:val="24"/>
          <w:szCs w:val="24"/>
        </w:rPr>
      </w:pPr>
      <w:r>
        <w:rPr>
          <w:rFonts w:ascii="Times New Roman" w:hAnsi="Times New Roman"/>
          <w:sz w:val="24"/>
          <w:szCs w:val="24"/>
        </w:rPr>
        <w:t xml:space="preserve">Chiang, T.C., Jeon, B.N., Li, H. (2007). Dynamic correlation analysis of financial contagion: Evidence from Asian markets” </w:t>
      </w:r>
      <w:r w:rsidRPr="00173579">
        <w:rPr>
          <w:rFonts w:ascii="Times New Roman" w:hAnsi="Times New Roman"/>
          <w:i/>
          <w:sz w:val="24"/>
          <w:szCs w:val="24"/>
        </w:rPr>
        <w:t>Journal of International Money and Finance</w:t>
      </w:r>
      <w:r>
        <w:rPr>
          <w:rFonts w:ascii="Times New Roman" w:hAnsi="Times New Roman"/>
          <w:i/>
          <w:sz w:val="24"/>
          <w:szCs w:val="24"/>
        </w:rPr>
        <w:t xml:space="preserve">, </w:t>
      </w:r>
      <w:r>
        <w:rPr>
          <w:rFonts w:ascii="Times New Roman" w:hAnsi="Times New Roman"/>
          <w:sz w:val="24"/>
          <w:szCs w:val="24"/>
        </w:rPr>
        <w:t xml:space="preserve">Vol. 26, No. 7, pp.: 1206-1228.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r>
        <w:rPr>
          <w:rFonts w:ascii="Times New Roman" w:hAnsi="Times New Roman"/>
          <w:sz w:val="24"/>
          <w:szCs w:val="24"/>
        </w:rPr>
        <w:t>Colgan</w:t>
      </w:r>
      <w:proofErr w:type="spellEnd"/>
      <w:r>
        <w:rPr>
          <w:rFonts w:ascii="Times New Roman" w:hAnsi="Times New Roman"/>
          <w:sz w:val="24"/>
          <w:szCs w:val="24"/>
        </w:rPr>
        <w:t>,</w:t>
      </w:r>
      <w:r w:rsidRPr="00902D4C">
        <w:rPr>
          <w:rFonts w:ascii="Times New Roman" w:hAnsi="Times New Roman"/>
          <w:sz w:val="24"/>
          <w:szCs w:val="24"/>
        </w:rPr>
        <w:t xml:space="preserve"> J.</w:t>
      </w:r>
      <w:r>
        <w:rPr>
          <w:rFonts w:ascii="Times New Roman" w:hAnsi="Times New Roman"/>
          <w:sz w:val="24"/>
          <w:szCs w:val="24"/>
        </w:rPr>
        <w:t xml:space="preserve"> </w:t>
      </w:r>
      <w:r w:rsidRPr="00902D4C">
        <w:rPr>
          <w:rFonts w:ascii="Times New Roman" w:hAnsi="Times New Roman"/>
          <w:sz w:val="24"/>
          <w:szCs w:val="24"/>
        </w:rPr>
        <w:t>(2011)</w:t>
      </w:r>
      <w:r>
        <w:rPr>
          <w:rFonts w:ascii="Times New Roman" w:hAnsi="Times New Roman"/>
          <w:sz w:val="24"/>
          <w:szCs w:val="24"/>
        </w:rPr>
        <w:t>.</w:t>
      </w:r>
      <w:r w:rsidRPr="00902D4C">
        <w:rPr>
          <w:rFonts w:ascii="Times New Roman" w:hAnsi="Times New Roman"/>
          <w:sz w:val="24"/>
          <w:szCs w:val="24"/>
        </w:rPr>
        <w:t xml:space="preserve"> Oil and </w:t>
      </w:r>
      <w:r>
        <w:rPr>
          <w:rFonts w:ascii="Times New Roman" w:hAnsi="Times New Roman"/>
          <w:sz w:val="24"/>
          <w:szCs w:val="24"/>
        </w:rPr>
        <w:t>r</w:t>
      </w:r>
      <w:r w:rsidRPr="00902D4C">
        <w:rPr>
          <w:rFonts w:ascii="Times New Roman" w:hAnsi="Times New Roman"/>
          <w:sz w:val="24"/>
          <w:szCs w:val="24"/>
        </w:rPr>
        <w:t>es</w:t>
      </w:r>
      <w:r>
        <w:rPr>
          <w:rFonts w:ascii="Times New Roman" w:hAnsi="Times New Roman"/>
          <w:sz w:val="24"/>
          <w:szCs w:val="24"/>
        </w:rPr>
        <w:t xml:space="preserve">ource-backed aggression, </w:t>
      </w:r>
      <w:r w:rsidRPr="00173579">
        <w:rPr>
          <w:rFonts w:ascii="Times New Roman" w:hAnsi="Times New Roman"/>
          <w:i/>
          <w:sz w:val="24"/>
          <w:szCs w:val="24"/>
        </w:rPr>
        <w:t>Energy Policy</w:t>
      </w:r>
      <w:r>
        <w:rPr>
          <w:rFonts w:ascii="Times New Roman" w:hAnsi="Times New Roman"/>
          <w:i/>
          <w:sz w:val="24"/>
          <w:szCs w:val="24"/>
        </w:rPr>
        <w:t xml:space="preserve">, </w:t>
      </w:r>
      <w:r>
        <w:rPr>
          <w:rFonts w:ascii="Times New Roman" w:hAnsi="Times New Roman"/>
          <w:sz w:val="24"/>
          <w:szCs w:val="24"/>
        </w:rPr>
        <w:t xml:space="preserve">Vol. 39, No. 3, pp.: 1669-1676.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 xml:space="preserve">Collier, P., and </w:t>
      </w:r>
      <w:proofErr w:type="spellStart"/>
      <w:r>
        <w:rPr>
          <w:rFonts w:ascii="Times New Roman" w:hAnsi="Times New Roman"/>
          <w:sz w:val="24"/>
          <w:szCs w:val="24"/>
        </w:rPr>
        <w:t>Hoeffler</w:t>
      </w:r>
      <w:proofErr w:type="spellEnd"/>
      <w:r>
        <w:rPr>
          <w:rFonts w:ascii="Times New Roman" w:hAnsi="Times New Roman"/>
          <w:sz w:val="24"/>
          <w:szCs w:val="24"/>
        </w:rPr>
        <w:t>, A. (2004).</w:t>
      </w:r>
      <w:proofErr w:type="gramEnd"/>
      <w:r>
        <w:rPr>
          <w:rFonts w:ascii="Times New Roman" w:hAnsi="Times New Roman"/>
          <w:sz w:val="24"/>
          <w:szCs w:val="24"/>
        </w:rPr>
        <w:t xml:space="preserve"> Greed and grievance in civil war, </w:t>
      </w:r>
      <w:r w:rsidRPr="00173579">
        <w:rPr>
          <w:rFonts w:ascii="Times New Roman" w:hAnsi="Times New Roman"/>
          <w:i/>
          <w:sz w:val="24"/>
          <w:szCs w:val="24"/>
        </w:rPr>
        <w:t>Oxford Economic Papers</w:t>
      </w:r>
      <w:r>
        <w:rPr>
          <w:rFonts w:ascii="Times New Roman" w:hAnsi="Times New Roman"/>
          <w:i/>
          <w:sz w:val="24"/>
          <w:szCs w:val="24"/>
        </w:rPr>
        <w:t xml:space="preserve">, </w:t>
      </w:r>
      <w:r>
        <w:rPr>
          <w:rFonts w:ascii="Times New Roman" w:hAnsi="Times New Roman"/>
          <w:sz w:val="24"/>
          <w:szCs w:val="24"/>
        </w:rPr>
        <w:t xml:space="preserve">Vol. 56, No. 4, pp.: 563-595. </w:t>
      </w:r>
    </w:p>
    <w:p w:rsidR="00821514" w:rsidRDefault="00821514" w:rsidP="00821514">
      <w:pPr>
        <w:spacing w:before="120" w:after="120" w:line="360" w:lineRule="auto"/>
        <w:ind w:left="426" w:hanging="426"/>
        <w:jc w:val="both"/>
        <w:rPr>
          <w:rFonts w:ascii="Times New Roman" w:hAnsi="Times New Roman"/>
          <w:sz w:val="24"/>
          <w:szCs w:val="24"/>
        </w:rPr>
      </w:pPr>
      <w:r w:rsidRPr="00933194">
        <w:rPr>
          <w:rFonts w:ascii="Times New Roman" w:hAnsi="Times New Roman"/>
          <w:sz w:val="24"/>
          <w:szCs w:val="24"/>
        </w:rPr>
        <w:lastRenderedPageBreak/>
        <w:t xml:space="preserve">Congressional Research Service (2012) </w:t>
      </w:r>
      <w:r w:rsidRPr="00613EF4">
        <w:rPr>
          <w:rFonts w:ascii="Times New Roman" w:hAnsi="Times New Roman"/>
          <w:i/>
          <w:sz w:val="24"/>
          <w:szCs w:val="24"/>
        </w:rPr>
        <w:t xml:space="preserve">Department of </w:t>
      </w:r>
      <w:r>
        <w:rPr>
          <w:rFonts w:ascii="Times New Roman" w:hAnsi="Times New Roman"/>
          <w:i/>
          <w:sz w:val="24"/>
          <w:szCs w:val="24"/>
        </w:rPr>
        <w:t>d</w:t>
      </w:r>
      <w:r w:rsidRPr="00613EF4">
        <w:rPr>
          <w:rFonts w:ascii="Times New Roman" w:hAnsi="Times New Roman"/>
          <w:i/>
          <w:sz w:val="24"/>
          <w:szCs w:val="24"/>
        </w:rPr>
        <w:t xml:space="preserve">efence </w:t>
      </w:r>
      <w:r>
        <w:rPr>
          <w:rFonts w:ascii="Times New Roman" w:hAnsi="Times New Roman"/>
          <w:i/>
          <w:sz w:val="24"/>
          <w:szCs w:val="24"/>
        </w:rPr>
        <w:t>e</w:t>
      </w:r>
      <w:r w:rsidRPr="00613EF4">
        <w:rPr>
          <w:rFonts w:ascii="Times New Roman" w:hAnsi="Times New Roman"/>
          <w:i/>
          <w:sz w:val="24"/>
          <w:szCs w:val="24"/>
        </w:rPr>
        <w:t xml:space="preserve">nergy </w:t>
      </w:r>
      <w:r>
        <w:rPr>
          <w:rFonts w:ascii="Times New Roman" w:hAnsi="Times New Roman"/>
          <w:i/>
          <w:sz w:val="24"/>
          <w:szCs w:val="24"/>
        </w:rPr>
        <w:t>i</w:t>
      </w:r>
      <w:r w:rsidRPr="00613EF4">
        <w:rPr>
          <w:rFonts w:ascii="Times New Roman" w:hAnsi="Times New Roman"/>
          <w:i/>
          <w:sz w:val="24"/>
          <w:szCs w:val="24"/>
        </w:rPr>
        <w:t xml:space="preserve">nitiatives: Background and </w:t>
      </w:r>
      <w:r>
        <w:rPr>
          <w:rFonts w:ascii="Times New Roman" w:hAnsi="Times New Roman"/>
          <w:i/>
          <w:sz w:val="24"/>
          <w:szCs w:val="24"/>
        </w:rPr>
        <w:t>i</w:t>
      </w:r>
      <w:r w:rsidRPr="00613EF4">
        <w:rPr>
          <w:rFonts w:ascii="Times New Roman" w:hAnsi="Times New Roman"/>
          <w:i/>
          <w:sz w:val="24"/>
          <w:szCs w:val="24"/>
        </w:rPr>
        <w:t xml:space="preserve">ssues for </w:t>
      </w:r>
      <w:r>
        <w:rPr>
          <w:rFonts w:ascii="Times New Roman" w:hAnsi="Times New Roman"/>
          <w:i/>
          <w:sz w:val="24"/>
          <w:szCs w:val="24"/>
        </w:rPr>
        <w:t>c</w:t>
      </w:r>
      <w:r w:rsidRPr="00613EF4">
        <w:rPr>
          <w:rFonts w:ascii="Times New Roman" w:hAnsi="Times New Roman"/>
          <w:i/>
          <w:sz w:val="24"/>
          <w:szCs w:val="24"/>
        </w:rPr>
        <w:t>ongress</w:t>
      </w:r>
      <w:r>
        <w:rPr>
          <w:rFonts w:ascii="Times New Roman" w:hAnsi="Times New Roman"/>
          <w:i/>
          <w:sz w:val="24"/>
          <w:szCs w:val="24"/>
        </w:rPr>
        <w:t>,</w:t>
      </w:r>
      <w:r w:rsidRPr="00933194">
        <w:rPr>
          <w:rFonts w:ascii="Times New Roman" w:hAnsi="Times New Roman"/>
          <w:sz w:val="24"/>
          <w:szCs w:val="24"/>
        </w:rPr>
        <w:t xml:space="preserve"> available online: </w:t>
      </w:r>
      <w:r w:rsidRPr="00A257D5">
        <w:rPr>
          <w:rFonts w:ascii="Times New Roman" w:hAnsi="Times New Roman"/>
        </w:rPr>
        <w:t>http://www.fas.org/sgp/crs/natsec/R42558.pdf</w:t>
      </w:r>
      <w:r w:rsidRPr="00933194">
        <w:rPr>
          <w:rFonts w:ascii="Times New Roman" w:hAnsi="Times New Roman"/>
          <w:sz w:val="24"/>
          <w:szCs w:val="24"/>
        </w:rPr>
        <w:t xml:space="preserve"> </w:t>
      </w:r>
      <w:r>
        <w:rPr>
          <w:rFonts w:ascii="Times New Roman" w:hAnsi="Times New Roman"/>
          <w:sz w:val="24"/>
          <w:szCs w:val="24"/>
        </w:rPr>
        <w:t xml:space="preserve">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sidRPr="00933194">
        <w:rPr>
          <w:rFonts w:ascii="Times New Roman" w:hAnsi="Times New Roman"/>
          <w:sz w:val="24"/>
          <w:szCs w:val="24"/>
        </w:rPr>
        <w:t xml:space="preserve">Connolly, R., </w:t>
      </w:r>
      <w:proofErr w:type="spellStart"/>
      <w:r w:rsidRPr="00933194">
        <w:rPr>
          <w:rFonts w:ascii="Times New Roman" w:hAnsi="Times New Roman"/>
          <w:sz w:val="24"/>
          <w:szCs w:val="24"/>
        </w:rPr>
        <w:t>Stivers</w:t>
      </w:r>
      <w:proofErr w:type="spellEnd"/>
      <w:r w:rsidRPr="00933194">
        <w:rPr>
          <w:rFonts w:ascii="Times New Roman" w:hAnsi="Times New Roman"/>
          <w:sz w:val="24"/>
          <w:szCs w:val="24"/>
        </w:rPr>
        <w:t>, C., and Sun, L. (2005)</w:t>
      </w:r>
      <w:r>
        <w:rPr>
          <w:rFonts w:ascii="Times New Roman" w:hAnsi="Times New Roman"/>
          <w:sz w:val="24"/>
          <w:szCs w:val="24"/>
        </w:rPr>
        <w:t>.</w:t>
      </w:r>
      <w:proofErr w:type="gramEnd"/>
      <w:r w:rsidRPr="00933194">
        <w:rPr>
          <w:rFonts w:ascii="Times New Roman" w:hAnsi="Times New Roman"/>
          <w:sz w:val="24"/>
          <w:szCs w:val="24"/>
        </w:rPr>
        <w:t xml:space="preserve"> Stock market uncertainty and stock-bond return relation</w:t>
      </w:r>
      <w:r>
        <w:rPr>
          <w:rFonts w:ascii="Times New Roman" w:hAnsi="Times New Roman"/>
          <w:sz w:val="24"/>
          <w:szCs w:val="24"/>
        </w:rPr>
        <w:t>,</w:t>
      </w:r>
      <w:r w:rsidRPr="00933194">
        <w:rPr>
          <w:rFonts w:ascii="Times New Roman" w:hAnsi="Times New Roman"/>
          <w:sz w:val="24"/>
          <w:szCs w:val="24"/>
        </w:rPr>
        <w:t xml:space="preserve"> </w:t>
      </w:r>
      <w:r w:rsidRPr="00933194">
        <w:rPr>
          <w:rFonts w:ascii="Times New Roman" w:hAnsi="Times New Roman"/>
          <w:i/>
          <w:sz w:val="24"/>
          <w:szCs w:val="24"/>
        </w:rPr>
        <w:t>Journal of Financial and Quantitative Analysis</w:t>
      </w:r>
      <w:r>
        <w:rPr>
          <w:rFonts w:ascii="Times New Roman" w:hAnsi="Times New Roman"/>
          <w:i/>
          <w:sz w:val="24"/>
          <w:szCs w:val="24"/>
        </w:rPr>
        <w:t>,</w:t>
      </w:r>
      <w:r w:rsidRPr="00933194">
        <w:rPr>
          <w:rFonts w:ascii="Times New Roman" w:hAnsi="Times New Roman"/>
          <w:sz w:val="24"/>
          <w:szCs w:val="24"/>
        </w:rPr>
        <w:t xml:space="preserve"> Vol. 40</w:t>
      </w:r>
      <w:r>
        <w:rPr>
          <w:rFonts w:ascii="Times New Roman" w:hAnsi="Times New Roman"/>
          <w:sz w:val="24"/>
          <w:szCs w:val="24"/>
        </w:rPr>
        <w:t>,</w:t>
      </w:r>
      <w:r w:rsidRPr="00933194">
        <w:rPr>
          <w:rFonts w:ascii="Times New Roman" w:hAnsi="Times New Roman"/>
          <w:sz w:val="24"/>
          <w:szCs w:val="24"/>
        </w:rPr>
        <w:t xml:space="preserve"> No. 1</w:t>
      </w:r>
      <w:r>
        <w:rPr>
          <w:rFonts w:ascii="Times New Roman" w:hAnsi="Times New Roman"/>
          <w:sz w:val="24"/>
          <w:szCs w:val="24"/>
        </w:rPr>
        <w:t>,</w:t>
      </w:r>
      <w:r w:rsidRPr="00933194">
        <w:rPr>
          <w:rFonts w:ascii="Times New Roman" w:hAnsi="Times New Roman"/>
          <w:sz w:val="24"/>
          <w:szCs w:val="24"/>
        </w:rPr>
        <w:t xml:space="preserve"> pp.: 161-194. </w:t>
      </w:r>
    </w:p>
    <w:p w:rsidR="00821514" w:rsidRPr="00933194" w:rsidRDefault="00821514" w:rsidP="00821514">
      <w:pPr>
        <w:spacing w:before="120" w:after="120" w:line="360" w:lineRule="auto"/>
        <w:ind w:left="426" w:hanging="426"/>
        <w:jc w:val="both"/>
        <w:rPr>
          <w:rFonts w:ascii="Times New Roman" w:hAnsi="Times New Roman"/>
          <w:sz w:val="24"/>
          <w:szCs w:val="24"/>
        </w:rPr>
      </w:pPr>
      <w:proofErr w:type="spellStart"/>
      <w:r w:rsidRPr="00D036BE">
        <w:rPr>
          <w:rFonts w:ascii="Times New Roman" w:hAnsi="Times New Roman"/>
          <w:sz w:val="24"/>
          <w:szCs w:val="24"/>
        </w:rPr>
        <w:t>Darvas</w:t>
      </w:r>
      <w:proofErr w:type="spellEnd"/>
      <w:r w:rsidRPr="00D036BE">
        <w:rPr>
          <w:rFonts w:ascii="Times New Roman" w:hAnsi="Times New Roman"/>
          <w:sz w:val="24"/>
          <w:szCs w:val="24"/>
        </w:rPr>
        <w:t xml:space="preserve">, Z. and </w:t>
      </w:r>
      <w:proofErr w:type="spellStart"/>
      <w:r w:rsidRPr="00D036BE">
        <w:rPr>
          <w:rFonts w:ascii="Times New Roman" w:hAnsi="Times New Roman"/>
          <w:sz w:val="24"/>
          <w:szCs w:val="24"/>
        </w:rPr>
        <w:t>Szapáry</w:t>
      </w:r>
      <w:proofErr w:type="spellEnd"/>
      <w:r w:rsidRPr="00D036BE">
        <w:rPr>
          <w:rFonts w:ascii="Times New Roman" w:hAnsi="Times New Roman"/>
          <w:sz w:val="24"/>
          <w:szCs w:val="24"/>
        </w:rPr>
        <w:t xml:space="preserve">, G., </w:t>
      </w:r>
      <w:r>
        <w:rPr>
          <w:rFonts w:ascii="Times New Roman" w:hAnsi="Times New Roman"/>
          <w:sz w:val="24"/>
          <w:szCs w:val="24"/>
        </w:rPr>
        <w:t>(</w:t>
      </w:r>
      <w:r w:rsidRPr="00D036BE">
        <w:rPr>
          <w:rFonts w:ascii="Times New Roman" w:hAnsi="Times New Roman"/>
          <w:sz w:val="24"/>
          <w:szCs w:val="24"/>
        </w:rPr>
        <w:t>2000</w:t>
      </w:r>
      <w:r>
        <w:rPr>
          <w:rFonts w:ascii="Times New Roman" w:hAnsi="Times New Roman"/>
          <w:sz w:val="24"/>
          <w:szCs w:val="24"/>
        </w:rPr>
        <w:t>)</w:t>
      </w:r>
      <w:r w:rsidRPr="00D036BE">
        <w:rPr>
          <w:rFonts w:ascii="Times New Roman" w:hAnsi="Times New Roman"/>
          <w:sz w:val="24"/>
          <w:szCs w:val="24"/>
        </w:rPr>
        <w:t>. Financial contagion in five small open economies: does the exchange rate regime really matter</w:t>
      </w:r>
      <w:proofErr w:type="gramStart"/>
      <w:r w:rsidRPr="00D036BE">
        <w:rPr>
          <w:rFonts w:ascii="Times New Roman" w:hAnsi="Times New Roman"/>
          <w:sz w:val="24"/>
          <w:szCs w:val="24"/>
        </w:rPr>
        <w:t>?.</w:t>
      </w:r>
      <w:proofErr w:type="gramEnd"/>
      <w:r w:rsidRPr="00D036BE">
        <w:rPr>
          <w:rFonts w:ascii="Times New Roman" w:hAnsi="Times New Roman"/>
          <w:sz w:val="24"/>
          <w:szCs w:val="24"/>
        </w:rPr>
        <w:t> </w:t>
      </w:r>
      <w:r w:rsidRPr="00D036BE">
        <w:rPr>
          <w:rFonts w:ascii="Times New Roman" w:hAnsi="Times New Roman"/>
          <w:i/>
          <w:iCs/>
          <w:sz w:val="24"/>
          <w:szCs w:val="24"/>
        </w:rPr>
        <w:t>International Finance</w:t>
      </w:r>
      <w:r w:rsidRPr="00D036BE">
        <w:rPr>
          <w:rFonts w:ascii="Times New Roman" w:hAnsi="Times New Roman"/>
          <w:sz w:val="24"/>
          <w:szCs w:val="24"/>
        </w:rPr>
        <w:t>, </w:t>
      </w:r>
      <w:r>
        <w:rPr>
          <w:rFonts w:ascii="Times New Roman" w:hAnsi="Times New Roman"/>
          <w:sz w:val="24"/>
          <w:szCs w:val="24"/>
        </w:rPr>
        <w:t xml:space="preserve">Vol. </w:t>
      </w:r>
      <w:r w:rsidRPr="00D036BE">
        <w:rPr>
          <w:rFonts w:ascii="Times New Roman" w:hAnsi="Times New Roman"/>
          <w:iCs/>
          <w:sz w:val="24"/>
          <w:szCs w:val="24"/>
        </w:rPr>
        <w:t>3</w:t>
      </w:r>
      <w:r>
        <w:rPr>
          <w:rFonts w:ascii="Times New Roman" w:hAnsi="Times New Roman"/>
          <w:iCs/>
          <w:sz w:val="24"/>
          <w:szCs w:val="24"/>
        </w:rPr>
        <w:t xml:space="preserve">, No. </w:t>
      </w:r>
      <w:r w:rsidRPr="00D036BE">
        <w:rPr>
          <w:rFonts w:ascii="Times New Roman" w:hAnsi="Times New Roman"/>
          <w:sz w:val="24"/>
          <w:szCs w:val="24"/>
        </w:rPr>
        <w:t>1, pp.</w:t>
      </w:r>
      <w:r>
        <w:rPr>
          <w:rFonts w:ascii="Times New Roman" w:hAnsi="Times New Roman"/>
          <w:sz w:val="24"/>
          <w:szCs w:val="24"/>
        </w:rPr>
        <w:t xml:space="preserve">: </w:t>
      </w:r>
      <w:r w:rsidRPr="00D036BE">
        <w:rPr>
          <w:rFonts w:ascii="Times New Roman" w:hAnsi="Times New Roman"/>
          <w:sz w:val="24"/>
          <w:szCs w:val="24"/>
        </w:rPr>
        <w:t>25-51.</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Deger</w:t>
      </w:r>
      <w:proofErr w:type="spellEnd"/>
      <w:r>
        <w:rPr>
          <w:rFonts w:ascii="Times New Roman" w:hAnsi="Times New Roman"/>
          <w:sz w:val="24"/>
          <w:szCs w:val="24"/>
        </w:rPr>
        <w:t>, S., and Smith, R. (1983).</w:t>
      </w:r>
      <w:proofErr w:type="gramEnd"/>
      <w:r>
        <w:rPr>
          <w:rFonts w:ascii="Times New Roman" w:hAnsi="Times New Roman"/>
          <w:sz w:val="24"/>
          <w:szCs w:val="24"/>
        </w:rPr>
        <w:t xml:space="preserve"> Military expenditure and growth in less developed countries, </w:t>
      </w:r>
      <w:r w:rsidRPr="00173579">
        <w:rPr>
          <w:rFonts w:ascii="Times New Roman" w:hAnsi="Times New Roman"/>
          <w:i/>
          <w:sz w:val="24"/>
          <w:szCs w:val="24"/>
        </w:rPr>
        <w:t>Journal of Conflict Resolution</w:t>
      </w:r>
      <w:r>
        <w:rPr>
          <w:rFonts w:ascii="Times New Roman" w:hAnsi="Times New Roman"/>
          <w:i/>
          <w:sz w:val="24"/>
          <w:szCs w:val="24"/>
        </w:rPr>
        <w:t xml:space="preserve">, </w:t>
      </w:r>
      <w:r>
        <w:rPr>
          <w:rFonts w:ascii="Times New Roman" w:hAnsi="Times New Roman"/>
          <w:sz w:val="24"/>
          <w:szCs w:val="24"/>
        </w:rPr>
        <w:t xml:space="preserve">Vol. 27, No. 2, pp.: 335-353. </w:t>
      </w:r>
    </w:p>
    <w:p w:rsidR="00821514" w:rsidRDefault="00821514" w:rsidP="00821514">
      <w:pPr>
        <w:spacing w:before="120" w:after="120" w:line="360" w:lineRule="auto"/>
        <w:ind w:left="426" w:hanging="426"/>
        <w:jc w:val="both"/>
        <w:rPr>
          <w:rFonts w:ascii="Times New Roman" w:hAnsi="Times New Roman"/>
          <w:sz w:val="24"/>
          <w:szCs w:val="24"/>
        </w:rPr>
      </w:pPr>
      <w:r w:rsidRPr="00933194">
        <w:rPr>
          <w:rFonts w:ascii="Times New Roman" w:hAnsi="Times New Roman"/>
          <w:sz w:val="24"/>
          <w:szCs w:val="24"/>
        </w:rPr>
        <w:t>Deloitte LLP (2009)</w:t>
      </w:r>
      <w:r>
        <w:rPr>
          <w:rFonts w:ascii="Times New Roman" w:hAnsi="Times New Roman"/>
          <w:sz w:val="24"/>
          <w:szCs w:val="24"/>
        </w:rPr>
        <w:t>.</w:t>
      </w:r>
      <w:r w:rsidRPr="00933194">
        <w:rPr>
          <w:rFonts w:ascii="Times New Roman" w:hAnsi="Times New Roman"/>
          <w:sz w:val="24"/>
          <w:szCs w:val="24"/>
        </w:rPr>
        <w:t xml:space="preserve"> </w:t>
      </w:r>
      <w:r w:rsidRPr="002920B9">
        <w:rPr>
          <w:rFonts w:ascii="Times New Roman" w:hAnsi="Times New Roman"/>
          <w:i/>
          <w:sz w:val="24"/>
          <w:szCs w:val="24"/>
        </w:rPr>
        <w:t xml:space="preserve">Energy </w:t>
      </w:r>
      <w:r>
        <w:rPr>
          <w:rFonts w:ascii="Times New Roman" w:hAnsi="Times New Roman"/>
          <w:i/>
          <w:sz w:val="24"/>
          <w:szCs w:val="24"/>
        </w:rPr>
        <w:t>s</w:t>
      </w:r>
      <w:r w:rsidRPr="002920B9">
        <w:rPr>
          <w:rFonts w:ascii="Times New Roman" w:hAnsi="Times New Roman"/>
          <w:i/>
          <w:sz w:val="24"/>
          <w:szCs w:val="24"/>
        </w:rPr>
        <w:t xml:space="preserve">ecurity: </w:t>
      </w:r>
      <w:proofErr w:type="gramStart"/>
      <w:r w:rsidRPr="002920B9">
        <w:rPr>
          <w:rFonts w:ascii="Times New Roman" w:hAnsi="Times New Roman"/>
          <w:i/>
          <w:sz w:val="24"/>
          <w:szCs w:val="24"/>
        </w:rPr>
        <w:t xml:space="preserve">America’s </w:t>
      </w:r>
      <w:r>
        <w:rPr>
          <w:rFonts w:ascii="Times New Roman" w:hAnsi="Times New Roman"/>
          <w:i/>
          <w:sz w:val="24"/>
          <w:szCs w:val="24"/>
        </w:rPr>
        <w:t>b</w:t>
      </w:r>
      <w:r w:rsidRPr="002920B9">
        <w:rPr>
          <w:rFonts w:ascii="Times New Roman" w:hAnsi="Times New Roman"/>
          <w:i/>
          <w:sz w:val="24"/>
          <w:szCs w:val="24"/>
        </w:rPr>
        <w:t xml:space="preserve">est </w:t>
      </w:r>
      <w:r>
        <w:rPr>
          <w:rFonts w:ascii="Times New Roman" w:hAnsi="Times New Roman"/>
          <w:i/>
          <w:sz w:val="24"/>
          <w:szCs w:val="24"/>
        </w:rPr>
        <w:t>d</w:t>
      </w:r>
      <w:r w:rsidRPr="002920B9">
        <w:rPr>
          <w:rFonts w:ascii="Times New Roman" w:hAnsi="Times New Roman"/>
          <w:i/>
          <w:sz w:val="24"/>
          <w:szCs w:val="24"/>
        </w:rPr>
        <w:t>efence</w:t>
      </w:r>
      <w:proofErr w:type="gramEnd"/>
      <w:r>
        <w:rPr>
          <w:rFonts w:ascii="Times New Roman" w:hAnsi="Times New Roman"/>
          <w:i/>
          <w:sz w:val="24"/>
          <w:szCs w:val="24"/>
        </w:rPr>
        <w:t>,</w:t>
      </w:r>
      <w:r w:rsidRPr="00933194">
        <w:rPr>
          <w:rFonts w:ascii="Times New Roman" w:hAnsi="Times New Roman"/>
          <w:sz w:val="24"/>
          <w:szCs w:val="24"/>
        </w:rPr>
        <w:t xml:space="preserve"> available </w:t>
      </w:r>
      <w:r>
        <w:rPr>
          <w:rFonts w:ascii="Times New Roman" w:hAnsi="Times New Roman"/>
          <w:sz w:val="24"/>
          <w:szCs w:val="24"/>
        </w:rPr>
        <w:t xml:space="preserve">online: </w:t>
      </w:r>
      <w:hyperlink r:id="rId9" w:history="1">
        <w:r w:rsidRPr="00C17CBC">
          <w:rPr>
            <w:rStyle w:val="Hyperlink"/>
            <w:rFonts w:ascii="Times New Roman" w:hAnsi="Times New Roman"/>
            <w:sz w:val="24"/>
            <w:szCs w:val="24"/>
          </w:rPr>
          <w:t>http://www.deloitte.com</w:t>
        </w:r>
      </w:hyperlink>
      <w:r w:rsidRPr="00933194">
        <w:rPr>
          <w:rFonts w:ascii="Times New Roman" w:hAnsi="Times New Roman"/>
          <w:sz w:val="24"/>
          <w:szCs w:val="24"/>
        </w:rPr>
        <w:t>.</w:t>
      </w:r>
      <w:r>
        <w:rPr>
          <w:rFonts w:ascii="Times New Roman" w:hAnsi="Times New Roman"/>
          <w:sz w:val="24"/>
          <w:szCs w:val="24"/>
        </w:rPr>
        <w:t xml:space="preserve"> </w:t>
      </w:r>
      <w:r w:rsidRPr="00933194">
        <w:rPr>
          <w:rFonts w:ascii="Times New Roman" w:hAnsi="Times New Roman"/>
          <w:sz w:val="24"/>
          <w:szCs w:val="24"/>
        </w:rPr>
        <w:t xml:space="preserve"> </w:t>
      </w:r>
    </w:p>
    <w:p w:rsidR="00821514" w:rsidRPr="00133BFF" w:rsidRDefault="00821514" w:rsidP="00821514">
      <w:pPr>
        <w:spacing w:before="120" w:after="120" w:line="360" w:lineRule="auto"/>
        <w:ind w:left="426" w:hanging="426"/>
        <w:jc w:val="both"/>
        <w:rPr>
          <w:rFonts w:ascii="Times New Roman" w:hAnsi="Times New Roman"/>
          <w:sz w:val="24"/>
          <w:szCs w:val="24"/>
        </w:rPr>
      </w:pPr>
      <w:proofErr w:type="gramStart"/>
      <w:r w:rsidRPr="00133BFF">
        <w:rPr>
          <w:rFonts w:ascii="Times New Roman" w:hAnsi="Times New Roman"/>
          <w:sz w:val="24"/>
          <w:szCs w:val="24"/>
        </w:rPr>
        <w:t>Dickey, D.A., and Fuller, W.A. (1981)</w:t>
      </w:r>
      <w:r>
        <w:rPr>
          <w:rFonts w:ascii="Times New Roman" w:hAnsi="Times New Roman"/>
          <w:sz w:val="24"/>
          <w:szCs w:val="24"/>
        </w:rPr>
        <w:t>.</w:t>
      </w:r>
      <w:proofErr w:type="gramEnd"/>
      <w:r w:rsidRPr="00133BFF">
        <w:rPr>
          <w:rFonts w:ascii="Times New Roman" w:hAnsi="Times New Roman"/>
          <w:sz w:val="24"/>
          <w:szCs w:val="24"/>
        </w:rPr>
        <w:t xml:space="preserve"> Likelihood </w:t>
      </w:r>
      <w:r>
        <w:rPr>
          <w:rFonts w:ascii="Times New Roman" w:hAnsi="Times New Roman"/>
          <w:sz w:val="24"/>
          <w:szCs w:val="24"/>
        </w:rPr>
        <w:t>r</w:t>
      </w:r>
      <w:r w:rsidRPr="00133BFF">
        <w:rPr>
          <w:rFonts w:ascii="Times New Roman" w:hAnsi="Times New Roman"/>
          <w:sz w:val="24"/>
          <w:szCs w:val="24"/>
        </w:rPr>
        <w:t xml:space="preserve">atio </w:t>
      </w:r>
      <w:r>
        <w:rPr>
          <w:rFonts w:ascii="Times New Roman" w:hAnsi="Times New Roman"/>
          <w:sz w:val="24"/>
          <w:szCs w:val="24"/>
        </w:rPr>
        <w:t>statistics</w:t>
      </w:r>
      <w:r w:rsidRPr="00133BFF">
        <w:rPr>
          <w:rFonts w:ascii="Times New Roman" w:hAnsi="Times New Roman"/>
          <w:sz w:val="24"/>
          <w:szCs w:val="24"/>
        </w:rPr>
        <w:t xml:space="preserve"> for </w:t>
      </w:r>
      <w:r>
        <w:rPr>
          <w:rFonts w:ascii="Times New Roman" w:hAnsi="Times New Roman"/>
          <w:sz w:val="24"/>
          <w:szCs w:val="24"/>
        </w:rPr>
        <w:t>a</w:t>
      </w:r>
      <w:r w:rsidRPr="00133BFF">
        <w:rPr>
          <w:rFonts w:ascii="Times New Roman" w:hAnsi="Times New Roman"/>
          <w:sz w:val="24"/>
          <w:szCs w:val="24"/>
        </w:rPr>
        <w:t>utoregressive</w:t>
      </w:r>
      <w:r>
        <w:rPr>
          <w:rFonts w:ascii="Times New Roman" w:hAnsi="Times New Roman"/>
          <w:sz w:val="24"/>
          <w:szCs w:val="24"/>
        </w:rPr>
        <w:t xml:space="preserve"> t</w:t>
      </w:r>
      <w:r w:rsidRPr="00133BFF">
        <w:rPr>
          <w:rFonts w:ascii="Times New Roman" w:hAnsi="Times New Roman"/>
          <w:sz w:val="24"/>
          <w:szCs w:val="24"/>
        </w:rPr>
        <w:t xml:space="preserve">ime </w:t>
      </w:r>
      <w:r>
        <w:rPr>
          <w:rFonts w:ascii="Times New Roman" w:hAnsi="Times New Roman"/>
          <w:sz w:val="24"/>
          <w:szCs w:val="24"/>
        </w:rPr>
        <w:t>s</w:t>
      </w:r>
      <w:r w:rsidRPr="00133BFF">
        <w:rPr>
          <w:rFonts w:ascii="Times New Roman" w:hAnsi="Times New Roman"/>
          <w:sz w:val="24"/>
          <w:szCs w:val="24"/>
        </w:rPr>
        <w:t xml:space="preserve">eries with a </w:t>
      </w:r>
      <w:r>
        <w:rPr>
          <w:rFonts w:ascii="Times New Roman" w:hAnsi="Times New Roman"/>
          <w:sz w:val="24"/>
          <w:szCs w:val="24"/>
        </w:rPr>
        <w:t>u</w:t>
      </w:r>
      <w:r w:rsidRPr="00133BFF">
        <w:rPr>
          <w:rFonts w:ascii="Times New Roman" w:hAnsi="Times New Roman"/>
          <w:sz w:val="24"/>
          <w:szCs w:val="24"/>
        </w:rPr>
        <w:t xml:space="preserve">nit </w:t>
      </w:r>
      <w:r>
        <w:rPr>
          <w:rFonts w:ascii="Times New Roman" w:hAnsi="Times New Roman"/>
          <w:sz w:val="24"/>
          <w:szCs w:val="24"/>
        </w:rPr>
        <w:t>r</w:t>
      </w:r>
      <w:r w:rsidRPr="00133BFF">
        <w:rPr>
          <w:rFonts w:ascii="Times New Roman" w:hAnsi="Times New Roman"/>
          <w:sz w:val="24"/>
          <w:szCs w:val="24"/>
        </w:rPr>
        <w:t xml:space="preserve">oot, </w:t>
      </w:r>
      <w:proofErr w:type="spellStart"/>
      <w:r w:rsidRPr="00133BFF">
        <w:rPr>
          <w:rFonts w:ascii="Times New Roman" w:hAnsi="Times New Roman"/>
          <w:i/>
          <w:sz w:val="24"/>
          <w:szCs w:val="24"/>
        </w:rPr>
        <w:t>Econometrica</w:t>
      </w:r>
      <w:proofErr w:type="spellEnd"/>
      <w:r w:rsidRPr="00133BFF">
        <w:rPr>
          <w:rFonts w:ascii="Times New Roman" w:hAnsi="Times New Roman"/>
          <w:sz w:val="24"/>
          <w:szCs w:val="24"/>
        </w:rPr>
        <w:t xml:space="preserve">, </w:t>
      </w:r>
      <w:r>
        <w:rPr>
          <w:rFonts w:ascii="Times New Roman" w:hAnsi="Times New Roman"/>
          <w:sz w:val="24"/>
          <w:szCs w:val="24"/>
        </w:rPr>
        <w:t xml:space="preserve">Vol. </w:t>
      </w:r>
      <w:r w:rsidRPr="00133BFF">
        <w:rPr>
          <w:rFonts w:ascii="Times New Roman" w:hAnsi="Times New Roman"/>
          <w:sz w:val="24"/>
          <w:szCs w:val="24"/>
        </w:rPr>
        <w:t xml:space="preserve">49, </w:t>
      </w:r>
      <w:r>
        <w:rPr>
          <w:rFonts w:ascii="Times New Roman" w:hAnsi="Times New Roman"/>
          <w:sz w:val="24"/>
          <w:szCs w:val="24"/>
        </w:rPr>
        <w:t xml:space="preserve">No. 4, pp.: </w:t>
      </w:r>
      <w:r w:rsidRPr="00133BFF">
        <w:rPr>
          <w:rFonts w:ascii="Times New Roman" w:hAnsi="Times New Roman"/>
          <w:sz w:val="24"/>
          <w:szCs w:val="24"/>
        </w:rPr>
        <w:t>1057–1072.</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C17666">
        <w:rPr>
          <w:rFonts w:ascii="Times New Roman" w:hAnsi="Times New Roman"/>
          <w:sz w:val="24"/>
          <w:szCs w:val="24"/>
        </w:rPr>
        <w:t>Dinenis</w:t>
      </w:r>
      <w:proofErr w:type="spellEnd"/>
      <w:r w:rsidRPr="00C17666">
        <w:rPr>
          <w:rFonts w:ascii="Times New Roman" w:hAnsi="Times New Roman"/>
          <w:sz w:val="24"/>
          <w:szCs w:val="24"/>
        </w:rPr>
        <w:t xml:space="preserve">, E. and </w:t>
      </w:r>
      <w:proofErr w:type="spellStart"/>
      <w:r w:rsidRPr="00C17666">
        <w:rPr>
          <w:rFonts w:ascii="Times New Roman" w:hAnsi="Times New Roman"/>
          <w:sz w:val="24"/>
          <w:szCs w:val="24"/>
        </w:rPr>
        <w:t>Staikouras</w:t>
      </w:r>
      <w:proofErr w:type="spellEnd"/>
      <w:r w:rsidRPr="00C17666">
        <w:rPr>
          <w:rFonts w:ascii="Times New Roman" w:hAnsi="Times New Roman"/>
          <w:sz w:val="24"/>
          <w:szCs w:val="24"/>
        </w:rPr>
        <w:t>, S.K. (1998)</w:t>
      </w:r>
      <w:r>
        <w:rPr>
          <w:rFonts w:ascii="Times New Roman" w:hAnsi="Times New Roman"/>
          <w:sz w:val="24"/>
          <w:szCs w:val="24"/>
        </w:rPr>
        <w:t>.</w:t>
      </w:r>
      <w:proofErr w:type="gramEnd"/>
      <w:r w:rsidRPr="00C17666">
        <w:rPr>
          <w:rFonts w:ascii="Times New Roman" w:hAnsi="Times New Roman"/>
          <w:sz w:val="24"/>
          <w:szCs w:val="24"/>
        </w:rPr>
        <w:t xml:space="preserve"> Interest rate changes and common stock returns of financial institutions: evidence from the UK</w:t>
      </w:r>
      <w:r>
        <w:rPr>
          <w:rFonts w:ascii="Times New Roman" w:hAnsi="Times New Roman"/>
          <w:sz w:val="24"/>
          <w:szCs w:val="24"/>
        </w:rPr>
        <w:t xml:space="preserve">, </w:t>
      </w:r>
      <w:r w:rsidRPr="00220A55">
        <w:rPr>
          <w:rFonts w:ascii="Times New Roman" w:hAnsi="Times New Roman"/>
          <w:i/>
          <w:sz w:val="24"/>
          <w:szCs w:val="24"/>
        </w:rPr>
        <w:t>The European Journal of Finance</w:t>
      </w:r>
      <w:r>
        <w:rPr>
          <w:rFonts w:ascii="Times New Roman" w:hAnsi="Times New Roman"/>
          <w:sz w:val="24"/>
          <w:szCs w:val="24"/>
        </w:rPr>
        <w:t>, Vol. 4, No. 2, pp.</w:t>
      </w:r>
      <w:r w:rsidRPr="00C17666">
        <w:rPr>
          <w:rFonts w:ascii="Times New Roman" w:hAnsi="Times New Roman"/>
          <w:sz w:val="24"/>
          <w:szCs w:val="24"/>
        </w:rPr>
        <w:t>: 113-127</w:t>
      </w:r>
      <w:r>
        <w:rPr>
          <w:rFonts w:ascii="Times New Roman" w:hAnsi="Times New Roman"/>
          <w:sz w:val="24"/>
          <w:szCs w:val="24"/>
        </w:rPr>
        <w:t>.</w:t>
      </w:r>
    </w:p>
    <w:p w:rsidR="00821514" w:rsidRPr="00C17666" w:rsidRDefault="00821514" w:rsidP="00821514">
      <w:pPr>
        <w:spacing w:before="120" w:after="120" w:line="360" w:lineRule="auto"/>
        <w:ind w:left="426" w:hanging="426"/>
        <w:jc w:val="both"/>
        <w:rPr>
          <w:rFonts w:ascii="Times New Roman" w:hAnsi="Times New Roman"/>
          <w:sz w:val="24"/>
          <w:szCs w:val="24"/>
        </w:rPr>
      </w:pPr>
      <w:proofErr w:type="spellStart"/>
      <w:r w:rsidRPr="00322AC9">
        <w:rPr>
          <w:rFonts w:ascii="Times New Roman" w:hAnsi="Times New Roman"/>
          <w:sz w:val="24"/>
          <w:szCs w:val="24"/>
        </w:rPr>
        <w:t>Dittmar</w:t>
      </w:r>
      <w:proofErr w:type="spellEnd"/>
      <w:r w:rsidRPr="00322AC9">
        <w:rPr>
          <w:rFonts w:ascii="Times New Roman" w:hAnsi="Times New Roman"/>
          <w:sz w:val="24"/>
          <w:szCs w:val="24"/>
        </w:rPr>
        <w:t xml:space="preserve">, R.F. and Yuan, K., </w:t>
      </w:r>
      <w:r>
        <w:rPr>
          <w:rFonts w:ascii="Times New Roman" w:hAnsi="Times New Roman"/>
          <w:sz w:val="24"/>
          <w:szCs w:val="24"/>
        </w:rPr>
        <w:t>(</w:t>
      </w:r>
      <w:r w:rsidRPr="00322AC9">
        <w:rPr>
          <w:rFonts w:ascii="Times New Roman" w:hAnsi="Times New Roman"/>
          <w:sz w:val="24"/>
          <w:szCs w:val="24"/>
        </w:rPr>
        <w:t>2008</w:t>
      </w:r>
      <w:r>
        <w:rPr>
          <w:rFonts w:ascii="Times New Roman" w:hAnsi="Times New Roman"/>
          <w:sz w:val="24"/>
          <w:szCs w:val="24"/>
        </w:rPr>
        <w:t>)</w:t>
      </w:r>
      <w:r w:rsidRPr="00322AC9">
        <w:rPr>
          <w:rFonts w:ascii="Times New Roman" w:hAnsi="Times New Roman"/>
          <w:sz w:val="24"/>
          <w:szCs w:val="24"/>
        </w:rPr>
        <w:t>. Do sovereign bonds benefit corporate bonds in emerging markets</w:t>
      </w:r>
      <w:proofErr w:type="gramStart"/>
      <w:r w:rsidRPr="00322AC9">
        <w:rPr>
          <w:rFonts w:ascii="Times New Roman" w:hAnsi="Times New Roman"/>
          <w:sz w:val="24"/>
          <w:szCs w:val="24"/>
        </w:rPr>
        <w:t>?.</w:t>
      </w:r>
      <w:proofErr w:type="gramEnd"/>
      <w:r w:rsidRPr="00322AC9">
        <w:rPr>
          <w:rFonts w:ascii="Times New Roman" w:hAnsi="Times New Roman"/>
          <w:sz w:val="24"/>
          <w:szCs w:val="24"/>
        </w:rPr>
        <w:t> </w:t>
      </w:r>
      <w:r w:rsidRPr="00322AC9">
        <w:rPr>
          <w:rFonts w:ascii="Times New Roman" w:hAnsi="Times New Roman"/>
          <w:i/>
          <w:iCs/>
          <w:sz w:val="24"/>
          <w:szCs w:val="24"/>
        </w:rPr>
        <w:t>Review of Financial Studies</w:t>
      </w:r>
      <w:r w:rsidRPr="00322AC9">
        <w:rPr>
          <w:rFonts w:ascii="Times New Roman" w:hAnsi="Times New Roman"/>
          <w:sz w:val="24"/>
          <w:szCs w:val="24"/>
        </w:rPr>
        <w:t>, </w:t>
      </w:r>
      <w:r>
        <w:rPr>
          <w:rFonts w:ascii="Times New Roman" w:hAnsi="Times New Roman"/>
          <w:sz w:val="24"/>
          <w:szCs w:val="24"/>
        </w:rPr>
        <w:t xml:space="preserve">Vol. </w:t>
      </w:r>
      <w:r w:rsidRPr="00322AC9">
        <w:rPr>
          <w:rFonts w:ascii="Times New Roman" w:hAnsi="Times New Roman"/>
          <w:iCs/>
          <w:sz w:val="24"/>
          <w:szCs w:val="24"/>
        </w:rPr>
        <w:t>21</w:t>
      </w:r>
      <w:r>
        <w:rPr>
          <w:rFonts w:ascii="Times New Roman" w:hAnsi="Times New Roman"/>
          <w:iCs/>
          <w:sz w:val="24"/>
          <w:szCs w:val="24"/>
        </w:rPr>
        <w:t>, No.</w:t>
      </w:r>
      <w:r w:rsidRPr="00322AC9">
        <w:rPr>
          <w:rFonts w:ascii="Times New Roman" w:hAnsi="Times New Roman"/>
          <w:sz w:val="24"/>
          <w:szCs w:val="24"/>
        </w:rPr>
        <w:t>5, pp.</w:t>
      </w:r>
      <w:r>
        <w:rPr>
          <w:rFonts w:ascii="Times New Roman" w:hAnsi="Times New Roman"/>
          <w:sz w:val="24"/>
          <w:szCs w:val="24"/>
        </w:rPr>
        <w:t xml:space="preserve">: </w:t>
      </w:r>
      <w:r w:rsidRPr="00322AC9">
        <w:rPr>
          <w:rFonts w:ascii="Times New Roman" w:hAnsi="Times New Roman"/>
          <w:sz w:val="24"/>
          <w:szCs w:val="24"/>
        </w:rPr>
        <w:t>1983-2014.</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0D068F">
        <w:rPr>
          <w:rFonts w:ascii="Times New Roman" w:hAnsi="Times New Roman"/>
          <w:sz w:val="24"/>
          <w:szCs w:val="24"/>
        </w:rPr>
        <w:t>Driesprong</w:t>
      </w:r>
      <w:proofErr w:type="spellEnd"/>
      <w:r>
        <w:rPr>
          <w:rFonts w:ascii="Times New Roman" w:hAnsi="Times New Roman"/>
          <w:sz w:val="24"/>
          <w:szCs w:val="24"/>
        </w:rPr>
        <w:t>,</w:t>
      </w:r>
      <w:r w:rsidRPr="000D068F">
        <w:rPr>
          <w:rFonts w:ascii="Times New Roman" w:hAnsi="Times New Roman"/>
          <w:sz w:val="24"/>
          <w:szCs w:val="24"/>
        </w:rPr>
        <w:t xml:space="preserve"> G., Jacobsen</w:t>
      </w:r>
      <w:r>
        <w:rPr>
          <w:rFonts w:ascii="Times New Roman" w:hAnsi="Times New Roman"/>
          <w:sz w:val="24"/>
          <w:szCs w:val="24"/>
        </w:rPr>
        <w:t>,</w:t>
      </w:r>
      <w:r w:rsidRPr="000D068F">
        <w:rPr>
          <w:rFonts w:ascii="Times New Roman" w:hAnsi="Times New Roman"/>
          <w:sz w:val="24"/>
          <w:szCs w:val="24"/>
        </w:rPr>
        <w:t xml:space="preserve"> B., and Maat</w:t>
      </w:r>
      <w:r>
        <w:rPr>
          <w:rFonts w:ascii="Times New Roman" w:hAnsi="Times New Roman"/>
          <w:sz w:val="24"/>
          <w:szCs w:val="24"/>
        </w:rPr>
        <w:t>,</w:t>
      </w:r>
      <w:r w:rsidRPr="000D068F">
        <w:rPr>
          <w:rFonts w:ascii="Times New Roman" w:hAnsi="Times New Roman"/>
          <w:sz w:val="24"/>
          <w:szCs w:val="24"/>
        </w:rPr>
        <w:t xml:space="preserve"> B. (2008)</w:t>
      </w:r>
      <w:r>
        <w:rPr>
          <w:rFonts w:ascii="Times New Roman" w:hAnsi="Times New Roman"/>
          <w:sz w:val="24"/>
          <w:szCs w:val="24"/>
        </w:rPr>
        <w:t>.</w:t>
      </w:r>
      <w:proofErr w:type="gramEnd"/>
      <w:r w:rsidRPr="000D068F">
        <w:rPr>
          <w:rFonts w:ascii="Times New Roman" w:hAnsi="Times New Roman"/>
          <w:sz w:val="24"/>
          <w:szCs w:val="24"/>
        </w:rPr>
        <w:t xml:space="preserve"> Striking </w:t>
      </w:r>
      <w:r>
        <w:rPr>
          <w:rFonts w:ascii="Times New Roman" w:hAnsi="Times New Roman"/>
          <w:sz w:val="24"/>
          <w:szCs w:val="24"/>
        </w:rPr>
        <w:t>o</w:t>
      </w:r>
      <w:r w:rsidRPr="000D068F">
        <w:rPr>
          <w:rFonts w:ascii="Times New Roman" w:hAnsi="Times New Roman"/>
          <w:sz w:val="24"/>
          <w:szCs w:val="24"/>
        </w:rPr>
        <w:t xml:space="preserve">il: Another </w:t>
      </w:r>
      <w:r>
        <w:rPr>
          <w:rFonts w:ascii="Times New Roman" w:hAnsi="Times New Roman"/>
          <w:sz w:val="24"/>
          <w:szCs w:val="24"/>
        </w:rPr>
        <w:t>p</w:t>
      </w:r>
      <w:r w:rsidRPr="000D068F">
        <w:rPr>
          <w:rFonts w:ascii="Times New Roman" w:hAnsi="Times New Roman"/>
          <w:sz w:val="24"/>
          <w:szCs w:val="24"/>
        </w:rPr>
        <w:t>uzzle</w:t>
      </w:r>
      <w:proofErr w:type="gramStart"/>
      <w:r w:rsidRPr="000D068F">
        <w:rPr>
          <w:rFonts w:ascii="Times New Roman" w:hAnsi="Times New Roman"/>
          <w:sz w:val="24"/>
          <w:szCs w:val="24"/>
        </w:rPr>
        <w:t>?</w:t>
      </w:r>
      <w:r>
        <w:rPr>
          <w:rFonts w:ascii="Times New Roman" w:hAnsi="Times New Roman"/>
          <w:sz w:val="24"/>
          <w:szCs w:val="24"/>
        </w:rPr>
        <w:t>,</w:t>
      </w:r>
      <w:proofErr w:type="gramEnd"/>
      <w:r w:rsidRPr="000D068F">
        <w:rPr>
          <w:rFonts w:ascii="Times New Roman" w:hAnsi="Times New Roman"/>
          <w:sz w:val="24"/>
          <w:szCs w:val="24"/>
        </w:rPr>
        <w:t xml:space="preserve"> </w:t>
      </w:r>
      <w:r w:rsidRPr="000D068F">
        <w:rPr>
          <w:rFonts w:ascii="Times New Roman" w:hAnsi="Times New Roman"/>
          <w:i/>
          <w:sz w:val="24"/>
          <w:szCs w:val="24"/>
        </w:rPr>
        <w:t xml:space="preserve">Journal of Financial Economics, </w:t>
      </w:r>
      <w:r w:rsidRPr="000D068F">
        <w:rPr>
          <w:rFonts w:ascii="Times New Roman" w:hAnsi="Times New Roman"/>
          <w:sz w:val="24"/>
          <w:szCs w:val="24"/>
        </w:rPr>
        <w:t>Vol. 89, No. 2, pp.</w:t>
      </w:r>
      <w:r>
        <w:rPr>
          <w:rFonts w:ascii="Times New Roman" w:hAnsi="Times New Roman"/>
          <w:sz w:val="24"/>
          <w:szCs w:val="24"/>
        </w:rPr>
        <w:t>:</w:t>
      </w:r>
      <w:r w:rsidRPr="000D068F">
        <w:rPr>
          <w:rFonts w:ascii="Times New Roman" w:hAnsi="Times New Roman"/>
          <w:sz w:val="24"/>
          <w:szCs w:val="24"/>
        </w:rPr>
        <w:t xml:space="preserve"> 307-327.</w:t>
      </w:r>
      <w:r>
        <w:rPr>
          <w:rFonts w:ascii="Times New Roman" w:hAnsi="Times New Roman"/>
          <w:sz w:val="24"/>
          <w:szCs w:val="24"/>
        </w:rPr>
        <w:t xml:space="preserve"> </w:t>
      </w:r>
    </w:p>
    <w:p w:rsidR="00821514" w:rsidRPr="00613EF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613EF4">
        <w:rPr>
          <w:rFonts w:ascii="Times New Roman" w:hAnsi="Times New Roman"/>
          <w:sz w:val="24"/>
          <w:szCs w:val="24"/>
        </w:rPr>
        <w:t>Dungey</w:t>
      </w:r>
      <w:proofErr w:type="spellEnd"/>
      <w:r w:rsidRPr="00613EF4">
        <w:rPr>
          <w:rFonts w:ascii="Times New Roman" w:hAnsi="Times New Roman"/>
          <w:sz w:val="24"/>
          <w:szCs w:val="24"/>
        </w:rPr>
        <w:t xml:space="preserve">, M., McKenzie, M., and </w:t>
      </w:r>
      <w:proofErr w:type="spellStart"/>
      <w:r w:rsidRPr="00613EF4">
        <w:rPr>
          <w:rFonts w:ascii="Times New Roman" w:hAnsi="Times New Roman"/>
          <w:sz w:val="24"/>
          <w:szCs w:val="24"/>
        </w:rPr>
        <w:t>Tambakis</w:t>
      </w:r>
      <w:proofErr w:type="spellEnd"/>
      <w:r w:rsidRPr="00613EF4">
        <w:rPr>
          <w:rFonts w:ascii="Times New Roman" w:hAnsi="Times New Roman"/>
          <w:sz w:val="24"/>
          <w:szCs w:val="24"/>
        </w:rPr>
        <w:t>, D.N. (2009)</w:t>
      </w:r>
      <w:r>
        <w:rPr>
          <w:rFonts w:ascii="Times New Roman" w:hAnsi="Times New Roman"/>
          <w:sz w:val="24"/>
          <w:szCs w:val="24"/>
        </w:rPr>
        <w:t>.</w:t>
      </w:r>
      <w:proofErr w:type="gramEnd"/>
      <w:r w:rsidRPr="00613EF4">
        <w:rPr>
          <w:rFonts w:ascii="Times New Roman" w:hAnsi="Times New Roman"/>
          <w:sz w:val="24"/>
          <w:szCs w:val="24"/>
        </w:rPr>
        <w:t xml:space="preserve"> Flight-to-quality and asymmetric volatility responses in U.S. Treasuries</w:t>
      </w:r>
      <w:r>
        <w:rPr>
          <w:rFonts w:ascii="Times New Roman" w:hAnsi="Times New Roman"/>
          <w:sz w:val="24"/>
          <w:szCs w:val="24"/>
        </w:rPr>
        <w:t>,</w:t>
      </w:r>
      <w:r w:rsidRPr="00613EF4">
        <w:rPr>
          <w:rFonts w:ascii="Times New Roman" w:hAnsi="Times New Roman"/>
          <w:sz w:val="24"/>
          <w:szCs w:val="24"/>
        </w:rPr>
        <w:t xml:space="preserve"> </w:t>
      </w:r>
      <w:r>
        <w:rPr>
          <w:rFonts w:ascii="Times New Roman" w:hAnsi="Times New Roman"/>
          <w:i/>
          <w:sz w:val="24"/>
          <w:szCs w:val="24"/>
        </w:rPr>
        <w:t xml:space="preserve">Global Finance Journal, </w:t>
      </w:r>
      <w:r>
        <w:rPr>
          <w:rFonts w:ascii="Times New Roman" w:hAnsi="Times New Roman"/>
          <w:sz w:val="24"/>
          <w:szCs w:val="24"/>
        </w:rPr>
        <w:t xml:space="preserve">Vol. </w:t>
      </w:r>
      <w:r w:rsidRPr="00613EF4">
        <w:rPr>
          <w:rFonts w:ascii="Times New Roman" w:hAnsi="Times New Roman"/>
          <w:sz w:val="24"/>
          <w:szCs w:val="24"/>
        </w:rPr>
        <w:t>19</w:t>
      </w:r>
      <w:r>
        <w:rPr>
          <w:rFonts w:ascii="Times New Roman" w:hAnsi="Times New Roman"/>
          <w:sz w:val="24"/>
          <w:szCs w:val="24"/>
        </w:rPr>
        <w:t>,</w:t>
      </w:r>
      <w:r w:rsidRPr="00613EF4">
        <w:rPr>
          <w:rFonts w:ascii="Times New Roman" w:hAnsi="Times New Roman"/>
          <w:sz w:val="24"/>
          <w:szCs w:val="24"/>
        </w:rPr>
        <w:t xml:space="preserve"> </w:t>
      </w:r>
      <w:r>
        <w:rPr>
          <w:rFonts w:ascii="Times New Roman" w:hAnsi="Times New Roman"/>
          <w:sz w:val="24"/>
          <w:szCs w:val="24"/>
        </w:rPr>
        <w:t>No. 3, pp.</w:t>
      </w:r>
      <w:r w:rsidRPr="00613EF4">
        <w:rPr>
          <w:rFonts w:ascii="Times New Roman" w:hAnsi="Times New Roman"/>
          <w:sz w:val="24"/>
          <w:szCs w:val="24"/>
        </w:rPr>
        <w:t xml:space="preserve">: 252-267.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El-Sharif, I., Brown, D., Burton, B., Nixon, B., and Russell, A. (2005).</w:t>
      </w:r>
      <w:proofErr w:type="gramEnd"/>
      <w:r>
        <w:rPr>
          <w:rFonts w:ascii="Times New Roman" w:hAnsi="Times New Roman"/>
          <w:sz w:val="24"/>
          <w:szCs w:val="24"/>
        </w:rPr>
        <w:t xml:space="preserve"> Evidence on the nature and extent of relationship between oil prices and equity values in the UK” </w:t>
      </w:r>
      <w:r w:rsidRPr="00173579">
        <w:rPr>
          <w:rFonts w:ascii="Times New Roman" w:hAnsi="Times New Roman"/>
          <w:i/>
          <w:sz w:val="24"/>
          <w:szCs w:val="24"/>
        </w:rPr>
        <w:t>Energy Economics</w:t>
      </w:r>
      <w:r>
        <w:rPr>
          <w:rFonts w:ascii="Times New Roman" w:hAnsi="Times New Roman"/>
          <w:sz w:val="24"/>
          <w:szCs w:val="24"/>
        </w:rPr>
        <w:t xml:space="preserve">, Vol. 27, No. 6, pp.: 819-830.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C17666">
        <w:rPr>
          <w:rFonts w:ascii="Times New Roman" w:hAnsi="Times New Roman"/>
          <w:sz w:val="24"/>
          <w:szCs w:val="24"/>
        </w:rPr>
        <w:t>Elyasiani</w:t>
      </w:r>
      <w:proofErr w:type="spellEnd"/>
      <w:r w:rsidRPr="00C17666">
        <w:rPr>
          <w:rFonts w:ascii="Times New Roman" w:hAnsi="Times New Roman"/>
          <w:sz w:val="24"/>
          <w:szCs w:val="24"/>
        </w:rPr>
        <w:t>, E., and Mansur, I. (1998)</w:t>
      </w:r>
      <w:r>
        <w:rPr>
          <w:rFonts w:ascii="Times New Roman" w:hAnsi="Times New Roman"/>
          <w:sz w:val="24"/>
          <w:szCs w:val="24"/>
        </w:rPr>
        <w:t>.</w:t>
      </w:r>
      <w:proofErr w:type="gramEnd"/>
      <w:r w:rsidRPr="00C17666">
        <w:rPr>
          <w:rFonts w:ascii="Times New Roman" w:hAnsi="Times New Roman"/>
          <w:sz w:val="24"/>
          <w:szCs w:val="24"/>
        </w:rPr>
        <w:t xml:space="preserve"> Sensitivity of the bank stock returns distribution to changes in the level and volatility of interest rate: A GARCH-M model</w:t>
      </w:r>
      <w:r>
        <w:rPr>
          <w:rFonts w:ascii="Times New Roman" w:hAnsi="Times New Roman"/>
          <w:sz w:val="24"/>
          <w:szCs w:val="24"/>
        </w:rPr>
        <w:t>,</w:t>
      </w:r>
      <w:r w:rsidRPr="00C17666">
        <w:rPr>
          <w:rFonts w:ascii="Times New Roman" w:hAnsi="Times New Roman"/>
          <w:sz w:val="24"/>
          <w:szCs w:val="24"/>
        </w:rPr>
        <w:t xml:space="preserve"> </w:t>
      </w:r>
      <w:r w:rsidRPr="00220A55">
        <w:rPr>
          <w:rFonts w:ascii="Times New Roman" w:hAnsi="Times New Roman"/>
          <w:i/>
          <w:sz w:val="24"/>
          <w:szCs w:val="24"/>
        </w:rPr>
        <w:t>Journal of Banking and Finance</w:t>
      </w:r>
      <w:r>
        <w:rPr>
          <w:rFonts w:ascii="Times New Roman" w:hAnsi="Times New Roman"/>
          <w:i/>
          <w:sz w:val="24"/>
          <w:szCs w:val="24"/>
        </w:rPr>
        <w:t>,</w:t>
      </w:r>
      <w:r w:rsidRPr="00220A55">
        <w:rPr>
          <w:rFonts w:ascii="Times New Roman" w:hAnsi="Times New Roman"/>
          <w:i/>
          <w:sz w:val="24"/>
          <w:szCs w:val="24"/>
        </w:rPr>
        <w:t xml:space="preserve"> </w:t>
      </w:r>
      <w:r>
        <w:rPr>
          <w:rFonts w:ascii="Times New Roman" w:hAnsi="Times New Roman"/>
          <w:sz w:val="24"/>
          <w:szCs w:val="24"/>
        </w:rPr>
        <w:t xml:space="preserve">Vol. </w:t>
      </w:r>
      <w:r w:rsidRPr="00C17666">
        <w:rPr>
          <w:rFonts w:ascii="Times New Roman" w:hAnsi="Times New Roman"/>
          <w:sz w:val="24"/>
          <w:szCs w:val="24"/>
        </w:rPr>
        <w:t xml:space="preserve">22, </w:t>
      </w:r>
      <w:r>
        <w:rPr>
          <w:rFonts w:ascii="Times New Roman" w:hAnsi="Times New Roman"/>
          <w:sz w:val="24"/>
          <w:szCs w:val="24"/>
        </w:rPr>
        <w:t xml:space="preserve">No. 5, </w:t>
      </w:r>
      <w:r w:rsidRPr="00C17666">
        <w:rPr>
          <w:rFonts w:ascii="Times New Roman" w:hAnsi="Times New Roman"/>
          <w:sz w:val="24"/>
          <w:szCs w:val="24"/>
        </w:rPr>
        <w:t>p</w:t>
      </w:r>
      <w:r>
        <w:rPr>
          <w:rFonts w:ascii="Times New Roman" w:hAnsi="Times New Roman"/>
          <w:sz w:val="24"/>
          <w:szCs w:val="24"/>
        </w:rPr>
        <w:t>p.</w:t>
      </w:r>
      <w:r w:rsidRPr="00C17666">
        <w:rPr>
          <w:rFonts w:ascii="Times New Roman" w:hAnsi="Times New Roman"/>
          <w:sz w:val="24"/>
          <w:szCs w:val="24"/>
        </w:rPr>
        <w:t xml:space="preserve">: 535-563. </w:t>
      </w:r>
    </w:p>
    <w:p w:rsidR="00821514" w:rsidRDefault="00821514" w:rsidP="00821514">
      <w:pPr>
        <w:spacing w:before="120" w:after="120" w:line="360" w:lineRule="auto"/>
        <w:ind w:left="426" w:hanging="426"/>
        <w:jc w:val="both"/>
        <w:rPr>
          <w:rFonts w:ascii="Times New Roman" w:hAnsi="Times New Roman"/>
          <w:sz w:val="24"/>
          <w:szCs w:val="24"/>
        </w:rPr>
      </w:pPr>
      <w:r w:rsidRPr="008678DF">
        <w:rPr>
          <w:rFonts w:ascii="Times New Roman" w:hAnsi="Times New Roman"/>
          <w:sz w:val="24"/>
          <w:szCs w:val="24"/>
        </w:rPr>
        <w:t xml:space="preserve">Engle, R. </w:t>
      </w:r>
      <w:r>
        <w:rPr>
          <w:rFonts w:ascii="Times New Roman" w:hAnsi="Times New Roman"/>
          <w:sz w:val="24"/>
          <w:szCs w:val="24"/>
        </w:rPr>
        <w:t>(</w:t>
      </w:r>
      <w:r w:rsidRPr="008678DF">
        <w:rPr>
          <w:rFonts w:ascii="Times New Roman" w:hAnsi="Times New Roman"/>
          <w:sz w:val="24"/>
          <w:szCs w:val="24"/>
        </w:rPr>
        <w:t>2001</w:t>
      </w:r>
      <w:r>
        <w:rPr>
          <w:rFonts w:ascii="Times New Roman" w:hAnsi="Times New Roman"/>
          <w:sz w:val="24"/>
          <w:szCs w:val="24"/>
        </w:rPr>
        <w:t>)</w:t>
      </w:r>
      <w:r w:rsidRPr="008678DF">
        <w:rPr>
          <w:rFonts w:ascii="Times New Roman" w:hAnsi="Times New Roman"/>
          <w:sz w:val="24"/>
          <w:szCs w:val="24"/>
        </w:rPr>
        <w:t>. GARCH 101: The use of ARCH/GARCH models in applied econometrics. </w:t>
      </w:r>
      <w:r w:rsidRPr="008678DF">
        <w:rPr>
          <w:rFonts w:ascii="Times New Roman" w:hAnsi="Times New Roman"/>
          <w:i/>
          <w:iCs/>
          <w:sz w:val="24"/>
          <w:szCs w:val="24"/>
        </w:rPr>
        <w:t xml:space="preserve">Journal of </w:t>
      </w:r>
      <w:r>
        <w:rPr>
          <w:rFonts w:ascii="Times New Roman" w:hAnsi="Times New Roman"/>
          <w:i/>
          <w:iCs/>
          <w:sz w:val="24"/>
          <w:szCs w:val="24"/>
        </w:rPr>
        <w:t>E</w:t>
      </w:r>
      <w:r w:rsidRPr="008678DF">
        <w:rPr>
          <w:rFonts w:ascii="Times New Roman" w:hAnsi="Times New Roman"/>
          <w:i/>
          <w:iCs/>
          <w:sz w:val="24"/>
          <w:szCs w:val="24"/>
        </w:rPr>
        <w:t xml:space="preserve">conomic </w:t>
      </w:r>
      <w:r>
        <w:rPr>
          <w:rFonts w:ascii="Times New Roman" w:hAnsi="Times New Roman"/>
          <w:i/>
          <w:iCs/>
          <w:sz w:val="24"/>
          <w:szCs w:val="24"/>
        </w:rPr>
        <w:t>P</w:t>
      </w:r>
      <w:r w:rsidRPr="008678DF">
        <w:rPr>
          <w:rFonts w:ascii="Times New Roman" w:hAnsi="Times New Roman"/>
          <w:i/>
          <w:iCs/>
          <w:sz w:val="24"/>
          <w:szCs w:val="24"/>
        </w:rPr>
        <w:t>erspectives</w:t>
      </w:r>
      <w:r w:rsidRPr="008678DF">
        <w:rPr>
          <w:rFonts w:ascii="Times New Roman" w:hAnsi="Times New Roman"/>
          <w:sz w:val="24"/>
          <w:szCs w:val="24"/>
        </w:rPr>
        <w:t xml:space="preserve">, </w:t>
      </w:r>
      <w:r>
        <w:rPr>
          <w:rFonts w:ascii="Times New Roman" w:hAnsi="Times New Roman"/>
          <w:sz w:val="24"/>
          <w:szCs w:val="24"/>
        </w:rPr>
        <w:t xml:space="preserve">Vol. 15, No. 4, </w:t>
      </w:r>
      <w:r w:rsidRPr="008678DF">
        <w:rPr>
          <w:rFonts w:ascii="Times New Roman" w:hAnsi="Times New Roman"/>
          <w:sz w:val="24"/>
          <w:szCs w:val="24"/>
        </w:rPr>
        <w:t>pp.</w:t>
      </w:r>
      <w:r>
        <w:rPr>
          <w:rFonts w:ascii="Times New Roman" w:hAnsi="Times New Roman"/>
          <w:sz w:val="24"/>
          <w:szCs w:val="24"/>
        </w:rPr>
        <w:t xml:space="preserve">: </w:t>
      </w:r>
      <w:r w:rsidRPr="008678DF">
        <w:rPr>
          <w:rFonts w:ascii="Times New Roman" w:hAnsi="Times New Roman"/>
          <w:sz w:val="24"/>
          <w:szCs w:val="24"/>
        </w:rPr>
        <w:t>157-168.</w:t>
      </w:r>
    </w:p>
    <w:p w:rsidR="00821514" w:rsidRPr="00133BFF" w:rsidRDefault="00821514" w:rsidP="00821514">
      <w:pPr>
        <w:spacing w:before="120" w:after="120" w:line="360" w:lineRule="auto"/>
        <w:ind w:left="426" w:hanging="426"/>
        <w:jc w:val="both"/>
        <w:rPr>
          <w:rFonts w:ascii="Times New Roman" w:hAnsi="Times New Roman"/>
          <w:sz w:val="24"/>
          <w:szCs w:val="24"/>
        </w:rPr>
      </w:pPr>
      <w:proofErr w:type="gramStart"/>
      <w:r w:rsidRPr="00133BFF">
        <w:rPr>
          <w:rFonts w:ascii="Times New Roman" w:hAnsi="Times New Roman"/>
          <w:sz w:val="24"/>
          <w:szCs w:val="24"/>
        </w:rPr>
        <w:lastRenderedPageBreak/>
        <w:t xml:space="preserve">Engle, R. </w:t>
      </w:r>
      <w:r>
        <w:rPr>
          <w:rFonts w:ascii="Times New Roman" w:hAnsi="Times New Roman"/>
          <w:sz w:val="24"/>
          <w:szCs w:val="24"/>
        </w:rPr>
        <w:t>and</w:t>
      </w:r>
      <w:r w:rsidRPr="00133BFF">
        <w:rPr>
          <w:rFonts w:ascii="Times New Roman" w:hAnsi="Times New Roman"/>
          <w:sz w:val="24"/>
          <w:szCs w:val="24"/>
        </w:rPr>
        <w:t xml:space="preserve"> Granger</w:t>
      </w:r>
      <w:r>
        <w:rPr>
          <w:rFonts w:ascii="Times New Roman" w:hAnsi="Times New Roman"/>
          <w:sz w:val="24"/>
          <w:szCs w:val="24"/>
        </w:rPr>
        <w:t>, C.</w:t>
      </w:r>
      <w:r w:rsidRPr="00133BFF">
        <w:rPr>
          <w:rFonts w:ascii="Times New Roman" w:hAnsi="Times New Roman"/>
          <w:sz w:val="24"/>
          <w:szCs w:val="24"/>
        </w:rPr>
        <w:t xml:space="preserve"> (1987)</w:t>
      </w:r>
      <w:r>
        <w:rPr>
          <w:rFonts w:ascii="Times New Roman" w:hAnsi="Times New Roman"/>
          <w:sz w:val="24"/>
          <w:szCs w:val="24"/>
        </w:rPr>
        <w:t>.</w:t>
      </w:r>
      <w:proofErr w:type="gramEnd"/>
      <w:r w:rsidRPr="00133BFF">
        <w:rPr>
          <w:rFonts w:ascii="Times New Roman" w:hAnsi="Times New Roman"/>
          <w:sz w:val="24"/>
          <w:szCs w:val="24"/>
        </w:rPr>
        <w:t xml:space="preserve"> Co-integration and error-correction: Representation,</w:t>
      </w:r>
      <w:r>
        <w:rPr>
          <w:rFonts w:ascii="Times New Roman" w:hAnsi="Times New Roman"/>
          <w:sz w:val="24"/>
          <w:szCs w:val="24"/>
        </w:rPr>
        <w:t xml:space="preserve"> </w:t>
      </w:r>
      <w:r w:rsidRPr="00133BFF">
        <w:rPr>
          <w:rFonts w:ascii="Times New Roman" w:hAnsi="Times New Roman"/>
          <w:sz w:val="24"/>
          <w:szCs w:val="24"/>
        </w:rPr>
        <w:t>estimation and testing,</w:t>
      </w:r>
      <w:r>
        <w:rPr>
          <w:rFonts w:ascii="Times New Roman" w:hAnsi="Times New Roman"/>
          <w:sz w:val="24"/>
          <w:szCs w:val="24"/>
        </w:rPr>
        <w:t xml:space="preserve"> </w:t>
      </w:r>
      <w:proofErr w:type="spellStart"/>
      <w:r w:rsidRPr="00133BFF">
        <w:rPr>
          <w:rFonts w:ascii="Times New Roman" w:hAnsi="Times New Roman"/>
          <w:i/>
          <w:sz w:val="24"/>
          <w:szCs w:val="24"/>
        </w:rPr>
        <w:t>Econometrica</w:t>
      </w:r>
      <w:proofErr w:type="spellEnd"/>
      <w:r w:rsidRPr="00133BFF">
        <w:rPr>
          <w:rFonts w:ascii="Times New Roman" w:hAnsi="Times New Roman"/>
          <w:sz w:val="24"/>
          <w:szCs w:val="24"/>
        </w:rPr>
        <w:t xml:space="preserve">, </w:t>
      </w:r>
      <w:proofErr w:type="gramStart"/>
      <w:r>
        <w:rPr>
          <w:rFonts w:ascii="Times New Roman" w:hAnsi="Times New Roman"/>
          <w:sz w:val="24"/>
          <w:szCs w:val="24"/>
        </w:rPr>
        <w:t>Vol</w:t>
      </w:r>
      <w:proofErr w:type="gramEnd"/>
      <w:r>
        <w:rPr>
          <w:rFonts w:ascii="Times New Roman" w:hAnsi="Times New Roman"/>
          <w:sz w:val="24"/>
          <w:szCs w:val="24"/>
        </w:rPr>
        <w:t xml:space="preserve">. </w:t>
      </w:r>
      <w:r w:rsidRPr="00133BFF">
        <w:rPr>
          <w:rFonts w:ascii="Times New Roman" w:hAnsi="Times New Roman"/>
          <w:sz w:val="24"/>
          <w:szCs w:val="24"/>
        </w:rPr>
        <w:t xml:space="preserve">55, </w:t>
      </w:r>
      <w:r>
        <w:rPr>
          <w:rFonts w:ascii="Times New Roman" w:hAnsi="Times New Roman"/>
          <w:sz w:val="24"/>
          <w:szCs w:val="24"/>
        </w:rPr>
        <w:t xml:space="preserve">No. 2, pp.: </w:t>
      </w:r>
      <w:r w:rsidRPr="00133BFF">
        <w:rPr>
          <w:rFonts w:ascii="Times New Roman" w:hAnsi="Times New Roman"/>
          <w:sz w:val="24"/>
          <w:szCs w:val="24"/>
        </w:rPr>
        <w:t>251–276</w:t>
      </w:r>
      <w:r>
        <w:rPr>
          <w:rFonts w:ascii="Times New Roman" w:hAnsi="Times New Roman"/>
          <w:sz w:val="24"/>
          <w:szCs w:val="24"/>
        </w:rPr>
        <w:t>.</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Fabella</w:t>
      </w:r>
      <w:proofErr w:type="spellEnd"/>
      <w:r>
        <w:rPr>
          <w:rFonts w:ascii="Times New Roman" w:hAnsi="Times New Roman"/>
          <w:sz w:val="24"/>
          <w:szCs w:val="24"/>
        </w:rPr>
        <w:t>, R., and</w:t>
      </w:r>
      <w:r w:rsidRPr="00F52BB5">
        <w:rPr>
          <w:rFonts w:ascii="Times New Roman" w:hAnsi="Times New Roman"/>
          <w:sz w:val="24"/>
          <w:szCs w:val="24"/>
        </w:rPr>
        <w:t xml:space="preserve"> </w:t>
      </w:r>
      <w:proofErr w:type="spellStart"/>
      <w:r w:rsidRPr="00F52BB5">
        <w:rPr>
          <w:rFonts w:ascii="Times New Roman" w:hAnsi="Times New Roman"/>
          <w:sz w:val="24"/>
          <w:szCs w:val="24"/>
        </w:rPr>
        <w:t>Madhur</w:t>
      </w:r>
      <w:proofErr w:type="spellEnd"/>
      <w:r w:rsidRPr="00F52BB5">
        <w:rPr>
          <w:rFonts w:ascii="Times New Roman" w:hAnsi="Times New Roman"/>
          <w:sz w:val="24"/>
          <w:szCs w:val="24"/>
        </w:rPr>
        <w:t>.</w:t>
      </w:r>
      <w:proofErr w:type="gramEnd"/>
      <w:r w:rsidRPr="00F52BB5">
        <w:rPr>
          <w:rFonts w:ascii="Times New Roman" w:hAnsi="Times New Roman"/>
          <w:sz w:val="24"/>
          <w:szCs w:val="24"/>
        </w:rPr>
        <w:t xml:space="preserve"> </w:t>
      </w:r>
      <w:proofErr w:type="gramStart"/>
      <w:r>
        <w:rPr>
          <w:rFonts w:ascii="Times New Roman" w:hAnsi="Times New Roman"/>
          <w:sz w:val="24"/>
          <w:szCs w:val="24"/>
        </w:rPr>
        <w:t>S. (</w:t>
      </w:r>
      <w:r w:rsidRPr="00F52BB5">
        <w:rPr>
          <w:rFonts w:ascii="Times New Roman" w:hAnsi="Times New Roman"/>
          <w:sz w:val="24"/>
          <w:szCs w:val="24"/>
        </w:rPr>
        <w:t>2003</w:t>
      </w:r>
      <w:r>
        <w:rPr>
          <w:rFonts w:ascii="Times New Roman" w:hAnsi="Times New Roman"/>
          <w:sz w:val="24"/>
          <w:szCs w:val="24"/>
        </w:rPr>
        <w:t>)</w:t>
      </w:r>
      <w:r w:rsidRPr="00F52BB5">
        <w:rPr>
          <w:rFonts w:ascii="Times New Roman" w:hAnsi="Times New Roman"/>
          <w:sz w:val="24"/>
          <w:szCs w:val="24"/>
        </w:rPr>
        <w:t>.</w:t>
      </w:r>
      <w:proofErr w:type="gramEnd"/>
      <w:r w:rsidRPr="00F52BB5">
        <w:rPr>
          <w:rFonts w:ascii="Times New Roman" w:hAnsi="Times New Roman"/>
          <w:sz w:val="24"/>
          <w:szCs w:val="24"/>
        </w:rPr>
        <w:t xml:space="preserve"> Bond </w:t>
      </w:r>
      <w:r>
        <w:rPr>
          <w:rFonts w:ascii="Times New Roman" w:hAnsi="Times New Roman"/>
          <w:sz w:val="24"/>
          <w:szCs w:val="24"/>
        </w:rPr>
        <w:t>m</w:t>
      </w:r>
      <w:r w:rsidRPr="00F52BB5">
        <w:rPr>
          <w:rFonts w:ascii="Times New Roman" w:hAnsi="Times New Roman"/>
          <w:sz w:val="24"/>
          <w:szCs w:val="24"/>
        </w:rPr>
        <w:t xml:space="preserve">arket </w:t>
      </w:r>
      <w:r>
        <w:rPr>
          <w:rFonts w:ascii="Times New Roman" w:hAnsi="Times New Roman"/>
          <w:sz w:val="24"/>
          <w:szCs w:val="24"/>
        </w:rPr>
        <w:t>d</w:t>
      </w:r>
      <w:r w:rsidRPr="00F52BB5">
        <w:rPr>
          <w:rFonts w:ascii="Times New Roman" w:hAnsi="Times New Roman"/>
          <w:sz w:val="24"/>
          <w:szCs w:val="24"/>
        </w:rPr>
        <w:t xml:space="preserve">evelopment in East Asia: Issues and </w:t>
      </w:r>
      <w:r>
        <w:rPr>
          <w:rFonts w:ascii="Times New Roman" w:hAnsi="Times New Roman"/>
          <w:sz w:val="24"/>
          <w:szCs w:val="24"/>
        </w:rPr>
        <w:t>c</w:t>
      </w:r>
      <w:r w:rsidRPr="00F52BB5">
        <w:rPr>
          <w:rFonts w:ascii="Times New Roman" w:hAnsi="Times New Roman"/>
          <w:sz w:val="24"/>
          <w:szCs w:val="24"/>
        </w:rPr>
        <w:t>hallenges. ERD Working Paper No. 35, Asian Development Bank.</w:t>
      </w:r>
    </w:p>
    <w:p w:rsidR="00821514" w:rsidRPr="00DE028A"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 xml:space="preserve">Faff, R.W., and </w:t>
      </w:r>
      <w:proofErr w:type="spellStart"/>
      <w:r>
        <w:rPr>
          <w:rFonts w:ascii="Times New Roman" w:hAnsi="Times New Roman"/>
          <w:sz w:val="24"/>
          <w:szCs w:val="24"/>
        </w:rPr>
        <w:t>Brailsford</w:t>
      </w:r>
      <w:proofErr w:type="spellEnd"/>
      <w:r>
        <w:rPr>
          <w:rFonts w:ascii="Times New Roman" w:hAnsi="Times New Roman"/>
          <w:sz w:val="24"/>
          <w:szCs w:val="24"/>
        </w:rPr>
        <w:t>, T.J. (1999).</w:t>
      </w:r>
      <w:proofErr w:type="gramEnd"/>
      <w:r>
        <w:rPr>
          <w:rFonts w:ascii="Times New Roman" w:hAnsi="Times New Roman"/>
          <w:sz w:val="24"/>
          <w:szCs w:val="24"/>
        </w:rPr>
        <w:t xml:space="preserve"> Oil price risk and the Australian stock market, </w:t>
      </w:r>
      <w:r w:rsidRPr="00173579">
        <w:rPr>
          <w:rFonts w:ascii="Times New Roman" w:hAnsi="Times New Roman"/>
          <w:i/>
          <w:sz w:val="24"/>
          <w:szCs w:val="24"/>
        </w:rPr>
        <w:t>Journal of Energy Finance and Development</w:t>
      </w:r>
      <w:r>
        <w:rPr>
          <w:rFonts w:ascii="Times New Roman" w:hAnsi="Times New Roman"/>
          <w:i/>
          <w:sz w:val="24"/>
          <w:szCs w:val="24"/>
        </w:rPr>
        <w:t xml:space="preserve">, </w:t>
      </w:r>
      <w:r>
        <w:rPr>
          <w:rFonts w:ascii="Times New Roman" w:hAnsi="Times New Roman"/>
          <w:sz w:val="24"/>
          <w:szCs w:val="24"/>
        </w:rPr>
        <w:t xml:space="preserve">Vol. 4, No. 1, pp.: 68-87.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Fearon</w:t>
      </w:r>
      <w:proofErr w:type="spellEnd"/>
      <w:r>
        <w:rPr>
          <w:rFonts w:ascii="Times New Roman" w:hAnsi="Times New Roman"/>
          <w:sz w:val="24"/>
          <w:szCs w:val="24"/>
        </w:rPr>
        <w:t xml:space="preserve">, J.D., and </w:t>
      </w:r>
      <w:proofErr w:type="spellStart"/>
      <w:r>
        <w:rPr>
          <w:rFonts w:ascii="Times New Roman" w:hAnsi="Times New Roman"/>
          <w:sz w:val="24"/>
          <w:szCs w:val="24"/>
        </w:rPr>
        <w:t>Laitin</w:t>
      </w:r>
      <w:proofErr w:type="spellEnd"/>
      <w:r>
        <w:rPr>
          <w:rFonts w:ascii="Times New Roman" w:hAnsi="Times New Roman"/>
          <w:sz w:val="24"/>
          <w:szCs w:val="24"/>
        </w:rPr>
        <w:t>, D.D. (2003).</w:t>
      </w:r>
      <w:proofErr w:type="gramEnd"/>
      <w:r>
        <w:rPr>
          <w:rFonts w:ascii="Times New Roman" w:hAnsi="Times New Roman"/>
          <w:sz w:val="24"/>
          <w:szCs w:val="24"/>
        </w:rPr>
        <w:t xml:space="preserve"> Ethnicity, insurgency, and civil war, </w:t>
      </w:r>
      <w:r w:rsidRPr="00173579">
        <w:rPr>
          <w:rFonts w:ascii="Times New Roman" w:hAnsi="Times New Roman"/>
          <w:i/>
          <w:sz w:val="24"/>
          <w:szCs w:val="24"/>
        </w:rPr>
        <w:t>American Political Science Review</w:t>
      </w:r>
      <w:r>
        <w:rPr>
          <w:rFonts w:ascii="Times New Roman" w:hAnsi="Times New Roman"/>
          <w:i/>
          <w:sz w:val="24"/>
          <w:szCs w:val="24"/>
        </w:rPr>
        <w:t xml:space="preserve">, </w:t>
      </w:r>
      <w:r>
        <w:rPr>
          <w:rFonts w:ascii="Times New Roman" w:hAnsi="Times New Roman"/>
          <w:sz w:val="24"/>
          <w:szCs w:val="24"/>
        </w:rPr>
        <w:t xml:space="preserve">Vol. 97, No, 1, pp.: 75-90.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r>
        <w:rPr>
          <w:rFonts w:ascii="Times New Roman" w:hAnsi="Times New Roman"/>
          <w:sz w:val="24"/>
          <w:szCs w:val="24"/>
        </w:rPr>
        <w:t>Ferderer</w:t>
      </w:r>
      <w:proofErr w:type="spellEnd"/>
      <w:r>
        <w:rPr>
          <w:rFonts w:ascii="Times New Roman" w:hAnsi="Times New Roman"/>
          <w:sz w:val="24"/>
          <w:szCs w:val="24"/>
        </w:rPr>
        <w:t xml:space="preserve">, J.P. (1996). </w:t>
      </w:r>
      <w:r w:rsidRPr="00902D4C">
        <w:rPr>
          <w:rFonts w:ascii="Times New Roman" w:hAnsi="Times New Roman"/>
          <w:sz w:val="24"/>
          <w:szCs w:val="24"/>
        </w:rPr>
        <w:t xml:space="preserve">Oil </w:t>
      </w:r>
      <w:r>
        <w:rPr>
          <w:rFonts w:ascii="Times New Roman" w:hAnsi="Times New Roman"/>
          <w:sz w:val="24"/>
          <w:szCs w:val="24"/>
        </w:rPr>
        <w:t>p</w:t>
      </w:r>
      <w:r w:rsidRPr="00902D4C">
        <w:rPr>
          <w:rFonts w:ascii="Times New Roman" w:hAnsi="Times New Roman"/>
          <w:sz w:val="24"/>
          <w:szCs w:val="24"/>
        </w:rPr>
        <w:t xml:space="preserve">rice </w:t>
      </w:r>
      <w:r>
        <w:rPr>
          <w:rFonts w:ascii="Times New Roman" w:hAnsi="Times New Roman"/>
          <w:sz w:val="24"/>
          <w:szCs w:val="24"/>
        </w:rPr>
        <w:t>v</w:t>
      </w:r>
      <w:r w:rsidRPr="00902D4C">
        <w:rPr>
          <w:rFonts w:ascii="Times New Roman" w:hAnsi="Times New Roman"/>
          <w:sz w:val="24"/>
          <w:szCs w:val="24"/>
        </w:rPr>
        <w:t xml:space="preserve">olatility and the </w:t>
      </w:r>
      <w:proofErr w:type="spellStart"/>
      <w:r>
        <w:rPr>
          <w:rFonts w:ascii="Times New Roman" w:hAnsi="Times New Roman"/>
          <w:sz w:val="24"/>
          <w:szCs w:val="24"/>
        </w:rPr>
        <w:t>m</w:t>
      </w:r>
      <w:r w:rsidRPr="00902D4C">
        <w:rPr>
          <w:rFonts w:ascii="Times New Roman" w:hAnsi="Times New Roman"/>
          <w:sz w:val="24"/>
          <w:szCs w:val="24"/>
        </w:rPr>
        <w:t>acroeconomy</w:t>
      </w:r>
      <w:proofErr w:type="spellEnd"/>
      <w:r>
        <w:rPr>
          <w:rFonts w:ascii="Times New Roman" w:hAnsi="Times New Roman"/>
          <w:sz w:val="24"/>
          <w:szCs w:val="24"/>
        </w:rPr>
        <w:t>,</w:t>
      </w:r>
      <w:r w:rsidRPr="00902D4C">
        <w:rPr>
          <w:rFonts w:ascii="Times New Roman" w:hAnsi="Times New Roman"/>
          <w:sz w:val="24"/>
          <w:szCs w:val="24"/>
        </w:rPr>
        <w:t xml:space="preserve"> </w:t>
      </w:r>
      <w:r w:rsidRPr="009B43E7">
        <w:rPr>
          <w:rFonts w:ascii="Times New Roman" w:hAnsi="Times New Roman"/>
          <w:i/>
          <w:sz w:val="24"/>
          <w:szCs w:val="24"/>
        </w:rPr>
        <w:t>Journal of Macroeconomics</w:t>
      </w:r>
      <w:r w:rsidRPr="00902D4C">
        <w:rPr>
          <w:rFonts w:ascii="Times New Roman" w:hAnsi="Times New Roman"/>
          <w:i/>
          <w:sz w:val="24"/>
          <w:szCs w:val="24"/>
        </w:rPr>
        <w:t xml:space="preserve">, </w:t>
      </w:r>
      <w:r w:rsidRPr="00902D4C">
        <w:rPr>
          <w:rFonts w:ascii="Times New Roman" w:hAnsi="Times New Roman"/>
          <w:sz w:val="24"/>
          <w:szCs w:val="24"/>
        </w:rPr>
        <w:t>Vol. 18, No. 1, pp.</w:t>
      </w:r>
      <w:r>
        <w:rPr>
          <w:rFonts w:ascii="Times New Roman" w:hAnsi="Times New Roman"/>
          <w:sz w:val="24"/>
          <w:szCs w:val="24"/>
        </w:rPr>
        <w:t>:</w:t>
      </w:r>
      <w:r w:rsidRPr="00902D4C">
        <w:rPr>
          <w:rFonts w:ascii="Times New Roman" w:hAnsi="Times New Roman"/>
          <w:sz w:val="24"/>
          <w:szCs w:val="24"/>
        </w:rPr>
        <w:t xml:space="preserve"> 1-26.</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sidRPr="00223234">
        <w:rPr>
          <w:rFonts w:ascii="Times New Roman" w:hAnsi="Times New Roman"/>
          <w:sz w:val="24"/>
          <w:szCs w:val="24"/>
        </w:rPr>
        <w:t xml:space="preserve">Frey, B. S., and </w:t>
      </w:r>
      <w:proofErr w:type="spellStart"/>
      <w:r w:rsidRPr="00223234">
        <w:rPr>
          <w:rFonts w:ascii="Times New Roman" w:hAnsi="Times New Roman"/>
          <w:sz w:val="24"/>
          <w:szCs w:val="24"/>
        </w:rPr>
        <w:t>Kucher</w:t>
      </w:r>
      <w:proofErr w:type="spellEnd"/>
      <w:r w:rsidRPr="00223234">
        <w:rPr>
          <w:rFonts w:ascii="Times New Roman" w:hAnsi="Times New Roman"/>
          <w:sz w:val="24"/>
          <w:szCs w:val="24"/>
        </w:rPr>
        <w:t>, M. (2001)</w:t>
      </w:r>
      <w:r>
        <w:rPr>
          <w:rFonts w:ascii="Times New Roman" w:hAnsi="Times New Roman"/>
          <w:sz w:val="24"/>
          <w:szCs w:val="24"/>
        </w:rPr>
        <w:t>.</w:t>
      </w:r>
      <w:proofErr w:type="gramEnd"/>
      <w:r w:rsidRPr="00223234">
        <w:rPr>
          <w:rFonts w:ascii="Times New Roman" w:hAnsi="Times New Roman"/>
          <w:sz w:val="24"/>
          <w:szCs w:val="24"/>
        </w:rPr>
        <w:t xml:space="preserve"> Wars and markets: How bond values reflect the Second World War</w:t>
      </w:r>
      <w:r>
        <w:rPr>
          <w:rFonts w:ascii="Times New Roman" w:hAnsi="Times New Roman"/>
          <w:sz w:val="24"/>
          <w:szCs w:val="24"/>
        </w:rPr>
        <w:t>,</w:t>
      </w:r>
      <w:r w:rsidRPr="00223234">
        <w:rPr>
          <w:rFonts w:ascii="Times New Roman" w:hAnsi="Times New Roman"/>
          <w:sz w:val="24"/>
          <w:szCs w:val="24"/>
        </w:rPr>
        <w:t xml:space="preserve"> </w:t>
      </w:r>
      <w:proofErr w:type="spellStart"/>
      <w:r w:rsidRPr="00223234">
        <w:rPr>
          <w:rFonts w:ascii="Times New Roman" w:hAnsi="Times New Roman"/>
          <w:i/>
          <w:sz w:val="24"/>
          <w:szCs w:val="24"/>
        </w:rPr>
        <w:t>Economica</w:t>
      </w:r>
      <w:proofErr w:type="spellEnd"/>
      <w:r>
        <w:rPr>
          <w:rFonts w:ascii="Times New Roman" w:hAnsi="Times New Roman"/>
          <w:i/>
          <w:sz w:val="24"/>
          <w:szCs w:val="24"/>
        </w:rPr>
        <w:t>,</w:t>
      </w:r>
      <w:r w:rsidRPr="00223234">
        <w:rPr>
          <w:rFonts w:ascii="Times New Roman" w:hAnsi="Times New Roman"/>
          <w:sz w:val="24"/>
          <w:szCs w:val="24"/>
        </w:rPr>
        <w:t xml:space="preserve"> </w:t>
      </w:r>
      <w:r>
        <w:rPr>
          <w:rFonts w:ascii="Times New Roman" w:hAnsi="Times New Roman"/>
          <w:sz w:val="24"/>
          <w:szCs w:val="24"/>
        </w:rPr>
        <w:t xml:space="preserve">Vol. </w:t>
      </w:r>
      <w:r w:rsidRPr="00223234">
        <w:rPr>
          <w:rFonts w:ascii="Times New Roman" w:hAnsi="Times New Roman"/>
          <w:sz w:val="24"/>
          <w:szCs w:val="24"/>
        </w:rPr>
        <w:t>68</w:t>
      </w:r>
      <w:r>
        <w:rPr>
          <w:rFonts w:ascii="Times New Roman" w:hAnsi="Times New Roman"/>
          <w:sz w:val="24"/>
          <w:szCs w:val="24"/>
        </w:rPr>
        <w:t>, No. 271,</w:t>
      </w:r>
      <w:r w:rsidRPr="00223234">
        <w:rPr>
          <w:rFonts w:ascii="Times New Roman" w:hAnsi="Times New Roman"/>
          <w:sz w:val="24"/>
          <w:szCs w:val="24"/>
        </w:rPr>
        <w:t xml:space="preserve"> pp.: 317-333. </w:t>
      </w:r>
    </w:p>
    <w:p w:rsidR="00821514" w:rsidRPr="007448F0"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Geman</w:t>
      </w:r>
      <w:proofErr w:type="spellEnd"/>
      <w:r>
        <w:rPr>
          <w:rFonts w:ascii="Times New Roman" w:hAnsi="Times New Roman"/>
          <w:sz w:val="24"/>
          <w:szCs w:val="24"/>
        </w:rPr>
        <w:t xml:space="preserve">, H., and </w:t>
      </w:r>
      <w:proofErr w:type="spellStart"/>
      <w:r>
        <w:rPr>
          <w:rFonts w:ascii="Times New Roman" w:hAnsi="Times New Roman"/>
          <w:sz w:val="24"/>
          <w:szCs w:val="24"/>
        </w:rPr>
        <w:t>Kharoubi</w:t>
      </w:r>
      <w:proofErr w:type="spellEnd"/>
      <w:r>
        <w:rPr>
          <w:rFonts w:ascii="Times New Roman" w:hAnsi="Times New Roman"/>
          <w:sz w:val="24"/>
          <w:szCs w:val="24"/>
        </w:rPr>
        <w:t>, C. (2008).</w:t>
      </w:r>
      <w:proofErr w:type="gramEnd"/>
      <w:r>
        <w:rPr>
          <w:rFonts w:ascii="Times New Roman" w:hAnsi="Times New Roman"/>
          <w:sz w:val="24"/>
          <w:szCs w:val="24"/>
        </w:rPr>
        <w:t xml:space="preserve"> WTI crude oil futures in portfolio diversification: The time-to-maturity effect, </w:t>
      </w:r>
      <w:r w:rsidRPr="00FA7126">
        <w:rPr>
          <w:rFonts w:ascii="Times New Roman" w:hAnsi="Times New Roman"/>
          <w:i/>
          <w:sz w:val="24"/>
          <w:szCs w:val="24"/>
        </w:rPr>
        <w:t>Journal of Banking and Finance</w:t>
      </w:r>
      <w:r>
        <w:rPr>
          <w:rFonts w:ascii="Times New Roman" w:hAnsi="Times New Roman"/>
          <w:sz w:val="24"/>
          <w:szCs w:val="24"/>
        </w:rPr>
        <w:t>, Vol. 32, No. 12, pp.: 2553-2559.</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Gisser</w:t>
      </w:r>
      <w:proofErr w:type="spellEnd"/>
      <w:r>
        <w:rPr>
          <w:rFonts w:ascii="Times New Roman" w:hAnsi="Times New Roman"/>
          <w:sz w:val="24"/>
          <w:szCs w:val="24"/>
        </w:rPr>
        <w:t xml:space="preserve">, M., and </w:t>
      </w:r>
      <w:r w:rsidRPr="00902D4C">
        <w:rPr>
          <w:rFonts w:ascii="Times New Roman" w:hAnsi="Times New Roman"/>
          <w:sz w:val="24"/>
          <w:szCs w:val="24"/>
        </w:rPr>
        <w:t>Goodwin</w:t>
      </w:r>
      <w:r>
        <w:rPr>
          <w:rFonts w:ascii="Times New Roman" w:hAnsi="Times New Roman"/>
          <w:sz w:val="24"/>
          <w:szCs w:val="24"/>
        </w:rPr>
        <w:t>, T.H. (1986).</w:t>
      </w:r>
      <w:proofErr w:type="gramEnd"/>
      <w:r w:rsidRPr="00902D4C">
        <w:rPr>
          <w:rFonts w:ascii="Times New Roman" w:hAnsi="Times New Roman"/>
          <w:sz w:val="24"/>
          <w:szCs w:val="24"/>
        </w:rPr>
        <w:t xml:space="preserve"> Crude </w:t>
      </w:r>
      <w:r>
        <w:rPr>
          <w:rFonts w:ascii="Times New Roman" w:hAnsi="Times New Roman"/>
          <w:sz w:val="24"/>
          <w:szCs w:val="24"/>
        </w:rPr>
        <w:t>o</w:t>
      </w:r>
      <w:r w:rsidRPr="00902D4C">
        <w:rPr>
          <w:rFonts w:ascii="Times New Roman" w:hAnsi="Times New Roman"/>
          <w:sz w:val="24"/>
          <w:szCs w:val="24"/>
        </w:rPr>
        <w:t xml:space="preserve">il and the </w:t>
      </w:r>
      <w:proofErr w:type="spellStart"/>
      <w:r>
        <w:rPr>
          <w:rFonts w:ascii="Times New Roman" w:hAnsi="Times New Roman"/>
          <w:sz w:val="24"/>
          <w:szCs w:val="24"/>
        </w:rPr>
        <w:t>m</w:t>
      </w:r>
      <w:r w:rsidRPr="00902D4C">
        <w:rPr>
          <w:rFonts w:ascii="Times New Roman" w:hAnsi="Times New Roman"/>
          <w:sz w:val="24"/>
          <w:szCs w:val="24"/>
        </w:rPr>
        <w:t>acroeconomy</w:t>
      </w:r>
      <w:proofErr w:type="spellEnd"/>
      <w:r w:rsidRPr="00902D4C">
        <w:rPr>
          <w:rFonts w:ascii="Times New Roman" w:hAnsi="Times New Roman"/>
          <w:sz w:val="24"/>
          <w:szCs w:val="24"/>
        </w:rPr>
        <w:t xml:space="preserve">: Tests of </w:t>
      </w:r>
      <w:r>
        <w:rPr>
          <w:rFonts w:ascii="Times New Roman" w:hAnsi="Times New Roman"/>
          <w:sz w:val="24"/>
          <w:szCs w:val="24"/>
        </w:rPr>
        <w:t>s</w:t>
      </w:r>
      <w:r w:rsidRPr="00902D4C">
        <w:rPr>
          <w:rFonts w:ascii="Times New Roman" w:hAnsi="Times New Roman"/>
          <w:sz w:val="24"/>
          <w:szCs w:val="24"/>
        </w:rPr>
        <w:t xml:space="preserve">ome </w:t>
      </w:r>
      <w:r>
        <w:rPr>
          <w:rFonts w:ascii="Times New Roman" w:hAnsi="Times New Roman"/>
          <w:sz w:val="24"/>
          <w:szCs w:val="24"/>
        </w:rPr>
        <w:t>p</w:t>
      </w:r>
      <w:r w:rsidRPr="00902D4C">
        <w:rPr>
          <w:rFonts w:ascii="Times New Roman" w:hAnsi="Times New Roman"/>
          <w:sz w:val="24"/>
          <w:szCs w:val="24"/>
        </w:rPr>
        <w:t xml:space="preserve">opular </w:t>
      </w:r>
      <w:r>
        <w:rPr>
          <w:rFonts w:ascii="Times New Roman" w:hAnsi="Times New Roman"/>
          <w:sz w:val="24"/>
          <w:szCs w:val="24"/>
        </w:rPr>
        <w:t>n</w:t>
      </w:r>
      <w:r w:rsidRPr="00902D4C">
        <w:rPr>
          <w:rFonts w:ascii="Times New Roman" w:hAnsi="Times New Roman"/>
          <w:sz w:val="24"/>
          <w:szCs w:val="24"/>
        </w:rPr>
        <w:t>otions</w:t>
      </w:r>
      <w:r>
        <w:rPr>
          <w:rFonts w:ascii="Times New Roman" w:hAnsi="Times New Roman"/>
          <w:sz w:val="24"/>
          <w:szCs w:val="24"/>
        </w:rPr>
        <w:t>,</w:t>
      </w:r>
      <w:r w:rsidRPr="00902D4C">
        <w:rPr>
          <w:rFonts w:ascii="Times New Roman" w:hAnsi="Times New Roman"/>
          <w:sz w:val="24"/>
          <w:szCs w:val="24"/>
        </w:rPr>
        <w:t xml:space="preserve"> </w:t>
      </w:r>
      <w:r w:rsidRPr="00FA7126">
        <w:rPr>
          <w:rFonts w:ascii="Times New Roman" w:hAnsi="Times New Roman"/>
          <w:i/>
          <w:sz w:val="24"/>
          <w:szCs w:val="24"/>
        </w:rPr>
        <w:t>Journal of Money, Credit and Banking</w:t>
      </w:r>
      <w:r w:rsidRPr="00902D4C">
        <w:rPr>
          <w:rFonts w:ascii="Times New Roman" w:hAnsi="Times New Roman"/>
          <w:i/>
          <w:sz w:val="24"/>
          <w:szCs w:val="24"/>
        </w:rPr>
        <w:t xml:space="preserve">, </w:t>
      </w:r>
      <w:r w:rsidRPr="00902D4C">
        <w:rPr>
          <w:rFonts w:ascii="Times New Roman" w:hAnsi="Times New Roman"/>
          <w:sz w:val="24"/>
          <w:szCs w:val="24"/>
        </w:rPr>
        <w:t>Vol. 18, No. 1, pp.</w:t>
      </w:r>
      <w:r>
        <w:rPr>
          <w:rFonts w:ascii="Times New Roman" w:hAnsi="Times New Roman"/>
          <w:sz w:val="24"/>
          <w:szCs w:val="24"/>
        </w:rPr>
        <w:t>:</w:t>
      </w:r>
      <w:r w:rsidRPr="00902D4C">
        <w:rPr>
          <w:rFonts w:ascii="Times New Roman" w:hAnsi="Times New Roman"/>
          <w:sz w:val="24"/>
          <w:szCs w:val="24"/>
        </w:rPr>
        <w:t xml:space="preserve"> 95-103.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9E7CB1">
        <w:rPr>
          <w:rFonts w:ascii="Times New Roman" w:hAnsi="Times New Roman"/>
          <w:sz w:val="24"/>
          <w:szCs w:val="24"/>
        </w:rPr>
        <w:t>Goyenko</w:t>
      </w:r>
      <w:proofErr w:type="spellEnd"/>
      <w:r w:rsidRPr="009E7CB1">
        <w:rPr>
          <w:rFonts w:ascii="Times New Roman" w:hAnsi="Times New Roman"/>
          <w:sz w:val="24"/>
          <w:szCs w:val="24"/>
        </w:rPr>
        <w:t xml:space="preserve">, R.Y., and </w:t>
      </w:r>
      <w:proofErr w:type="spellStart"/>
      <w:r w:rsidRPr="009E7CB1">
        <w:rPr>
          <w:rFonts w:ascii="Times New Roman" w:hAnsi="Times New Roman"/>
          <w:sz w:val="24"/>
          <w:szCs w:val="24"/>
        </w:rPr>
        <w:t>Ukhov</w:t>
      </w:r>
      <w:proofErr w:type="spellEnd"/>
      <w:r w:rsidRPr="009E7CB1">
        <w:rPr>
          <w:rFonts w:ascii="Times New Roman" w:hAnsi="Times New Roman"/>
          <w:sz w:val="24"/>
          <w:szCs w:val="24"/>
        </w:rPr>
        <w:t>, A.D. (2009)</w:t>
      </w:r>
      <w:r>
        <w:rPr>
          <w:rFonts w:ascii="Times New Roman" w:hAnsi="Times New Roman"/>
          <w:sz w:val="24"/>
          <w:szCs w:val="24"/>
        </w:rPr>
        <w:t>.</w:t>
      </w:r>
      <w:proofErr w:type="gramEnd"/>
      <w:r w:rsidRPr="009E7CB1">
        <w:rPr>
          <w:rFonts w:ascii="Times New Roman" w:hAnsi="Times New Roman"/>
          <w:sz w:val="24"/>
          <w:szCs w:val="24"/>
        </w:rPr>
        <w:t xml:space="preserve"> Stock and bond market liquidity: A long-run empirical analysis</w:t>
      </w:r>
      <w:r>
        <w:rPr>
          <w:rFonts w:ascii="Times New Roman" w:hAnsi="Times New Roman"/>
          <w:sz w:val="24"/>
          <w:szCs w:val="24"/>
        </w:rPr>
        <w:t>,</w:t>
      </w:r>
      <w:r w:rsidRPr="009E7CB1">
        <w:rPr>
          <w:rFonts w:ascii="Times New Roman" w:hAnsi="Times New Roman"/>
          <w:sz w:val="24"/>
          <w:szCs w:val="24"/>
        </w:rPr>
        <w:t xml:space="preserve"> </w:t>
      </w:r>
      <w:r w:rsidRPr="00613EF4">
        <w:rPr>
          <w:rFonts w:ascii="Times New Roman" w:hAnsi="Times New Roman"/>
          <w:i/>
          <w:sz w:val="24"/>
          <w:szCs w:val="24"/>
        </w:rPr>
        <w:t>Journal of Financial and Quantitative Analysis</w:t>
      </w:r>
      <w:r>
        <w:rPr>
          <w:rFonts w:ascii="Times New Roman" w:hAnsi="Times New Roman"/>
          <w:i/>
          <w:sz w:val="24"/>
          <w:szCs w:val="24"/>
        </w:rPr>
        <w:t>,</w:t>
      </w:r>
      <w:r w:rsidRPr="00613EF4">
        <w:rPr>
          <w:rFonts w:ascii="Times New Roman" w:hAnsi="Times New Roman"/>
          <w:i/>
          <w:sz w:val="24"/>
          <w:szCs w:val="24"/>
        </w:rPr>
        <w:t xml:space="preserve"> </w:t>
      </w:r>
      <w:r>
        <w:rPr>
          <w:rFonts w:ascii="Times New Roman" w:hAnsi="Times New Roman"/>
          <w:sz w:val="24"/>
          <w:szCs w:val="24"/>
        </w:rPr>
        <w:t>Vol. 44, No. 1, pp.</w:t>
      </w:r>
      <w:r w:rsidRPr="009E7CB1">
        <w:rPr>
          <w:rFonts w:ascii="Times New Roman" w:hAnsi="Times New Roman"/>
          <w:sz w:val="24"/>
          <w:szCs w:val="24"/>
        </w:rPr>
        <w:t xml:space="preserve">: 189-212.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Granger, C.W.J. (1981).</w:t>
      </w:r>
      <w:proofErr w:type="gramEnd"/>
      <w:r>
        <w:rPr>
          <w:rFonts w:ascii="Times New Roman" w:hAnsi="Times New Roman"/>
          <w:sz w:val="24"/>
          <w:szCs w:val="24"/>
        </w:rPr>
        <w:t xml:space="preserve"> Some properties of time series data and their use in econometric model specification, Journal of Econometrics, Vol. 16, pp.: 121-130. </w:t>
      </w:r>
    </w:p>
    <w:p w:rsidR="00821514" w:rsidRDefault="00821514" w:rsidP="00821514">
      <w:pPr>
        <w:spacing w:before="120" w:after="120" w:line="360" w:lineRule="auto"/>
        <w:ind w:left="426" w:hanging="426"/>
        <w:jc w:val="both"/>
        <w:rPr>
          <w:rFonts w:ascii="Times New Roman" w:hAnsi="Times New Roman"/>
          <w:sz w:val="24"/>
          <w:szCs w:val="24"/>
        </w:rPr>
      </w:pPr>
      <w:r w:rsidRPr="00902D4C">
        <w:rPr>
          <w:rFonts w:ascii="Times New Roman" w:hAnsi="Times New Roman"/>
          <w:sz w:val="24"/>
          <w:szCs w:val="24"/>
        </w:rPr>
        <w:t>Hamilton, J</w:t>
      </w:r>
      <w:r>
        <w:rPr>
          <w:rFonts w:ascii="Times New Roman" w:hAnsi="Times New Roman"/>
          <w:sz w:val="24"/>
          <w:szCs w:val="24"/>
        </w:rPr>
        <w:t>.</w:t>
      </w:r>
      <w:r w:rsidRPr="00902D4C">
        <w:rPr>
          <w:rFonts w:ascii="Times New Roman" w:hAnsi="Times New Roman"/>
          <w:sz w:val="24"/>
          <w:szCs w:val="24"/>
        </w:rPr>
        <w:t>D.</w:t>
      </w:r>
      <w:r>
        <w:rPr>
          <w:rFonts w:ascii="Times New Roman" w:hAnsi="Times New Roman"/>
          <w:sz w:val="24"/>
          <w:szCs w:val="24"/>
        </w:rPr>
        <w:t xml:space="preserve"> </w:t>
      </w:r>
      <w:r w:rsidRPr="00902D4C">
        <w:rPr>
          <w:rFonts w:ascii="Times New Roman" w:hAnsi="Times New Roman"/>
          <w:sz w:val="24"/>
          <w:szCs w:val="24"/>
        </w:rPr>
        <w:t>(1983)</w:t>
      </w:r>
      <w:r>
        <w:rPr>
          <w:rFonts w:ascii="Times New Roman" w:hAnsi="Times New Roman"/>
          <w:sz w:val="24"/>
          <w:szCs w:val="24"/>
        </w:rPr>
        <w:t>.</w:t>
      </w:r>
      <w:r w:rsidRPr="00902D4C">
        <w:rPr>
          <w:rFonts w:ascii="Times New Roman" w:hAnsi="Times New Roman"/>
          <w:sz w:val="24"/>
          <w:szCs w:val="24"/>
        </w:rPr>
        <w:t xml:space="preserve"> Oil and the </w:t>
      </w:r>
      <w:proofErr w:type="spellStart"/>
      <w:r>
        <w:rPr>
          <w:rFonts w:ascii="Times New Roman" w:hAnsi="Times New Roman"/>
          <w:sz w:val="24"/>
          <w:szCs w:val="24"/>
        </w:rPr>
        <w:t>m</w:t>
      </w:r>
      <w:r w:rsidRPr="00902D4C">
        <w:rPr>
          <w:rFonts w:ascii="Times New Roman" w:hAnsi="Times New Roman"/>
          <w:sz w:val="24"/>
          <w:szCs w:val="24"/>
        </w:rPr>
        <w:t>acroeconomy</w:t>
      </w:r>
      <w:proofErr w:type="spellEnd"/>
      <w:r w:rsidRPr="00902D4C">
        <w:rPr>
          <w:rFonts w:ascii="Times New Roman" w:hAnsi="Times New Roman"/>
          <w:sz w:val="24"/>
          <w:szCs w:val="24"/>
        </w:rPr>
        <w:t xml:space="preserve"> since World War II</w:t>
      </w:r>
      <w:r>
        <w:rPr>
          <w:rFonts w:ascii="Times New Roman" w:hAnsi="Times New Roman"/>
          <w:sz w:val="24"/>
          <w:szCs w:val="24"/>
        </w:rPr>
        <w:t>,</w:t>
      </w:r>
      <w:r w:rsidRPr="00902D4C">
        <w:rPr>
          <w:rFonts w:ascii="Times New Roman" w:hAnsi="Times New Roman"/>
          <w:sz w:val="24"/>
          <w:szCs w:val="24"/>
        </w:rPr>
        <w:t xml:space="preserve"> </w:t>
      </w:r>
      <w:r w:rsidRPr="00FA7126">
        <w:rPr>
          <w:rFonts w:ascii="Times New Roman" w:hAnsi="Times New Roman"/>
          <w:i/>
          <w:sz w:val="24"/>
          <w:szCs w:val="24"/>
        </w:rPr>
        <w:t>Journal of Political Economy</w:t>
      </w:r>
      <w:r w:rsidRPr="00902D4C">
        <w:rPr>
          <w:rFonts w:ascii="Times New Roman" w:hAnsi="Times New Roman"/>
          <w:sz w:val="24"/>
          <w:szCs w:val="24"/>
        </w:rPr>
        <w:t>, Vol. 91, No. 2, pp.</w:t>
      </w:r>
      <w:r>
        <w:rPr>
          <w:rFonts w:ascii="Times New Roman" w:hAnsi="Times New Roman"/>
          <w:sz w:val="24"/>
          <w:szCs w:val="24"/>
        </w:rPr>
        <w:t>:</w:t>
      </w:r>
      <w:r w:rsidRPr="00902D4C">
        <w:rPr>
          <w:rFonts w:ascii="Times New Roman" w:hAnsi="Times New Roman"/>
          <w:sz w:val="24"/>
          <w:szCs w:val="24"/>
        </w:rPr>
        <w:t xml:space="preserve"> 228-248. </w:t>
      </w:r>
    </w:p>
    <w:p w:rsidR="00821514" w:rsidRPr="00902D4C"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Hammoudeh</w:t>
      </w:r>
      <w:proofErr w:type="spellEnd"/>
      <w:r>
        <w:rPr>
          <w:rFonts w:ascii="Times New Roman" w:hAnsi="Times New Roman"/>
          <w:sz w:val="24"/>
          <w:szCs w:val="24"/>
        </w:rPr>
        <w:t xml:space="preserve">, S., </w:t>
      </w:r>
      <w:proofErr w:type="spellStart"/>
      <w:r>
        <w:rPr>
          <w:rFonts w:ascii="Times New Roman" w:hAnsi="Times New Roman"/>
          <w:sz w:val="24"/>
          <w:szCs w:val="24"/>
        </w:rPr>
        <w:t>Dibooglu</w:t>
      </w:r>
      <w:proofErr w:type="spellEnd"/>
      <w:r>
        <w:rPr>
          <w:rFonts w:ascii="Times New Roman" w:hAnsi="Times New Roman"/>
          <w:sz w:val="24"/>
          <w:szCs w:val="24"/>
        </w:rPr>
        <w:t xml:space="preserve">, S., and </w:t>
      </w:r>
      <w:proofErr w:type="spellStart"/>
      <w:r>
        <w:rPr>
          <w:rFonts w:ascii="Times New Roman" w:hAnsi="Times New Roman"/>
          <w:sz w:val="24"/>
          <w:szCs w:val="24"/>
        </w:rPr>
        <w:t>Aleisa</w:t>
      </w:r>
      <w:proofErr w:type="spellEnd"/>
      <w:r>
        <w:rPr>
          <w:rFonts w:ascii="Times New Roman" w:hAnsi="Times New Roman"/>
          <w:sz w:val="24"/>
          <w:szCs w:val="24"/>
        </w:rPr>
        <w:t>, E. (2004).</w:t>
      </w:r>
      <w:proofErr w:type="gramEnd"/>
      <w:r>
        <w:rPr>
          <w:rFonts w:ascii="Times New Roman" w:hAnsi="Times New Roman"/>
          <w:sz w:val="24"/>
          <w:szCs w:val="24"/>
        </w:rPr>
        <w:t xml:space="preserve"> </w:t>
      </w:r>
      <w:r w:rsidRPr="00127DB2">
        <w:rPr>
          <w:rFonts w:ascii="Times New Roman" w:hAnsi="Times New Roman"/>
          <w:sz w:val="24"/>
          <w:szCs w:val="24"/>
        </w:rPr>
        <w:t>Relationships among U.S. oil prices and oil industry equity indices</w:t>
      </w:r>
      <w:r>
        <w:rPr>
          <w:rFonts w:ascii="Times New Roman" w:hAnsi="Times New Roman"/>
          <w:sz w:val="24"/>
          <w:szCs w:val="24"/>
        </w:rPr>
        <w:t xml:space="preserve">, </w:t>
      </w:r>
      <w:r w:rsidRPr="00127DB2">
        <w:rPr>
          <w:rFonts w:ascii="Times New Roman" w:hAnsi="Times New Roman"/>
          <w:i/>
          <w:sz w:val="24"/>
          <w:szCs w:val="24"/>
        </w:rPr>
        <w:t>International Review of Economics and Finance</w:t>
      </w:r>
      <w:r>
        <w:rPr>
          <w:rFonts w:ascii="Times New Roman" w:hAnsi="Times New Roman"/>
          <w:i/>
          <w:sz w:val="24"/>
          <w:szCs w:val="24"/>
        </w:rPr>
        <w:t>,</w:t>
      </w:r>
      <w:r>
        <w:rPr>
          <w:rFonts w:ascii="Times New Roman" w:hAnsi="Times New Roman"/>
          <w:sz w:val="24"/>
          <w:szCs w:val="24"/>
        </w:rPr>
        <w:t xml:space="preserve"> Vol. 13, No. 4, pp.: 427-453. </w:t>
      </w:r>
    </w:p>
    <w:p w:rsidR="00821514" w:rsidRDefault="00821514" w:rsidP="00821514">
      <w:pPr>
        <w:spacing w:before="120" w:after="120" w:line="360" w:lineRule="auto"/>
        <w:ind w:left="426" w:hanging="426"/>
        <w:jc w:val="both"/>
        <w:rPr>
          <w:rFonts w:ascii="Times New Roman" w:hAnsi="Times New Roman"/>
          <w:sz w:val="24"/>
          <w:szCs w:val="24"/>
        </w:rPr>
      </w:pPr>
      <w:r w:rsidRPr="00CB335B">
        <w:rPr>
          <w:rFonts w:ascii="Times New Roman" w:hAnsi="Times New Roman"/>
          <w:sz w:val="24"/>
          <w:szCs w:val="24"/>
        </w:rPr>
        <w:t xml:space="preserve">Hartmann, P., </w:t>
      </w:r>
      <w:proofErr w:type="spellStart"/>
      <w:r w:rsidRPr="00CB335B">
        <w:rPr>
          <w:rFonts w:ascii="Times New Roman" w:hAnsi="Times New Roman"/>
          <w:sz w:val="24"/>
          <w:szCs w:val="24"/>
        </w:rPr>
        <w:t>Stra</w:t>
      </w:r>
      <w:r>
        <w:rPr>
          <w:rFonts w:ascii="Times New Roman" w:hAnsi="Times New Roman"/>
          <w:sz w:val="24"/>
          <w:szCs w:val="24"/>
        </w:rPr>
        <w:t>etmans</w:t>
      </w:r>
      <w:proofErr w:type="spellEnd"/>
      <w:r>
        <w:rPr>
          <w:rFonts w:ascii="Times New Roman" w:hAnsi="Times New Roman"/>
          <w:sz w:val="24"/>
          <w:szCs w:val="24"/>
        </w:rPr>
        <w:t xml:space="preserve">, S., and De </w:t>
      </w:r>
      <w:proofErr w:type="spellStart"/>
      <w:r>
        <w:rPr>
          <w:rFonts w:ascii="Times New Roman" w:hAnsi="Times New Roman"/>
          <w:sz w:val="24"/>
          <w:szCs w:val="24"/>
        </w:rPr>
        <w:t>Vries</w:t>
      </w:r>
      <w:proofErr w:type="spellEnd"/>
      <w:r>
        <w:rPr>
          <w:rFonts w:ascii="Times New Roman" w:hAnsi="Times New Roman"/>
          <w:sz w:val="24"/>
          <w:szCs w:val="24"/>
        </w:rPr>
        <w:t>, C.G. (2004</w:t>
      </w:r>
      <w:r w:rsidRPr="00CB335B">
        <w:rPr>
          <w:rFonts w:ascii="Times New Roman" w:hAnsi="Times New Roman"/>
          <w:sz w:val="24"/>
          <w:szCs w:val="24"/>
        </w:rPr>
        <w:t>)</w:t>
      </w:r>
      <w:r>
        <w:rPr>
          <w:rFonts w:ascii="Times New Roman" w:hAnsi="Times New Roman"/>
          <w:sz w:val="24"/>
          <w:szCs w:val="24"/>
        </w:rPr>
        <w:t>.</w:t>
      </w:r>
      <w:r w:rsidRPr="00CB335B">
        <w:rPr>
          <w:rFonts w:ascii="Times New Roman" w:hAnsi="Times New Roman"/>
          <w:sz w:val="24"/>
          <w:szCs w:val="24"/>
        </w:rPr>
        <w:t xml:space="preserve"> </w:t>
      </w:r>
      <w:r w:rsidRPr="000A403A">
        <w:rPr>
          <w:rFonts w:ascii="Times New Roman" w:hAnsi="Times New Roman"/>
          <w:sz w:val="24"/>
          <w:szCs w:val="24"/>
        </w:rPr>
        <w:t>Asset market linkages in crisis periods</w:t>
      </w:r>
      <w:r>
        <w:rPr>
          <w:rFonts w:ascii="Times New Roman" w:hAnsi="Times New Roman"/>
          <w:sz w:val="24"/>
          <w:szCs w:val="24"/>
        </w:rPr>
        <w:t>,</w:t>
      </w:r>
      <w:r w:rsidRPr="00CB335B">
        <w:rPr>
          <w:rFonts w:ascii="Times New Roman" w:hAnsi="Times New Roman"/>
          <w:sz w:val="24"/>
          <w:szCs w:val="24"/>
        </w:rPr>
        <w:t xml:space="preserve"> </w:t>
      </w:r>
      <w:r w:rsidRPr="00220A55">
        <w:rPr>
          <w:rFonts w:ascii="Times New Roman" w:hAnsi="Times New Roman"/>
          <w:i/>
          <w:sz w:val="24"/>
          <w:szCs w:val="24"/>
        </w:rPr>
        <w:t>The Review of Economics and Statistics</w:t>
      </w:r>
      <w:r>
        <w:rPr>
          <w:rFonts w:ascii="Times New Roman" w:hAnsi="Times New Roman"/>
          <w:i/>
          <w:sz w:val="24"/>
          <w:szCs w:val="24"/>
        </w:rPr>
        <w:t>,</w:t>
      </w:r>
      <w:r>
        <w:rPr>
          <w:rFonts w:ascii="Times New Roman" w:hAnsi="Times New Roman"/>
          <w:sz w:val="24"/>
          <w:szCs w:val="24"/>
        </w:rPr>
        <w:t xml:space="preserve"> Vol. 86, No. 1, pp.: 313-326. </w:t>
      </w:r>
    </w:p>
    <w:p w:rsidR="00821514" w:rsidRPr="009A379E" w:rsidRDefault="00821514" w:rsidP="00821514">
      <w:pPr>
        <w:spacing w:before="120" w:after="120" w:line="360" w:lineRule="auto"/>
        <w:ind w:left="426" w:hanging="426"/>
        <w:jc w:val="both"/>
        <w:rPr>
          <w:rFonts w:ascii="Times New Roman" w:hAnsi="Times New Roman"/>
          <w:sz w:val="24"/>
          <w:szCs w:val="24"/>
        </w:rPr>
      </w:pPr>
      <w:r w:rsidRPr="009A379E">
        <w:rPr>
          <w:rFonts w:ascii="Times New Roman" w:hAnsi="Times New Roman"/>
          <w:sz w:val="24"/>
          <w:szCs w:val="24"/>
        </w:rPr>
        <w:t xml:space="preserve">Hernández, L.F. and Valdés, R.O., </w:t>
      </w:r>
      <w:r>
        <w:rPr>
          <w:rFonts w:ascii="Times New Roman" w:hAnsi="Times New Roman"/>
          <w:sz w:val="24"/>
          <w:szCs w:val="24"/>
        </w:rPr>
        <w:t>(</w:t>
      </w:r>
      <w:r w:rsidRPr="009A379E">
        <w:rPr>
          <w:rFonts w:ascii="Times New Roman" w:hAnsi="Times New Roman"/>
          <w:sz w:val="24"/>
          <w:szCs w:val="24"/>
        </w:rPr>
        <w:t>2001</w:t>
      </w:r>
      <w:r>
        <w:rPr>
          <w:rFonts w:ascii="Times New Roman" w:hAnsi="Times New Roman"/>
          <w:sz w:val="24"/>
          <w:szCs w:val="24"/>
        </w:rPr>
        <w:t>)</w:t>
      </w:r>
      <w:r w:rsidRPr="009A379E">
        <w:rPr>
          <w:rFonts w:ascii="Times New Roman" w:hAnsi="Times New Roman"/>
          <w:sz w:val="24"/>
          <w:szCs w:val="24"/>
        </w:rPr>
        <w:t xml:space="preserve">. What drives contagion: Trade, </w:t>
      </w:r>
      <w:proofErr w:type="spellStart"/>
      <w:r w:rsidRPr="009A379E">
        <w:rPr>
          <w:rFonts w:ascii="Times New Roman" w:hAnsi="Times New Roman"/>
          <w:sz w:val="24"/>
          <w:szCs w:val="24"/>
        </w:rPr>
        <w:t>Neighborhood</w:t>
      </w:r>
      <w:proofErr w:type="spellEnd"/>
      <w:r w:rsidRPr="009A379E">
        <w:rPr>
          <w:rFonts w:ascii="Times New Roman" w:hAnsi="Times New Roman"/>
          <w:sz w:val="24"/>
          <w:szCs w:val="24"/>
        </w:rPr>
        <w:t>, or financial links</w:t>
      </w:r>
      <w:proofErr w:type="gramStart"/>
      <w:r w:rsidRPr="009A379E">
        <w:rPr>
          <w:rFonts w:ascii="Times New Roman" w:hAnsi="Times New Roman"/>
          <w:sz w:val="24"/>
          <w:szCs w:val="24"/>
        </w:rPr>
        <w:t>?.</w:t>
      </w:r>
      <w:proofErr w:type="gramEnd"/>
      <w:r w:rsidRPr="009A379E">
        <w:rPr>
          <w:rFonts w:ascii="Times New Roman" w:hAnsi="Times New Roman"/>
          <w:sz w:val="24"/>
          <w:szCs w:val="24"/>
        </w:rPr>
        <w:t xml:space="preserve"> </w:t>
      </w:r>
      <w:r w:rsidRPr="009A379E">
        <w:rPr>
          <w:rFonts w:ascii="Times New Roman" w:hAnsi="Times New Roman"/>
          <w:i/>
          <w:iCs/>
          <w:sz w:val="24"/>
          <w:szCs w:val="24"/>
        </w:rPr>
        <w:t>International Review of Financial Analysis</w:t>
      </w:r>
      <w:r w:rsidRPr="009A379E">
        <w:rPr>
          <w:rFonts w:ascii="Times New Roman" w:hAnsi="Times New Roman"/>
          <w:sz w:val="24"/>
          <w:szCs w:val="24"/>
        </w:rPr>
        <w:t xml:space="preserve">, </w:t>
      </w:r>
      <w:r>
        <w:rPr>
          <w:rFonts w:ascii="Times New Roman" w:hAnsi="Times New Roman"/>
          <w:sz w:val="24"/>
          <w:szCs w:val="24"/>
        </w:rPr>
        <w:t xml:space="preserve">Vol. </w:t>
      </w:r>
      <w:r w:rsidRPr="009A379E">
        <w:rPr>
          <w:rFonts w:ascii="Times New Roman" w:hAnsi="Times New Roman"/>
          <w:iCs/>
          <w:sz w:val="24"/>
          <w:szCs w:val="24"/>
        </w:rPr>
        <w:t>10</w:t>
      </w:r>
      <w:r>
        <w:rPr>
          <w:rFonts w:ascii="Times New Roman" w:hAnsi="Times New Roman"/>
          <w:iCs/>
          <w:sz w:val="24"/>
          <w:szCs w:val="24"/>
        </w:rPr>
        <w:t xml:space="preserve">, No. </w:t>
      </w:r>
      <w:r w:rsidRPr="009A379E">
        <w:rPr>
          <w:rFonts w:ascii="Times New Roman" w:hAnsi="Times New Roman"/>
          <w:sz w:val="24"/>
          <w:szCs w:val="24"/>
        </w:rPr>
        <w:t>3, pp.</w:t>
      </w:r>
      <w:r>
        <w:rPr>
          <w:rFonts w:ascii="Times New Roman" w:hAnsi="Times New Roman"/>
          <w:sz w:val="24"/>
          <w:szCs w:val="24"/>
        </w:rPr>
        <w:t xml:space="preserve">: </w:t>
      </w:r>
      <w:r w:rsidRPr="009A379E">
        <w:rPr>
          <w:rFonts w:ascii="Times New Roman" w:hAnsi="Times New Roman"/>
          <w:sz w:val="24"/>
          <w:szCs w:val="24"/>
        </w:rPr>
        <w:t>203-218.</w:t>
      </w:r>
    </w:p>
    <w:p w:rsidR="00821514" w:rsidRPr="009B2751" w:rsidRDefault="00821514" w:rsidP="00821514">
      <w:pPr>
        <w:spacing w:before="120" w:after="120" w:line="360" w:lineRule="auto"/>
        <w:ind w:left="426" w:hanging="426"/>
        <w:jc w:val="both"/>
        <w:rPr>
          <w:rFonts w:ascii="Times New Roman" w:hAnsi="Times New Roman"/>
          <w:sz w:val="24"/>
          <w:szCs w:val="24"/>
        </w:rPr>
      </w:pPr>
      <w:r w:rsidRPr="009B2751">
        <w:rPr>
          <w:rFonts w:ascii="Times New Roman" w:hAnsi="Times New Roman"/>
          <w:sz w:val="24"/>
          <w:szCs w:val="24"/>
        </w:rPr>
        <w:lastRenderedPageBreak/>
        <w:t xml:space="preserve">Hund, J. and </w:t>
      </w:r>
      <w:proofErr w:type="spellStart"/>
      <w:r w:rsidRPr="009B2751">
        <w:rPr>
          <w:rFonts w:ascii="Times New Roman" w:hAnsi="Times New Roman"/>
          <w:sz w:val="24"/>
          <w:szCs w:val="24"/>
        </w:rPr>
        <w:t>Lesmond</w:t>
      </w:r>
      <w:proofErr w:type="spellEnd"/>
      <w:r w:rsidRPr="009B2751">
        <w:rPr>
          <w:rFonts w:ascii="Times New Roman" w:hAnsi="Times New Roman"/>
          <w:sz w:val="24"/>
          <w:szCs w:val="24"/>
        </w:rPr>
        <w:t xml:space="preserve">, D.A., </w:t>
      </w:r>
      <w:r>
        <w:rPr>
          <w:rFonts w:ascii="Times New Roman" w:hAnsi="Times New Roman"/>
          <w:sz w:val="24"/>
          <w:szCs w:val="24"/>
        </w:rPr>
        <w:t>(</w:t>
      </w:r>
      <w:r w:rsidRPr="009B2751">
        <w:rPr>
          <w:rFonts w:ascii="Times New Roman" w:hAnsi="Times New Roman"/>
          <w:sz w:val="24"/>
          <w:szCs w:val="24"/>
        </w:rPr>
        <w:t>2008</w:t>
      </w:r>
      <w:r>
        <w:rPr>
          <w:rFonts w:ascii="Times New Roman" w:hAnsi="Times New Roman"/>
          <w:sz w:val="24"/>
          <w:szCs w:val="24"/>
        </w:rPr>
        <w:t>)</w:t>
      </w:r>
      <w:r w:rsidRPr="009B2751">
        <w:rPr>
          <w:rFonts w:ascii="Times New Roman" w:hAnsi="Times New Roman"/>
          <w:sz w:val="24"/>
          <w:szCs w:val="24"/>
        </w:rPr>
        <w:t>. Liquidity and credit risk in emerging debt markets. </w:t>
      </w:r>
      <w:r>
        <w:rPr>
          <w:rFonts w:ascii="Times New Roman" w:hAnsi="Times New Roman"/>
          <w:iCs/>
          <w:sz w:val="24"/>
          <w:szCs w:val="24"/>
        </w:rPr>
        <w:t xml:space="preserve">SSRN Working Paper, available at: </w:t>
      </w:r>
      <w:r w:rsidRPr="009B2751">
        <w:rPr>
          <w:rFonts w:ascii="Times New Roman" w:hAnsi="Times New Roman"/>
          <w:iCs/>
          <w:sz w:val="24"/>
          <w:szCs w:val="24"/>
        </w:rPr>
        <w:t>http://ssrn.com/abstract=1107586</w:t>
      </w:r>
      <w:r>
        <w:rPr>
          <w:rFonts w:ascii="Times New Roman" w:hAnsi="Times New Roman"/>
          <w:iCs/>
          <w:sz w:val="24"/>
          <w:szCs w:val="24"/>
        </w:rPr>
        <w:t>, last accessed January 14</w:t>
      </w:r>
      <w:r w:rsidRPr="009B2751">
        <w:rPr>
          <w:rFonts w:ascii="Times New Roman" w:hAnsi="Times New Roman"/>
          <w:iCs/>
          <w:sz w:val="24"/>
          <w:szCs w:val="24"/>
          <w:vertAlign w:val="superscript"/>
        </w:rPr>
        <w:t>th</w:t>
      </w:r>
      <w:r>
        <w:rPr>
          <w:rFonts w:ascii="Times New Roman" w:hAnsi="Times New Roman"/>
          <w:iCs/>
          <w:sz w:val="24"/>
          <w:szCs w:val="24"/>
        </w:rPr>
        <w:t>, 2016.</w:t>
      </w:r>
    </w:p>
    <w:p w:rsidR="00821514" w:rsidRPr="0033573F"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Johansen, S. (1991).</w:t>
      </w:r>
      <w:proofErr w:type="gramEnd"/>
      <w:r>
        <w:rPr>
          <w:rFonts w:ascii="Times New Roman" w:hAnsi="Times New Roman"/>
          <w:sz w:val="24"/>
          <w:szCs w:val="24"/>
        </w:rPr>
        <w:t xml:space="preserve"> Estimation and hypothesis testing and </w:t>
      </w:r>
      <w:proofErr w:type="spellStart"/>
      <w:r>
        <w:rPr>
          <w:rFonts w:ascii="Times New Roman" w:hAnsi="Times New Roman"/>
          <w:sz w:val="24"/>
          <w:szCs w:val="24"/>
        </w:rPr>
        <w:t>cointegration</w:t>
      </w:r>
      <w:proofErr w:type="spellEnd"/>
      <w:r>
        <w:rPr>
          <w:rFonts w:ascii="Times New Roman" w:hAnsi="Times New Roman"/>
          <w:sz w:val="24"/>
          <w:szCs w:val="24"/>
        </w:rPr>
        <w:t xml:space="preserve"> vectors in Gaussian Vector Autoregressive Models, </w:t>
      </w:r>
      <w:proofErr w:type="spellStart"/>
      <w:r>
        <w:rPr>
          <w:rFonts w:ascii="Times New Roman" w:hAnsi="Times New Roman"/>
          <w:i/>
          <w:sz w:val="24"/>
          <w:szCs w:val="24"/>
        </w:rPr>
        <w:t>Econometrica</w:t>
      </w:r>
      <w:proofErr w:type="spellEnd"/>
      <w:r>
        <w:rPr>
          <w:rFonts w:ascii="Times New Roman" w:hAnsi="Times New Roman"/>
          <w:i/>
          <w:sz w:val="24"/>
          <w:szCs w:val="24"/>
        </w:rPr>
        <w:t xml:space="preserve">, </w:t>
      </w:r>
      <w:r>
        <w:rPr>
          <w:rFonts w:ascii="Times New Roman" w:hAnsi="Times New Roman"/>
          <w:sz w:val="24"/>
          <w:szCs w:val="24"/>
        </w:rPr>
        <w:t xml:space="preserve">Vol. 59, No. 6, pp.: 1551-1580.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 xml:space="preserve">Jones, C.M., and </w:t>
      </w:r>
      <w:proofErr w:type="spellStart"/>
      <w:r>
        <w:rPr>
          <w:rFonts w:ascii="Times New Roman" w:hAnsi="Times New Roman"/>
          <w:sz w:val="24"/>
          <w:szCs w:val="24"/>
        </w:rPr>
        <w:t>Kaul</w:t>
      </w:r>
      <w:proofErr w:type="spellEnd"/>
      <w:r>
        <w:rPr>
          <w:rFonts w:ascii="Times New Roman" w:hAnsi="Times New Roman"/>
          <w:sz w:val="24"/>
          <w:szCs w:val="24"/>
        </w:rPr>
        <w:t>, G. (1996).</w:t>
      </w:r>
      <w:proofErr w:type="gramEnd"/>
      <w:r>
        <w:rPr>
          <w:rFonts w:ascii="Times New Roman" w:hAnsi="Times New Roman"/>
          <w:sz w:val="24"/>
          <w:szCs w:val="24"/>
        </w:rPr>
        <w:t xml:space="preserve"> Oil and stock markets, </w:t>
      </w:r>
      <w:r w:rsidRPr="00FA7126">
        <w:rPr>
          <w:rFonts w:ascii="Times New Roman" w:hAnsi="Times New Roman"/>
          <w:i/>
          <w:sz w:val="24"/>
          <w:szCs w:val="24"/>
        </w:rPr>
        <w:t>Journal of Finance</w:t>
      </w:r>
      <w:r>
        <w:rPr>
          <w:rFonts w:ascii="Times New Roman" w:hAnsi="Times New Roman"/>
          <w:i/>
          <w:sz w:val="24"/>
          <w:szCs w:val="24"/>
        </w:rPr>
        <w:t xml:space="preserve">, </w:t>
      </w:r>
      <w:r>
        <w:rPr>
          <w:rFonts w:ascii="Times New Roman" w:hAnsi="Times New Roman"/>
          <w:sz w:val="24"/>
          <w:szCs w:val="24"/>
        </w:rPr>
        <w:t xml:space="preserve">Vol. 51, No. 2, pp.: 463-491. </w:t>
      </w:r>
    </w:p>
    <w:p w:rsidR="00821514" w:rsidRPr="008638AE" w:rsidRDefault="00821514" w:rsidP="00821514">
      <w:pPr>
        <w:spacing w:before="120" w:after="120" w:line="360" w:lineRule="auto"/>
        <w:ind w:left="426" w:hanging="426"/>
        <w:jc w:val="both"/>
        <w:rPr>
          <w:rFonts w:ascii="Times New Roman" w:hAnsi="Times New Roman"/>
          <w:sz w:val="24"/>
          <w:szCs w:val="24"/>
        </w:rPr>
      </w:pPr>
      <w:r>
        <w:rPr>
          <w:rFonts w:ascii="Times New Roman" w:hAnsi="Times New Roman"/>
          <w:sz w:val="24"/>
          <w:szCs w:val="24"/>
        </w:rPr>
        <w:t xml:space="preserve">Kaufmann, R.K., </w:t>
      </w:r>
      <w:proofErr w:type="spellStart"/>
      <w:r>
        <w:rPr>
          <w:rFonts w:ascii="Times New Roman" w:hAnsi="Times New Roman"/>
          <w:sz w:val="24"/>
          <w:szCs w:val="24"/>
        </w:rPr>
        <w:t>Dess</w:t>
      </w:r>
      <w:proofErr w:type="spellEnd"/>
      <w:r>
        <w:rPr>
          <w:rFonts w:ascii="Times New Roman" w:hAnsi="Times New Roman"/>
          <w:sz w:val="24"/>
          <w:szCs w:val="24"/>
        </w:rPr>
        <w:t xml:space="preserve">, S., </w:t>
      </w:r>
      <w:proofErr w:type="spellStart"/>
      <w:r>
        <w:rPr>
          <w:rFonts w:ascii="Times New Roman" w:hAnsi="Times New Roman"/>
          <w:sz w:val="24"/>
          <w:szCs w:val="24"/>
        </w:rPr>
        <w:t>Karadeloglou</w:t>
      </w:r>
      <w:proofErr w:type="spellEnd"/>
      <w:r>
        <w:rPr>
          <w:rFonts w:ascii="Times New Roman" w:hAnsi="Times New Roman"/>
          <w:sz w:val="24"/>
          <w:szCs w:val="24"/>
        </w:rPr>
        <w:t xml:space="preserve">, P., and Sanchez, M. (2004). Does OPEC matter? An econometric analysis of oil prices, </w:t>
      </w:r>
      <w:r w:rsidRPr="00FA7126">
        <w:rPr>
          <w:rFonts w:ascii="Times New Roman" w:hAnsi="Times New Roman"/>
          <w:i/>
          <w:sz w:val="24"/>
          <w:szCs w:val="24"/>
        </w:rPr>
        <w:t>Energy Journal</w:t>
      </w:r>
      <w:r>
        <w:rPr>
          <w:rFonts w:ascii="Times New Roman" w:hAnsi="Times New Roman"/>
          <w:i/>
          <w:sz w:val="24"/>
          <w:szCs w:val="24"/>
        </w:rPr>
        <w:t xml:space="preserve">, </w:t>
      </w:r>
      <w:r>
        <w:rPr>
          <w:rFonts w:ascii="Times New Roman" w:hAnsi="Times New Roman"/>
          <w:sz w:val="24"/>
          <w:szCs w:val="24"/>
        </w:rPr>
        <w:t xml:space="preserve">Vol. 25, No. 4, pp.: 67-90.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sidRPr="004411F0">
        <w:rPr>
          <w:rFonts w:ascii="Times New Roman" w:hAnsi="Times New Roman"/>
          <w:sz w:val="24"/>
          <w:szCs w:val="24"/>
        </w:rPr>
        <w:t>Kendall, M. (1938)</w:t>
      </w:r>
      <w:r>
        <w:rPr>
          <w:rFonts w:ascii="Times New Roman" w:hAnsi="Times New Roman"/>
          <w:sz w:val="24"/>
          <w:szCs w:val="24"/>
        </w:rPr>
        <w:t>.</w:t>
      </w:r>
      <w:proofErr w:type="gramEnd"/>
      <w:r w:rsidRPr="004411F0">
        <w:rPr>
          <w:rFonts w:ascii="Times New Roman" w:hAnsi="Times New Roman"/>
          <w:sz w:val="24"/>
          <w:szCs w:val="24"/>
        </w:rPr>
        <w:t xml:space="preserve"> A </w:t>
      </w:r>
      <w:r>
        <w:rPr>
          <w:rFonts w:ascii="Times New Roman" w:hAnsi="Times New Roman"/>
          <w:sz w:val="24"/>
          <w:szCs w:val="24"/>
        </w:rPr>
        <w:t>n</w:t>
      </w:r>
      <w:r w:rsidRPr="004411F0">
        <w:rPr>
          <w:rFonts w:ascii="Times New Roman" w:hAnsi="Times New Roman"/>
          <w:sz w:val="24"/>
          <w:szCs w:val="24"/>
        </w:rPr>
        <w:t xml:space="preserve">ew </w:t>
      </w:r>
      <w:r>
        <w:rPr>
          <w:rFonts w:ascii="Times New Roman" w:hAnsi="Times New Roman"/>
          <w:sz w:val="24"/>
          <w:szCs w:val="24"/>
        </w:rPr>
        <w:t>m</w:t>
      </w:r>
      <w:r w:rsidRPr="004411F0">
        <w:rPr>
          <w:rFonts w:ascii="Times New Roman" w:hAnsi="Times New Roman"/>
          <w:sz w:val="24"/>
          <w:szCs w:val="24"/>
        </w:rPr>
        <w:t xml:space="preserve">easure of </w:t>
      </w:r>
      <w:r>
        <w:rPr>
          <w:rFonts w:ascii="Times New Roman" w:hAnsi="Times New Roman"/>
          <w:sz w:val="24"/>
          <w:szCs w:val="24"/>
        </w:rPr>
        <w:t>r</w:t>
      </w:r>
      <w:r w:rsidRPr="004411F0">
        <w:rPr>
          <w:rFonts w:ascii="Times New Roman" w:hAnsi="Times New Roman"/>
          <w:sz w:val="24"/>
          <w:szCs w:val="24"/>
        </w:rPr>
        <w:t xml:space="preserve">ank </w:t>
      </w:r>
      <w:r>
        <w:rPr>
          <w:rFonts w:ascii="Times New Roman" w:hAnsi="Times New Roman"/>
          <w:sz w:val="24"/>
          <w:szCs w:val="24"/>
        </w:rPr>
        <w:t>c</w:t>
      </w:r>
      <w:r w:rsidRPr="004411F0">
        <w:rPr>
          <w:rFonts w:ascii="Times New Roman" w:hAnsi="Times New Roman"/>
          <w:sz w:val="24"/>
          <w:szCs w:val="24"/>
        </w:rPr>
        <w:t xml:space="preserve">orrelation, </w:t>
      </w:r>
      <w:proofErr w:type="spellStart"/>
      <w:r w:rsidRPr="004411F0">
        <w:rPr>
          <w:rFonts w:ascii="Times New Roman" w:hAnsi="Times New Roman"/>
          <w:i/>
          <w:sz w:val="24"/>
          <w:szCs w:val="24"/>
        </w:rPr>
        <w:t>Biometrika</w:t>
      </w:r>
      <w:proofErr w:type="spellEnd"/>
      <w:r w:rsidRPr="004411F0">
        <w:rPr>
          <w:rFonts w:ascii="Times New Roman" w:hAnsi="Times New Roman"/>
          <w:sz w:val="24"/>
          <w:szCs w:val="24"/>
        </w:rPr>
        <w:t xml:space="preserve">, </w:t>
      </w:r>
      <w:r>
        <w:rPr>
          <w:rFonts w:ascii="Times New Roman" w:hAnsi="Times New Roman"/>
          <w:sz w:val="24"/>
          <w:szCs w:val="24"/>
        </w:rPr>
        <w:t xml:space="preserve">Vol. </w:t>
      </w:r>
      <w:r w:rsidRPr="004411F0">
        <w:rPr>
          <w:rFonts w:ascii="Times New Roman" w:hAnsi="Times New Roman"/>
          <w:sz w:val="24"/>
          <w:szCs w:val="24"/>
        </w:rPr>
        <w:t xml:space="preserve">30, </w:t>
      </w:r>
      <w:r>
        <w:rPr>
          <w:rFonts w:ascii="Times New Roman" w:hAnsi="Times New Roman"/>
          <w:sz w:val="24"/>
          <w:szCs w:val="24"/>
        </w:rPr>
        <w:t xml:space="preserve">No. 1/2, pp.: </w:t>
      </w:r>
      <w:r w:rsidRPr="004411F0">
        <w:rPr>
          <w:rFonts w:ascii="Times New Roman" w:hAnsi="Times New Roman"/>
          <w:sz w:val="24"/>
          <w:szCs w:val="24"/>
        </w:rPr>
        <w:t>81–89</w:t>
      </w:r>
      <w:r>
        <w:rPr>
          <w:rFonts w:ascii="Times New Roman" w:hAnsi="Times New Roman"/>
          <w:sz w:val="24"/>
          <w:szCs w:val="24"/>
        </w:rPr>
        <w:t xml:space="preserve">.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sidRPr="004411F0">
        <w:rPr>
          <w:rFonts w:ascii="Times New Roman" w:hAnsi="Times New Roman"/>
          <w:sz w:val="24"/>
          <w:szCs w:val="24"/>
        </w:rPr>
        <w:t>Kendall, M., and Gibbons J. (1990)</w:t>
      </w:r>
      <w:r>
        <w:rPr>
          <w:rFonts w:ascii="Times New Roman" w:hAnsi="Times New Roman"/>
          <w:sz w:val="24"/>
          <w:szCs w:val="24"/>
        </w:rPr>
        <w:t>.</w:t>
      </w:r>
      <w:proofErr w:type="gramEnd"/>
      <w:r w:rsidRPr="004411F0">
        <w:rPr>
          <w:rFonts w:ascii="Times New Roman" w:hAnsi="Times New Roman"/>
          <w:sz w:val="24"/>
          <w:szCs w:val="24"/>
        </w:rPr>
        <w:t xml:space="preserve"> </w:t>
      </w:r>
      <w:r w:rsidRPr="004411F0">
        <w:rPr>
          <w:rFonts w:ascii="Times New Roman" w:hAnsi="Times New Roman"/>
          <w:i/>
          <w:sz w:val="24"/>
          <w:szCs w:val="24"/>
        </w:rPr>
        <w:t xml:space="preserve">Rank </w:t>
      </w:r>
      <w:r>
        <w:rPr>
          <w:rFonts w:ascii="Times New Roman" w:hAnsi="Times New Roman"/>
          <w:i/>
          <w:sz w:val="24"/>
          <w:szCs w:val="24"/>
        </w:rPr>
        <w:t>c</w:t>
      </w:r>
      <w:r w:rsidRPr="004411F0">
        <w:rPr>
          <w:rFonts w:ascii="Times New Roman" w:hAnsi="Times New Roman"/>
          <w:i/>
          <w:sz w:val="24"/>
          <w:szCs w:val="24"/>
        </w:rPr>
        <w:t xml:space="preserve">orrelation </w:t>
      </w:r>
      <w:r>
        <w:rPr>
          <w:rFonts w:ascii="Times New Roman" w:hAnsi="Times New Roman"/>
          <w:i/>
          <w:sz w:val="24"/>
          <w:szCs w:val="24"/>
        </w:rPr>
        <w:t>m</w:t>
      </w:r>
      <w:r w:rsidRPr="004411F0">
        <w:rPr>
          <w:rFonts w:ascii="Times New Roman" w:hAnsi="Times New Roman"/>
          <w:i/>
          <w:sz w:val="24"/>
          <w:szCs w:val="24"/>
        </w:rPr>
        <w:t>ethods</w:t>
      </w:r>
      <w:r w:rsidRPr="004411F0">
        <w:rPr>
          <w:rFonts w:ascii="Times New Roman" w:hAnsi="Times New Roman"/>
          <w:sz w:val="24"/>
          <w:szCs w:val="24"/>
        </w:rPr>
        <w:t>, 5th ed. Oxford University Press, New York.</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sidRPr="00902D4C">
        <w:rPr>
          <w:rFonts w:ascii="Times New Roman" w:hAnsi="Times New Roman"/>
          <w:sz w:val="24"/>
          <w:szCs w:val="24"/>
        </w:rPr>
        <w:t>Kh</w:t>
      </w:r>
      <w:r>
        <w:rPr>
          <w:rFonts w:ascii="Times New Roman" w:hAnsi="Times New Roman"/>
          <w:sz w:val="24"/>
          <w:szCs w:val="24"/>
        </w:rPr>
        <w:t>anna, N., and Chapman, D. (2010).</w:t>
      </w:r>
      <w:proofErr w:type="gramEnd"/>
      <w:r>
        <w:rPr>
          <w:rFonts w:ascii="Times New Roman" w:hAnsi="Times New Roman"/>
          <w:sz w:val="24"/>
          <w:szCs w:val="24"/>
        </w:rPr>
        <w:t xml:space="preserve"> </w:t>
      </w:r>
      <w:r w:rsidRPr="00902D4C">
        <w:rPr>
          <w:rFonts w:ascii="Times New Roman" w:hAnsi="Times New Roman"/>
          <w:sz w:val="24"/>
          <w:szCs w:val="24"/>
        </w:rPr>
        <w:t xml:space="preserve">Guns and </w:t>
      </w:r>
      <w:r>
        <w:rPr>
          <w:rFonts w:ascii="Times New Roman" w:hAnsi="Times New Roman"/>
          <w:sz w:val="24"/>
          <w:szCs w:val="24"/>
        </w:rPr>
        <w:t>o</w:t>
      </w:r>
      <w:r w:rsidRPr="00902D4C">
        <w:rPr>
          <w:rFonts w:ascii="Times New Roman" w:hAnsi="Times New Roman"/>
          <w:sz w:val="24"/>
          <w:szCs w:val="24"/>
        </w:rPr>
        <w:t xml:space="preserve">il: An </w:t>
      </w:r>
      <w:r>
        <w:rPr>
          <w:rFonts w:ascii="Times New Roman" w:hAnsi="Times New Roman"/>
          <w:sz w:val="24"/>
          <w:szCs w:val="24"/>
        </w:rPr>
        <w:t>a</w:t>
      </w:r>
      <w:r w:rsidRPr="00902D4C">
        <w:rPr>
          <w:rFonts w:ascii="Times New Roman" w:hAnsi="Times New Roman"/>
          <w:sz w:val="24"/>
          <w:szCs w:val="24"/>
        </w:rPr>
        <w:t xml:space="preserve">nalysis of </w:t>
      </w:r>
      <w:r>
        <w:rPr>
          <w:rFonts w:ascii="Times New Roman" w:hAnsi="Times New Roman"/>
          <w:sz w:val="24"/>
          <w:szCs w:val="24"/>
        </w:rPr>
        <w:t>c</w:t>
      </w:r>
      <w:r w:rsidRPr="00902D4C">
        <w:rPr>
          <w:rFonts w:ascii="Times New Roman" w:hAnsi="Times New Roman"/>
          <w:sz w:val="24"/>
          <w:szCs w:val="24"/>
        </w:rPr>
        <w:t xml:space="preserve">onventional </w:t>
      </w:r>
      <w:r>
        <w:rPr>
          <w:rFonts w:ascii="Times New Roman" w:hAnsi="Times New Roman"/>
          <w:sz w:val="24"/>
          <w:szCs w:val="24"/>
        </w:rPr>
        <w:t>w</w:t>
      </w:r>
      <w:r w:rsidRPr="00902D4C">
        <w:rPr>
          <w:rFonts w:ascii="Times New Roman" w:hAnsi="Times New Roman"/>
          <w:sz w:val="24"/>
          <w:szCs w:val="24"/>
        </w:rPr>
        <w:t xml:space="preserve">eapons </w:t>
      </w:r>
      <w:r>
        <w:rPr>
          <w:rFonts w:ascii="Times New Roman" w:hAnsi="Times New Roman"/>
          <w:sz w:val="24"/>
          <w:szCs w:val="24"/>
        </w:rPr>
        <w:t>t</w:t>
      </w:r>
      <w:r w:rsidRPr="00902D4C">
        <w:rPr>
          <w:rFonts w:ascii="Times New Roman" w:hAnsi="Times New Roman"/>
          <w:sz w:val="24"/>
          <w:szCs w:val="24"/>
        </w:rPr>
        <w:t xml:space="preserve">rade in the </w:t>
      </w:r>
      <w:r>
        <w:rPr>
          <w:rFonts w:ascii="Times New Roman" w:hAnsi="Times New Roman"/>
          <w:sz w:val="24"/>
          <w:szCs w:val="24"/>
        </w:rPr>
        <w:t>p</w:t>
      </w:r>
      <w:r w:rsidRPr="00902D4C">
        <w:rPr>
          <w:rFonts w:ascii="Times New Roman" w:hAnsi="Times New Roman"/>
          <w:sz w:val="24"/>
          <w:szCs w:val="24"/>
        </w:rPr>
        <w:t>ost-</w:t>
      </w:r>
      <w:r>
        <w:rPr>
          <w:rFonts w:ascii="Times New Roman" w:hAnsi="Times New Roman"/>
          <w:sz w:val="24"/>
          <w:szCs w:val="24"/>
        </w:rPr>
        <w:t>c</w:t>
      </w:r>
      <w:r w:rsidRPr="00902D4C">
        <w:rPr>
          <w:rFonts w:ascii="Times New Roman" w:hAnsi="Times New Roman"/>
          <w:sz w:val="24"/>
          <w:szCs w:val="24"/>
        </w:rPr>
        <w:t xml:space="preserve">old </w:t>
      </w:r>
      <w:r>
        <w:rPr>
          <w:rFonts w:ascii="Times New Roman" w:hAnsi="Times New Roman"/>
          <w:sz w:val="24"/>
          <w:szCs w:val="24"/>
        </w:rPr>
        <w:t>w</w:t>
      </w:r>
      <w:r w:rsidRPr="00902D4C">
        <w:rPr>
          <w:rFonts w:ascii="Times New Roman" w:hAnsi="Times New Roman"/>
          <w:sz w:val="24"/>
          <w:szCs w:val="24"/>
        </w:rPr>
        <w:t xml:space="preserve">ar </w:t>
      </w:r>
      <w:r>
        <w:rPr>
          <w:rFonts w:ascii="Times New Roman" w:hAnsi="Times New Roman"/>
          <w:sz w:val="24"/>
          <w:szCs w:val="24"/>
        </w:rPr>
        <w:t>e</w:t>
      </w:r>
      <w:r w:rsidRPr="00902D4C">
        <w:rPr>
          <w:rFonts w:ascii="Times New Roman" w:hAnsi="Times New Roman"/>
          <w:sz w:val="24"/>
          <w:szCs w:val="24"/>
        </w:rPr>
        <w:t>ra</w:t>
      </w:r>
      <w:r>
        <w:rPr>
          <w:rFonts w:ascii="Times New Roman" w:hAnsi="Times New Roman"/>
          <w:sz w:val="24"/>
          <w:szCs w:val="24"/>
        </w:rPr>
        <w:t>,</w:t>
      </w:r>
      <w:r w:rsidRPr="00902D4C">
        <w:rPr>
          <w:rFonts w:ascii="Times New Roman" w:hAnsi="Times New Roman"/>
          <w:sz w:val="24"/>
          <w:szCs w:val="24"/>
        </w:rPr>
        <w:t xml:space="preserve"> </w:t>
      </w:r>
      <w:r w:rsidRPr="00FA7126">
        <w:rPr>
          <w:rFonts w:ascii="Times New Roman" w:hAnsi="Times New Roman"/>
          <w:i/>
          <w:sz w:val="24"/>
          <w:szCs w:val="24"/>
        </w:rPr>
        <w:t>Economic Inquiry</w:t>
      </w:r>
      <w:r w:rsidRPr="00902D4C">
        <w:rPr>
          <w:rFonts w:ascii="Times New Roman" w:hAnsi="Times New Roman"/>
          <w:i/>
          <w:sz w:val="24"/>
          <w:szCs w:val="24"/>
        </w:rPr>
        <w:t xml:space="preserve">, </w:t>
      </w:r>
      <w:r w:rsidRPr="00902D4C">
        <w:rPr>
          <w:rFonts w:ascii="Times New Roman" w:hAnsi="Times New Roman"/>
          <w:sz w:val="24"/>
          <w:szCs w:val="24"/>
        </w:rPr>
        <w:t>Vol. 48, No. 2, pp.</w:t>
      </w:r>
      <w:r>
        <w:rPr>
          <w:rFonts w:ascii="Times New Roman" w:hAnsi="Times New Roman"/>
          <w:sz w:val="24"/>
          <w:szCs w:val="24"/>
        </w:rPr>
        <w:t>:</w:t>
      </w:r>
      <w:r w:rsidRPr="00902D4C">
        <w:rPr>
          <w:rFonts w:ascii="Times New Roman" w:hAnsi="Times New Roman"/>
          <w:sz w:val="24"/>
          <w:szCs w:val="24"/>
        </w:rPr>
        <w:t xml:space="preserve"> 434-459.</w:t>
      </w:r>
    </w:p>
    <w:p w:rsidR="004D0458" w:rsidRDefault="004D0458" w:rsidP="004D0458">
      <w:pPr>
        <w:spacing w:line="360" w:lineRule="auto"/>
        <w:ind w:left="426" w:hanging="426"/>
        <w:jc w:val="both"/>
        <w:rPr>
          <w:rFonts w:ascii="Times New Roman" w:hAnsi="Times New Roman" w:cs="Times New Roman"/>
          <w:sz w:val="24"/>
          <w:szCs w:val="24"/>
          <w:lang w:val="en-US"/>
        </w:rPr>
      </w:pPr>
      <w:r w:rsidRPr="00964FD2">
        <w:rPr>
          <w:rFonts w:ascii="Times New Roman" w:hAnsi="Times New Roman" w:cs="Times New Roman"/>
          <w:sz w:val="24"/>
          <w:szCs w:val="24"/>
          <w:lang w:val="en-US"/>
        </w:rPr>
        <w:t>Kilian, L. (2008)</w:t>
      </w:r>
      <w:r>
        <w:rPr>
          <w:rFonts w:ascii="Times New Roman" w:hAnsi="Times New Roman" w:cs="Times New Roman"/>
          <w:sz w:val="24"/>
          <w:szCs w:val="24"/>
          <w:lang w:val="en-US"/>
        </w:rPr>
        <w:t>.</w:t>
      </w:r>
      <w:r w:rsidRPr="00964FD2">
        <w:rPr>
          <w:rFonts w:ascii="Times New Roman" w:hAnsi="Times New Roman" w:cs="Times New Roman"/>
          <w:sz w:val="24"/>
          <w:szCs w:val="24"/>
          <w:lang w:val="en-US"/>
        </w:rPr>
        <w:t xml:space="preserve"> The economic effects of energy price shocks</w:t>
      </w:r>
      <w:r>
        <w:rPr>
          <w:rFonts w:ascii="Times New Roman" w:hAnsi="Times New Roman" w:cs="Times New Roman"/>
          <w:sz w:val="24"/>
          <w:szCs w:val="24"/>
          <w:lang w:val="en-US"/>
        </w:rPr>
        <w:t>.</w:t>
      </w:r>
      <w:r w:rsidRPr="00964FD2">
        <w:rPr>
          <w:rFonts w:ascii="Times New Roman" w:hAnsi="Times New Roman" w:cs="Times New Roman"/>
          <w:sz w:val="24"/>
          <w:szCs w:val="24"/>
          <w:lang w:val="en-US"/>
        </w:rPr>
        <w:t xml:space="preserve"> </w:t>
      </w:r>
      <w:r w:rsidRPr="00964FD2">
        <w:rPr>
          <w:rFonts w:ascii="Times New Roman" w:hAnsi="Times New Roman" w:cs="Times New Roman"/>
          <w:i/>
          <w:sz w:val="24"/>
          <w:szCs w:val="24"/>
          <w:lang w:val="en-US"/>
        </w:rPr>
        <w:t>Journal of Economic Literature</w:t>
      </w:r>
      <w:r w:rsidRPr="00964FD2">
        <w:rPr>
          <w:rFonts w:ascii="Times New Roman" w:hAnsi="Times New Roman" w:cs="Times New Roman"/>
          <w:sz w:val="24"/>
          <w:szCs w:val="24"/>
          <w:lang w:val="en-US"/>
        </w:rPr>
        <w:t xml:space="preserve">, Vol. 46, No. 4, pp.: 871-909. </w:t>
      </w:r>
    </w:p>
    <w:p w:rsidR="00512815" w:rsidRDefault="00512815" w:rsidP="00512815">
      <w:pPr>
        <w:spacing w:line="360" w:lineRule="auto"/>
        <w:ind w:left="426" w:hanging="426"/>
        <w:jc w:val="both"/>
        <w:rPr>
          <w:rFonts w:ascii="Times New Roman" w:hAnsi="Times New Roman" w:cs="Times New Roman"/>
          <w:sz w:val="24"/>
          <w:szCs w:val="24"/>
          <w:lang w:val="en-US"/>
        </w:rPr>
      </w:pPr>
      <w:r w:rsidRPr="00964FD2">
        <w:rPr>
          <w:rFonts w:ascii="Times New Roman" w:hAnsi="Times New Roman" w:cs="Times New Roman"/>
          <w:sz w:val="24"/>
          <w:szCs w:val="24"/>
          <w:lang w:val="en-US"/>
        </w:rPr>
        <w:t>Kilian, L. (2009)</w:t>
      </w:r>
      <w:r>
        <w:rPr>
          <w:rFonts w:ascii="Times New Roman" w:hAnsi="Times New Roman" w:cs="Times New Roman"/>
          <w:sz w:val="24"/>
          <w:szCs w:val="24"/>
          <w:lang w:val="en-US"/>
        </w:rPr>
        <w:t>.</w:t>
      </w:r>
      <w:r w:rsidRPr="00964FD2">
        <w:rPr>
          <w:rFonts w:ascii="Times New Roman" w:hAnsi="Times New Roman" w:cs="Times New Roman"/>
          <w:sz w:val="24"/>
          <w:szCs w:val="24"/>
          <w:lang w:val="en-US"/>
        </w:rPr>
        <w:t xml:space="preserve"> Not oil price shocks are alike: Disentangling demand and supply shocks in the crude oil market</w:t>
      </w:r>
      <w:r>
        <w:rPr>
          <w:rFonts w:ascii="Times New Roman" w:hAnsi="Times New Roman" w:cs="Times New Roman"/>
          <w:sz w:val="24"/>
          <w:szCs w:val="24"/>
          <w:lang w:val="en-US"/>
        </w:rPr>
        <w:t>.</w:t>
      </w:r>
      <w:r w:rsidRPr="00964FD2">
        <w:rPr>
          <w:rFonts w:ascii="Times New Roman" w:hAnsi="Times New Roman" w:cs="Times New Roman"/>
          <w:sz w:val="24"/>
          <w:szCs w:val="24"/>
          <w:lang w:val="en-US"/>
        </w:rPr>
        <w:t xml:space="preserve"> </w:t>
      </w:r>
      <w:r w:rsidRPr="00964FD2">
        <w:rPr>
          <w:rFonts w:ascii="Times New Roman" w:hAnsi="Times New Roman" w:cs="Times New Roman"/>
          <w:i/>
          <w:sz w:val="24"/>
          <w:szCs w:val="24"/>
          <w:lang w:val="en-US"/>
        </w:rPr>
        <w:t>American Economic Review</w:t>
      </w:r>
      <w:r w:rsidRPr="00964FD2">
        <w:rPr>
          <w:rFonts w:ascii="Times New Roman" w:hAnsi="Times New Roman" w:cs="Times New Roman"/>
          <w:sz w:val="24"/>
          <w:szCs w:val="24"/>
          <w:lang w:val="en-US"/>
        </w:rPr>
        <w:t xml:space="preserve">, Vol. 99, No. 3, pp.: 1053-1069.  </w:t>
      </w:r>
    </w:p>
    <w:p w:rsidR="00821514" w:rsidRDefault="00EB2615"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Kilian, L., and Lee, T.</w:t>
      </w:r>
      <w:r w:rsidR="00821514">
        <w:rPr>
          <w:rFonts w:ascii="Times New Roman" w:hAnsi="Times New Roman"/>
          <w:sz w:val="24"/>
          <w:szCs w:val="24"/>
        </w:rPr>
        <w:t>K. (2014).</w:t>
      </w:r>
      <w:proofErr w:type="gramEnd"/>
      <w:r w:rsidR="00821514">
        <w:rPr>
          <w:rFonts w:ascii="Times New Roman" w:hAnsi="Times New Roman"/>
          <w:sz w:val="24"/>
          <w:szCs w:val="24"/>
        </w:rPr>
        <w:t xml:space="preserve"> Quantifying the speculative component in the real price of oil: The role of global oil inventories, </w:t>
      </w:r>
      <w:r w:rsidR="00821514" w:rsidRPr="00BD199F">
        <w:rPr>
          <w:rFonts w:ascii="Times New Roman" w:hAnsi="Times New Roman"/>
          <w:i/>
          <w:sz w:val="24"/>
          <w:szCs w:val="24"/>
        </w:rPr>
        <w:t>Journal of International Money and Finance</w:t>
      </w:r>
      <w:r w:rsidR="00821514">
        <w:rPr>
          <w:rFonts w:ascii="Times New Roman" w:hAnsi="Times New Roman"/>
          <w:sz w:val="24"/>
          <w:szCs w:val="24"/>
        </w:rPr>
        <w:t>, Vol. 42, pp.: 71-87.</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Kilian, L., and Murphy, D.P. (2013).</w:t>
      </w:r>
      <w:proofErr w:type="gramEnd"/>
      <w:r>
        <w:rPr>
          <w:rFonts w:ascii="Times New Roman" w:hAnsi="Times New Roman"/>
          <w:sz w:val="24"/>
          <w:szCs w:val="24"/>
        </w:rPr>
        <w:t xml:space="preserve"> The role of inventories and speculative trading in the global market for crude oil, </w:t>
      </w:r>
      <w:r w:rsidRPr="00BD199F">
        <w:rPr>
          <w:rFonts w:ascii="Times New Roman" w:hAnsi="Times New Roman"/>
          <w:i/>
          <w:sz w:val="24"/>
          <w:szCs w:val="24"/>
        </w:rPr>
        <w:t>Journal of Applied Econometrics</w:t>
      </w:r>
      <w:r>
        <w:rPr>
          <w:rFonts w:ascii="Times New Roman" w:hAnsi="Times New Roman"/>
          <w:sz w:val="24"/>
          <w:szCs w:val="24"/>
        </w:rPr>
        <w:t xml:space="preserve">, Vol. 29, No. 3, pp.: 454-478.   </w:t>
      </w:r>
      <w:r w:rsidRPr="00902D4C">
        <w:rPr>
          <w:rFonts w:ascii="Times New Roman" w:hAnsi="Times New Roman"/>
          <w:sz w:val="24"/>
          <w:szCs w:val="24"/>
        </w:rPr>
        <w:t xml:space="preserve"> </w:t>
      </w:r>
    </w:p>
    <w:p w:rsidR="002E5DD0" w:rsidRDefault="002E5DD0" w:rsidP="002E5DD0">
      <w:pPr>
        <w:spacing w:line="360" w:lineRule="auto"/>
        <w:ind w:left="426" w:hanging="426"/>
        <w:jc w:val="both"/>
        <w:rPr>
          <w:rFonts w:ascii="Times New Roman" w:hAnsi="Times New Roman" w:cs="Times New Roman"/>
          <w:sz w:val="24"/>
          <w:szCs w:val="24"/>
          <w:lang w:val="en-US"/>
        </w:rPr>
      </w:pPr>
      <w:proofErr w:type="gramStart"/>
      <w:r w:rsidRPr="00964FD2">
        <w:rPr>
          <w:rFonts w:ascii="Times New Roman" w:hAnsi="Times New Roman" w:cs="Times New Roman"/>
          <w:sz w:val="24"/>
          <w:szCs w:val="24"/>
          <w:lang w:val="en-US"/>
        </w:rPr>
        <w:t>Klare, M.T. (2008</w:t>
      </w:r>
      <w:r w:rsidRPr="00964FD2">
        <w:rPr>
          <w:rFonts w:ascii="Times New Roman" w:hAnsi="Times New Roman" w:cs="Times New Roman"/>
          <w:i/>
          <w:sz w:val="24"/>
          <w:szCs w:val="24"/>
          <w:lang w:val="en-US"/>
        </w:rPr>
        <w:t>) Rising powers, shrinking planet</w:t>
      </w:r>
      <w:r>
        <w:rPr>
          <w:rFonts w:ascii="Times New Roman" w:hAnsi="Times New Roman" w:cs="Times New Roman"/>
          <w:i/>
          <w:sz w:val="24"/>
          <w:szCs w:val="24"/>
          <w:lang w:val="en-US"/>
        </w:rPr>
        <w:t>: The new geopolitics of energy.</w:t>
      </w:r>
      <w:proofErr w:type="gramEnd"/>
      <w:r w:rsidRPr="00964FD2">
        <w:rPr>
          <w:rFonts w:ascii="Times New Roman" w:hAnsi="Times New Roman" w:cs="Times New Roman"/>
          <w:sz w:val="24"/>
          <w:szCs w:val="24"/>
          <w:lang w:val="en-US"/>
        </w:rPr>
        <w:t xml:space="preserve"> Holt Paperbacks, New York: USA.</w:t>
      </w:r>
    </w:p>
    <w:p w:rsidR="00821514" w:rsidRDefault="00821514" w:rsidP="00821514">
      <w:pPr>
        <w:autoSpaceDE w:val="0"/>
        <w:autoSpaceDN w:val="0"/>
        <w:adjustRightInd w:val="0"/>
        <w:spacing w:before="120" w:after="120" w:line="360" w:lineRule="auto"/>
        <w:ind w:left="426" w:hanging="426"/>
        <w:jc w:val="both"/>
        <w:rPr>
          <w:rFonts w:ascii="Times New Roman" w:hAnsi="Times New Roman"/>
          <w:sz w:val="24"/>
          <w:szCs w:val="24"/>
        </w:rPr>
      </w:pPr>
      <w:proofErr w:type="gramStart"/>
      <w:r w:rsidRPr="000D068F">
        <w:rPr>
          <w:rFonts w:ascii="Times New Roman" w:hAnsi="Times New Roman"/>
          <w:sz w:val="24"/>
          <w:szCs w:val="24"/>
        </w:rPr>
        <w:t>Kothari, S.P., and Warner</w:t>
      </w:r>
      <w:r>
        <w:rPr>
          <w:rFonts w:ascii="Times New Roman" w:hAnsi="Times New Roman"/>
          <w:sz w:val="24"/>
          <w:szCs w:val="24"/>
        </w:rPr>
        <w:t>,</w:t>
      </w:r>
      <w:r w:rsidRPr="000D068F">
        <w:rPr>
          <w:rFonts w:ascii="Times New Roman" w:hAnsi="Times New Roman"/>
          <w:sz w:val="24"/>
          <w:szCs w:val="24"/>
        </w:rPr>
        <w:t xml:space="preserve"> J.B. (2007)</w:t>
      </w:r>
      <w:r>
        <w:rPr>
          <w:rFonts w:ascii="Times New Roman" w:hAnsi="Times New Roman"/>
          <w:sz w:val="24"/>
          <w:szCs w:val="24"/>
        </w:rPr>
        <w:t>.</w:t>
      </w:r>
      <w:proofErr w:type="gramEnd"/>
      <w:r w:rsidRPr="000D068F">
        <w:rPr>
          <w:rFonts w:ascii="Times New Roman" w:hAnsi="Times New Roman"/>
          <w:sz w:val="24"/>
          <w:szCs w:val="24"/>
        </w:rPr>
        <w:t xml:space="preserve"> Econometrics of </w:t>
      </w:r>
      <w:r>
        <w:rPr>
          <w:rFonts w:ascii="Times New Roman" w:hAnsi="Times New Roman"/>
          <w:sz w:val="24"/>
          <w:szCs w:val="24"/>
        </w:rPr>
        <w:t>e</w:t>
      </w:r>
      <w:r w:rsidRPr="000D068F">
        <w:rPr>
          <w:rFonts w:ascii="Times New Roman" w:hAnsi="Times New Roman"/>
          <w:sz w:val="24"/>
          <w:szCs w:val="24"/>
        </w:rPr>
        <w:t xml:space="preserve">vent </w:t>
      </w:r>
      <w:r>
        <w:rPr>
          <w:rFonts w:ascii="Times New Roman" w:hAnsi="Times New Roman"/>
          <w:sz w:val="24"/>
          <w:szCs w:val="24"/>
        </w:rPr>
        <w:t>s</w:t>
      </w:r>
      <w:r w:rsidRPr="000D068F">
        <w:rPr>
          <w:rFonts w:ascii="Times New Roman" w:hAnsi="Times New Roman"/>
          <w:sz w:val="24"/>
          <w:szCs w:val="24"/>
        </w:rPr>
        <w:t>tudies</w:t>
      </w:r>
      <w:r>
        <w:rPr>
          <w:rFonts w:ascii="Times New Roman" w:hAnsi="Times New Roman"/>
          <w:sz w:val="24"/>
          <w:szCs w:val="24"/>
        </w:rPr>
        <w:t>,</w:t>
      </w:r>
      <w:r w:rsidRPr="000D068F">
        <w:rPr>
          <w:rFonts w:ascii="Times New Roman" w:hAnsi="Times New Roman"/>
          <w:sz w:val="24"/>
          <w:szCs w:val="24"/>
        </w:rPr>
        <w:t xml:space="preserve"> </w:t>
      </w:r>
      <w:r>
        <w:rPr>
          <w:rFonts w:ascii="Times New Roman" w:hAnsi="Times New Roman"/>
          <w:sz w:val="24"/>
          <w:szCs w:val="24"/>
        </w:rPr>
        <w:t>i</w:t>
      </w:r>
      <w:r w:rsidRPr="000D068F">
        <w:rPr>
          <w:rFonts w:ascii="Times New Roman" w:hAnsi="Times New Roman"/>
          <w:sz w:val="24"/>
          <w:szCs w:val="24"/>
        </w:rPr>
        <w:t xml:space="preserve">n: </w:t>
      </w:r>
      <w:proofErr w:type="spellStart"/>
      <w:r w:rsidRPr="000D068F">
        <w:rPr>
          <w:rFonts w:ascii="Times New Roman" w:hAnsi="Times New Roman"/>
          <w:sz w:val="24"/>
          <w:szCs w:val="24"/>
        </w:rPr>
        <w:t>Eckbo</w:t>
      </w:r>
      <w:proofErr w:type="spellEnd"/>
      <w:r w:rsidRPr="000D068F">
        <w:rPr>
          <w:rFonts w:ascii="Times New Roman" w:hAnsi="Times New Roman"/>
          <w:sz w:val="24"/>
          <w:szCs w:val="24"/>
        </w:rPr>
        <w:t xml:space="preserve">, E.B. ed., Handbook of </w:t>
      </w:r>
      <w:r>
        <w:rPr>
          <w:rFonts w:ascii="Times New Roman" w:hAnsi="Times New Roman"/>
          <w:sz w:val="24"/>
          <w:szCs w:val="24"/>
        </w:rPr>
        <w:t>c</w:t>
      </w:r>
      <w:r w:rsidRPr="000D068F">
        <w:rPr>
          <w:rFonts w:ascii="Times New Roman" w:hAnsi="Times New Roman"/>
          <w:sz w:val="24"/>
          <w:szCs w:val="24"/>
        </w:rPr>
        <w:t xml:space="preserve">orporate </w:t>
      </w:r>
      <w:r>
        <w:rPr>
          <w:rFonts w:ascii="Times New Roman" w:hAnsi="Times New Roman"/>
          <w:sz w:val="24"/>
          <w:szCs w:val="24"/>
        </w:rPr>
        <w:t>f</w:t>
      </w:r>
      <w:r w:rsidRPr="000D068F">
        <w:rPr>
          <w:rFonts w:ascii="Times New Roman" w:hAnsi="Times New Roman"/>
          <w:sz w:val="24"/>
          <w:szCs w:val="24"/>
        </w:rPr>
        <w:t xml:space="preserve">inance: Empirical </w:t>
      </w:r>
      <w:r>
        <w:rPr>
          <w:rFonts w:ascii="Times New Roman" w:hAnsi="Times New Roman"/>
          <w:sz w:val="24"/>
          <w:szCs w:val="24"/>
        </w:rPr>
        <w:t>c</w:t>
      </w:r>
      <w:r w:rsidRPr="000D068F">
        <w:rPr>
          <w:rFonts w:ascii="Times New Roman" w:hAnsi="Times New Roman"/>
          <w:sz w:val="24"/>
          <w:szCs w:val="24"/>
        </w:rPr>
        <w:t xml:space="preserve">orporate </w:t>
      </w:r>
      <w:r>
        <w:rPr>
          <w:rFonts w:ascii="Times New Roman" w:hAnsi="Times New Roman"/>
          <w:sz w:val="24"/>
          <w:szCs w:val="24"/>
        </w:rPr>
        <w:t>f</w:t>
      </w:r>
      <w:r w:rsidRPr="000D068F">
        <w:rPr>
          <w:rFonts w:ascii="Times New Roman" w:hAnsi="Times New Roman"/>
          <w:sz w:val="24"/>
          <w:szCs w:val="24"/>
        </w:rPr>
        <w:t xml:space="preserve">inance. </w:t>
      </w:r>
      <w:proofErr w:type="gramStart"/>
      <w:r w:rsidRPr="000D068F">
        <w:rPr>
          <w:rFonts w:ascii="Times New Roman" w:hAnsi="Times New Roman"/>
          <w:sz w:val="24"/>
          <w:szCs w:val="24"/>
        </w:rPr>
        <w:t>Elsevier/North-Holland, Amsterdam.</w:t>
      </w:r>
      <w:proofErr w:type="gramEnd"/>
      <w:r>
        <w:rPr>
          <w:rFonts w:ascii="Times New Roman" w:hAnsi="Times New Roman"/>
          <w:sz w:val="24"/>
          <w:szCs w:val="24"/>
        </w:rPr>
        <w:t xml:space="preserve"> Vol. 1, pp.: 1-36.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933194">
        <w:rPr>
          <w:rFonts w:ascii="Times New Roman" w:hAnsi="Times New Roman"/>
          <w:sz w:val="24"/>
          <w:szCs w:val="24"/>
        </w:rPr>
        <w:lastRenderedPageBreak/>
        <w:t>Koutmos</w:t>
      </w:r>
      <w:proofErr w:type="spellEnd"/>
      <w:r w:rsidRPr="00933194">
        <w:rPr>
          <w:rFonts w:ascii="Times New Roman" w:hAnsi="Times New Roman"/>
          <w:sz w:val="24"/>
          <w:szCs w:val="24"/>
        </w:rPr>
        <w:t>, G., and Booth, G.G. (1995)</w:t>
      </w:r>
      <w:r>
        <w:rPr>
          <w:rFonts w:ascii="Times New Roman" w:hAnsi="Times New Roman"/>
          <w:sz w:val="24"/>
          <w:szCs w:val="24"/>
        </w:rPr>
        <w:t>.</w:t>
      </w:r>
      <w:proofErr w:type="gramEnd"/>
      <w:r w:rsidRPr="00933194">
        <w:rPr>
          <w:rFonts w:ascii="Times New Roman" w:hAnsi="Times New Roman"/>
          <w:sz w:val="24"/>
          <w:szCs w:val="24"/>
        </w:rPr>
        <w:t xml:space="preserve"> Asymmetric volatility transmission in international stock markets</w:t>
      </w:r>
      <w:r>
        <w:rPr>
          <w:rFonts w:ascii="Times New Roman" w:hAnsi="Times New Roman"/>
          <w:sz w:val="24"/>
          <w:szCs w:val="24"/>
        </w:rPr>
        <w:t>,</w:t>
      </w:r>
      <w:r w:rsidRPr="00933194">
        <w:rPr>
          <w:rFonts w:ascii="Times New Roman" w:hAnsi="Times New Roman"/>
          <w:sz w:val="24"/>
          <w:szCs w:val="24"/>
        </w:rPr>
        <w:t xml:space="preserve"> </w:t>
      </w:r>
      <w:r w:rsidRPr="00933194">
        <w:rPr>
          <w:rFonts w:ascii="Times New Roman" w:hAnsi="Times New Roman"/>
          <w:i/>
          <w:sz w:val="24"/>
          <w:szCs w:val="24"/>
        </w:rPr>
        <w:t>Journal of International Money and Finance</w:t>
      </w:r>
      <w:r>
        <w:rPr>
          <w:rFonts w:ascii="Times New Roman" w:hAnsi="Times New Roman"/>
          <w:i/>
          <w:sz w:val="24"/>
          <w:szCs w:val="24"/>
        </w:rPr>
        <w:t>,</w:t>
      </w:r>
      <w:r w:rsidRPr="00933194">
        <w:rPr>
          <w:rFonts w:ascii="Times New Roman" w:hAnsi="Times New Roman"/>
          <w:i/>
          <w:sz w:val="24"/>
          <w:szCs w:val="24"/>
        </w:rPr>
        <w:t xml:space="preserve"> </w:t>
      </w:r>
      <w:r w:rsidRPr="00933194">
        <w:rPr>
          <w:rFonts w:ascii="Times New Roman" w:hAnsi="Times New Roman"/>
          <w:sz w:val="24"/>
          <w:szCs w:val="24"/>
        </w:rPr>
        <w:t>Vol. 14</w:t>
      </w:r>
      <w:r>
        <w:rPr>
          <w:rFonts w:ascii="Times New Roman" w:hAnsi="Times New Roman"/>
          <w:sz w:val="24"/>
          <w:szCs w:val="24"/>
        </w:rPr>
        <w:t>,</w:t>
      </w:r>
      <w:r w:rsidRPr="00933194">
        <w:rPr>
          <w:rFonts w:ascii="Times New Roman" w:hAnsi="Times New Roman"/>
          <w:sz w:val="24"/>
          <w:szCs w:val="24"/>
        </w:rPr>
        <w:t xml:space="preserve"> No. 6</w:t>
      </w:r>
      <w:r>
        <w:rPr>
          <w:rFonts w:ascii="Times New Roman" w:hAnsi="Times New Roman"/>
          <w:sz w:val="24"/>
          <w:szCs w:val="24"/>
        </w:rPr>
        <w:t>,</w:t>
      </w:r>
      <w:r w:rsidRPr="00933194">
        <w:rPr>
          <w:rFonts w:ascii="Times New Roman" w:hAnsi="Times New Roman"/>
          <w:sz w:val="24"/>
          <w:szCs w:val="24"/>
        </w:rPr>
        <w:t xml:space="preserve"> pp.: 747-762.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sidRPr="000D068F">
        <w:rPr>
          <w:rFonts w:ascii="Times New Roman" w:hAnsi="Times New Roman"/>
          <w:sz w:val="24"/>
          <w:szCs w:val="24"/>
        </w:rPr>
        <w:t>Leigh</w:t>
      </w:r>
      <w:r>
        <w:rPr>
          <w:rFonts w:ascii="Times New Roman" w:hAnsi="Times New Roman"/>
          <w:sz w:val="24"/>
          <w:szCs w:val="24"/>
        </w:rPr>
        <w:t>,</w:t>
      </w:r>
      <w:r w:rsidRPr="000D068F">
        <w:rPr>
          <w:rFonts w:ascii="Times New Roman" w:hAnsi="Times New Roman"/>
          <w:sz w:val="24"/>
          <w:szCs w:val="24"/>
        </w:rPr>
        <w:t xml:space="preserve"> A., </w:t>
      </w:r>
      <w:proofErr w:type="spellStart"/>
      <w:r w:rsidRPr="000D068F">
        <w:rPr>
          <w:rFonts w:ascii="Times New Roman" w:hAnsi="Times New Roman"/>
          <w:sz w:val="24"/>
          <w:szCs w:val="24"/>
        </w:rPr>
        <w:t>Wolfers</w:t>
      </w:r>
      <w:proofErr w:type="spellEnd"/>
      <w:r>
        <w:rPr>
          <w:rFonts w:ascii="Times New Roman" w:hAnsi="Times New Roman"/>
          <w:sz w:val="24"/>
          <w:szCs w:val="24"/>
        </w:rPr>
        <w:t>,</w:t>
      </w:r>
      <w:r w:rsidRPr="000D068F">
        <w:rPr>
          <w:rFonts w:ascii="Times New Roman" w:hAnsi="Times New Roman"/>
          <w:sz w:val="24"/>
          <w:szCs w:val="24"/>
        </w:rPr>
        <w:t xml:space="preserve"> J., and </w:t>
      </w:r>
      <w:proofErr w:type="spellStart"/>
      <w:r w:rsidRPr="000D068F">
        <w:rPr>
          <w:rFonts w:ascii="Times New Roman" w:hAnsi="Times New Roman"/>
          <w:sz w:val="24"/>
          <w:szCs w:val="24"/>
        </w:rPr>
        <w:t>Zitzewitz</w:t>
      </w:r>
      <w:proofErr w:type="spellEnd"/>
      <w:r>
        <w:rPr>
          <w:rFonts w:ascii="Times New Roman" w:hAnsi="Times New Roman"/>
          <w:sz w:val="24"/>
          <w:szCs w:val="24"/>
        </w:rPr>
        <w:t>,</w:t>
      </w:r>
      <w:r w:rsidRPr="000D068F">
        <w:rPr>
          <w:rFonts w:ascii="Times New Roman" w:hAnsi="Times New Roman"/>
          <w:sz w:val="24"/>
          <w:szCs w:val="24"/>
        </w:rPr>
        <w:t xml:space="preserve"> E. (2003)</w:t>
      </w:r>
      <w:r>
        <w:rPr>
          <w:rFonts w:ascii="Times New Roman" w:hAnsi="Times New Roman"/>
          <w:sz w:val="24"/>
          <w:szCs w:val="24"/>
        </w:rPr>
        <w:t>.</w:t>
      </w:r>
      <w:proofErr w:type="gramEnd"/>
      <w:r w:rsidRPr="000D068F">
        <w:rPr>
          <w:rFonts w:ascii="Times New Roman" w:hAnsi="Times New Roman"/>
          <w:sz w:val="24"/>
          <w:szCs w:val="24"/>
        </w:rPr>
        <w:t xml:space="preserve"> </w:t>
      </w:r>
      <w:r w:rsidRPr="000D068F">
        <w:rPr>
          <w:rFonts w:ascii="Times New Roman" w:hAnsi="Times New Roman"/>
          <w:i/>
          <w:sz w:val="24"/>
          <w:szCs w:val="24"/>
        </w:rPr>
        <w:t xml:space="preserve">What do </w:t>
      </w:r>
      <w:r>
        <w:rPr>
          <w:rFonts w:ascii="Times New Roman" w:hAnsi="Times New Roman"/>
          <w:i/>
          <w:sz w:val="24"/>
          <w:szCs w:val="24"/>
        </w:rPr>
        <w:t>f</w:t>
      </w:r>
      <w:r w:rsidRPr="000D068F">
        <w:rPr>
          <w:rFonts w:ascii="Times New Roman" w:hAnsi="Times New Roman"/>
          <w:i/>
          <w:sz w:val="24"/>
          <w:szCs w:val="24"/>
        </w:rPr>
        <w:t xml:space="preserve">inancial </w:t>
      </w:r>
      <w:r>
        <w:rPr>
          <w:rFonts w:ascii="Times New Roman" w:hAnsi="Times New Roman"/>
          <w:i/>
          <w:sz w:val="24"/>
          <w:szCs w:val="24"/>
        </w:rPr>
        <w:t>m</w:t>
      </w:r>
      <w:r w:rsidRPr="000D068F">
        <w:rPr>
          <w:rFonts w:ascii="Times New Roman" w:hAnsi="Times New Roman"/>
          <w:i/>
          <w:sz w:val="24"/>
          <w:szCs w:val="24"/>
        </w:rPr>
        <w:t xml:space="preserve">arkets </w:t>
      </w:r>
      <w:r>
        <w:rPr>
          <w:rFonts w:ascii="Times New Roman" w:hAnsi="Times New Roman"/>
          <w:i/>
          <w:sz w:val="24"/>
          <w:szCs w:val="24"/>
        </w:rPr>
        <w:t>t</w:t>
      </w:r>
      <w:r w:rsidRPr="000D068F">
        <w:rPr>
          <w:rFonts w:ascii="Times New Roman" w:hAnsi="Times New Roman"/>
          <w:i/>
          <w:sz w:val="24"/>
          <w:szCs w:val="24"/>
        </w:rPr>
        <w:t>hink of the</w:t>
      </w:r>
      <w:r>
        <w:rPr>
          <w:rFonts w:ascii="Times New Roman" w:hAnsi="Times New Roman"/>
          <w:i/>
          <w:sz w:val="24"/>
          <w:szCs w:val="24"/>
        </w:rPr>
        <w:t xml:space="preserve"> w</w:t>
      </w:r>
      <w:r w:rsidRPr="000D068F">
        <w:rPr>
          <w:rFonts w:ascii="Times New Roman" w:hAnsi="Times New Roman"/>
          <w:i/>
          <w:sz w:val="24"/>
          <w:szCs w:val="24"/>
        </w:rPr>
        <w:t>ar in Iraq</w:t>
      </w:r>
      <w:proofErr w:type="gramStart"/>
      <w:r w:rsidRPr="000D068F">
        <w:rPr>
          <w:rFonts w:ascii="Times New Roman" w:hAnsi="Times New Roman"/>
          <w:i/>
          <w:sz w:val="24"/>
          <w:szCs w:val="24"/>
        </w:rPr>
        <w:t>?</w:t>
      </w:r>
      <w:r>
        <w:rPr>
          <w:rFonts w:ascii="Times New Roman" w:hAnsi="Times New Roman"/>
          <w:i/>
          <w:sz w:val="24"/>
          <w:szCs w:val="24"/>
        </w:rPr>
        <w:t>,</w:t>
      </w:r>
      <w:proofErr w:type="gramEnd"/>
      <w:r w:rsidRPr="000D068F">
        <w:rPr>
          <w:rFonts w:ascii="Times New Roman" w:hAnsi="Times New Roman"/>
          <w:sz w:val="24"/>
          <w:szCs w:val="24"/>
        </w:rPr>
        <w:t xml:space="preserve"> NBER Working Paper No. 9587</w:t>
      </w:r>
    </w:p>
    <w:p w:rsidR="00821514" w:rsidRDefault="00821514" w:rsidP="00821514">
      <w:pPr>
        <w:spacing w:before="120" w:after="120" w:line="360" w:lineRule="auto"/>
        <w:ind w:left="426" w:hanging="426"/>
        <w:jc w:val="both"/>
        <w:rPr>
          <w:rFonts w:ascii="Times New Roman" w:hAnsi="Times New Roman"/>
          <w:sz w:val="24"/>
          <w:szCs w:val="24"/>
        </w:rPr>
      </w:pPr>
      <w:r w:rsidRPr="00B75EDA">
        <w:rPr>
          <w:rFonts w:ascii="Times New Roman" w:hAnsi="Times New Roman"/>
          <w:sz w:val="24"/>
          <w:szCs w:val="24"/>
        </w:rPr>
        <w:t xml:space="preserve">Liddell- Hart, B.H. (Ed.) (1953) </w:t>
      </w:r>
      <w:proofErr w:type="gramStart"/>
      <w:r w:rsidRPr="00B75EDA">
        <w:rPr>
          <w:rFonts w:ascii="Times New Roman" w:hAnsi="Times New Roman"/>
          <w:i/>
          <w:sz w:val="24"/>
          <w:szCs w:val="24"/>
        </w:rPr>
        <w:t>The</w:t>
      </w:r>
      <w:proofErr w:type="gramEnd"/>
      <w:r w:rsidRPr="00B75EDA">
        <w:rPr>
          <w:rFonts w:ascii="Times New Roman" w:hAnsi="Times New Roman"/>
          <w:i/>
          <w:sz w:val="24"/>
          <w:szCs w:val="24"/>
        </w:rPr>
        <w:t xml:space="preserve"> Rommel Papers</w:t>
      </w:r>
      <w:r w:rsidRPr="00B75EDA">
        <w:rPr>
          <w:rFonts w:ascii="Times New Roman" w:hAnsi="Times New Roman"/>
          <w:sz w:val="24"/>
          <w:szCs w:val="24"/>
        </w:rPr>
        <w:t>. Collins, London.</w:t>
      </w:r>
      <w:r>
        <w:rPr>
          <w:rFonts w:ascii="Times New Roman" w:hAnsi="Times New Roman"/>
          <w:sz w:val="24"/>
          <w:szCs w:val="24"/>
        </w:rPr>
        <w:t xml:space="preserve">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r>
        <w:rPr>
          <w:rFonts w:ascii="Times New Roman" w:hAnsi="Times New Roman"/>
          <w:sz w:val="24"/>
          <w:szCs w:val="24"/>
        </w:rPr>
        <w:t>Lieber</w:t>
      </w:r>
      <w:proofErr w:type="spellEnd"/>
      <w:r>
        <w:rPr>
          <w:rFonts w:ascii="Times New Roman" w:hAnsi="Times New Roman"/>
          <w:sz w:val="24"/>
          <w:szCs w:val="24"/>
        </w:rPr>
        <w:t xml:space="preserve">, R.J. (1992). Oil and power after the Gulf War, </w:t>
      </w:r>
      <w:r w:rsidRPr="00FA7126">
        <w:rPr>
          <w:rFonts w:ascii="Times New Roman" w:hAnsi="Times New Roman"/>
          <w:i/>
          <w:sz w:val="24"/>
          <w:szCs w:val="24"/>
        </w:rPr>
        <w:t>International Security</w:t>
      </w:r>
      <w:r>
        <w:rPr>
          <w:rFonts w:ascii="Times New Roman" w:hAnsi="Times New Roman"/>
          <w:sz w:val="24"/>
          <w:szCs w:val="24"/>
        </w:rPr>
        <w:t xml:space="preserve">, Vol. 17, No. 1, pp.: 155-176. </w:t>
      </w:r>
    </w:p>
    <w:p w:rsidR="00821514" w:rsidRPr="007D6978" w:rsidRDefault="00821514" w:rsidP="00821514">
      <w:pPr>
        <w:spacing w:before="120" w:after="120" w:line="360" w:lineRule="auto"/>
        <w:ind w:left="426" w:hanging="426"/>
        <w:jc w:val="both"/>
        <w:rPr>
          <w:rFonts w:ascii="Times New Roman" w:hAnsi="Times New Roman"/>
          <w:sz w:val="24"/>
          <w:szCs w:val="24"/>
        </w:rPr>
      </w:pPr>
      <w:proofErr w:type="spellStart"/>
      <w:r w:rsidRPr="007D6978">
        <w:rPr>
          <w:rFonts w:ascii="Times New Roman" w:hAnsi="Times New Roman"/>
          <w:sz w:val="24"/>
          <w:szCs w:val="24"/>
        </w:rPr>
        <w:t>Longstaff</w:t>
      </w:r>
      <w:proofErr w:type="spellEnd"/>
      <w:r w:rsidRPr="007D6978">
        <w:rPr>
          <w:rFonts w:ascii="Times New Roman" w:hAnsi="Times New Roman"/>
          <w:sz w:val="24"/>
          <w:szCs w:val="24"/>
        </w:rPr>
        <w:t>, F.A. (2004)</w:t>
      </w:r>
      <w:r>
        <w:rPr>
          <w:rFonts w:ascii="Times New Roman" w:hAnsi="Times New Roman"/>
          <w:sz w:val="24"/>
          <w:szCs w:val="24"/>
        </w:rPr>
        <w:t>.</w:t>
      </w:r>
      <w:r w:rsidRPr="007D6978">
        <w:rPr>
          <w:rFonts w:ascii="Times New Roman" w:hAnsi="Times New Roman"/>
          <w:sz w:val="24"/>
          <w:szCs w:val="24"/>
        </w:rPr>
        <w:t xml:space="preserve"> The flight-to-liquidity premium in U.S. </w:t>
      </w:r>
      <w:proofErr w:type="gramStart"/>
      <w:r w:rsidRPr="007D6978">
        <w:rPr>
          <w:rFonts w:ascii="Times New Roman" w:hAnsi="Times New Roman"/>
          <w:sz w:val="24"/>
          <w:szCs w:val="24"/>
        </w:rPr>
        <w:t>treasury</w:t>
      </w:r>
      <w:proofErr w:type="gramEnd"/>
      <w:r w:rsidRPr="007D6978">
        <w:rPr>
          <w:rFonts w:ascii="Times New Roman" w:hAnsi="Times New Roman"/>
          <w:sz w:val="24"/>
          <w:szCs w:val="24"/>
        </w:rPr>
        <w:t xml:space="preserve"> bond prices</w:t>
      </w:r>
      <w:r>
        <w:rPr>
          <w:rFonts w:ascii="Times New Roman" w:hAnsi="Times New Roman"/>
          <w:sz w:val="24"/>
          <w:szCs w:val="24"/>
        </w:rPr>
        <w:t>,</w:t>
      </w:r>
      <w:r w:rsidRPr="007D6978">
        <w:rPr>
          <w:rFonts w:ascii="Times New Roman" w:hAnsi="Times New Roman"/>
          <w:sz w:val="24"/>
          <w:szCs w:val="24"/>
        </w:rPr>
        <w:t xml:space="preserve"> </w:t>
      </w:r>
      <w:r w:rsidRPr="007D6978">
        <w:rPr>
          <w:rFonts w:ascii="Times New Roman" w:hAnsi="Times New Roman"/>
          <w:i/>
          <w:sz w:val="24"/>
          <w:szCs w:val="24"/>
        </w:rPr>
        <w:t>Journal of Business</w:t>
      </w:r>
      <w:r>
        <w:rPr>
          <w:rFonts w:ascii="Times New Roman" w:hAnsi="Times New Roman"/>
          <w:i/>
          <w:sz w:val="24"/>
          <w:szCs w:val="24"/>
        </w:rPr>
        <w:t>,</w:t>
      </w:r>
      <w:r w:rsidRPr="007D6978">
        <w:rPr>
          <w:rFonts w:ascii="Times New Roman" w:hAnsi="Times New Roman"/>
          <w:sz w:val="24"/>
          <w:szCs w:val="24"/>
        </w:rPr>
        <w:t xml:space="preserve"> </w:t>
      </w:r>
      <w:r>
        <w:rPr>
          <w:rFonts w:ascii="Times New Roman" w:hAnsi="Times New Roman"/>
          <w:sz w:val="24"/>
          <w:szCs w:val="24"/>
        </w:rPr>
        <w:t>V</w:t>
      </w:r>
      <w:r w:rsidRPr="007D6978">
        <w:rPr>
          <w:rFonts w:ascii="Times New Roman" w:hAnsi="Times New Roman"/>
          <w:sz w:val="24"/>
          <w:szCs w:val="24"/>
        </w:rPr>
        <w:t>ol.</w:t>
      </w:r>
      <w:r>
        <w:rPr>
          <w:rFonts w:ascii="Times New Roman" w:hAnsi="Times New Roman"/>
          <w:sz w:val="24"/>
          <w:szCs w:val="24"/>
        </w:rPr>
        <w:t xml:space="preserve"> 77,</w:t>
      </w:r>
      <w:r w:rsidRPr="007D6978">
        <w:rPr>
          <w:rFonts w:ascii="Times New Roman" w:hAnsi="Times New Roman"/>
          <w:sz w:val="24"/>
          <w:szCs w:val="24"/>
        </w:rPr>
        <w:t xml:space="preserve"> </w:t>
      </w:r>
      <w:r>
        <w:rPr>
          <w:rFonts w:ascii="Times New Roman" w:hAnsi="Times New Roman"/>
          <w:sz w:val="24"/>
          <w:szCs w:val="24"/>
        </w:rPr>
        <w:t>No.3, pp.</w:t>
      </w:r>
      <w:r w:rsidRPr="007D6978">
        <w:rPr>
          <w:rFonts w:ascii="Times New Roman" w:hAnsi="Times New Roman"/>
          <w:sz w:val="24"/>
          <w:szCs w:val="24"/>
        </w:rPr>
        <w:t xml:space="preserve">: 511-526. </w:t>
      </w:r>
    </w:p>
    <w:p w:rsidR="00821514" w:rsidRPr="00FE6B1D" w:rsidRDefault="00821514" w:rsidP="00821514">
      <w:pPr>
        <w:spacing w:before="120" w:after="120" w:line="360" w:lineRule="auto"/>
        <w:ind w:left="426" w:hanging="426"/>
        <w:jc w:val="both"/>
        <w:rPr>
          <w:rFonts w:ascii="Times New Roman" w:hAnsi="Times New Roman"/>
          <w:sz w:val="24"/>
          <w:szCs w:val="24"/>
        </w:rPr>
      </w:pPr>
      <w:r w:rsidRPr="00650EE4">
        <w:rPr>
          <w:rFonts w:ascii="Times New Roman" w:hAnsi="Times New Roman"/>
          <w:sz w:val="24"/>
          <w:szCs w:val="24"/>
          <w:lang w:val="pl-PL"/>
        </w:rPr>
        <w:t xml:space="preserve">Markwat, T., Kole, E., Dijk, D.V. (2009). </w:t>
      </w:r>
      <w:r w:rsidRPr="00FE6B1D">
        <w:rPr>
          <w:rFonts w:ascii="Times New Roman" w:hAnsi="Times New Roman"/>
          <w:sz w:val="24"/>
          <w:szCs w:val="24"/>
        </w:rPr>
        <w:t>Contagion as a domino effect in global stock markets</w:t>
      </w:r>
      <w:r>
        <w:rPr>
          <w:rFonts w:ascii="Times New Roman" w:hAnsi="Times New Roman"/>
          <w:sz w:val="24"/>
          <w:szCs w:val="24"/>
        </w:rPr>
        <w:t>,</w:t>
      </w:r>
      <w:r w:rsidRPr="00FE6B1D">
        <w:rPr>
          <w:rFonts w:ascii="Times New Roman" w:hAnsi="Times New Roman"/>
          <w:sz w:val="24"/>
          <w:szCs w:val="24"/>
        </w:rPr>
        <w:t xml:space="preserve"> </w:t>
      </w:r>
      <w:r w:rsidRPr="00FE6B1D">
        <w:rPr>
          <w:rFonts w:ascii="Times New Roman" w:hAnsi="Times New Roman"/>
          <w:i/>
          <w:sz w:val="24"/>
          <w:szCs w:val="24"/>
        </w:rPr>
        <w:t>Journal of Banking and Finance</w:t>
      </w:r>
      <w:r>
        <w:rPr>
          <w:rFonts w:ascii="Times New Roman" w:hAnsi="Times New Roman"/>
          <w:sz w:val="24"/>
          <w:szCs w:val="24"/>
        </w:rPr>
        <w:t>, Vol. 33, No. 11, pp.</w:t>
      </w:r>
      <w:r w:rsidRPr="00FE6B1D">
        <w:rPr>
          <w:rFonts w:ascii="Times New Roman" w:hAnsi="Times New Roman"/>
          <w:sz w:val="24"/>
          <w:szCs w:val="24"/>
        </w:rPr>
        <w:t xml:space="preserve">: 1996-2012.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McKinsey Global Institute (2012).</w:t>
      </w:r>
      <w:proofErr w:type="gramEnd"/>
      <w:r>
        <w:rPr>
          <w:rFonts w:ascii="Times New Roman" w:hAnsi="Times New Roman"/>
          <w:sz w:val="24"/>
          <w:szCs w:val="24"/>
        </w:rPr>
        <w:t xml:space="preserve"> </w:t>
      </w:r>
      <w:r w:rsidRPr="004411F0">
        <w:rPr>
          <w:rFonts w:ascii="Times New Roman" w:hAnsi="Times New Roman"/>
          <w:i/>
          <w:sz w:val="24"/>
          <w:szCs w:val="24"/>
        </w:rPr>
        <w:t>Debt and deleveraging: uneven progress on the path of growth</w:t>
      </w:r>
      <w:r>
        <w:rPr>
          <w:rFonts w:ascii="Times New Roman" w:hAnsi="Times New Roman"/>
          <w:i/>
          <w:sz w:val="24"/>
          <w:szCs w:val="24"/>
        </w:rPr>
        <w:t>,</w:t>
      </w:r>
      <w:r>
        <w:rPr>
          <w:rFonts w:ascii="Times New Roman" w:hAnsi="Times New Roman"/>
          <w:sz w:val="24"/>
          <w:szCs w:val="24"/>
        </w:rPr>
        <w:t xml:space="preserve"> available online: </w:t>
      </w:r>
      <w:hyperlink r:id="rId10" w:history="1">
        <w:r w:rsidRPr="00CC1BAA">
          <w:rPr>
            <w:rStyle w:val="Hyperlink"/>
            <w:rFonts w:ascii="Times New Roman" w:hAnsi="Times New Roman"/>
            <w:sz w:val="24"/>
            <w:szCs w:val="24"/>
          </w:rPr>
          <w:t>http://www.mckinsey.com</w:t>
        </w:r>
      </w:hyperlink>
    </w:p>
    <w:p w:rsidR="00821514" w:rsidRDefault="00821514" w:rsidP="00821514">
      <w:pPr>
        <w:spacing w:before="120" w:after="120" w:line="360" w:lineRule="auto"/>
        <w:ind w:left="426" w:hanging="426"/>
        <w:jc w:val="both"/>
        <w:rPr>
          <w:rFonts w:ascii="Times New Roman" w:hAnsi="Times New Roman"/>
          <w:sz w:val="24"/>
          <w:szCs w:val="24"/>
        </w:rPr>
      </w:pPr>
      <w:proofErr w:type="gramStart"/>
      <w:r>
        <w:rPr>
          <w:rFonts w:ascii="Times New Roman" w:hAnsi="Times New Roman"/>
          <w:sz w:val="24"/>
          <w:szCs w:val="24"/>
        </w:rPr>
        <w:t>McKinsey Global Institute (2010).</w:t>
      </w:r>
      <w:proofErr w:type="gramEnd"/>
      <w:r>
        <w:rPr>
          <w:rFonts w:ascii="Times New Roman" w:hAnsi="Times New Roman"/>
          <w:sz w:val="24"/>
          <w:szCs w:val="24"/>
        </w:rPr>
        <w:t xml:space="preserve"> </w:t>
      </w:r>
      <w:r w:rsidRPr="002172BC">
        <w:rPr>
          <w:rFonts w:ascii="Times New Roman" w:hAnsi="Times New Roman"/>
          <w:i/>
          <w:sz w:val="24"/>
          <w:szCs w:val="24"/>
        </w:rPr>
        <w:t>Debt and deleveraging: the global credit bubble and its economic consequences</w:t>
      </w:r>
      <w:r>
        <w:rPr>
          <w:rFonts w:ascii="Times New Roman" w:hAnsi="Times New Roman"/>
          <w:i/>
          <w:sz w:val="24"/>
          <w:szCs w:val="24"/>
        </w:rPr>
        <w:t>,</w:t>
      </w:r>
      <w:r>
        <w:rPr>
          <w:rFonts w:ascii="Times New Roman" w:hAnsi="Times New Roman"/>
          <w:sz w:val="24"/>
          <w:szCs w:val="24"/>
        </w:rPr>
        <w:t xml:space="preserve"> available online: </w:t>
      </w:r>
      <w:hyperlink r:id="rId11" w:history="1">
        <w:r w:rsidRPr="008A3312">
          <w:rPr>
            <w:rStyle w:val="Hyperlink"/>
            <w:rFonts w:ascii="Times New Roman" w:hAnsi="Times New Roman"/>
            <w:sz w:val="24"/>
            <w:szCs w:val="24"/>
          </w:rPr>
          <w:t>http://www.mckinsey.com</w:t>
        </w:r>
      </w:hyperlink>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Nandha</w:t>
      </w:r>
      <w:proofErr w:type="spellEnd"/>
      <w:r>
        <w:rPr>
          <w:rFonts w:ascii="Times New Roman" w:hAnsi="Times New Roman"/>
          <w:sz w:val="24"/>
          <w:szCs w:val="24"/>
        </w:rPr>
        <w:t>, M., and Faff, R. (2008).</w:t>
      </w:r>
      <w:proofErr w:type="gramEnd"/>
      <w:r>
        <w:rPr>
          <w:rFonts w:ascii="Times New Roman" w:hAnsi="Times New Roman"/>
          <w:sz w:val="24"/>
          <w:szCs w:val="24"/>
        </w:rPr>
        <w:t xml:space="preserve"> Does oil move equity prices? A global view, </w:t>
      </w:r>
      <w:r w:rsidRPr="00FA7126">
        <w:rPr>
          <w:rFonts w:ascii="Times New Roman" w:hAnsi="Times New Roman"/>
          <w:i/>
          <w:sz w:val="24"/>
          <w:szCs w:val="24"/>
        </w:rPr>
        <w:t>Energy Economics</w:t>
      </w:r>
      <w:r>
        <w:rPr>
          <w:rFonts w:ascii="Times New Roman" w:hAnsi="Times New Roman"/>
          <w:sz w:val="24"/>
          <w:szCs w:val="24"/>
        </w:rPr>
        <w:t xml:space="preserve">, Vol. 30, No. 3, pp.: 986-997. </w:t>
      </w:r>
    </w:p>
    <w:p w:rsidR="00821514" w:rsidRDefault="00821514" w:rsidP="00821514">
      <w:pPr>
        <w:spacing w:before="120" w:after="120" w:line="360" w:lineRule="auto"/>
        <w:ind w:left="426" w:hanging="426"/>
        <w:jc w:val="both"/>
        <w:rPr>
          <w:rFonts w:ascii="Times New Roman" w:hAnsi="Times New Roman"/>
          <w:sz w:val="24"/>
          <w:szCs w:val="24"/>
        </w:rPr>
      </w:pPr>
      <w:proofErr w:type="gramStart"/>
      <w:r w:rsidRPr="000D068F">
        <w:rPr>
          <w:rFonts w:ascii="Times New Roman" w:hAnsi="Times New Roman"/>
          <w:sz w:val="24"/>
          <w:szCs w:val="24"/>
        </w:rPr>
        <w:t>Nordhaus, W. D. (2002)</w:t>
      </w:r>
      <w:r>
        <w:rPr>
          <w:rFonts w:ascii="Times New Roman" w:hAnsi="Times New Roman"/>
          <w:sz w:val="24"/>
          <w:szCs w:val="24"/>
        </w:rPr>
        <w:t>.</w:t>
      </w:r>
      <w:proofErr w:type="gramEnd"/>
      <w:r w:rsidRPr="000D068F">
        <w:rPr>
          <w:rFonts w:ascii="Times New Roman" w:hAnsi="Times New Roman"/>
          <w:sz w:val="24"/>
          <w:szCs w:val="24"/>
        </w:rPr>
        <w:t xml:space="preserve"> The </w:t>
      </w:r>
      <w:r>
        <w:rPr>
          <w:rFonts w:ascii="Times New Roman" w:hAnsi="Times New Roman"/>
          <w:sz w:val="24"/>
          <w:szCs w:val="24"/>
        </w:rPr>
        <w:t>e</w:t>
      </w:r>
      <w:r w:rsidRPr="000D068F">
        <w:rPr>
          <w:rFonts w:ascii="Times New Roman" w:hAnsi="Times New Roman"/>
          <w:sz w:val="24"/>
          <w:szCs w:val="24"/>
        </w:rPr>
        <w:t xml:space="preserve">conomic </w:t>
      </w:r>
      <w:r>
        <w:rPr>
          <w:rFonts w:ascii="Times New Roman" w:hAnsi="Times New Roman"/>
          <w:sz w:val="24"/>
          <w:szCs w:val="24"/>
        </w:rPr>
        <w:t>c</w:t>
      </w:r>
      <w:r w:rsidRPr="000D068F">
        <w:rPr>
          <w:rFonts w:ascii="Times New Roman" w:hAnsi="Times New Roman"/>
          <w:sz w:val="24"/>
          <w:szCs w:val="24"/>
        </w:rPr>
        <w:t xml:space="preserve">onsequences of a </w:t>
      </w:r>
      <w:r>
        <w:rPr>
          <w:rFonts w:ascii="Times New Roman" w:hAnsi="Times New Roman"/>
          <w:sz w:val="24"/>
          <w:szCs w:val="24"/>
        </w:rPr>
        <w:t>w</w:t>
      </w:r>
      <w:r w:rsidRPr="000D068F">
        <w:rPr>
          <w:rFonts w:ascii="Times New Roman" w:hAnsi="Times New Roman"/>
          <w:sz w:val="24"/>
          <w:szCs w:val="24"/>
        </w:rPr>
        <w:t xml:space="preserve">ar with Iraq” In: </w:t>
      </w:r>
      <w:proofErr w:type="spellStart"/>
      <w:r w:rsidRPr="000D068F">
        <w:rPr>
          <w:rFonts w:ascii="Times New Roman" w:hAnsi="Times New Roman"/>
          <w:sz w:val="24"/>
          <w:szCs w:val="24"/>
        </w:rPr>
        <w:t>Kaysen</w:t>
      </w:r>
      <w:proofErr w:type="spellEnd"/>
      <w:r w:rsidRPr="000D068F">
        <w:rPr>
          <w:rFonts w:ascii="Times New Roman" w:hAnsi="Times New Roman"/>
          <w:sz w:val="24"/>
          <w:szCs w:val="24"/>
        </w:rPr>
        <w:t xml:space="preserve">, K., Miller, S.E., </w:t>
      </w:r>
      <w:proofErr w:type="spellStart"/>
      <w:r w:rsidRPr="000D068F">
        <w:rPr>
          <w:rFonts w:ascii="Times New Roman" w:hAnsi="Times New Roman"/>
          <w:sz w:val="24"/>
          <w:szCs w:val="24"/>
        </w:rPr>
        <w:t>Malin</w:t>
      </w:r>
      <w:proofErr w:type="spellEnd"/>
      <w:r w:rsidRPr="000D068F">
        <w:rPr>
          <w:rFonts w:ascii="Times New Roman" w:hAnsi="Times New Roman"/>
          <w:sz w:val="24"/>
          <w:szCs w:val="24"/>
        </w:rPr>
        <w:t xml:space="preserve">, M.B., </w:t>
      </w:r>
      <w:proofErr w:type="spellStart"/>
      <w:r w:rsidRPr="000D068F">
        <w:rPr>
          <w:rFonts w:ascii="Times New Roman" w:hAnsi="Times New Roman"/>
          <w:sz w:val="24"/>
          <w:szCs w:val="24"/>
        </w:rPr>
        <w:t>Nordhaus</w:t>
      </w:r>
      <w:proofErr w:type="spellEnd"/>
      <w:r w:rsidRPr="000D068F">
        <w:rPr>
          <w:rFonts w:ascii="Times New Roman" w:hAnsi="Times New Roman"/>
          <w:sz w:val="24"/>
          <w:szCs w:val="24"/>
        </w:rPr>
        <w:t xml:space="preserve">, W.D., and </w:t>
      </w:r>
      <w:proofErr w:type="spellStart"/>
      <w:r w:rsidRPr="000D068F">
        <w:rPr>
          <w:rFonts w:ascii="Times New Roman" w:hAnsi="Times New Roman"/>
          <w:sz w:val="24"/>
          <w:szCs w:val="24"/>
        </w:rPr>
        <w:t>Steinbruner</w:t>
      </w:r>
      <w:proofErr w:type="spellEnd"/>
      <w:r w:rsidRPr="000D068F">
        <w:rPr>
          <w:rFonts w:ascii="Times New Roman" w:hAnsi="Times New Roman"/>
          <w:sz w:val="24"/>
          <w:szCs w:val="24"/>
        </w:rPr>
        <w:t xml:space="preserve">, J.D., eds., War with Iraq: Costs, </w:t>
      </w:r>
      <w:r>
        <w:rPr>
          <w:rFonts w:ascii="Times New Roman" w:hAnsi="Times New Roman"/>
          <w:sz w:val="24"/>
          <w:szCs w:val="24"/>
        </w:rPr>
        <w:t>c</w:t>
      </w:r>
      <w:r w:rsidRPr="000D068F">
        <w:rPr>
          <w:rFonts w:ascii="Times New Roman" w:hAnsi="Times New Roman"/>
          <w:sz w:val="24"/>
          <w:szCs w:val="24"/>
        </w:rPr>
        <w:t xml:space="preserve">onsequences, and </w:t>
      </w:r>
      <w:r>
        <w:rPr>
          <w:rFonts w:ascii="Times New Roman" w:hAnsi="Times New Roman"/>
          <w:sz w:val="24"/>
          <w:szCs w:val="24"/>
        </w:rPr>
        <w:t>a</w:t>
      </w:r>
      <w:r w:rsidRPr="000D068F">
        <w:rPr>
          <w:rFonts w:ascii="Times New Roman" w:hAnsi="Times New Roman"/>
          <w:sz w:val="24"/>
          <w:szCs w:val="24"/>
        </w:rPr>
        <w:t>lternatives, American Academy of Arts &amp; Sciences, Cambridge, MA.</w:t>
      </w:r>
      <w:r>
        <w:rPr>
          <w:rFonts w:ascii="Times New Roman" w:hAnsi="Times New Roman"/>
          <w:sz w:val="24"/>
          <w:szCs w:val="24"/>
        </w:rPr>
        <w:t xml:space="preserve">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r w:rsidRPr="00223234">
        <w:rPr>
          <w:rFonts w:ascii="Times New Roman" w:hAnsi="Times New Roman"/>
          <w:sz w:val="24"/>
          <w:szCs w:val="24"/>
        </w:rPr>
        <w:t>Oosterlinck</w:t>
      </w:r>
      <w:proofErr w:type="spellEnd"/>
      <w:r w:rsidRPr="00223234">
        <w:rPr>
          <w:rFonts w:ascii="Times New Roman" w:hAnsi="Times New Roman"/>
          <w:sz w:val="24"/>
          <w:szCs w:val="24"/>
        </w:rPr>
        <w:t>, K. (2003)</w:t>
      </w:r>
      <w:r>
        <w:rPr>
          <w:rFonts w:ascii="Times New Roman" w:hAnsi="Times New Roman"/>
          <w:sz w:val="24"/>
          <w:szCs w:val="24"/>
        </w:rPr>
        <w:t>.</w:t>
      </w:r>
      <w:r w:rsidRPr="00223234">
        <w:rPr>
          <w:rFonts w:ascii="Times New Roman" w:hAnsi="Times New Roman"/>
          <w:sz w:val="24"/>
          <w:szCs w:val="24"/>
        </w:rPr>
        <w:t xml:space="preserve"> The bond market and the legitimacy of Vichy France</w:t>
      </w:r>
      <w:r>
        <w:rPr>
          <w:rFonts w:ascii="Times New Roman" w:hAnsi="Times New Roman"/>
          <w:sz w:val="24"/>
          <w:szCs w:val="24"/>
        </w:rPr>
        <w:t>,</w:t>
      </w:r>
      <w:r w:rsidRPr="00223234">
        <w:rPr>
          <w:rFonts w:ascii="Times New Roman" w:hAnsi="Times New Roman"/>
          <w:sz w:val="24"/>
          <w:szCs w:val="24"/>
        </w:rPr>
        <w:t xml:space="preserve"> </w:t>
      </w:r>
      <w:r w:rsidRPr="00223234">
        <w:rPr>
          <w:rFonts w:ascii="Times New Roman" w:hAnsi="Times New Roman"/>
          <w:i/>
          <w:sz w:val="24"/>
          <w:szCs w:val="24"/>
        </w:rPr>
        <w:t>Explorations in Economic History</w:t>
      </w:r>
      <w:r w:rsidRPr="00223234">
        <w:rPr>
          <w:rFonts w:ascii="Times New Roman" w:hAnsi="Times New Roman"/>
          <w:sz w:val="24"/>
          <w:szCs w:val="24"/>
        </w:rPr>
        <w:t xml:space="preserve"> </w:t>
      </w:r>
      <w:r>
        <w:rPr>
          <w:rFonts w:ascii="Times New Roman" w:hAnsi="Times New Roman"/>
          <w:sz w:val="24"/>
          <w:szCs w:val="24"/>
        </w:rPr>
        <w:t xml:space="preserve">Vol. </w:t>
      </w:r>
      <w:r w:rsidRPr="00223234">
        <w:rPr>
          <w:rFonts w:ascii="Times New Roman" w:hAnsi="Times New Roman"/>
          <w:sz w:val="24"/>
          <w:szCs w:val="24"/>
        </w:rPr>
        <w:t>40</w:t>
      </w:r>
      <w:r>
        <w:rPr>
          <w:rFonts w:ascii="Times New Roman" w:hAnsi="Times New Roman"/>
          <w:sz w:val="24"/>
          <w:szCs w:val="24"/>
        </w:rPr>
        <w:t>,</w:t>
      </w:r>
      <w:r w:rsidRPr="00223234">
        <w:rPr>
          <w:rFonts w:ascii="Times New Roman" w:hAnsi="Times New Roman"/>
          <w:sz w:val="24"/>
          <w:szCs w:val="24"/>
        </w:rPr>
        <w:t xml:space="preserve"> </w:t>
      </w:r>
      <w:r>
        <w:rPr>
          <w:rFonts w:ascii="Times New Roman" w:hAnsi="Times New Roman"/>
          <w:sz w:val="24"/>
          <w:szCs w:val="24"/>
        </w:rPr>
        <w:t xml:space="preserve">No. 3, </w:t>
      </w:r>
      <w:r w:rsidRPr="00223234">
        <w:rPr>
          <w:rFonts w:ascii="Times New Roman" w:hAnsi="Times New Roman"/>
          <w:sz w:val="24"/>
          <w:szCs w:val="24"/>
        </w:rPr>
        <w:t xml:space="preserve">pp.: 326-344. </w:t>
      </w:r>
    </w:p>
    <w:p w:rsidR="00821514" w:rsidRPr="00223234" w:rsidRDefault="00821514" w:rsidP="00821514">
      <w:pPr>
        <w:spacing w:before="120" w:after="120" w:line="360" w:lineRule="auto"/>
        <w:ind w:left="426" w:hanging="426"/>
        <w:jc w:val="both"/>
        <w:rPr>
          <w:rFonts w:ascii="Times New Roman" w:hAnsi="Times New Roman"/>
          <w:sz w:val="24"/>
          <w:szCs w:val="24"/>
        </w:rPr>
      </w:pPr>
      <w:r>
        <w:rPr>
          <w:rFonts w:ascii="Times New Roman" w:hAnsi="Times New Roman"/>
          <w:sz w:val="24"/>
          <w:szCs w:val="24"/>
        </w:rPr>
        <w:t xml:space="preserve">Peterson, S.P. (2012). </w:t>
      </w:r>
      <w:proofErr w:type="gramStart"/>
      <w:r w:rsidRPr="00625760">
        <w:rPr>
          <w:rFonts w:ascii="Times New Roman" w:hAnsi="Times New Roman"/>
          <w:i/>
          <w:sz w:val="24"/>
          <w:szCs w:val="24"/>
        </w:rPr>
        <w:t>Investment theory and risk management</w:t>
      </w:r>
      <w:r>
        <w:rPr>
          <w:rFonts w:ascii="Times New Roman" w:hAnsi="Times New Roman"/>
          <w:sz w:val="24"/>
          <w:szCs w:val="24"/>
        </w:rPr>
        <w:t>.</w:t>
      </w:r>
      <w:proofErr w:type="gramEnd"/>
      <w:r>
        <w:rPr>
          <w:rFonts w:ascii="Times New Roman" w:hAnsi="Times New Roman"/>
          <w:sz w:val="24"/>
          <w:szCs w:val="24"/>
        </w:rPr>
        <w:t xml:space="preserve"> John Wiley and Sons, Inc., New Jersey.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Pr>
          <w:rFonts w:ascii="Times New Roman" w:hAnsi="Times New Roman"/>
          <w:sz w:val="24"/>
          <w:szCs w:val="24"/>
        </w:rPr>
        <w:t>Rigobon</w:t>
      </w:r>
      <w:proofErr w:type="spellEnd"/>
      <w:r>
        <w:rPr>
          <w:rFonts w:ascii="Times New Roman" w:hAnsi="Times New Roman"/>
          <w:sz w:val="24"/>
          <w:szCs w:val="24"/>
        </w:rPr>
        <w:t>, R., and Sack, B. (2005).</w:t>
      </w:r>
      <w:proofErr w:type="gramEnd"/>
      <w:r>
        <w:rPr>
          <w:rFonts w:ascii="Times New Roman" w:hAnsi="Times New Roman"/>
          <w:sz w:val="24"/>
          <w:szCs w:val="24"/>
        </w:rPr>
        <w:t xml:space="preserve"> The effects of war risk on US financial markets, </w:t>
      </w:r>
      <w:r w:rsidRPr="00FA7126">
        <w:rPr>
          <w:rFonts w:ascii="Times New Roman" w:hAnsi="Times New Roman"/>
          <w:i/>
          <w:sz w:val="24"/>
          <w:szCs w:val="24"/>
        </w:rPr>
        <w:t>Journal of Banking and Finance</w:t>
      </w:r>
      <w:r>
        <w:rPr>
          <w:rFonts w:ascii="Times New Roman" w:hAnsi="Times New Roman"/>
          <w:i/>
          <w:sz w:val="24"/>
          <w:szCs w:val="24"/>
        </w:rPr>
        <w:t xml:space="preserve">, </w:t>
      </w:r>
      <w:r>
        <w:rPr>
          <w:rFonts w:ascii="Times New Roman" w:hAnsi="Times New Roman"/>
          <w:sz w:val="24"/>
          <w:szCs w:val="24"/>
        </w:rPr>
        <w:t xml:space="preserve">Vol. 29, No. 7, pp.: 1769-1789.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r>
        <w:rPr>
          <w:rFonts w:ascii="Times New Roman" w:hAnsi="Times New Roman"/>
          <w:sz w:val="24"/>
          <w:szCs w:val="24"/>
        </w:rPr>
        <w:t>Sadorsky</w:t>
      </w:r>
      <w:proofErr w:type="spellEnd"/>
      <w:r>
        <w:rPr>
          <w:rFonts w:ascii="Times New Roman" w:hAnsi="Times New Roman"/>
          <w:sz w:val="24"/>
          <w:szCs w:val="24"/>
        </w:rPr>
        <w:t xml:space="preserve">, P. (1999). Oil price shocks and stock market activity, </w:t>
      </w:r>
      <w:r w:rsidRPr="009B43E7">
        <w:rPr>
          <w:rFonts w:ascii="Times New Roman" w:hAnsi="Times New Roman"/>
          <w:i/>
          <w:sz w:val="24"/>
          <w:szCs w:val="24"/>
        </w:rPr>
        <w:t>Energy Economics</w:t>
      </w:r>
      <w:r>
        <w:rPr>
          <w:rFonts w:ascii="Times New Roman" w:hAnsi="Times New Roman"/>
          <w:sz w:val="24"/>
          <w:szCs w:val="24"/>
        </w:rPr>
        <w:t xml:space="preserve">, Vol. 21, No. 5, pp.: 449-469.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0D068F">
        <w:rPr>
          <w:rFonts w:ascii="Times New Roman" w:hAnsi="Times New Roman"/>
          <w:sz w:val="24"/>
          <w:szCs w:val="24"/>
        </w:rPr>
        <w:t>Saporta</w:t>
      </w:r>
      <w:proofErr w:type="spellEnd"/>
      <w:r w:rsidRPr="000D068F">
        <w:rPr>
          <w:rFonts w:ascii="Times New Roman" w:hAnsi="Times New Roman"/>
          <w:sz w:val="24"/>
          <w:szCs w:val="24"/>
        </w:rPr>
        <w:t xml:space="preserve">, V., </w:t>
      </w:r>
      <w:proofErr w:type="spellStart"/>
      <w:r w:rsidRPr="000D068F">
        <w:rPr>
          <w:rFonts w:ascii="Times New Roman" w:hAnsi="Times New Roman"/>
          <w:sz w:val="24"/>
          <w:szCs w:val="24"/>
        </w:rPr>
        <w:t>Trott</w:t>
      </w:r>
      <w:proofErr w:type="spellEnd"/>
      <w:r w:rsidRPr="000D068F">
        <w:rPr>
          <w:rFonts w:ascii="Times New Roman" w:hAnsi="Times New Roman"/>
          <w:sz w:val="24"/>
          <w:szCs w:val="24"/>
        </w:rPr>
        <w:t xml:space="preserve">, M., and </w:t>
      </w:r>
      <w:proofErr w:type="spellStart"/>
      <w:r w:rsidRPr="000D068F">
        <w:rPr>
          <w:rFonts w:ascii="Times New Roman" w:hAnsi="Times New Roman"/>
          <w:sz w:val="24"/>
          <w:szCs w:val="24"/>
        </w:rPr>
        <w:t>Tudela</w:t>
      </w:r>
      <w:proofErr w:type="spellEnd"/>
      <w:r w:rsidRPr="000D068F">
        <w:rPr>
          <w:rFonts w:ascii="Times New Roman" w:hAnsi="Times New Roman"/>
          <w:sz w:val="24"/>
          <w:szCs w:val="24"/>
        </w:rPr>
        <w:t>, M. (2009)</w:t>
      </w:r>
      <w:r>
        <w:rPr>
          <w:rFonts w:ascii="Times New Roman" w:hAnsi="Times New Roman"/>
          <w:sz w:val="24"/>
          <w:szCs w:val="24"/>
        </w:rPr>
        <w:t>.</w:t>
      </w:r>
      <w:proofErr w:type="gramEnd"/>
      <w:r w:rsidRPr="000D068F">
        <w:rPr>
          <w:rFonts w:ascii="Times New Roman" w:hAnsi="Times New Roman"/>
          <w:sz w:val="24"/>
          <w:szCs w:val="24"/>
        </w:rPr>
        <w:t xml:space="preserve"> What can be said about the rise and fall of oil prices</w:t>
      </w:r>
      <w:proofErr w:type="gramStart"/>
      <w:r w:rsidRPr="000D068F">
        <w:rPr>
          <w:rFonts w:ascii="Times New Roman" w:hAnsi="Times New Roman"/>
          <w:sz w:val="24"/>
          <w:szCs w:val="24"/>
        </w:rPr>
        <w:t>?</w:t>
      </w:r>
      <w:r>
        <w:rPr>
          <w:rFonts w:ascii="Times New Roman" w:hAnsi="Times New Roman"/>
          <w:sz w:val="24"/>
          <w:szCs w:val="24"/>
        </w:rPr>
        <w:t>,</w:t>
      </w:r>
      <w:proofErr w:type="gramEnd"/>
      <w:r w:rsidRPr="000D068F">
        <w:rPr>
          <w:rFonts w:ascii="Times New Roman" w:hAnsi="Times New Roman"/>
          <w:sz w:val="24"/>
          <w:szCs w:val="24"/>
        </w:rPr>
        <w:t xml:space="preserve"> </w:t>
      </w:r>
      <w:r w:rsidRPr="000D068F">
        <w:rPr>
          <w:rFonts w:ascii="Times New Roman" w:hAnsi="Times New Roman"/>
          <w:i/>
          <w:sz w:val="24"/>
          <w:szCs w:val="24"/>
        </w:rPr>
        <w:t>Bank of England Quarterly Bulletin</w:t>
      </w:r>
      <w:r>
        <w:rPr>
          <w:rFonts w:ascii="Times New Roman" w:hAnsi="Times New Roman"/>
          <w:sz w:val="24"/>
          <w:szCs w:val="24"/>
        </w:rPr>
        <w:t xml:space="preserve"> Vol. </w:t>
      </w:r>
      <w:r w:rsidRPr="000D068F">
        <w:rPr>
          <w:rFonts w:ascii="Times New Roman" w:hAnsi="Times New Roman"/>
          <w:sz w:val="24"/>
          <w:szCs w:val="24"/>
        </w:rPr>
        <w:t>49</w:t>
      </w:r>
      <w:r>
        <w:rPr>
          <w:rFonts w:ascii="Times New Roman" w:hAnsi="Times New Roman"/>
          <w:sz w:val="24"/>
          <w:szCs w:val="24"/>
        </w:rPr>
        <w:t>,</w:t>
      </w:r>
      <w:r w:rsidRPr="000D068F">
        <w:rPr>
          <w:rFonts w:ascii="Times New Roman" w:hAnsi="Times New Roman"/>
          <w:sz w:val="24"/>
          <w:szCs w:val="24"/>
        </w:rPr>
        <w:t xml:space="preserve"> No.3</w:t>
      </w:r>
      <w:r>
        <w:rPr>
          <w:rFonts w:ascii="Times New Roman" w:hAnsi="Times New Roman"/>
          <w:sz w:val="24"/>
          <w:szCs w:val="24"/>
        </w:rPr>
        <w:t>,</w:t>
      </w:r>
      <w:r w:rsidRPr="000D068F">
        <w:rPr>
          <w:rFonts w:ascii="Times New Roman" w:hAnsi="Times New Roman"/>
          <w:sz w:val="24"/>
          <w:szCs w:val="24"/>
        </w:rPr>
        <w:t xml:space="preserve"> pp.</w:t>
      </w:r>
      <w:r>
        <w:rPr>
          <w:rFonts w:ascii="Times New Roman" w:hAnsi="Times New Roman"/>
          <w:sz w:val="24"/>
          <w:szCs w:val="24"/>
        </w:rPr>
        <w:t>:</w:t>
      </w:r>
      <w:r w:rsidRPr="000D068F">
        <w:rPr>
          <w:rFonts w:ascii="Times New Roman" w:hAnsi="Times New Roman"/>
          <w:sz w:val="24"/>
          <w:szCs w:val="24"/>
        </w:rPr>
        <w:t xml:space="preserve"> 215-225.</w:t>
      </w:r>
    </w:p>
    <w:p w:rsidR="00821514" w:rsidRPr="00325EDA" w:rsidRDefault="00821514" w:rsidP="00821514">
      <w:pPr>
        <w:spacing w:before="120" w:after="120" w:line="360" w:lineRule="auto"/>
        <w:ind w:left="426" w:hanging="426"/>
        <w:jc w:val="both"/>
        <w:rPr>
          <w:rFonts w:ascii="Times New Roman" w:hAnsi="Times New Roman"/>
          <w:sz w:val="24"/>
          <w:szCs w:val="24"/>
        </w:rPr>
      </w:pPr>
      <w:r>
        <w:rPr>
          <w:rFonts w:ascii="Times New Roman" w:hAnsi="Times New Roman"/>
          <w:sz w:val="24"/>
          <w:szCs w:val="24"/>
        </w:rPr>
        <w:lastRenderedPageBreak/>
        <w:t xml:space="preserve">Schwarz, G. (1978). </w:t>
      </w:r>
      <w:proofErr w:type="gramStart"/>
      <w:r>
        <w:rPr>
          <w:rFonts w:ascii="Times New Roman" w:hAnsi="Times New Roman"/>
          <w:sz w:val="24"/>
          <w:szCs w:val="24"/>
        </w:rPr>
        <w:t xml:space="preserve">Estimating dimension of a model, </w:t>
      </w:r>
      <w:r>
        <w:rPr>
          <w:rFonts w:ascii="Times New Roman" w:hAnsi="Times New Roman"/>
          <w:i/>
          <w:sz w:val="24"/>
          <w:szCs w:val="24"/>
        </w:rPr>
        <w:t xml:space="preserve">Annals of Statistics, </w:t>
      </w:r>
      <w:r>
        <w:rPr>
          <w:rFonts w:ascii="Times New Roman" w:hAnsi="Times New Roman"/>
          <w:sz w:val="24"/>
          <w:szCs w:val="24"/>
        </w:rPr>
        <w:t>Vol. 6, No. 2, pp.: 461-464.</w:t>
      </w:r>
      <w:proofErr w:type="gramEnd"/>
      <w:r>
        <w:rPr>
          <w:rFonts w:ascii="Times New Roman" w:hAnsi="Times New Roman"/>
          <w:sz w:val="24"/>
          <w:szCs w:val="24"/>
        </w:rPr>
        <w:t xml:space="preserve"> </w:t>
      </w:r>
    </w:p>
    <w:p w:rsidR="00821514" w:rsidRPr="005C6703" w:rsidRDefault="00821514" w:rsidP="00821514">
      <w:pPr>
        <w:spacing w:before="120" w:after="120" w:line="360" w:lineRule="auto"/>
        <w:ind w:left="426" w:hanging="426"/>
        <w:jc w:val="both"/>
        <w:rPr>
          <w:rFonts w:ascii="Times New Roman" w:hAnsi="Times New Roman"/>
          <w:sz w:val="24"/>
          <w:szCs w:val="24"/>
        </w:rPr>
      </w:pPr>
      <w:r w:rsidRPr="005C6703">
        <w:rPr>
          <w:rFonts w:ascii="Times New Roman" w:hAnsi="Times New Roman"/>
          <w:sz w:val="24"/>
          <w:szCs w:val="24"/>
        </w:rPr>
        <w:t>Smith, J.L. (2009). World oil: Market and mayhem</w:t>
      </w:r>
      <w:proofErr w:type="gramStart"/>
      <w:r w:rsidRPr="005C6703">
        <w:rPr>
          <w:rFonts w:ascii="Times New Roman" w:hAnsi="Times New Roman"/>
          <w:sz w:val="24"/>
          <w:szCs w:val="24"/>
        </w:rPr>
        <w:t>?,</w:t>
      </w:r>
      <w:proofErr w:type="gramEnd"/>
      <w:r w:rsidRPr="005C6703">
        <w:rPr>
          <w:rFonts w:ascii="Times New Roman" w:hAnsi="Times New Roman"/>
          <w:sz w:val="24"/>
          <w:szCs w:val="24"/>
        </w:rPr>
        <w:t xml:space="preserve"> </w:t>
      </w:r>
      <w:r w:rsidRPr="005C6703">
        <w:rPr>
          <w:rFonts w:ascii="Times New Roman" w:hAnsi="Times New Roman"/>
          <w:i/>
          <w:sz w:val="24"/>
          <w:szCs w:val="24"/>
        </w:rPr>
        <w:t>Journal of Economic Perspectives</w:t>
      </w:r>
      <w:r w:rsidRPr="005C6703">
        <w:rPr>
          <w:rFonts w:ascii="Times New Roman" w:hAnsi="Times New Roman"/>
          <w:sz w:val="24"/>
          <w:szCs w:val="24"/>
        </w:rPr>
        <w:t xml:space="preserve">, Vol. 23, No. 3, pp.: 145-164. </w:t>
      </w:r>
    </w:p>
    <w:p w:rsidR="00821514" w:rsidRDefault="00821514" w:rsidP="00821514">
      <w:pPr>
        <w:spacing w:before="120" w:after="120" w:line="360" w:lineRule="auto"/>
        <w:ind w:left="426" w:hanging="426"/>
        <w:jc w:val="both"/>
        <w:rPr>
          <w:rFonts w:ascii="Times New Roman" w:hAnsi="Times New Roman"/>
          <w:sz w:val="24"/>
          <w:szCs w:val="24"/>
        </w:rPr>
      </w:pPr>
      <w:r w:rsidRPr="005C6703">
        <w:rPr>
          <w:rFonts w:ascii="Times New Roman" w:hAnsi="Times New Roman"/>
          <w:sz w:val="24"/>
          <w:szCs w:val="24"/>
        </w:rPr>
        <w:t xml:space="preserve">Stevens, P. (2005). Oil markets, </w:t>
      </w:r>
      <w:r w:rsidRPr="005C6703">
        <w:rPr>
          <w:rFonts w:ascii="Times New Roman" w:hAnsi="Times New Roman"/>
          <w:i/>
          <w:sz w:val="24"/>
          <w:szCs w:val="24"/>
        </w:rPr>
        <w:t xml:space="preserve">Oxford Review of Economic Policy </w:t>
      </w:r>
      <w:r w:rsidRPr="005C6703">
        <w:rPr>
          <w:rFonts w:ascii="Times New Roman" w:hAnsi="Times New Roman"/>
          <w:sz w:val="24"/>
          <w:szCs w:val="24"/>
        </w:rPr>
        <w:t>Vol. 21, No. 1, pp.: 19-42.</w:t>
      </w:r>
      <w:r>
        <w:rPr>
          <w:rFonts w:ascii="Times New Roman" w:hAnsi="Times New Roman"/>
          <w:sz w:val="24"/>
          <w:szCs w:val="24"/>
        </w:rPr>
        <w:t xml:space="preserve"> </w:t>
      </w:r>
    </w:p>
    <w:p w:rsidR="00821514" w:rsidRPr="00C17666" w:rsidRDefault="00821514" w:rsidP="00821514">
      <w:pPr>
        <w:spacing w:before="120" w:after="120" w:line="360" w:lineRule="auto"/>
        <w:ind w:left="426" w:hanging="426"/>
        <w:jc w:val="both"/>
        <w:rPr>
          <w:rFonts w:ascii="Times New Roman" w:hAnsi="Times New Roman"/>
          <w:sz w:val="24"/>
          <w:szCs w:val="24"/>
        </w:rPr>
      </w:pPr>
      <w:r w:rsidRPr="00C17666">
        <w:rPr>
          <w:rFonts w:ascii="Times New Roman" w:hAnsi="Times New Roman"/>
          <w:sz w:val="24"/>
          <w:szCs w:val="24"/>
        </w:rPr>
        <w:t>Stevenson, S. (2002)</w:t>
      </w:r>
      <w:r>
        <w:rPr>
          <w:rFonts w:ascii="Times New Roman" w:hAnsi="Times New Roman"/>
          <w:sz w:val="24"/>
          <w:szCs w:val="24"/>
        </w:rPr>
        <w:t>.</w:t>
      </w:r>
      <w:r w:rsidRPr="00C17666">
        <w:rPr>
          <w:rFonts w:ascii="Times New Roman" w:hAnsi="Times New Roman"/>
          <w:sz w:val="24"/>
          <w:szCs w:val="24"/>
        </w:rPr>
        <w:t xml:space="preserve"> The sensitivity of European bank stocks to German interest rates changes</w:t>
      </w:r>
      <w:r>
        <w:rPr>
          <w:rFonts w:ascii="Times New Roman" w:hAnsi="Times New Roman"/>
          <w:sz w:val="24"/>
          <w:szCs w:val="24"/>
        </w:rPr>
        <w:t>,</w:t>
      </w:r>
      <w:r w:rsidRPr="00C17666">
        <w:rPr>
          <w:rFonts w:ascii="Times New Roman" w:hAnsi="Times New Roman"/>
          <w:sz w:val="24"/>
          <w:szCs w:val="24"/>
        </w:rPr>
        <w:t xml:space="preserve"> </w:t>
      </w:r>
      <w:r w:rsidRPr="006F5C9D">
        <w:rPr>
          <w:rFonts w:ascii="Times New Roman" w:hAnsi="Times New Roman"/>
          <w:i/>
          <w:sz w:val="24"/>
          <w:szCs w:val="24"/>
        </w:rPr>
        <w:t>Multinational Finance Journal</w:t>
      </w:r>
      <w:r>
        <w:rPr>
          <w:rFonts w:ascii="Times New Roman" w:hAnsi="Times New Roman"/>
          <w:i/>
          <w:sz w:val="24"/>
          <w:szCs w:val="24"/>
        </w:rPr>
        <w:t>,</w:t>
      </w:r>
      <w:r>
        <w:rPr>
          <w:rFonts w:ascii="Times New Roman" w:hAnsi="Times New Roman"/>
          <w:sz w:val="24"/>
          <w:szCs w:val="24"/>
        </w:rPr>
        <w:t xml:space="preserve"> </w:t>
      </w:r>
      <w:r w:rsidRPr="00C17666">
        <w:rPr>
          <w:rFonts w:ascii="Times New Roman" w:hAnsi="Times New Roman"/>
          <w:sz w:val="24"/>
          <w:szCs w:val="24"/>
        </w:rPr>
        <w:t>Vol. 6, No.</w:t>
      </w:r>
      <w:r>
        <w:rPr>
          <w:rFonts w:ascii="Times New Roman" w:hAnsi="Times New Roman"/>
          <w:sz w:val="24"/>
          <w:szCs w:val="24"/>
        </w:rPr>
        <w:t xml:space="preserve"> 3/4, pp.:</w:t>
      </w:r>
      <w:r w:rsidRPr="00C17666">
        <w:rPr>
          <w:rFonts w:ascii="Times New Roman" w:hAnsi="Times New Roman"/>
          <w:sz w:val="24"/>
          <w:szCs w:val="24"/>
        </w:rPr>
        <w:t xml:space="preserve"> 223-249. </w:t>
      </w:r>
    </w:p>
    <w:p w:rsidR="00821514"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FE6B1D">
        <w:rPr>
          <w:rFonts w:ascii="Times New Roman" w:hAnsi="Times New Roman"/>
          <w:sz w:val="24"/>
          <w:szCs w:val="24"/>
        </w:rPr>
        <w:t>Syllignakis</w:t>
      </w:r>
      <w:proofErr w:type="spellEnd"/>
      <w:r w:rsidRPr="00FE6B1D">
        <w:rPr>
          <w:rFonts w:ascii="Times New Roman" w:hAnsi="Times New Roman"/>
          <w:sz w:val="24"/>
          <w:szCs w:val="24"/>
        </w:rPr>
        <w:t>, M.N., and Kouretas, G.P. (201</w:t>
      </w:r>
      <w:r>
        <w:rPr>
          <w:rFonts w:ascii="Times New Roman" w:hAnsi="Times New Roman"/>
          <w:sz w:val="24"/>
          <w:szCs w:val="24"/>
        </w:rPr>
        <w:t>1</w:t>
      </w:r>
      <w:r w:rsidRPr="00FE6B1D">
        <w:rPr>
          <w:rFonts w:ascii="Times New Roman" w:hAnsi="Times New Roman"/>
          <w:sz w:val="24"/>
          <w:szCs w:val="24"/>
        </w:rPr>
        <w:t>)</w:t>
      </w:r>
      <w:r>
        <w:rPr>
          <w:rFonts w:ascii="Times New Roman" w:hAnsi="Times New Roman"/>
          <w:sz w:val="24"/>
          <w:szCs w:val="24"/>
        </w:rPr>
        <w:t>.</w:t>
      </w:r>
      <w:proofErr w:type="gramEnd"/>
      <w:r w:rsidRPr="00FE6B1D">
        <w:rPr>
          <w:rFonts w:ascii="Times New Roman" w:hAnsi="Times New Roman"/>
          <w:sz w:val="24"/>
          <w:szCs w:val="24"/>
        </w:rPr>
        <w:t xml:space="preserve"> Dynamic correlation analysis of financial contagion: evidence from the Central and Eastern European Markets</w:t>
      </w:r>
      <w:r>
        <w:rPr>
          <w:rFonts w:ascii="Times New Roman" w:hAnsi="Times New Roman"/>
          <w:sz w:val="24"/>
          <w:szCs w:val="24"/>
        </w:rPr>
        <w:t>,</w:t>
      </w:r>
      <w:r w:rsidRPr="00FE6B1D">
        <w:rPr>
          <w:rFonts w:ascii="Times New Roman" w:hAnsi="Times New Roman"/>
          <w:sz w:val="24"/>
          <w:szCs w:val="24"/>
        </w:rPr>
        <w:t xml:space="preserve"> </w:t>
      </w:r>
      <w:r w:rsidRPr="00FE6B1D">
        <w:rPr>
          <w:rFonts w:ascii="Times New Roman" w:hAnsi="Times New Roman"/>
          <w:i/>
          <w:sz w:val="24"/>
          <w:szCs w:val="24"/>
        </w:rPr>
        <w:t>International Review of Economics and Finance</w:t>
      </w:r>
      <w:r>
        <w:rPr>
          <w:rFonts w:ascii="Times New Roman" w:hAnsi="Times New Roman"/>
          <w:sz w:val="24"/>
          <w:szCs w:val="24"/>
        </w:rPr>
        <w:t>, Vol.</w:t>
      </w:r>
      <w:r w:rsidRPr="00FE6B1D">
        <w:rPr>
          <w:rFonts w:ascii="Times New Roman" w:hAnsi="Times New Roman"/>
          <w:i/>
          <w:sz w:val="24"/>
          <w:szCs w:val="24"/>
        </w:rPr>
        <w:t xml:space="preserve"> </w:t>
      </w:r>
      <w:r w:rsidRPr="00FE6B1D">
        <w:rPr>
          <w:rFonts w:ascii="Times New Roman" w:hAnsi="Times New Roman"/>
          <w:sz w:val="24"/>
          <w:szCs w:val="24"/>
        </w:rPr>
        <w:t>20</w:t>
      </w:r>
      <w:r>
        <w:rPr>
          <w:rFonts w:ascii="Times New Roman" w:hAnsi="Times New Roman"/>
          <w:sz w:val="24"/>
          <w:szCs w:val="24"/>
        </w:rPr>
        <w:t xml:space="preserve">, No. 4, pp.: </w:t>
      </w:r>
      <w:r w:rsidRPr="00FE6B1D">
        <w:rPr>
          <w:rFonts w:ascii="Times New Roman" w:hAnsi="Times New Roman"/>
          <w:sz w:val="24"/>
          <w:szCs w:val="24"/>
        </w:rPr>
        <w:t xml:space="preserve">717-732. </w:t>
      </w:r>
    </w:p>
    <w:p w:rsidR="002E5DD0" w:rsidRPr="00964FD2" w:rsidRDefault="002E5DD0" w:rsidP="002E5DD0">
      <w:pPr>
        <w:spacing w:line="360" w:lineRule="auto"/>
        <w:jc w:val="both"/>
        <w:rPr>
          <w:rFonts w:ascii="Times New Roman" w:hAnsi="Times New Roman" w:cs="Times New Roman"/>
          <w:sz w:val="24"/>
          <w:szCs w:val="24"/>
        </w:rPr>
      </w:pPr>
      <w:proofErr w:type="spellStart"/>
      <w:r w:rsidRPr="002C1D83">
        <w:rPr>
          <w:rFonts w:ascii="Times New Roman" w:hAnsi="Times New Roman" w:cs="Times New Roman"/>
          <w:sz w:val="24"/>
          <w:szCs w:val="24"/>
          <w:lang w:val="en-US"/>
        </w:rPr>
        <w:t>Terzian</w:t>
      </w:r>
      <w:proofErr w:type="spellEnd"/>
      <w:r w:rsidRPr="002C1D83">
        <w:rPr>
          <w:rFonts w:ascii="Times New Roman" w:hAnsi="Times New Roman" w:cs="Times New Roman"/>
          <w:sz w:val="24"/>
          <w:szCs w:val="24"/>
          <w:lang w:val="en-US"/>
        </w:rPr>
        <w:t>, P. (1985)</w:t>
      </w:r>
      <w:r>
        <w:rPr>
          <w:rFonts w:ascii="Times New Roman" w:hAnsi="Times New Roman" w:cs="Times New Roman"/>
          <w:sz w:val="24"/>
          <w:szCs w:val="24"/>
          <w:lang w:val="en-US"/>
        </w:rPr>
        <w:t>.</w:t>
      </w:r>
      <w:r w:rsidRPr="002C1D83">
        <w:rPr>
          <w:rFonts w:ascii="Times New Roman" w:hAnsi="Times New Roman" w:cs="Times New Roman"/>
          <w:sz w:val="24"/>
          <w:szCs w:val="24"/>
          <w:lang w:val="en-US"/>
        </w:rPr>
        <w:t xml:space="preserve"> </w:t>
      </w:r>
      <w:r w:rsidRPr="002C1D83">
        <w:rPr>
          <w:rFonts w:ascii="Times New Roman" w:hAnsi="Times New Roman" w:cs="Times New Roman"/>
          <w:i/>
          <w:sz w:val="24"/>
          <w:szCs w:val="24"/>
          <w:lang w:val="en-US"/>
        </w:rPr>
        <w:t>OPEC</w:t>
      </w:r>
      <w:r>
        <w:rPr>
          <w:rFonts w:ascii="Times New Roman" w:hAnsi="Times New Roman" w:cs="Times New Roman"/>
          <w:i/>
          <w:sz w:val="24"/>
          <w:szCs w:val="24"/>
          <w:lang w:val="en-US"/>
        </w:rPr>
        <w:t>:</w:t>
      </w:r>
      <w:r w:rsidRPr="002C1D83">
        <w:rPr>
          <w:rFonts w:ascii="Times New Roman" w:hAnsi="Times New Roman" w:cs="Times New Roman"/>
          <w:i/>
          <w:sz w:val="24"/>
          <w:szCs w:val="24"/>
          <w:lang w:val="en-US"/>
        </w:rPr>
        <w:t xml:space="preserve"> The inside story</w:t>
      </w:r>
      <w:r>
        <w:rPr>
          <w:rFonts w:ascii="Times New Roman" w:hAnsi="Times New Roman" w:cs="Times New Roman"/>
          <w:i/>
          <w:sz w:val="24"/>
          <w:szCs w:val="24"/>
          <w:lang w:val="en-US"/>
        </w:rPr>
        <w:t>.</w:t>
      </w:r>
      <w:r w:rsidRPr="002C1D83">
        <w:rPr>
          <w:rFonts w:ascii="Times New Roman" w:hAnsi="Times New Roman" w:cs="Times New Roman"/>
          <w:sz w:val="24"/>
          <w:szCs w:val="24"/>
          <w:lang w:val="en-US"/>
        </w:rPr>
        <w:t xml:space="preserve"> Zed Books: London.</w:t>
      </w:r>
    </w:p>
    <w:p w:rsidR="00821514" w:rsidRPr="0080005B" w:rsidRDefault="00821514" w:rsidP="00821514">
      <w:pPr>
        <w:spacing w:before="120" w:after="120" w:line="360" w:lineRule="auto"/>
        <w:ind w:left="426" w:hanging="426"/>
        <w:jc w:val="both"/>
        <w:rPr>
          <w:rFonts w:ascii="Times New Roman" w:hAnsi="Times New Roman"/>
          <w:sz w:val="24"/>
          <w:szCs w:val="24"/>
        </w:rPr>
      </w:pPr>
      <w:proofErr w:type="gramStart"/>
      <w:r w:rsidRPr="000D068F">
        <w:rPr>
          <w:rFonts w:ascii="Times New Roman" w:hAnsi="Times New Roman"/>
          <w:sz w:val="24"/>
          <w:szCs w:val="24"/>
        </w:rPr>
        <w:t>Upper, C. (2000)</w:t>
      </w:r>
      <w:r>
        <w:rPr>
          <w:rFonts w:ascii="Times New Roman" w:hAnsi="Times New Roman"/>
          <w:sz w:val="24"/>
          <w:szCs w:val="24"/>
        </w:rPr>
        <w:t>.</w:t>
      </w:r>
      <w:proofErr w:type="gramEnd"/>
      <w:r w:rsidRPr="000D068F">
        <w:rPr>
          <w:rFonts w:ascii="Times New Roman" w:hAnsi="Times New Roman"/>
          <w:sz w:val="24"/>
          <w:szCs w:val="24"/>
        </w:rPr>
        <w:t xml:space="preserve"> </w:t>
      </w:r>
      <w:r w:rsidRPr="006A18A8">
        <w:rPr>
          <w:rFonts w:ascii="Times New Roman" w:hAnsi="Times New Roman"/>
          <w:i/>
          <w:sz w:val="24"/>
          <w:szCs w:val="24"/>
        </w:rPr>
        <w:t>How safe was the “safe haven”? Financial market liquidity during the 1998 turbulences</w:t>
      </w:r>
      <w:r>
        <w:rPr>
          <w:rFonts w:ascii="Times New Roman" w:hAnsi="Times New Roman"/>
          <w:i/>
          <w:sz w:val="24"/>
          <w:szCs w:val="24"/>
        </w:rPr>
        <w:t>,</w:t>
      </w:r>
      <w:r w:rsidRPr="000D068F">
        <w:rPr>
          <w:rFonts w:ascii="Times New Roman" w:hAnsi="Times New Roman"/>
          <w:sz w:val="24"/>
          <w:szCs w:val="24"/>
        </w:rPr>
        <w:t xml:space="preserve"> Deutsche Bundesbank discussion paper 1/100.</w:t>
      </w:r>
      <w:r w:rsidRPr="0080005B">
        <w:rPr>
          <w:rFonts w:ascii="Times New Roman" w:hAnsi="Times New Roman"/>
          <w:sz w:val="24"/>
          <w:szCs w:val="24"/>
        </w:rPr>
        <w:t xml:space="preserve">  </w:t>
      </w:r>
    </w:p>
    <w:p w:rsidR="00821514" w:rsidRPr="007D6978" w:rsidRDefault="00821514" w:rsidP="00821514">
      <w:pPr>
        <w:spacing w:before="120" w:after="120" w:line="360" w:lineRule="auto"/>
        <w:ind w:left="426" w:hanging="426"/>
        <w:jc w:val="both"/>
        <w:rPr>
          <w:rFonts w:ascii="Times New Roman" w:hAnsi="Times New Roman"/>
          <w:sz w:val="24"/>
          <w:szCs w:val="24"/>
        </w:rPr>
      </w:pPr>
      <w:proofErr w:type="spellStart"/>
      <w:r w:rsidRPr="007D6978">
        <w:rPr>
          <w:rFonts w:ascii="Times New Roman" w:hAnsi="Times New Roman"/>
          <w:sz w:val="24"/>
          <w:szCs w:val="24"/>
        </w:rPr>
        <w:t>Vayanos</w:t>
      </w:r>
      <w:proofErr w:type="spellEnd"/>
      <w:r w:rsidRPr="007D6978">
        <w:rPr>
          <w:rFonts w:ascii="Times New Roman" w:hAnsi="Times New Roman"/>
          <w:sz w:val="24"/>
          <w:szCs w:val="24"/>
        </w:rPr>
        <w:t>, D. (2004)</w:t>
      </w:r>
      <w:r>
        <w:rPr>
          <w:rFonts w:ascii="Times New Roman" w:hAnsi="Times New Roman"/>
          <w:sz w:val="24"/>
          <w:szCs w:val="24"/>
        </w:rPr>
        <w:t>.</w:t>
      </w:r>
      <w:r w:rsidRPr="007D6978">
        <w:rPr>
          <w:rFonts w:ascii="Times New Roman" w:hAnsi="Times New Roman"/>
          <w:sz w:val="24"/>
          <w:szCs w:val="24"/>
        </w:rPr>
        <w:t xml:space="preserve"> </w:t>
      </w:r>
      <w:proofErr w:type="gramStart"/>
      <w:r w:rsidRPr="002920B9">
        <w:rPr>
          <w:rFonts w:ascii="Times New Roman" w:hAnsi="Times New Roman"/>
          <w:i/>
          <w:sz w:val="24"/>
          <w:szCs w:val="24"/>
        </w:rPr>
        <w:t>Flight to quality, flight to liquidity, and the pricing of risk</w:t>
      </w:r>
      <w:r>
        <w:rPr>
          <w:rFonts w:ascii="Times New Roman" w:hAnsi="Times New Roman"/>
          <w:i/>
          <w:sz w:val="24"/>
          <w:szCs w:val="24"/>
        </w:rPr>
        <w:t>,</w:t>
      </w:r>
      <w:r w:rsidRPr="007D6978">
        <w:rPr>
          <w:rFonts w:ascii="Times New Roman" w:hAnsi="Times New Roman"/>
          <w:sz w:val="24"/>
          <w:szCs w:val="24"/>
        </w:rPr>
        <w:t xml:space="preserve"> NBER working paper 10327.</w:t>
      </w:r>
      <w:proofErr w:type="gramEnd"/>
      <w:r w:rsidRPr="007D6978">
        <w:rPr>
          <w:rFonts w:ascii="Times New Roman" w:hAnsi="Times New Roman"/>
          <w:sz w:val="24"/>
          <w:szCs w:val="24"/>
        </w:rPr>
        <w:t xml:space="preserve"> </w:t>
      </w:r>
    </w:p>
    <w:p w:rsidR="00821514" w:rsidRPr="00FE6B1D" w:rsidRDefault="00821514" w:rsidP="00821514">
      <w:pPr>
        <w:spacing w:before="120" w:after="120" w:line="360" w:lineRule="auto"/>
        <w:ind w:left="426" w:hanging="426"/>
        <w:jc w:val="both"/>
        <w:rPr>
          <w:rFonts w:ascii="Times New Roman" w:hAnsi="Times New Roman"/>
          <w:sz w:val="24"/>
          <w:szCs w:val="24"/>
        </w:rPr>
      </w:pPr>
      <w:proofErr w:type="spellStart"/>
      <w:r w:rsidRPr="00FE6B1D">
        <w:rPr>
          <w:rFonts w:ascii="Times New Roman" w:hAnsi="Times New Roman"/>
          <w:sz w:val="24"/>
          <w:szCs w:val="24"/>
        </w:rPr>
        <w:t>Waldenström</w:t>
      </w:r>
      <w:proofErr w:type="spellEnd"/>
      <w:r w:rsidRPr="00FE6B1D">
        <w:rPr>
          <w:rFonts w:ascii="Times New Roman" w:hAnsi="Times New Roman"/>
          <w:sz w:val="24"/>
          <w:szCs w:val="24"/>
        </w:rPr>
        <w:t>, D., Frey, B. S. (2008)</w:t>
      </w:r>
      <w:r>
        <w:rPr>
          <w:rFonts w:ascii="Times New Roman" w:hAnsi="Times New Roman"/>
          <w:sz w:val="24"/>
          <w:szCs w:val="24"/>
        </w:rPr>
        <w:t>.</w:t>
      </w:r>
      <w:r w:rsidRPr="00FE6B1D">
        <w:rPr>
          <w:rFonts w:ascii="Times New Roman" w:hAnsi="Times New Roman"/>
          <w:sz w:val="24"/>
          <w:szCs w:val="24"/>
        </w:rPr>
        <w:t xml:space="preserve"> Did Nordic countries recognise the gathering storm of World War II? Evidence from the bond markets</w:t>
      </w:r>
      <w:r>
        <w:rPr>
          <w:rFonts w:ascii="Times New Roman" w:hAnsi="Times New Roman"/>
          <w:sz w:val="24"/>
          <w:szCs w:val="24"/>
        </w:rPr>
        <w:t>,</w:t>
      </w:r>
      <w:r w:rsidRPr="00FE6B1D">
        <w:rPr>
          <w:rFonts w:ascii="Times New Roman" w:hAnsi="Times New Roman"/>
          <w:sz w:val="24"/>
          <w:szCs w:val="24"/>
        </w:rPr>
        <w:t xml:space="preserve"> </w:t>
      </w:r>
      <w:r w:rsidRPr="00223234">
        <w:rPr>
          <w:rFonts w:ascii="Times New Roman" w:hAnsi="Times New Roman"/>
          <w:i/>
          <w:sz w:val="24"/>
          <w:szCs w:val="24"/>
        </w:rPr>
        <w:t>Explorations in Economic History</w:t>
      </w:r>
      <w:r>
        <w:rPr>
          <w:rFonts w:ascii="Times New Roman" w:hAnsi="Times New Roman"/>
          <w:sz w:val="24"/>
          <w:szCs w:val="24"/>
        </w:rPr>
        <w:t>, Vol.</w:t>
      </w:r>
      <w:r w:rsidRPr="00FE6B1D">
        <w:rPr>
          <w:rFonts w:ascii="Times New Roman" w:hAnsi="Times New Roman"/>
          <w:sz w:val="24"/>
          <w:szCs w:val="24"/>
        </w:rPr>
        <w:t xml:space="preserve"> 45</w:t>
      </w:r>
      <w:r>
        <w:rPr>
          <w:rFonts w:ascii="Times New Roman" w:hAnsi="Times New Roman"/>
          <w:sz w:val="24"/>
          <w:szCs w:val="24"/>
        </w:rPr>
        <w:t>, No. 2,</w:t>
      </w:r>
      <w:r w:rsidRPr="00FE6B1D">
        <w:rPr>
          <w:rFonts w:ascii="Times New Roman" w:hAnsi="Times New Roman"/>
          <w:sz w:val="24"/>
          <w:szCs w:val="24"/>
        </w:rPr>
        <w:t xml:space="preserve"> pp.: 107-126.</w:t>
      </w:r>
    </w:p>
    <w:p w:rsidR="00821514" w:rsidRDefault="00821514" w:rsidP="00821514">
      <w:pPr>
        <w:spacing w:before="120" w:after="120" w:line="360" w:lineRule="auto"/>
        <w:ind w:left="426" w:hanging="426"/>
        <w:jc w:val="both"/>
        <w:rPr>
          <w:rFonts w:ascii="Times New Roman" w:hAnsi="Times New Roman"/>
          <w:sz w:val="24"/>
          <w:szCs w:val="24"/>
        </w:rPr>
      </w:pPr>
      <w:r>
        <w:rPr>
          <w:rFonts w:ascii="Times New Roman" w:hAnsi="Times New Roman"/>
          <w:sz w:val="24"/>
          <w:szCs w:val="24"/>
        </w:rPr>
        <w:t>Wisniewski, T. P. (2009). Can political factors explain the behaviour of stock prices beyond the standard present value model</w:t>
      </w:r>
      <w:proofErr w:type="gramStart"/>
      <w:r>
        <w:rPr>
          <w:rFonts w:ascii="Times New Roman" w:hAnsi="Times New Roman"/>
          <w:sz w:val="24"/>
          <w:szCs w:val="24"/>
        </w:rPr>
        <w:t>?,</w:t>
      </w:r>
      <w:proofErr w:type="gramEnd"/>
      <w:r>
        <w:rPr>
          <w:rFonts w:ascii="Times New Roman" w:hAnsi="Times New Roman"/>
          <w:sz w:val="24"/>
          <w:szCs w:val="24"/>
        </w:rPr>
        <w:t xml:space="preserve"> </w:t>
      </w:r>
      <w:r w:rsidRPr="009B43E7">
        <w:rPr>
          <w:rFonts w:ascii="Times New Roman" w:hAnsi="Times New Roman"/>
          <w:i/>
          <w:sz w:val="24"/>
          <w:szCs w:val="24"/>
        </w:rPr>
        <w:t>Applied Financial Economics</w:t>
      </w:r>
      <w:r>
        <w:rPr>
          <w:rFonts w:ascii="Times New Roman" w:hAnsi="Times New Roman"/>
          <w:i/>
          <w:sz w:val="24"/>
          <w:szCs w:val="24"/>
        </w:rPr>
        <w:t xml:space="preserve">, </w:t>
      </w:r>
      <w:r>
        <w:rPr>
          <w:rFonts w:ascii="Times New Roman" w:hAnsi="Times New Roman"/>
          <w:sz w:val="24"/>
          <w:szCs w:val="24"/>
        </w:rPr>
        <w:t xml:space="preserve">Vol. 19, No. 23, pp.: 1873-1884. </w:t>
      </w:r>
    </w:p>
    <w:p w:rsidR="00821514" w:rsidRPr="00A64B7B" w:rsidRDefault="00821514" w:rsidP="00821514">
      <w:pPr>
        <w:spacing w:before="120" w:after="120" w:line="360" w:lineRule="auto"/>
        <w:ind w:left="426" w:hanging="426"/>
        <w:jc w:val="both"/>
        <w:rPr>
          <w:rFonts w:ascii="Times New Roman" w:hAnsi="Times New Roman"/>
          <w:sz w:val="24"/>
          <w:szCs w:val="24"/>
        </w:rPr>
      </w:pPr>
      <w:proofErr w:type="spellStart"/>
      <w:proofErr w:type="gramStart"/>
      <w:r w:rsidRPr="00A64B7B">
        <w:rPr>
          <w:rFonts w:ascii="Times New Roman" w:hAnsi="Times New Roman"/>
          <w:sz w:val="24"/>
          <w:szCs w:val="24"/>
        </w:rPr>
        <w:t>Wolfers</w:t>
      </w:r>
      <w:proofErr w:type="spellEnd"/>
      <w:r w:rsidRPr="00A64B7B">
        <w:rPr>
          <w:rFonts w:ascii="Times New Roman" w:hAnsi="Times New Roman"/>
          <w:sz w:val="24"/>
          <w:szCs w:val="24"/>
        </w:rPr>
        <w:t xml:space="preserve">, J., </w:t>
      </w:r>
      <w:r>
        <w:rPr>
          <w:rFonts w:ascii="Times New Roman" w:hAnsi="Times New Roman"/>
          <w:sz w:val="24"/>
          <w:szCs w:val="24"/>
        </w:rPr>
        <w:t>and</w:t>
      </w:r>
      <w:r w:rsidRPr="00A64B7B">
        <w:rPr>
          <w:rFonts w:ascii="Times New Roman" w:hAnsi="Times New Roman"/>
          <w:sz w:val="24"/>
          <w:szCs w:val="24"/>
        </w:rPr>
        <w:t xml:space="preserve"> </w:t>
      </w:r>
      <w:proofErr w:type="spellStart"/>
      <w:r w:rsidRPr="00A64B7B">
        <w:rPr>
          <w:rFonts w:ascii="Times New Roman" w:hAnsi="Times New Roman"/>
          <w:sz w:val="24"/>
          <w:szCs w:val="24"/>
        </w:rPr>
        <w:t>Zitzewitz</w:t>
      </w:r>
      <w:proofErr w:type="spellEnd"/>
      <w:r w:rsidRPr="00A64B7B">
        <w:rPr>
          <w:rFonts w:ascii="Times New Roman" w:hAnsi="Times New Roman"/>
          <w:sz w:val="24"/>
          <w:szCs w:val="24"/>
        </w:rPr>
        <w:t>, E. (2009).</w:t>
      </w:r>
      <w:proofErr w:type="gramEnd"/>
      <w:r w:rsidRPr="00A64B7B">
        <w:rPr>
          <w:rFonts w:ascii="Times New Roman" w:hAnsi="Times New Roman"/>
          <w:sz w:val="24"/>
          <w:szCs w:val="24"/>
        </w:rPr>
        <w:t xml:space="preserve"> </w:t>
      </w:r>
      <w:proofErr w:type="gramStart"/>
      <w:r w:rsidRPr="00A64B7B">
        <w:rPr>
          <w:rFonts w:ascii="Times New Roman" w:hAnsi="Times New Roman"/>
          <w:sz w:val="24"/>
          <w:szCs w:val="24"/>
        </w:rPr>
        <w:t>Using markets to inform policy: The case of the Iraq war.</w:t>
      </w:r>
      <w:proofErr w:type="gramEnd"/>
      <w:r w:rsidRPr="00A64B7B">
        <w:rPr>
          <w:rFonts w:ascii="Times New Roman" w:hAnsi="Times New Roman"/>
          <w:sz w:val="24"/>
          <w:szCs w:val="24"/>
        </w:rPr>
        <w:t> </w:t>
      </w:r>
      <w:proofErr w:type="spellStart"/>
      <w:r w:rsidRPr="00A64B7B">
        <w:rPr>
          <w:rFonts w:ascii="Times New Roman" w:hAnsi="Times New Roman"/>
          <w:i/>
          <w:iCs/>
          <w:sz w:val="24"/>
          <w:szCs w:val="24"/>
        </w:rPr>
        <w:t>Economica</w:t>
      </w:r>
      <w:proofErr w:type="spellEnd"/>
      <w:r w:rsidRPr="00A64B7B">
        <w:rPr>
          <w:rFonts w:ascii="Times New Roman" w:hAnsi="Times New Roman"/>
          <w:sz w:val="24"/>
          <w:szCs w:val="24"/>
        </w:rPr>
        <w:t>, </w:t>
      </w:r>
      <w:r>
        <w:rPr>
          <w:rFonts w:ascii="Times New Roman" w:hAnsi="Times New Roman"/>
          <w:sz w:val="24"/>
          <w:szCs w:val="24"/>
        </w:rPr>
        <w:t xml:space="preserve">Vol. </w:t>
      </w:r>
      <w:r w:rsidRPr="00A64B7B">
        <w:rPr>
          <w:rFonts w:ascii="Times New Roman" w:hAnsi="Times New Roman"/>
          <w:iCs/>
          <w:sz w:val="24"/>
          <w:szCs w:val="24"/>
        </w:rPr>
        <w:t>76</w:t>
      </w:r>
      <w:r>
        <w:rPr>
          <w:rFonts w:ascii="Times New Roman" w:hAnsi="Times New Roman"/>
          <w:iCs/>
          <w:sz w:val="24"/>
          <w:szCs w:val="24"/>
        </w:rPr>
        <w:t xml:space="preserve">, No. </w:t>
      </w:r>
      <w:r w:rsidRPr="00A64B7B">
        <w:rPr>
          <w:rFonts w:ascii="Times New Roman" w:hAnsi="Times New Roman"/>
          <w:sz w:val="24"/>
          <w:szCs w:val="24"/>
        </w:rPr>
        <w:t>302, pp.</w:t>
      </w:r>
      <w:r>
        <w:rPr>
          <w:rFonts w:ascii="Times New Roman" w:hAnsi="Times New Roman"/>
          <w:sz w:val="24"/>
          <w:szCs w:val="24"/>
        </w:rPr>
        <w:t>:</w:t>
      </w:r>
      <w:r w:rsidRPr="00A64B7B">
        <w:rPr>
          <w:rFonts w:ascii="Times New Roman" w:hAnsi="Times New Roman"/>
          <w:sz w:val="24"/>
          <w:szCs w:val="24"/>
        </w:rPr>
        <w:t xml:space="preserve"> 225-250.</w:t>
      </w:r>
    </w:p>
    <w:p w:rsidR="00821514" w:rsidRDefault="00821514" w:rsidP="00821514">
      <w:pPr>
        <w:spacing w:before="120" w:after="120" w:line="360" w:lineRule="auto"/>
        <w:ind w:left="426" w:hanging="426"/>
        <w:jc w:val="both"/>
        <w:rPr>
          <w:rFonts w:ascii="Times New Roman" w:hAnsi="Times New Roman"/>
          <w:sz w:val="24"/>
          <w:szCs w:val="24"/>
        </w:rPr>
      </w:pPr>
      <w:proofErr w:type="spellStart"/>
      <w:r>
        <w:rPr>
          <w:rFonts w:ascii="Times New Roman" w:hAnsi="Times New Roman"/>
          <w:sz w:val="24"/>
          <w:szCs w:val="24"/>
        </w:rPr>
        <w:t>Yergin</w:t>
      </w:r>
      <w:proofErr w:type="spellEnd"/>
      <w:r>
        <w:rPr>
          <w:rFonts w:ascii="Times New Roman" w:hAnsi="Times New Roman"/>
          <w:sz w:val="24"/>
          <w:szCs w:val="24"/>
        </w:rPr>
        <w:t xml:space="preserve">, D. (2012) </w:t>
      </w:r>
      <w:proofErr w:type="gramStart"/>
      <w:r w:rsidRPr="009B43E7">
        <w:rPr>
          <w:rFonts w:ascii="Times New Roman" w:hAnsi="Times New Roman"/>
          <w:i/>
          <w:sz w:val="24"/>
          <w:szCs w:val="24"/>
        </w:rPr>
        <w:t>The</w:t>
      </w:r>
      <w:proofErr w:type="gramEnd"/>
      <w:r w:rsidRPr="009B43E7">
        <w:rPr>
          <w:rFonts w:ascii="Times New Roman" w:hAnsi="Times New Roman"/>
          <w:i/>
          <w:sz w:val="24"/>
          <w:szCs w:val="24"/>
        </w:rPr>
        <w:t xml:space="preserve"> </w:t>
      </w:r>
      <w:r>
        <w:rPr>
          <w:rFonts w:ascii="Times New Roman" w:hAnsi="Times New Roman"/>
          <w:i/>
          <w:sz w:val="24"/>
          <w:szCs w:val="24"/>
        </w:rPr>
        <w:t>p</w:t>
      </w:r>
      <w:r w:rsidRPr="009B43E7">
        <w:rPr>
          <w:rFonts w:ascii="Times New Roman" w:hAnsi="Times New Roman"/>
          <w:i/>
          <w:sz w:val="24"/>
          <w:szCs w:val="24"/>
        </w:rPr>
        <w:t xml:space="preserve">rize: The </w:t>
      </w:r>
      <w:r>
        <w:rPr>
          <w:rFonts w:ascii="Times New Roman" w:hAnsi="Times New Roman"/>
          <w:i/>
          <w:sz w:val="24"/>
          <w:szCs w:val="24"/>
        </w:rPr>
        <w:t>e</w:t>
      </w:r>
      <w:r w:rsidRPr="009B43E7">
        <w:rPr>
          <w:rFonts w:ascii="Times New Roman" w:hAnsi="Times New Roman"/>
          <w:i/>
          <w:sz w:val="24"/>
          <w:szCs w:val="24"/>
        </w:rPr>
        <w:t xml:space="preserve">pic </w:t>
      </w:r>
      <w:r>
        <w:rPr>
          <w:rFonts w:ascii="Times New Roman" w:hAnsi="Times New Roman"/>
          <w:i/>
          <w:sz w:val="24"/>
          <w:szCs w:val="24"/>
        </w:rPr>
        <w:t>q</w:t>
      </w:r>
      <w:r w:rsidRPr="009B43E7">
        <w:rPr>
          <w:rFonts w:ascii="Times New Roman" w:hAnsi="Times New Roman"/>
          <w:i/>
          <w:sz w:val="24"/>
          <w:szCs w:val="24"/>
        </w:rPr>
        <w:t xml:space="preserve">uest for </w:t>
      </w:r>
      <w:r>
        <w:rPr>
          <w:rFonts w:ascii="Times New Roman" w:hAnsi="Times New Roman"/>
          <w:i/>
          <w:sz w:val="24"/>
          <w:szCs w:val="24"/>
        </w:rPr>
        <w:t>o</w:t>
      </w:r>
      <w:r w:rsidRPr="009B43E7">
        <w:rPr>
          <w:rFonts w:ascii="Times New Roman" w:hAnsi="Times New Roman"/>
          <w:i/>
          <w:sz w:val="24"/>
          <w:szCs w:val="24"/>
        </w:rPr>
        <w:t xml:space="preserve">il, </w:t>
      </w:r>
      <w:r>
        <w:rPr>
          <w:rFonts w:ascii="Times New Roman" w:hAnsi="Times New Roman"/>
          <w:i/>
          <w:sz w:val="24"/>
          <w:szCs w:val="24"/>
        </w:rPr>
        <w:t>m</w:t>
      </w:r>
      <w:r w:rsidRPr="009B43E7">
        <w:rPr>
          <w:rFonts w:ascii="Times New Roman" w:hAnsi="Times New Roman"/>
          <w:i/>
          <w:sz w:val="24"/>
          <w:szCs w:val="24"/>
        </w:rPr>
        <w:t xml:space="preserve">oney and </w:t>
      </w:r>
      <w:r>
        <w:rPr>
          <w:rFonts w:ascii="Times New Roman" w:hAnsi="Times New Roman"/>
          <w:i/>
          <w:sz w:val="24"/>
          <w:szCs w:val="24"/>
        </w:rPr>
        <w:t>p</w:t>
      </w:r>
      <w:r w:rsidRPr="009B43E7">
        <w:rPr>
          <w:rFonts w:ascii="Times New Roman" w:hAnsi="Times New Roman"/>
          <w:i/>
          <w:sz w:val="24"/>
          <w:szCs w:val="24"/>
        </w:rPr>
        <w:t>ower</w:t>
      </w:r>
      <w:r>
        <w:rPr>
          <w:rFonts w:ascii="Times New Roman" w:hAnsi="Times New Roman"/>
          <w:sz w:val="24"/>
          <w:szCs w:val="24"/>
        </w:rPr>
        <w:t xml:space="preserve">. </w:t>
      </w:r>
      <w:proofErr w:type="gramStart"/>
      <w:r>
        <w:rPr>
          <w:rFonts w:ascii="Times New Roman" w:hAnsi="Times New Roman"/>
          <w:sz w:val="24"/>
          <w:szCs w:val="24"/>
        </w:rPr>
        <w:t>Simon &amp; Schuster, London.</w:t>
      </w:r>
      <w:proofErr w:type="gramEnd"/>
      <w:r>
        <w:rPr>
          <w:rFonts w:ascii="Times New Roman" w:hAnsi="Times New Roman"/>
          <w:sz w:val="24"/>
          <w:szCs w:val="24"/>
        </w:rPr>
        <w:t xml:space="preserve"> </w:t>
      </w:r>
    </w:p>
    <w:p w:rsidR="00821514" w:rsidRDefault="00821514" w:rsidP="00821514">
      <w:pPr>
        <w:rPr>
          <w:rFonts w:ascii="Times New Roman" w:hAnsi="Times New Roman"/>
          <w:sz w:val="24"/>
          <w:szCs w:val="24"/>
        </w:rPr>
      </w:pPr>
    </w:p>
    <w:p w:rsidR="00D30D62" w:rsidRDefault="00D30D62" w:rsidP="00D30D62">
      <w:pPr>
        <w:rPr>
          <w:rFonts w:ascii="Times New Roman" w:hAnsi="Times New Roman"/>
          <w:sz w:val="24"/>
          <w:szCs w:val="24"/>
        </w:rPr>
      </w:pPr>
    </w:p>
    <w:p w:rsidR="00D30D62" w:rsidRDefault="00D30D62" w:rsidP="00D30D62">
      <w:pPr>
        <w:jc w:val="center"/>
        <w:rPr>
          <w:rFonts w:ascii="Times New Roman" w:eastAsia="Calibri" w:hAnsi="Times New Roman"/>
          <w:b/>
          <w:sz w:val="24"/>
          <w:szCs w:val="24"/>
        </w:rPr>
        <w:sectPr w:rsidR="00D30D62" w:rsidSect="00C21D0A">
          <w:footerReference w:type="default" r:id="rId12"/>
          <w:pgSz w:w="11906" w:h="16838" w:code="9"/>
          <w:pgMar w:top="567" w:right="1418" w:bottom="567" w:left="1418" w:header="709" w:footer="709" w:gutter="0"/>
          <w:cols w:space="708"/>
          <w:docGrid w:linePitch="360"/>
        </w:sectPr>
      </w:pPr>
    </w:p>
    <w:p w:rsidR="00D30D62" w:rsidRDefault="00D30D62" w:rsidP="00D30D62">
      <w:pPr>
        <w:jc w:val="center"/>
        <w:rPr>
          <w:rFonts w:ascii="Times New Roman" w:eastAsia="Calibri" w:hAnsi="Times New Roman"/>
          <w:b/>
          <w:sz w:val="24"/>
          <w:szCs w:val="24"/>
        </w:rPr>
      </w:pPr>
      <w:r>
        <w:rPr>
          <w:rFonts w:ascii="Times New Roman" w:eastAsia="Calibri" w:hAnsi="Times New Roman"/>
          <w:b/>
          <w:sz w:val="24"/>
          <w:szCs w:val="24"/>
        </w:rPr>
        <w:lastRenderedPageBreak/>
        <w:t>Figure I</w:t>
      </w:r>
    </w:p>
    <w:p w:rsidR="00D30D62" w:rsidRDefault="00D30D62" w:rsidP="00D30D62">
      <w:pPr>
        <w:jc w:val="center"/>
        <w:rPr>
          <w:rFonts w:ascii="Times New Roman" w:eastAsia="Calibri" w:hAnsi="Times New Roman"/>
          <w:b/>
          <w:sz w:val="24"/>
          <w:szCs w:val="24"/>
        </w:rPr>
      </w:pPr>
      <w:r>
        <w:rPr>
          <w:rFonts w:ascii="Times New Roman" w:eastAsia="Calibri" w:hAnsi="Times New Roman"/>
          <w:b/>
          <w:sz w:val="24"/>
          <w:szCs w:val="24"/>
        </w:rPr>
        <w:t>Price Evolution of Different Asset Classes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4621"/>
      </w:tblGrid>
      <w:tr w:rsidR="00D30D62" w:rsidRPr="00527E7D" w:rsidTr="001133C2">
        <w:tc>
          <w:tcPr>
            <w:tcW w:w="4621" w:type="dxa"/>
            <w:tcBorders>
              <w:top w:val="double" w:sz="4" w:space="0" w:color="auto"/>
              <w:left w:val="nil"/>
              <w:bottom w:val="nil"/>
              <w:right w:val="nil"/>
            </w:tcBorders>
            <w:shd w:val="clear" w:color="auto" w:fill="auto"/>
            <w:hideMark/>
          </w:tcPr>
          <w:p w:rsidR="00D30D62" w:rsidRPr="00527E7D" w:rsidRDefault="00D30D62" w:rsidP="001133C2">
            <w:pPr>
              <w:spacing w:before="60" w:after="60" w:line="240" w:lineRule="auto"/>
              <w:jc w:val="center"/>
              <w:rPr>
                <w:lang w:eastAsia="en-US"/>
              </w:rPr>
            </w:pPr>
            <w:r w:rsidRPr="00527E7D">
              <w:rPr>
                <w:rFonts w:ascii="Times New Roman" w:hAnsi="Times New Roman"/>
              </w:rPr>
              <w:t>S&amp;P 500</w:t>
            </w:r>
          </w:p>
        </w:tc>
        <w:tc>
          <w:tcPr>
            <w:tcW w:w="4621" w:type="dxa"/>
            <w:tcBorders>
              <w:top w:val="double" w:sz="4" w:space="0" w:color="auto"/>
              <w:left w:val="nil"/>
              <w:bottom w:val="nil"/>
              <w:right w:val="nil"/>
            </w:tcBorders>
            <w:shd w:val="clear" w:color="auto" w:fill="auto"/>
            <w:hideMark/>
          </w:tcPr>
          <w:p w:rsidR="00D30D62" w:rsidRPr="00527E7D" w:rsidRDefault="00D30D62" w:rsidP="001133C2">
            <w:pPr>
              <w:spacing w:before="60" w:after="60" w:line="240" w:lineRule="auto"/>
              <w:jc w:val="center"/>
              <w:rPr>
                <w:lang w:eastAsia="en-US"/>
              </w:rPr>
            </w:pPr>
            <w:r w:rsidRPr="00527E7D">
              <w:rPr>
                <w:rFonts w:ascii="Times New Roman" w:hAnsi="Times New Roman"/>
              </w:rPr>
              <w:t>MSCI World Index</w:t>
            </w:r>
          </w:p>
        </w:tc>
      </w:tr>
      <w:tr w:rsidR="00D30D62" w:rsidRPr="00527E7D" w:rsidTr="001133C2">
        <w:tc>
          <w:tcPr>
            <w:tcW w:w="4621" w:type="dxa"/>
            <w:tcBorders>
              <w:top w:val="nil"/>
              <w:left w:val="nil"/>
              <w:bottom w:val="single" w:sz="4" w:space="0" w:color="auto"/>
              <w:right w:val="nil"/>
            </w:tcBorders>
            <w:shd w:val="clear" w:color="auto" w:fill="auto"/>
            <w:hideMark/>
          </w:tcPr>
          <w:p w:rsidR="00D30D62" w:rsidRPr="00527E7D" w:rsidRDefault="00D30D62" w:rsidP="001133C2">
            <w:pPr>
              <w:spacing w:after="0" w:line="240" w:lineRule="auto"/>
              <w:jc w:val="center"/>
              <w:rPr>
                <w:lang w:eastAsia="en-US"/>
              </w:rPr>
            </w:pPr>
            <w:r>
              <w:rPr>
                <w:noProof/>
              </w:rPr>
              <w:drawing>
                <wp:inline distT="0" distB="0" distL="0" distR="0">
                  <wp:extent cx="2857500" cy="254317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2543175"/>
                          </a:xfrm>
                          <a:prstGeom prst="rect">
                            <a:avLst/>
                          </a:prstGeom>
                          <a:noFill/>
                          <a:ln>
                            <a:noFill/>
                          </a:ln>
                        </pic:spPr>
                      </pic:pic>
                    </a:graphicData>
                  </a:graphic>
                </wp:inline>
              </w:drawing>
            </w:r>
          </w:p>
        </w:tc>
        <w:tc>
          <w:tcPr>
            <w:tcW w:w="4621" w:type="dxa"/>
            <w:tcBorders>
              <w:top w:val="nil"/>
              <w:left w:val="nil"/>
              <w:bottom w:val="single" w:sz="4" w:space="0" w:color="auto"/>
              <w:right w:val="nil"/>
            </w:tcBorders>
            <w:shd w:val="clear" w:color="auto" w:fill="auto"/>
            <w:hideMark/>
          </w:tcPr>
          <w:p w:rsidR="00D30D62" w:rsidRPr="00527E7D" w:rsidRDefault="00D30D62" w:rsidP="001133C2">
            <w:pPr>
              <w:spacing w:after="0" w:line="240" w:lineRule="auto"/>
              <w:jc w:val="center"/>
              <w:rPr>
                <w:lang w:eastAsia="en-US"/>
              </w:rPr>
            </w:pPr>
            <w:r>
              <w:rPr>
                <w:noProof/>
              </w:rPr>
              <w:drawing>
                <wp:inline distT="0" distB="0" distL="0" distR="0">
                  <wp:extent cx="2857500" cy="254317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2543175"/>
                          </a:xfrm>
                          <a:prstGeom prst="rect">
                            <a:avLst/>
                          </a:prstGeom>
                          <a:noFill/>
                          <a:ln>
                            <a:noFill/>
                          </a:ln>
                        </pic:spPr>
                      </pic:pic>
                    </a:graphicData>
                  </a:graphic>
                </wp:inline>
              </w:drawing>
            </w:r>
          </w:p>
        </w:tc>
      </w:tr>
      <w:tr w:rsidR="00D30D62" w:rsidRPr="00527E7D" w:rsidTr="001133C2">
        <w:tc>
          <w:tcPr>
            <w:tcW w:w="4621" w:type="dxa"/>
            <w:tcBorders>
              <w:top w:val="single" w:sz="4" w:space="0" w:color="auto"/>
              <w:left w:val="nil"/>
              <w:bottom w:val="nil"/>
              <w:right w:val="nil"/>
            </w:tcBorders>
            <w:shd w:val="clear" w:color="auto" w:fill="auto"/>
            <w:hideMark/>
          </w:tcPr>
          <w:p w:rsidR="00D30D62" w:rsidRPr="00527E7D" w:rsidRDefault="00D30D62" w:rsidP="001133C2">
            <w:pPr>
              <w:spacing w:before="60" w:after="60" w:line="240" w:lineRule="auto"/>
              <w:jc w:val="center"/>
              <w:rPr>
                <w:lang w:eastAsia="en-US"/>
              </w:rPr>
            </w:pPr>
            <w:r w:rsidRPr="00527E7D">
              <w:rPr>
                <w:rFonts w:ascii="Times New Roman" w:hAnsi="Times New Roman"/>
                <w:noProof/>
              </w:rPr>
              <w:t>MSCI World Excl. U.S.</w:t>
            </w:r>
          </w:p>
        </w:tc>
        <w:tc>
          <w:tcPr>
            <w:tcW w:w="4621" w:type="dxa"/>
            <w:tcBorders>
              <w:top w:val="single" w:sz="4" w:space="0" w:color="auto"/>
              <w:left w:val="nil"/>
              <w:bottom w:val="nil"/>
              <w:right w:val="nil"/>
            </w:tcBorders>
            <w:shd w:val="clear" w:color="auto" w:fill="auto"/>
            <w:hideMark/>
          </w:tcPr>
          <w:p w:rsidR="00D30D62" w:rsidRPr="00527E7D" w:rsidRDefault="00D30D62" w:rsidP="001133C2">
            <w:pPr>
              <w:spacing w:before="60" w:after="60" w:line="240" w:lineRule="auto"/>
              <w:jc w:val="center"/>
              <w:rPr>
                <w:lang w:eastAsia="en-US"/>
              </w:rPr>
            </w:pPr>
            <w:r w:rsidRPr="00527E7D">
              <w:rPr>
                <w:rFonts w:ascii="Times New Roman" w:hAnsi="Times New Roman"/>
              </w:rPr>
              <w:t>WTI Crude Oil</w:t>
            </w:r>
          </w:p>
        </w:tc>
      </w:tr>
      <w:tr w:rsidR="00D30D62" w:rsidRPr="00527E7D" w:rsidTr="001133C2">
        <w:tc>
          <w:tcPr>
            <w:tcW w:w="4621" w:type="dxa"/>
            <w:tcBorders>
              <w:top w:val="nil"/>
              <w:left w:val="nil"/>
              <w:bottom w:val="single" w:sz="4" w:space="0" w:color="auto"/>
              <w:right w:val="nil"/>
            </w:tcBorders>
            <w:shd w:val="clear" w:color="auto" w:fill="auto"/>
            <w:hideMark/>
          </w:tcPr>
          <w:p w:rsidR="00D30D62" w:rsidRPr="00527E7D" w:rsidRDefault="00D30D62" w:rsidP="001133C2">
            <w:pPr>
              <w:spacing w:after="0" w:line="240" w:lineRule="auto"/>
              <w:jc w:val="center"/>
              <w:rPr>
                <w:lang w:eastAsia="en-US"/>
              </w:rPr>
            </w:pPr>
            <w:r>
              <w:rPr>
                <w:noProof/>
              </w:rPr>
              <w:drawing>
                <wp:inline distT="0" distB="0" distL="0" distR="0">
                  <wp:extent cx="2857500" cy="25336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2533650"/>
                          </a:xfrm>
                          <a:prstGeom prst="rect">
                            <a:avLst/>
                          </a:prstGeom>
                          <a:noFill/>
                          <a:ln>
                            <a:noFill/>
                          </a:ln>
                        </pic:spPr>
                      </pic:pic>
                    </a:graphicData>
                  </a:graphic>
                </wp:inline>
              </w:drawing>
            </w:r>
          </w:p>
        </w:tc>
        <w:tc>
          <w:tcPr>
            <w:tcW w:w="4621" w:type="dxa"/>
            <w:tcBorders>
              <w:top w:val="nil"/>
              <w:left w:val="nil"/>
              <w:bottom w:val="single" w:sz="4" w:space="0" w:color="auto"/>
              <w:right w:val="nil"/>
            </w:tcBorders>
            <w:shd w:val="clear" w:color="auto" w:fill="auto"/>
            <w:hideMark/>
          </w:tcPr>
          <w:p w:rsidR="00D30D62" w:rsidRPr="00527E7D" w:rsidRDefault="00D30D62" w:rsidP="001133C2">
            <w:pPr>
              <w:spacing w:after="0" w:line="240" w:lineRule="auto"/>
              <w:jc w:val="center"/>
              <w:rPr>
                <w:lang w:eastAsia="en-US"/>
              </w:rPr>
            </w:pPr>
            <w:r>
              <w:rPr>
                <w:noProof/>
              </w:rPr>
              <w:drawing>
                <wp:inline distT="0" distB="0" distL="0" distR="0">
                  <wp:extent cx="2790825" cy="253365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0825" cy="2533650"/>
                          </a:xfrm>
                          <a:prstGeom prst="rect">
                            <a:avLst/>
                          </a:prstGeom>
                          <a:noFill/>
                          <a:ln>
                            <a:noFill/>
                          </a:ln>
                        </pic:spPr>
                      </pic:pic>
                    </a:graphicData>
                  </a:graphic>
                </wp:inline>
              </w:drawing>
            </w:r>
          </w:p>
        </w:tc>
      </w:tr>
      <w:tr w:rsidR="00D30D62" w:rsidRPr="00527E7D" w:rsidTr="001133C2">
        <w:tc>
          <w:tcPr>
            <w:tcW w:w="9242" w:type="dxa"/>
            <w:gridSpan w:val="2"/>
            <w:tcBorders>
              <w:top w:val="single" w:sz="4" w:space="0" w:color="auto"/>
              <w:left w:val="nil"/>
              <w:bottom w:val="nil"/>
              <w:right w:val="nil"/>
            </w:tcBorders>
            <w:shd w:val="clear" w:color="auto" w:fill="auto"/>
            <w:hideMark/>
          </w:tcPr>
          <w:p w:rsidR="00D30D62" w:rsidRPr="00527E7D" w:rsidRDefault="00D30D62" w:rsidP="001133C2">
            <w:pPr>
              <w:spacing w:before="60" w:after="60" w:line="240" w:lineRule="auto"/>
              <w:jc w:val="center"/>
              <w:rPr>
                <w:lang w:eastAsia="en-US"/>
              </w:rPr>
            </w:pPr>
            <w:r w:rsidRPr="00527E7D">
              <w:rPr>
                <w:rFonts w:ascii="Times New Roman" w:hAnsi="Times New Roman"/>
              </w:rPr>
              <w:t>World Government Bond Index</w:t>
            </w:r>
          </w:p>
        </w:tc>
      </w:tr>
      <w:tr w:rsidR="00D30D62" w:rsidRPr="00527E7D" w:rsidTr="001133C2">
        <w:tc>
          <w:tcPr>
            <w:tcW w:w="9242" w:type="dxa"/>
            <w:gridSpan w:val="2"/>
            <w:tcBorders>
              <w:top w:val="nil"/>
              <w:left w:val="nil"/>
              <w:bottom w:val="double" w:sz="4" w:space="0" w:color="auto"/>
              <w:right w:val="nil"/>
            </w:tcBorders>
            <w:shd w:val="clear" w:color="auto" w:fill="auto"/>
            <w:hideMark/>
          </w:tcPr>
          <w:p w:rsidR="00D30D62" w:rsidRPr="00527E7D" w:rsidRDefault="00D30D62" w:rsidP="001133C2">
            <w:pPr>
              <w:spacing w:after="0" w:line="240" w:lineRule="auto"/>
              <w:jc w:val="center"/>
              <w:rPr>
                <w:lang w:eastAsia="en-US"/>
              </w:rPr>
            </w:pPr>
            <w:r>
              <w:rPr>
                <w:noProof/>
              </w:rPr>
              <w:drawing>
                <wp:inline distT="0" distB="0" distL="0" distR="0">
                  <wp:extent cx="2943225" cy="23907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43225" cy="2390775"/>
                          </a:xfrm>
                          <a:prstGeom prst="rect">
                            <a:avLst/>
                          </a:prstGeom>
                          <a:noFill/>
                          <a:ln>
                            <a:noFill/>
                          </a:ln>
                        </pic:spPr>
                      </pic:pic>
                    </a:graphicData>
                  </a:graphic>
                </wp:inline>
              </w:drawing>
            </w:r>
          </w:p>
        </w:tc>
      </w:tr>
    </w:tbl>
    <w:p w:rsidR="00D30D62" w:rsidRPr="00470E8F" w:rsidRDefault="00D30D62" w:rsidP="00D30D62">
      <w:pPr>
        <w:ind w:left="-142" w:right="-46"/>
        <w:jc w:val="both"/>
        <w:rPr>
          <w:rFonts w:ascii="Times New Roman" w:eastAsia="Calibri" w:hAnsi="Times New Roman"/>
          <w:sz w:val="20"/>
          <w:szCs w:val="20"/>
          <w:lang w:val="en-US" w:eastAsia="en-US"/>
        </w:rPr>
      </w:pPr>
      <w:r w:rsidRPr="00470E8F">
        <w:rPr>
          <w:rFonts w:ascii="Times New Roman" w:eastAsia="Calibri" w:hAnsi="Times New Roman"/>
          <w:sz w:val="20"/>
          <w:szCs w:val="20"/>
          <w:lang w:val="en-US"/>
        </w:rPr>
        <w:t>The diagrams above plot the prices of crude oil and equity indices used in this study starting from January 1987 to December 2007. The graphical depiction of the World Government Bonds Index series is for the period from January 1995 to Dec</w:t>
      </w:r>
      <w:r>
        <w:rPr>
          <w:rFonts w:ascii="Times New Roman" w:eastAsia="Calibri" w:hAnsi="Times New Roman"/>
          <w:sz w:val="20"/>
          <w:szCs w:val="20"/>
          <w:lang w:val="en-US"/>
        </w:rPr>
        <w:t>ember 2007.</w:t>
      </w:r>
      <w:r w:rsidRPr="00470E8F">
        <w:rPr>
          <w:rFonts w:ascii="Times New Roman" w:eastAsia="Calibri" w:hAnsi="Times New Roman"/>
          <w:sz w:val="20"/>
          <w:szCs w:val="20"/>
          <w:lang w:val="en-US"/>
        </w:rPr>
        <w:t xml:space="preserve"> </w:t>
      </w:r>
    </w:p>
    <w:p w:rsidR="00D30D62" w:rsidRDefault="00D30D62" w:rsidP="00D30D62">
      <w:pPr>
        <w:spacing w:before="120" w:after="120" w:line="360" w:lineRule="auto"/>
        <w:ind w:left="426" w:hanging="426"/>
        <w:jc w:val="both"/>
        <w:rPr>
          <w:rFonts w:ascii="Times New Roman" w:hAnsi="Times New Roman"/>
          <w:sz w:val="24"/>
          <w:szCs w:val="24"/>
        </w:rPr>
        <w:sectPr w:rsidR="00D30D62" w:rsidSect="00C21D0A">
          <w:pgSz w:w="11906" w:h="16838" w:code="9"/>
          <w:pgMar w:top="567" w:right="1418" w:bottom="567" w:left="1418" w:header="709" w:footer="709" w:gutter="0"/>
          <w:cols w:space="708"/>
          <w:docGrid w:linePitch="360"/>
        </w:sectPr>
      </w:pPr>
    </w:p>
    <w:p w:rsidR="00D30D62" w:rsidRPr="00895A37" w:rsidRDefault="00D30D62" w:rsidP="00D30D62">
      <w:pPr>
        <w:jc w:val="center"/>
        <w:rPr>
          <w:rFonts w:ascii="Times New Roman" w:eastAsia="Calibri" w:hAnsi="Times New Roman"/>
          <w:b/>
          <w:sz w:val="24"/>
          <w:szCs w:val="24"/>
          <w:lang w:eastAsia="en-US"/>
        </w:rPr>
      </w:pPr>
      <w:r w:rsidRPr="00895A37">
        <w:rPr>
          <w:rFonts w:ascii="Times New Roman" w:eastAsia="Calibri" w:hAnsi="Times New Roman"/>
          <w:b/>
          <w:sz w:val="24"/>
          <w:szCs w:val="24"/>
          <w:lang w:eastAsia="en-US"/>
        </w:rPr>
        <w:lastRenderedPageBreak/>
        <w:t>Figure II</w:t>
      </w:r>
    </w:p>
    <w:p w:rsidR="00D30D62" w:rsidRDefault="00D30D62" w:rsidP="00D30D62">
      <w:pPr>
        <w:pBdr>
          <w:bottom w:val="double" w:sz="4" w:space="1" w:color="auto"/>
        </w:pBdr>
        <w:spacing w:before="120" w:after="0"/>
        <w:ind w:left="709" w:right="828"/>
        <w:jc w:val="center"/>
        <w:rPr>
          <w:rFonts w:ascii="Times New Roman" w:eastAsia="Calibri" w:hAnsi="Times New Roman"/>
          <w:b/>
          <w:sz w:val="24"/>
          <w:szCs w:val="24"/>
          <w:lang w:eastAsia="en-US"/>
        </w:rPr>
      </w:pPr>
      <w:r w:rsidRPr="00895A37">
        <w:rPr>
          <w:rFonts w:ascii="Times New Roman" w:eastAsia="Calibri" w:hAnsi="Times New Roman"/>
          <w:b/>
          <w:sz w:val="24"/>
          <w:szCs w:val="24"/>
          <w:lang w:eastAsia="en-US"/>
        </w:rPr>
        <w:t xml:space="preserve">Intervals around the </w:t>
      </w:r>
      <w:r>
        <w:rPr>
          <w:rFonts w:ascii="Times New Roman" w:eastAsia="Calibri" w:hAnsi="Times New Roman"/>
          <w:b/>
          <w:sz w:val="24"/>
          <w:szCs w:val="24"/>
          <w:lang w:eastAsia="en-US"/>
        </w:rPr>
        <w:t>T</w:t>
      </w:r>
      <w:r w:rsidRPr="00895A37">
        <w:rPr>
          <w:rFonts w:ascii="Times New Roman" w:eastAsia="Calibri" w:hAnsi="Times New Roman"/>
          <w:b/>
          <w:sz w:val="24"/>
          <w:szCs w:val="24"/>
          <w:lang w:eastAsia="en-US"/>
        </w:rPr>
        <w:t xml:space="preserve">rigger </w:t>
      </w:r>
      <w:r>
        <w:rPr>
          <w:rFonts w:ascii="Times New Roman" w:eastAsia="Calibri" w:hAnsi="Times New Roman"/>
          <w:b/>
          <w:sz w:val="24"/>
          <w:szCs w:val="24"/>
          <w:lang w:eastAsia="en-US"/>
        </w:rPr>
        <w:t>D</w:t>
      </w:r>
      <w:r w:rsidRPr="00895A37">
        <w:rPr>
          <w:rFonts w:ascii="Times New Roman" w:eastAsia="Calibri" w:hAnsi="Times New Roman"/>
          <w:b/>
          <w:sz w:val="24"/>
          <w:szCs w:val="24"/>
          <w:lang w:eastAsia="en-US"/>
        </w:rPr>
        <w:t>ate</w:t>
      </w:r>
    </w:p>
    <w:p w:rsidR="00D30D62" w:rsidRDefault="00D30D62" w:rsidP="00D30D62">
      <w:pPr>
        <w:pBdr>
          <w:bottom w:val="double" w:sz="4" w:space="1" w:color="auto"/>
        </w:pBdr>
        <w:spacing w:after="0"/>
        <w:ind w:left="709" w:right="828"/>
        <w:jc w:val="center"/>
        <w:rPr>
          <w:rFonts w:ascii="Times New Roman" w:eastAsia="Calibri" w:hAnsi="Times New Roman"/>
          <w:b/>
          <w:sz w:val="24"/>
          <w:szCs w:val="24"/>
          <w:lang w:eastAsia="en-US"/>
        </w:rPr>
      </w:pPr>
    </w:p>
    <w:p w:rsidR="00D30D62" w:rsidRDefault="00D30D62" w:rsidP="00D30D62">
      <w:pPr>
        <w:rPr>
          <w:rFonts w:eastAsia="Calibri"/>
          <w:lang w:eastAsia="en-US"/>
        </w:rPr>
      </w:pPr>
    </w:p>
    <w:p w:rsidR="00D30D62" w:rsidRDefault="00D30D62" w:rsidP="00D30D62">
      <w:pPr>
        <w:rPr>
          <w:rFonts w:eastAsia="Calibri"/>
          <w:lang w:eastAsia="en-US"/>
        </w:rPr>
      </w:pPr>
    </w:p>
    <w:p w:rsidR="00D30D62" w:rsidRDefault="00D30D62" w:rsidP="00D30D62">
      <w:pPr>
        <w:spacing w:line="480" w:lineRule="auto"/>
        <w:jc w:val="center"/>
        <w:rPr>
          <w:rFonts w:ascii="Times New Roman" w:eastAsia="Calibri" w:hAnsi="Times New Roman"/>
          <w:b/>
          <w:sz w:val="24"/>
          <w:szCs w:val="24"/>
          <w:lang w:eastAsia="en-US"/>
        </w:rPr>
      </w:pPr>
      <w:r>
        <w:rPr>
          <w:noProof/>
        </w:rPr>
        <mc:AlternateContent>
          <mc:Choice Requires="wps">
            <w:drawing>
              <wp:anchor distT="0" distB="0" distL="114300" distR="114300" simplePos="0" relativeHeight="251670528" behindDoc="0" locked="0" layoutInCell="1" allowOverlap="1">
                <wp:simplePos x="0" y="0"/>
                <wp:positionH relativeFrom="column">
                  <wp:posOffset>3257550</wp:posOffset>
                </wp:positionH>
                <wp:positionV relativeFrom="paragraph">
                  <wp:posOffset>367665</wp:posOffset>
                </wp:positionV>
                <wp:extent cx="381000" cy="4191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419100"/>
                        </a:xfrm>
                        <a:prstGeom prst="rect">
                          <a:avLst/>
                        </a:prstGeom>
                        <a:solidFill>
                          <a:sysClr val="window" lastClr="FFFFFF"/>
                        </a:solidFill>
                        <a:ln w="6350">
                          <a:noFill/>
                        </a:ln>
                        <a:effectLst/>
                      </wps:spPr>
                      <wps:txbx>
                        <w:txbxContent>
                          <w:p w:rsidR="009A0C3B" w:rsidRPr="00D30D62" w:rsidRDefault="009A0C3B" w:rsidP="00D30D62">
                            <m:oMathPara>
                              <m:oMath>
                                <m:sSub>
                                  <m:sSubPr>
                                    <m:ctrlPr>
                                      <w:rPr>
                                        <w:rFonts w:ascii="Cambria Math" w:eastAsia="Calibri" w:hAnsi="Cambria Math"/>
                                        <w:i/>
                                        <w:lang w:eastAsia="en-US"/>
                                      </w:rPr>
                                    </m:ctrlPr>
                                  </m:sSubPr>
                                  <m:e>
                                    <m:r>
                                      <w:rPr>
                                        <w:rFonts w:ascii="Cambria Math" w:hAnsi="Cambria Math"/>
                                      </w:rPr>
                                      <m:t>I</m:t>
                                    </m:r>
                                  </m:e>
                                  <m:sub>
                                    <m:r>
                                      <w:rPr>
                                        <w:rFonts w:ascii="Cambria Math" w:hAnsi="Cambria Math"/>
                                      </w:rPr>
                                      <m:t>1</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0" o:spid="_x0000_s1026" type="#_x0000_t202" style="position:absolute;left:0;text-align:left;margin-left:256.5pt;margin-top:28.95pt;width:30pt;height: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" fillcolor="window" stroked="f" strokeweight=".5pt">
                <v:path arrowok="t"/>
                <v:textbox>
                  <w:txbxContent>
                    <w:p w:rsidR="009A0C3B" w:rsidRPr="00D30D62" w:rsidRDefault="009A0C3B" w:rsidP="00D30D62">
                      <m:oMathPara>
                        <m:oMath>
                          <m:sSub>
                            <m:sSubPr>
                              <m:ctrlPr>
                                <w:rPr>
                                  <w:rFonts w:ascii="Cambria Math" w:eastAsia="Calibri" w:hAnsi="Cambria Math"/>
                                  <w:i/>
                                  <w:lang w:eastAsia="en-US"/>
                                </w:rPr>
                              </m:ctrlPr>
                            </m:sSubPr>
                            <m:e>
                              <m:r>
                                <w:rPr>
                                  <w:rFonts w:ascii="Cambria Math" w:hAnsi="Cambria Math"/>
                                </w:rPr>
                                <m:t>I</m:t>
                              </m:r>
                            </m:e>
                            <m:sub>
                              <m:r>
                                <w:rPr>
                                  <w:rFonts w:ascii="Cambria Math" w:hAnsi="Cambria Math"/>
                                </w:rPr>
                                <m:t>1</m:t>
                              </m:r>
                            </m:sub>
                          </m:sSub>
                        </m:oMath>
                      </m:oMathPara>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2638425</wp:posOffset>
                </wp:positionH>
                <wp:positionV relativeFrom="paragraph">
                  <wp:posOffset>367665</wp:posOffset>
                </wp:positionV>
                <wp:extent cx="381000" cy="466725"/>
                <wp:effectExtent l="0" t="0" r="0" b="9525"/>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466725"/>
                        </a:xfrm>
                        <a:prstGeom prst="rect">
                          <a:avLst/>
                        </a:prstGeom>
                        <a:solidFill>
                          <a:sysClr val="window" lastClr="FFFFFF"/>
                        </a:solidFill>
                        <a:ln w="6350">
                          <a:noFill/>
                        </a:ln>
                        <a:effectLst/>
                      </wps:spPr>
                      <wps:txbx>
                        <w:txbxContent>
                          <w:p w:rsidR="009A0C3B" w:rsidRPr="00D30D62" w:rsidRDefault="009A0C3B" w:rsidP="00D30D62">
                            <m:oMathPara>
                              <m:oMath>
                                <m:sSub>
                                  <m:sSubPr>
                                    <m:ctrlPr>
                                      <w:rPr>
                                        <w:rFonts w:ascii="Cambria Math" w:eastAsia="Calibri" w:hAnsi="Cambria Math"/>
                                        <w:i/>
                                        <w:lang w:eastAsia="en-US"/>
                                      </w:rPr>
                                    </m:ctrlPr>
                                  </m:sSubPr>
                                  <m:e>
                                    <m:r>
                                      <w:rPr>
                                        <w:rFonts w:ascii="Cambria Math" w:hAnsi="Cambria Math"/>
                                      </w:rPr>
                                      <m:t>I</m:t>
                                    </m:r>
                                  </m:e>
                                  <m:sub>
                                    <m:r>
                                      <w:rPr>
                                        <w:rFonts w:ascii="Cambria Math" w:hAnsi="Cambria Math"/>
                                      </w:rPr>
                                      <m:t>0</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59" o:spid="_x0000_s1027" type="#_x0000_t202" style="position:absolute;left:0;text-align:left;margin-left:207.75pt;margin-top:28.95pt;width:30pt;height:3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" fillcolor="window" stroked="f" strokeweight=".5pt">
                <v:path arrowok="t"/>
                <v:textbox>
                  <w:txbxContent>
                    <w:p w:rsidR="009A0C3B" w:rsidRPr="00D30D62" w:rsidRDefault="009A0C3B" w:rsidP="00D30D62">
                      <m:oMathPara>
                        <m:oMath>
                          <m:sSub>
                            <m:sSubPr>
                              <m:ctrlPr>
                                <w:rPr>
                                  <w:rFonts w:ascii="Cambria Math" w:eastAsia="Calibri" w:hAnsi="Cambria Math"/>
                                  <w:i/>
                                  <w:lang w:eastAsia="en-US"/>
                                </w:rPr>
                              </m:ctrlPr>
                            </m:sSubPr>
                            <m:e>
                              <m:r>
                                <w:rPr>
                                  <w:rFonts w:ascii="Cambria Math" w:hAnsi="Cambria Math"/>
                                </w:rPr>
                                <m:t>I</m:t>
                              </m:r>
                            </m:e>
                            <m:sub>
                              <m:r>
                                <w:rPr>
                                  <w:rFonts w:ascii="Cambria Math" w:hAnsi="Cambria Math"/>
                                </w:rPr>
                                <m:t>0</m:t>
                              </m:r>
                            </m:sub>
                          </m:sSub>
                        </m:oMath>
                      </m:oMathPara>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2009140</wp:posOffset>
                </wp:positionH>
                <wp:positionV relativeFrom="paragraph">
                  <wp:posOffset>367665</wp:posOffset>
                </wp:positionV>
                <wp:extent cx="428625" cy="390525"/>
                <wp:effectExtent l="0" t="0" r="9525" b="9525"/>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 cy="390525"/>
                        </a:xfrm>
                        <a:prstGeom prst="rect">
                          <a:avLst/>
                        </a:prstGeom>
                        <a:solidFill>
                          <a:sysClr val="window" lastClr="FFFFFF"/>
                        </a:solidFill>
                        <a:ln w="6350">
                          <a:noFill/>
                        </a:ln>
                        <a:effectLst/>
                      </wps:spPr>
                      <wps:txbx>
                        <w:txbxContent>
                          <w:p w:rsidR="009A0C3B" w:rsidRPr="00D30D62" w:rsidRDefault="009A0C3B" w:rsidP="00D30D62">
                            <w:pPr>
                              <w:rPr>
                                <w:rFonts w:ascii="Times New Roman" w:hAnsi="Times New Roman"/>
                                <w:sz w:val="20"/>
                                <w:szCs w:val="20"/>
                              </w:rPr>
                            </w:pPr>
                            <m:oMathPara>
                              <m:oMath>
                                <m:sSub>
                                  <m:sSubPr>
                                    <m:ctrlPr>
                                      <w:rPr>
                                        <w:rFonts w:ascii="Cambria Math" w:eastAsia="Calibri" w:hAnsi="Cambria Math"/>
                                        <w:i/>
                                        <w:lang w:eastAsia="en-US"/>
                                      </w:rPr>
                                    </m:ctrlPr>
                                  </m:sSubPr>
                                  <m:e>
                                    <m:r>
                                      <w:rPr>
                                        <w:rFonts w:ascii="Cambria Math" w:hAnsi="Cambria Math"/>
                                      </w:rPr>
                                      <m:t>I</m:t>
                                    </m:r>
                                  </m:e>
                                  <m:sub>
                                    <m:r>
                                      <w:rPr>
                                        <w:rFonts w:ascii="Cambria Math" w:hAnsi="Cambria Math"/>
                                      </w:rPr>
                                      <m:t>-1</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58" o:spid="_x0000_s1028" type="#_x0000_t202" style="position:absolute;left:0;text-align:left;margin-left:158.2pt;margin-top:28.95pt;width:33.75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" fillcolor="window" stroked="f" strokeweight=".5pt">
                <v:path arrowok="t"/>
                <v:textbox>
                  <w:txbxContent>
                    <w:p w:rsidR="009A0C3B" w:rsidRPr="00D30D62" w:rsidRDefault="009A0C3B" w:rsidP="00D30D62">
                      <w:pPr>
                        <w:rPr>
                          <w:rFonts w:ascii="Times New Roman" w:hAnsi="Times New Roman"/>
                          <w:sz w:val="20"/>
                          <w:szCs w:val="20"/>
                        </w:rPr>
                      </w:pPr>
                      <m:oMathPara>
                        <m:oMath>
                          <m:sSub>
                            <m:sSubPr>
                              <m:ctrlPr>
                                <w:rPr>
                                  <w:rFonts w:ascii="Cambria Math" w:eastAsia="Calibri" w:hAnsi="Cambria Math"/>
                                  <w:i/>
                                  <w:lang w:eastAsia="en-US"/>
                                </w:rPr>
                              </m:ctrlPr>
                            </m:sSubPr>
                            <m:e>
                              <m:r>
                                <w:rPr>
                                  <w:rFonts w:ascii="Cambria Math" w:hAnsi="Cambria Math"/>
                                </w:rPr>
                                <m:t>I</m:t>
                              </m:r>
                            </m:e>
                            <m:sub>
                              <m:r>
                                <w:rPr>
                                  <w:rFonts w:ascii="Cambria Math" w:hAnsi="Cambria Math"/>
                                </w:rPr>
                                <m:t>-1</m:t>
                              </m:r>
                            </m:sub>
                          </m:sSub>
                        </m:oMath>
                      </m:oMathPara>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342900</wp:posOffset>
                </wp:positionH>
                <wp:positionV relativeFrom="paragraph">
                  <wp:posOffset>367665</wp:posOffset>
                </wp:positionV>
                <wp:extent cx="438150" cy="390525"/>
                <wp:effectExtent l="0" t="0" r="0" b="9525"/>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90525"/>
                        </a:xfrm>
                        <a:prstGeom prst="rect">
                          <a:avLst/>
                        </a:prstGeom>
                        <a:solidFill>
                          <a:sysClr val="window" lastClr="FFFFFF"/>
                        </a:solidFill>
                        <a:ln w="6350">
                          <a:noFill/>
                        </a:ln>
                        <a:effectLst/>
                      </wps:spPr>
                      <wps:txbx>
                        <w:txbxContent>
                          <w:p w:rsidR="009A0C3B" w:rsidRPr="00D30D62" w:rsidRDefault="009A0C3B" w:rsidP="00D30D62">
                            <w:pPr>
                              <w:rPr>
                                <w:rFonts w:ascii="Times New Roman" w:hAnsi="Times New Roman"/>
                              </w:rPr>
                            </w:pPr>
                            <m:oMathPara>
                              <m:oMath>
                                <m:sSub>
                                  <m:sSubPr>
                                    <m:ctrlPr>
                                      <w:rPr>
                                        <w:rFonts w:ascii="Cambria Math" w:eastAsia="Calibri" w:hAnsi="Cambria Math"/>
                                        <w:i/>
                                        <w:lang w:eastAsia="en-US"/>
                                      </w:rPr>
                                    </m:ctrlPr>
                                  </m:sSubPr>
                                  <m:e>
                                    <m:r>
                                      <w:rPr>
                                        <w:rFonts w:ascii="Cambria Math" w:hAnsi="Cambria Math"/>
                                      </w:rPr>
                                      <m:t>I</m:t>
                                    </m:r>
                                  </m:e>
                                  <m:sub>
                                    <m:r>
                                      <w:rPr>
                                        <w:rFonts w:ascii="Cambria Math" w:hAnsi="Cambria Math"/>
                                      </w:rPr>
                                      <m:t>-</m:t>
                                    </m:r>
                                    <m:sSub>
                                      <m:sSubPr>
                                        <m:ctrlPr>
                                          <w:rPr>
                                            <w:rFonts w:ascii="Cambria Math" w:eastAsia="Calibri" w:hAnsi="Cambria Math"/>
                                            <w:i/>
                                            <w:lang w:eastAsia="en-US"/>
                                          </w:rPr>
                                        </m:ctrlPr>
                                      </m:sSubPr>
                                      <m:e>
                                        <m:r>
                                          <w:rPr>
                                            <w:rFonts w:ascii="Cambria Math" w:hAnsi="Cambria Math"/>
                                          </w:rPr>
                                          <m:t>T</m:t>
                                        </m:r>
                                      </m:e>
                                      <m:sub>
                                        <m:r>
                                          <w:rPr>
                                            <w:rFonts w:ascii="Cambria Math" w:hAnsi="Cambria Math"/>
                                          </w:rPr>
                                          <m:t>1</m:t>
                                        </m:r>
                                      </m:sub>
                                    </m:sSub>
                                  </m:sub>
                                </m:sSub>
                              </m:oMath>
                            </m:oMathPara>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id="Text Box 53" o:spid="_x0000_s1029" type="#_x0000_t202" style="position:absolute;left:0;text-align:left;margin-left:27pt;margin-top:28.95pt;width:34.5pt;height:3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" fillcolor="window" stroked="f" strokeweight=".5pt">
                <v:path arrowok="t"/>
                <v:textbox>
                  <w:txbxContent>
                    <w:p w:rsidR="009A0C3B" w:rsidRPr="00D30D62" w:rsidRDefault="009A0C3B" w:rsidP="00D30D62">
                      <w:pPr>
                        <w:rPr>
                          <w:rFonts w:ascii="Times New Roman" w:hAnsi="Times New Roman"/>
                        </w:rPr>
                      </w:pPr>
                      <m:oMathPara>
                        <m:oMath>
                          <m:sSub>
                            <m:sSubPr>
                              <m:ctrlPr>
                                <w:rPr>
                                  <w:rFonts w:ascii="Cambria Math" w:eastAsia="Calibri" w:hAnsi="Cambria Math"/>
                                  <w:i/>
                                  <w:lang w:eastAsia="en-US"/>
                                </w:rPr>
                              </m:ctrlPr>
                            </m:sSubPr>
                            <m:e>
                              <m:r>
                                <w:rPr>
                                  <w:rFonts w:ascii="Cambria Math" w:hAnsi="Cambria Math"/>
                                </w:rPr>
                                <m:t>I</m:t>
                              </m:r>
                            </m:e>
                            <m:sub>
                              <m:r>
                                <w:rPr>
                                  <w:rFonts w:ascii="Cambria Math" w:hAnsi="Cambria Math"/>
                                </w:rPr>
                                <m:t>-</m:t>
                              </m:r>
                              <m:sSub>
                                <m:sSubPr>
                                  <m:ctrlPr>
                                    <w:rPr>
                                      <w:rFonts w:ascii="Cambria Math" w:eastAsia="Calibri" w:hAnsi="Cambria Math"/>
                                      <w:i/>
                                      <w:lang w:eastAsia="en-US"/>
                                    </w:rPr>
                                  </m:ctrlPr>
                                </m:sSubPr>
                                <m:e>
                                  <m:r>
                                    <w:rPr>
                                      <w:rFonts w:ascii="Cambria Math" w:hAnsi="Cambria Math"/>
                                    </w:rPr>
                                    <m:t>T</m:t>
                                  </m:r>
                                </m:e>
                                <m:sub>
                                  <m:r>
                                    <w:rPr>
                                      <w:rFonts w:ascii="Cambria Math" w:hAnsi="Cambria Math"/>
                                    </w:rPr>
                                    <m:t>1</m:t>
                                  </m:r>
                                </m:sub>
                              </m:sSub>
                            </m:sub>
                          </m:sSub>
                        </m:oMath>
                      </m:oMathPara>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1247775</wp:posOffset>
                </wp:positionH>
                <wp:positionV relativeFrom="paragraph">
                  <wp:posOffset>396240</wp:posOffset>
                </wp:positionV>
                <wp:extent cx="419100" cy="390525"/>
                <wp:effectExtent l="0" t="0" r="0" b="9525"/>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100" cy="390525"/>
                        </a:xfrm>
                        <a:prstGeom prst="rect">
                          <a:avLst/>
                        </a:prstGeom>
                        <a:solidFill>
                          <a:sysClr val="window" lastClr="FFFFFF"/>
                        </a:solidFill>
                        <a:ln w="6350">
                          <a:noFill/>
                        </a:ln>
                        <a:effectLst/>
                      </wps:spPr>
                      <wps:txbx>
                        <w:txbxContent>
                          <w:p w:rsidR="009A0C3B" w:rsidRPr="00895A37" w:rsidRDefault="009A0C3B" w:rsidP="00D30D62">
                            <w:pPr>
                              <w:rPr>
                                <w:rFonts w:ascii="Times New Roman" w:hAnsi="Times New Roman"/>
                              </w:rPr>
                            </w:pPr>
                            <w:r w:rsidRPr="00895A37">
                              <w:rPr>
                                <w:rFonts w:ascii="Times New Roman" w:hAnsi="Times New Roman"/>
                              </w:rPr>
                              <w:t>.…</w:t>
                            </w:r>
                          </w:p>
                          <w:p w:rsidR="009A0C3B" w:rsidRDefault="009A0C3B" w:rsidP="00D30D62">
                            <w:r w:rsidRPr="00A076DB">
                              <w:rPr>
                                <w:rFonts w:ascii="Times New Roman" w:hAnsi="Times New Roman"/>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6" o:spid="_x0000_s1030" type="#_x0000_t202" style="position:absolute;left:0;text-align:left;margin-left:98.25pt;margin-top:31.2pt;width:33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" fillcolor="window" stroked="f" strokeweight=".5pt">
                <v:path arrowok="t"/>
                <v:textbox>
                  <w:txbxContent>
                    <w:p w:rsidR="009A0C3B" w:rsidRPr="00895A37" w:rsidRDefault="009A0C3B" w:rsidP="00D30D62">
                      <w:pPr>
                        <w:rPr>
                          <w:rFonts w:ascii="Times New Roman" w:hAnsi="Times New Roman"/>
                        </w:rPr>
                      </w:pPr>
                      <w:r w:rsidRPr="00895A37">
                        <w:rPr>
                          <w:rFonts w:ascii="Times New Roman" w:hAnsi="Times New Roman"/>
                        </w:rPr>
                        <w:t>.…</w:t>
                      </w:r>
                    </w:p>
                    <w:p w:rsidR="009A0C3B" w:rsidRDefault="009A0C3B" w:rsidP="00D30D62">
                      <w:r w:rsidRPr="00A076DB">
                        <w:rPr>
                          <w:rFonts w:ascii="Times New Roman" w:hAnsi="Times New Roman"/>
                          <w:sz w:val="20"/>
                          <w:szCs w:val="20"/>
                        </w:rPr>
                        <w:t>.</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3952875</wp:posOffset>
                </wp:positionH>
                <wp:positionV relativeFrom="paragraph">
                  <wp:posOffset>367665</wp:posOffset>
                </wp:positionV>
                <wp:extent cx="447675" cy="419100"/>
                <wp:effectExtent l="0" t="0" r="9525"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7675" cy="419100"/>
                        </a:xfrm>
                        <a:prstGeom prst="rect">
                          <a:avLst/>
                        </a:prstGeom>
                        <a:solidFill>
                          <a:sysClr val="window" lastClr="FFFFFF"/>
                        </a:solidFill>
                        <a:ln w="6350">
                          <a:noFill/>
                        </a:ln>
                        <a:effectLst/>
                      </wps:spPr>
                      <wps:txbx>
                        <w:txbxContent>
                          <w:p w:rsidR="009A0C3B" w:rsidRPr="00895A37" w:rsidRDefault="009A0C3B" w:rsidP="00D30D62">
                            <w:pPr>
                              <w:rPr>
                                <w:rFonts w:ascii="Times New Roman" w:hAnsi="Times New Roman"/>
                              </w:rPr>
                            </w:pPr>
                            <w:r w:rsidRPr="00895A37">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5" o:spid="_x0000_s1031" type="#_x0000_t202" style="position:absolute;left:0;text-align:left;margin-left:311.25pt;margin-top:28.95pt;width:35.25pt;height: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" fillcolor="window" stroked="f" strokeweight=".5pt">
                <v:path arrowok="t"/>
                <v:textbox>
                  <w:txbxContent>
                    <w:p w:rsidR="009A0C3B" w:rsidRPr="00895A37" w:rsidRDefault="009A0C3B" w:rsidP="00D30D62">
                      <w:pPr>
                        <w:rPr>
                          <w:rFonts w:ascii="Times New Roman" w:hAnsi="Times New Roman"/>
                        </w:rPr>
                      </w:pPr>
                      <w:r w:rsidRPr="00895A37">
                        <w:rPr>
                          <w:rFonts w:ascii="Times New Roman" w:hAnsi="Times New Roman"/>
                        </w:rPr>
                        <w:t>….</w:t>
                      </w:r>
                    </w:p>
                  </w:txbxContent>
                </v:textbox>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4628515</wp:posOffset>
                </wp:positionH>
                <wp:positionV relativeFrom="paragraph">
                  <wp:posOffset>358140</wp:posOffset>
                </wp:positionV>
                <wp:extent cx="447675" cy="466725"/>
                <wp:effectExtent l="0" t="0" r="9525" b="952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7675" cy="466725"/>
                        </a:xfrm>
                        <a:prstGeom prst="rect">
                          <a:avLst/>
                        </a:prstGeom>
                        <a:solidFill>
                          <a:sysClr val="window" lastClr="FFFFFF"/>
                        </a:solidFill>
                        <a:ln w="6350">
                          <a:noFill/>
                        </a:ln>
                        <a:effectLst/>
                      </wps:spPr>
                      <wps:txbx>
                        <w:txbxContent>
                          <w:p w:rsidR="009A0C3B" w:rsidRPr="00D30D62" w:rsidRDefault="009A0C3B" w:rsidP="00D30D62">
                            <m:oMathPara>
                              <m:oMath>
                                <m:sSub>
                                  <m:sSubPr>
                                    <m:ctrlPr>
                                      <w:rPr>
                                        <w:rFonts w:ascii="Cambria Math" w:eastAsia="Calibri" w:hAnsi="Cambria Math"/>
                                        <w:i/>
                                        <w:lang w:eastAsia="en-US"/>
                                      </w:rPr>
                                    </m:ctrlPr>
                                  </m:sSubPr>
                                  <m:e>
                                    <m:r>
                                      <w:rPr>
                                        <w:rFonts w:ascii="Cambria Math" w:hAnsi="Cambria Math"/>
                                      </w:rPr>
                                      <m:t>I</m:t>
                                    </m:r>
                                  </m:e>
                                  <m:sub>
                                    <m:sSub>
                                      <m:sSubPr>
                                        <m:ctrlPr>
                                          <w:rPr>
                                            <w:rFonts w:ascii="Cambria Math" w:eastAsia="Calibri" w:hAnsi="Cambria Math"/>
                                            <w:i/>
                                            <w:lang w:eastAsia="en-US"/>
                                          </w:rPr>
                                        </m:ctrlPr>
                                      </m:sSubPr>
                                      <m:e>
                                        <m:r>
                                          <w:rPr>
                                            <w:rFonts w:ascii="Cambria Math" w:hAnsi="Cambria Math"/>
                                          </w:rPr>
                                          <m:t>T</m:t>
                                        </m:r>
                                      </m:e>
                                      <m:sub>
                                        <m:r>
                                          <w:rPr>
                                            <w:rFonts w:ascii="Cambria Math" w:hAnsi="Cambria Math"/>
                                          </w:rPr>
                                          <m:t>2</m:t>
                                        </m:r>
                                      </m:sub>
                                    </m:sSub>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42" o:spid="_x0000_s1032" type="#_x0000_t202" style="position:absolute;left:0;text-align:left;margin-left:364.45pt;margin-top:28.2pt;width:35.25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" fillcolor="window" stroked="f" strokeweight=".5pt">
                <v:path arrowok="t"/>
                <v:textbox>
                  <w:txbxContent>
                    <w:p w:rsidR="009A0C3B" w:rsidRPr="00D30D62" w:rsidRDefault="009A0C3B" w:rsidP="00D30D62">
                      <m:oMathPara>
                        <m:oMath>
                          <m:sSub>
                            <m:sSubPr>
                              <m:ctrlPr>
                                <w:rPr>
                                  <w:rFonts w:ascii="Cambria Math" w:eastAsia="Calibri" w:hAnsi="Cambria Math"/>
                                  <w:i/>
                                  <w:lang w:eastAsia="en-US"/>
                                </w:rPr>
                              </m:ctrlPr>
                            </m:sSubPr>
                            <m:e>
                              <m:r>
                                <w:rPr>
                                  <w:rFonts w:ascii="Cambria Math" w:hAnsi="Cambria Math"/>
                                </w:rPr>
                                <m:t>I</m:t>
                              </m:r>
                            </m:e>
                            <m:sub>
                              <m:sSub>
                                <m:sSubPr>
                                  <m:ctrlPr>
                                    <w:rPr>
                                      <w:rFonts w:ascii="Cambria Math" w:eastAsia="Calibri" w:hAnsi="Cambria Math"/>
                                      <w:i/>
                                      <w:lang w:eastAsia="en-US"/>
                                    </w:rPr>
                                  </m:ctrlPr>
                                </m:sSubPr>
                                <m:e>
                                  <m:r>
                                    <w:rPr>
                                      <w:rFonts w:ascii="Cambria Math" w:hAnsi="Cambria Math"/>
                                    </w:rPr>
                                    <m:t>T</m:t>
                                  </m:r>
                                </m:e>
                                <m:sub>
                                  <m:r>
                                    <w:rPr>
                                      <w:rFonts w:ascii="Cambria Math" w:hAnsi="Cambria Math"/>
                                    </w:rPr>
                                    <m:t>2</m:t>
                                  </m:r>
                                </m:sub>
                              </m:sSub>
                            </m:sub>
                          </m:sSub>
                        </m:oMath>
                      </m:oMathPara>
                    </w:p>
                  </w:txbxContent>
                </v:textbox>
              </v:shape>
            </w:pict>
          </mc:Fallback>
        </mc:AlternateContent>
      </w:r>
      <w:r>
        <w:rPr>
          <w:noProof/>
        </w:rPr>
        <mc:AlternateContent>
          <mc:Choice Requires="wps">
            <w:drawing>
              <wp:anchor distT="0" distB="0" distL="114299" distR="114299" simplePos="0" relativeHeight="251665408" behindDoc="0" locked="0" layoutInCell="1" allowOverlap="1">
                <wp:simplePos x="0" y="0"/>
                <wp:positionH relativeFrom="column">
                  <wp:posOffset>4772024</wp:posOffset>
                </wp:positionH>
                <wp:positionV relativeFrom="paragraph">
                  <wp:posOffset>-3810</wp:posOffset>
                </wp:positionV>
                <wp:extent cx="0" cy="371475"/>
                <wp:effectExtent l="0" t="0" r="19050" b="952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147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41"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5.75pt,-.3pt" to="375.7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" strokecolor="windowText">
                <o:lock v:ext="edit" shapetype="f"/>
              </v:line>
            </w:pict>
          </mc:Fallback>
        </mc:AlternateContent>
      </w:r>
      <w:r>
        <w:rPr>
          <w:noProof/>
        </w:rPr>
        <mc:AlternateContent>
          <mc:Choice Requires="wps">
            <w:drawing>
              <wp:anchor distT="0" distB="0" distL="114299" distR="114299" simplePos="0" relativeHeight="251664384" behindDoc="0" locked="0" layoutInCell="1" allowOverlap="1">
                <wp:simplePos x="0" y="0"/>
                <wp:positionH relativeFrom="column">
                  <wp:posOffset>4076699</wp:posOffset>
                </wp:positionH>
                <wp:positionV relativeFrom="paragraph">
                  <wp:posOffset>-3810</wp:posOffset>
                </wp:positionV>
                <wp:extent cx="0" cy="371475"/>
                <wp:effectExtent l="0" t="0" r="19050" b="952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14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40"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21pt,-.3pt" to="321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" strokecolor="windowText">
                <o:lock v:ext="edit" shapetype="f"/>
              </v:line>
            </w:pict>
          </mc:Fallback>
        </mc:AlternateContent>
      </w:r>
      <w:r>
        <w:rPr>
          <w:noProof/>
        </w:rPr>
        <mc:AlternateContent>
          <mc:Choice Requires="wps">
            <w:drawing>
              <wp:anchor distT="0" distB="0" distL="114299" distR="114299" simplePos="0" relativeHeight="251663360" behindDoc="0" locked="0" layoutInCell="1" allowOverlap="1">
                <wp:simplePos x="0" y="0"/>
                <wp:positionH relativeFrom="column">
                  <wp:posOffset>3343274</wp:posOffset>
                </wp:positionH>
                <wp:positionV relativeFrom="paragraph">
                  <wp:posOffset>-3810</wp:posOffset>
                </wp:positionV>
                <wp:extent cx="0" cy="371475"/>
                <wp:effectExtent l="0" t="0" r="19050" b="952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147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9"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3.25pt,-.3pt" to="263.2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" strokecolor="windowText">
                <o:lock v:ext="edit" shapetype="f"/>
              </v:line>
            </w:pict>
          </mc:Fallback>
        </mc:AlternateContent>
      </w:r>
      <w:r>
        <w:rPr>
          <w:noProof/>
        </w:rPr>
        <mc:AlternateContent>
          <mc:Choice Requires="wps">
            <w:drawing>
              <wp:anchor distT="0" distB="0" distL="114299" distR="114299" simplePos="0" relativeHeight="251662336" behindDoc="0" locked="0" layoutInCell="1" allowOverlap="1">
                <wp:simplePos x="0" y="0"/>
                <wp:positionH relativeFrom="column">
                  <wp:posOffset>2714624</wp:posOffset>
                </wp:positionH>
                <wp:positionV relativeFrom="paragraph">
                  <wp:posOffset>-3810</wp:posOffset>
                </wp:positionV>
                <wp:extent cx="0" cy="371475"/>
                <wp:effectExtent l="0" t="0" r="19050" b="952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147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8"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3.75pt,-.3pt" to="213.7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" strokecolor="windowText">
                <o:lock v:ext="edit" shapetype="f"/>
              </v:line>
            </w:pict>
          </mc:Fallback>
        </mc:AlternateContent>
      </w:r>
      <w:r>
        <w:rPr>
          <w:noProof/>
        </w:rPr>
        <mc:AlternateContent>
          <mc:Choice Requires="wps">
            <w:drawing>
              <wp:anchor distT="0" distB="0" distL="114299" distR="114299" simplePos="0" relativeHeight="251661312" behindDoc="0" locked="0" layoutInCell="1" allowOverlap="1">
                <wp:simplePos x="0" y="0"/>
                <wp:positionH relativeFrom="column">
                  <wp:posOffset>2076449</wp:posOffset>
                </wp:positionH>
                <wp:positionV relativeFrom="paragraph">
                  <wp:posOffset>-3810</wp:posOffset>
                </wp:positionV>
                <wp:extent cx="0" cy="371475"/>
                <wp:effectExtent l="0" t="0" r="19050" b="952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147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7"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3.5pt,-.3pt" to="163.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" strokecolor="windowText">
                <o:lock v:ext="edit" shapetype="f"/>
              </v:line>
            </w:pict>
          </mc:Fallback>
        </mc:AlternateContent>
      </w:r>
      <w:r>
        <w:rPr>
          <w:noProof/>
        </w:rPr>
        <mc:AlternateContent>
          <mc:Choice Requires="wps">
            <w:drawing>
              <wp:anchor distT="0" distB="0" distL="114299" distR="114299" simplePos="0" relativeHeight="251660288" behindDoc="0" locked="0" layoutInCell="1" allowOverlap="1">
                <wp:simplePos x="0" y="0"/>
                <wp:positionH relativeFrom="column">
                  <wp:posOffset>1323974</wp:posOffset>
                </wp:positionH>
                <wp:positionV relativeFrom="paragraph">
                  <wp:posOffset>-3810</wp:posOffset>
                </wp:positionV>
                <wp:extent cx="0" cy="371475"/>
                <wp:effectExtent l="0" t="0" r="19050" b="952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14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36"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104.25pt,-.3pt" to="104.2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" strokecolor="windowText">
                <o:lock v:ext="edit" shapetype="f"/>
              </v:line>
            </w:pict>
          </mc:Fallback>
        </mc:AlternateContent>
      </w:r>
      <w:r>
        <w:rPr>
          <w:noProof/>
        </w:rPr>
        <mc:AlternateContent>
          <mc:Choice Requires="wps">
            <w:drawing>
              <wp:anchor distT="0" distB="0" distL="114299" distR="114299" simplePos="0" relativeHeight="251659264" behindDoc="0" locked="0" layoutInCell="1" allowOverlap="1">
                <wp:simplePos x="0" y="0"/>
                <wp:positionH relativeFrom="column">
                  <wp:posOffset>447674</wp:posOffset>
                </wp:positionH>
                <wp:positionV relativeFrom="paragraph">
                  <wp:posOffset>-3810</wp:posOffset>
                </wp:positionV>
                <wp:extent cx="0" cy="371475"/>
                <wp:effectExtent l="0" t="0" r="19050" b="952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147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Straight Connector 35"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5.25pt,-.3pt" to="35.2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" strokecolor="windowText">
                <o:lock v:ext="edit" shapetype="f"/>
              </v:line>
            </w:pict>
          </mc:Fallback>
        </mc:AlternateContent>
      </w:r>
      <w:r>
        <w:rPr>
          <w:rFonts w:ascii="Times New Roman" w:eastAsia="Calibri" w:hAnsi="Times New Roman"/>
          <w:b/>
          <w:noProof/>
          <w:sz w:val="24"/>
          <w:szCs w:val="24"/>
        </w:rPr>
        <w:drawing>
          <wp:inline distT="0" distB="0" distL="0" distR="0">
            <wp:extent cx="4914900" cy="3714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14900" cy="371475"/>
                    </a:xfrm>
                    <a:prstGeom prst="rect">
                      <a:avLst/>
                    </a:prstGeom>
                    <a:noFill/>
                    <a:ln>
                      <a:noFill/>
                    </a:ln>
                  </pic:spPr>
                </pic:pic>
              </a:graphicData>
            </a:graphic>
          </wp:inline>
        </w:drawing>
      </w:r>
    </w:p>
    <w:p w:rsidR="00D30D62" w:rsidRDefault="00D30D62" w:rsidP="00D30D62">
      <w:pPr>
        <w:spacing w:line="480" w:lineRule="auto"/>
        <w:jc w:val="center"/>
        <w:rPr>
          <w:rFonts w:ascii="Times New Roman" w:eastAsia="Calibri" w:hAnsi="Times New Roman"/>
          <w:sz w:val="20"/>
          <w:szCs w:val="20"/>
          <w:lang w:eastAsia="en-US"/>
        </w:rPr>
      </w:pPr>
    </w:p>
    <w:p w:rsidR="00D30D62" w:rsidRPr="00470E8F" w:rsidRDefault="00D30D62" w:rsidP="00D30D62">
      <w:pPr>
        <w:pBdr>
          <w:top w:val="double" w:sz="4" w:space="1" w:color="auto"/>
        </w:pBdr>
        <w:tabs>
          <w:tab w:val="left" w:pos="8364"/>
        </w:tabs>
        <w:spacing w:line="240" w:lineRule="auto"/>
        <w:ind w:left="709" w:right="686"/>
        <w:jc w:val="both"/>
        <w:rPr>
          <w:rFonts w:ascii="Times New Roman" w:eastAsia="Calibri" w:hAnsi="Times New Roman"/>
          <w:sz w:val="20"/>
          <w:szCs w:val="20"/>
          <w:lang w:val="en-US" w:eastAsia="en-US"/>
        </w:rPr>
      </w:pPr>
      <w:r w:rsidRPr="00470E8F">
        <w:rPr>
          <w:rFonts w:ascii="Times New Roman" w:eastAsia="Calibri" w:hAnsi="Times New Roman"/>
          <w:sz w:val="20"/>
          <w:szCs w:val="20"/>
          <w:lang w:val="en-US" w:eastAsia="en-US"/>
        </w:rPr>
        <w:t xml:space="preserve">The figure above illustrates the timing sequence of the event study. </w:t>
      </w:r>
      <m:oMath>
        <m:sSub>
          <m:sSubPr>
            <m:ctrlPr>
              <w:rPr>
                <w:rFonts w:ascii="Cambria Math" w:eastAsia="Calibri" w:hAnsi="Cambria Math"/>
                <w:i/>
                <w:sz w:val="20"/>
                <w:szCs w:val="20"/>
                <w:lang w:val="en-US" w:eastAsia="en-US"/>
              </w:rPr>
            </m:ctrlPr>
          </m:sSubPr>
          <m:e>
            <m:r>
              <w:rPr>
                <w:rFonts w:ascii="Cambria Math" w:eastAsia="Calibri" w:hAnsi="Cambria Math"/>
                <w:sz w:val="20"/>
                <w:szCs w:val="20"/>
                <w:lang w:val="en-US" w:eastAsia="en-US"/>
              </w:rPr>
              <m:t>I</m:t>
            </m:r>
          </m:e>
          <m:sub>
            <m:r>
              <w:rPr>
                <w:rFonts w:ascii="Cambria Math" w:eastAsia="Calibri" w:hAnsi="Cambria Math"/>
                <w:sz w:val="20"/>
                <w:szCs w:val="20"/>
                <w:lang w:val="en-US" w:eastAsia="en-US"/>
              </w:rPr>
              <m:t>o</m:t>
            </m:r>
          </m:sub>
        </m:sSub>
      </m:oMath>
      <w:r w:rsidRPr="00470E8F">
        <w:rPr>
          <w:rFonts w:ascii="Times New Roman" w:eastAsia="Calibri" w:hAnsi="Times New Roman"/>
          <w:sz w:val="20"/>
          <w:szCs w:val="20"/>
          <w:lang w:val="en-US" w:eastAsia="en-US"/>
        </w:rPr>
        <w:t xml:space="preserve"> </w:t>
      </w:r>
      <w:proofErr w:type="gramStart"/>
      <w:r w:rsidRPr="00470E8F">
        <w:rPr>
          <w:rFonts w:ascii="Times New Roman" w:eastAsia="Calibri" w:hAnsi="Times New Roman"/>
          <w:sz w:val="20"/>
          <w:szCs w:val="20"/>
          <w:lang w:val="en-US" w:eastAsia="en-US"/>
        </w:rPr>
        <w:t>denotes</w:t>
      </w:r>
      <w:proofErr w:type="gramEnd"/>
      <w:r w:rsidRPr="00470E8F">
        <w:rPr>
          <w:rFonts w:ascii="Times New Roman" w:eastAsia="Calibri" w:hAnsi="Times New Roman"/>
          <w:sz w:val="20"/>
          <w:szCs w:val="20"/>
          <w:lang w:val="en-US" w:eastAsia="en-US"/>
        </w:rPr>
        <w:t xml:space="preserve"> the conflict trigger date, whereas </w:t>
      </w:r>
      <m:oMath>
        <m:sSub>
          <m:sSubPr>
            <m:ctrlPr>
              <w:rPr>
                <w:rFonts w:ascii="Cambria Math" w:eastAsia="Calibri" w:hAnsi="Cambria Math"/>
                <w:i/>
                <w:sz w:val="20"/>
                <w:szCs w:val="20"/>
                <w:lang w:val="en-US" w:eastAsia="en-US"/>
              </w:rPr>
            </m:ctrlPr>
          </m:sSubPr>
          <m:e>
            <m:r>
              <w:rPr>
                <w:rFonts w:ascii="Cambria Math" w:eastAsia="Calibri" w:hAnsi="Cambria Math"/>
                <w:sz w:val="20"/>
                <w:szCs w:val="20"/>
                <w:lang w:val="en-US" w:eastAsia="en-US"/>
              </w:rPr>
              <m:t>T</m:t>
            </m:r>
          </m:e>
          <m:sub>
            <m:r>
              <w:rPr>
                <w:rFonts w:ascii="Cambria Math" w:eastAsia="Calibri" w:hAnsi="Cambria Math"/>
                <w:sz w:val="20"/>
                <w:szCs w:val="20"/>
                <w:lang w:val="en-US" w:eastAsia="en-US"/>
              </w:rPr>
              <m:t>1</m:t>
            </m:r>
          </m:sub>
        </m:sSub>
        <m:r>
          <w:rPr>
            <w:rFonts w:ascii="Cambria Math" w:eastAsia="Calibri" w:hAnsi="Cambria Math"/>
            <w:sz w:val="20"/>
            <w:szCs w:val="20"/>
            <w:lang w:val="en-US" w:eastAsia="en-US"/>
          </w:rPr>
          <m:t xml:space="preserve"> </m:t>
        </m:r>
        <m:r>
          <m:rPr>
            <m:sty m:val="p"/>
          </m:rPr>
          <w:rPr>
            <w:rFonts w:ascii="Cambria Math" w:eastAsia="Calibri" w:hAnsi="Cambria Math"/>
            <w:sz w:val="20"/>
            <w:szCs w:val="20"/>
            <w:lang w:val="en-US" w:eastAsia="en-US"/>
          </w:rPr>
          <m:t>and</m:t>
        </m:r>
        <m:r>
          <w:rPr>
            <w:rFonts w:ascii="Cambria Math" w:eastAsia="Calibri" w:hAnsi="Cambria Math"/>
            <w:sz w:val="20"/>
            <w:szCs w:val="20"/>
            <w:lang w:val="en-US" w:eastAsia="en-US"/>
          </w:rPr>
          <m:t xml:space="preserve"> </m:t>
        </m:r>
        <m:sSub>
          <m:sSubPr>
            <m:ctrlPr>
              <w:rPr>
                <w:rFonts w:ascii="Cambria Math" w:eastAsia="Calibri" w:hAnsi="Cambria Math"/>
                <w:i/>
                <w:sz w:val="20"/>
                <w:szCs w:val="20"/>
                <w:lang w:val="en-US" w:eastAsia="en-US"/>
              </w:rPr>
            </m:ctrlPr>
          </m:sSubPr>
          <m:e>
            <m:r>
              <w:rPr>
                <w:rFonts w:ascii="Cambria Math" w:eastAsia="Calibri" w:hAnsi="Cambria Math"/>
                <w:sz w:val="20"/>
                <w:szCs w:val="20"/>
                <w:lang w:val="en-US" w:eastAsia="en-US"/>
              </w:rPr>
              <m:t>T</m:t>
            </m:r>
          </m:e>
          <m:sub>
            <m:r>
              <w:rPr>
                <w:rFonts w:ascii="Cambria Math" w:eastAsia="Calibri" w:hAnsi="Cambria Math"/>
                <w:sz w:val="20"/>
                <w:szCs w:val="20"/>
                <w:lang w:val="en-US" w:eastAsia="en-US"/>
              </w:rPr>
              <m:t>2</m:t>
            </m:r>
          </m:sub>
        </m:sSub>
        <m:r>
          <w:rPr>
            <w:rFonts w:ascii="Cambria Math" w:eastAsia="Calibri" w:hAnsi="Cambria Math"/>
            <w:sz w:val="20"/>
            <w:szCs w:val="20"/>
            <w:lang w:val="en-US" w:eastAsia="en-US"/>
          </w:rPr>
          <m:t xml:space="preserve"> </m:t>
        </m:r>
      </m:oMath>
      <w:r w:rsidRPr="00470E8F">
        <w:rPr>
          <w:rFonts w:ascii="Times New Roman" w:eastAsia="Calibri" w:hAnsi="Times New Roman"/>
          <w:sz w:val="20"/>
          <w:szCs w:val="20"/>
          <w:lang w:val="en-US" w:eastAsia="en-US"/>
        </w:rPr>
        <w:t xml:space="preserve"> are the number of days before and after the event date, respectively. </w:t>
      </w:r>
    </w:p>
    <w:p w:rsidR="00D30D62" w:rsidRDefault="00D30D62" w:rsidP="00D30D62">
      <w:pPr>
        <w:rPr>
          <w:rFonts w:eastAsia="Calibri"/>
          <w:lang w:eastAsia="en-US"/>
        </w:rPr>
      </w:pPr>
    </w:p>
    <w:p w:rsidR="00D30D62" w:rsidRDefault="00D30D62" w:rsidP="00D30D62">
      <w:pPr>
        <w:rPr>
          <w:rFonts w:eastAsia="Calibri"/>
          <w:lang w:eastAsia="en-US"/>
        </w:rPr>
      </w:pPr>
    </w:p>
    <w:p w:rsidR="00D30D62" w:rsidRPr="00895A37" w:rsidRDefault="00D30D62" w:rsidP="00D30D62">
      <w:pPr>
        <w:rPr>
          <w:rFonts w:eastAsia="Calibri"/>
          <w:lang w:eastAsia="en-US"/>
        </w:rPr>
        <w:sectPr w:rsidR="00D30D62" w:rsidRPr="00895A37" w:rsidSect="00371574">
          <w:pgSz w:w="11906" w:h="16838" w:code="9"/>
          <w:pgMar w:top="851" w:right="1133" w:bottom="0" w:left="1440" w:header="709" w:footer="709" w:gutter="0"/>
          <w:cols w:space="708"/>
          <w:docGrid w:linePitch="360"/>
        </w:sectPr>
      </w:pPr>
    </w:p>
    <w:p w:rsidR="00D30D62" w:rsidRDefault="00D30D62" w:rsidP="00D30D62">
      <w:pPr>
        <w:jc w:val="center"/>
        <w:rPr>
          <w:rFonts w:ascii="Times New Roman" w:hAnsi="Times New Roman"/>
          <w:b/>
          <w:sz w:val="24"/>
          <w:szCs w:val="24"/>
        </w:rPr>
      </w:pPr>
      <w:r>
        <w:rPr>
          <w:rFonts w:ascii="Times New Roman" w:hAnsi="Times New Roman"/>
          <w:b/>
          <w:sz w:val="24"/>
          <w:szCs w:val="24"/>
        </w:rPr>
        <w:lastRenderedPageBreak/>
        <w:t>Figure III</w:t>
      </w:r>
    </w:p>
    <w:p w:rsidR="00D30D62" w:rsidRDefault="00D30D62" w:rsidP="00D30D62">
      <w:pPr>
        <w:jc w:val="center"/>
        <w:rPr>
          <w:rFonts w:ascii="Times New Roman" w:hAnsi="Times New Roman"/>
          <w:b/>
          <w:sz w:val="24"/>
          <w:szCs w:val="24"/>
        </w:rPr>
      </w:pPr>
      <w:r w:rsidRPr="00AA1520">
        <w:rPr>
          <w:rFonts w:ascii="Times New Roman" w:hAnsi="Times New Roman"/>
          <w:b/>
          <w:sz w:val="24"/>
          <w:szCs w:val="24"/>
        </w:rPr>
        <w:t xml:space="preserve">Cumulative </w:t>
      </w:r>
      <w:r>
        <w:rPr>
          <w:rFonts w:ascii="Times New Roman" w:hAnsi="Times New Roman"/>
          <w:b/>
          <w:sz w:val="24"/>
          <w:szCs w:val="24"/>
        </w:rPr>
        <w:t>Average A</w:t>
      </w:r>
      <w:r w:rsidRPr="00AA1520">
        <w:rPr>
          <w:rFonts w:ascii="Times New Roman" w:hAnsi="Times New Roman"/>
          <w:b/>
          <w:sz w:val="24"/>
          <w:szCs w:val="24"/>
        </w:rPr>
        <w:t xml:space="preserve">bnormal </w:t>
      </w:r>
      <w:r>
        <w:rPr>
          <w:rFonts w:ascii="Times New Roman" w:hAnsi="Times New Roman"/>
          <w:b/>
          <w:sz w:val="24"/>
          <w:szCs w:val="24"/>
        </w:rPr>
        <w:t>Returns around C</w:t>
      </w:r>
      <w:r w:rsidRPr="00AA1520">
        <w:rPr>
          <w:rFonts w:ascii="Times New Roman" w:hAnsi="Times New Roman"/>
          <w:b/>
          <w:sz w:val="24"/>
          <w:szCs w:val="24"/>
        </w:rPr>
        <w:t xml:space="preserve">onflict </w:t>
      </w:r>
      <w:r>
        <w:rPr>
          <w:rFonts w:ascii="Times New Roman" w:hAnsi="Times New Roman"/>
          <w:b/>
          <w:sz w:val="24"/>
          <w:szCs w:val="24"/>
        </w:rPr>
        <w:t>T</w:t>
      </w:r>
      <w:r w:rsidRPr="00AA1520">
        <w:rPr>
          <w:rFonts w:ascii="Times New Roman" w:hAnsi="Times New Roman"/>
          <w:b/>
          <w:sz w:val="24"/>
          <w:szCs w:val="24"/>
        </w:rPr>
        <w:t xml:space="preserve">rigger </w:t>
      </w:r>
      <w:r>
        <w:rPr>
          <w:rFonts w:ascii="Times New Roman" w:hAnsi="Times New Roman"/>
          <w:b/>
          <w:sz w:val="24"/>
          <w:szCs w:val="24"/>
        </w:rPr>
        <w:t>D</w:t>
      </w:r>
      <w:r w:rsidRPr="00AA1520">
        <w:rPr>
          <w:rFonts w:ascii="Times New Roman" w:hAnsi="Times New Roman"/>
          <w:b/>
          <w:sz w:val="24"/>
          <w:szCs w:val="24"/>
        </w:rPr>
        <w:t>ates</w:t>
      </w:r>
    </w:p>
    <w:tbl>
      <w:tblPr>
        <w:tblpPr w:leftFromText="180" w:rightFromText="180" w:vertAnchor="text" w:horzAnchor="margin" w:tblpY="139"/>
        <w:tblW w:w="0" w:type="auto"/>
        <w:tblLayout w:type="fixed"/>
        <w:tblLook w:val="04A0" w:firstRow="1" w:lastRow="0" w:firstColumn="1" w:lastColumn="0" w:noHBand="0" w:noVBand="1"/>
      </w:tblPr>
      <w:tblGrid>
        <w:gridCol w:w="4356"/>
        <w:gridCol w:w="4356"/>
      </w:tblGrid>
      <w:tr w:rsidR="00D30D62" w:rsidRPr="00527E7D" w:rsidTr="001133C2">
        <w:trPr>
          <w:trHeight w:val="510"/>
        </w:trPr>
        <w:tc>
          <w:tcPr>
            <w:tcW w:w="4356" w:type="dxa"/>
            <w:tcBorders>
              <w:top w:val="double" w:sz="4" w:space="0" w:color="auto"/>
              <w:right w:val="single" w:sz="4" w:space="0" w:color="auto"/>
            </w:tcBorders>
            <w:shd w:val="clear" w:color="auto" w:fill="auto"/>
          </w:tcPr>
          <w:p w:rsidR="00D30D62" w:rsidRPr="00527E7D" w:rsidRDefault="00D30D62" w:rsidP="001133C2">
            <w:pPr>
              <w:jc w:val="center"/>
              <w:rPr>
                <w:rFonts w:ascii="Times New Roman" w:eastAsia="Calibri" w:hAnsi="Times New Roman"/>
                <w:lang w:eastAsia="en-US"/>
              </w:rPr>
            </w:pPr>
            <w:r w:rsidRPr="00527E7D">
              <w:rPr>
                <w:rFonts w:ascii="Times New Roman" w:eastAsia="Calibri" w:hAnsi="Times New Roman"/>
                <w:b/>
                <w:lang w:eastAsia="en-US"/>
              </w:rPr>
              <w:t>Panel A. The War Sample</w:t>
            </w:r>
          </w:p>
        </w:tc>
        <w:tc>
          <w:tcPr>
            <w:tcW w:w="4356" w:type="dxa"/>
            <w:tcBorders>
              <w:top w:val="double" w:sz="4" w:space="0" w:color="auto"/>
              <w:left w:val="single" w:sz="4" w:space="0" w:color="auto"/>
            </w:tcBorders>
            <w:shd w:val="clear" w:color="auto" w:fill="auto"/>
          </w:tcPr>
          <w:p w:rsidR="00D30D62" w:rsidRPr="00527E7D" w:rsidRDefault="00D30D62" w:rsidP="001133C2">
            <w:pPr>
              <w:jc w:val="right"/>
              <w:rPr>
                <w:rFonts w:ascii="Times New Roman" w:eastAsia="Calibri" w:hAnsi="Times New Roman"/>
                <w:lang w:eastAsia="en-US"/>
              </w:rPr>
            </w:pPr>
            <w:r w:rsidRPr="00527E7D">
              <w:rPr>
                <w:rFonts w:ascii="Times New Roman" w:eastAsia="Calibri" w:hAnsi="Times New Roman"/>
                <w:b/>
                <w:lang w:eastAsia="en-US"/>
              </w:rPr>
              <w:t>Panel B. The International Crisis Sample</w:t>
            </w:r>
          </w:p>
        </w:tc>
      </w:tr>
      <w:tr w:rsidR="00D30D62" w:rsidRPr="00527E7D" w:rsidTr="001133C2">
        <w:trPr>
          <w:trHeight w:val="278"/>
        </w:trPr>
        <w:tc>
          <w:tcPr>
            <w:tcW w:w="4356" w:type="dxa"/>
            <w:tcBorders>
              <w:right w:val="single" w:sz="4" w:space="0" w:color="auto"/>
            </w:tcBorders>
            <w:shd w:val="clear" w:color="auto" w:fill="auto"/>
          </w:tcPr>
          <w:p w:rsidR="00D30D62" w:rsidRPr="00527E7D" w:rsidRDefault="00D30D62" w:rsidP="001133C2">
            <w:pPr>
              <w:jc w:val="center"/>
              <w:rPr>
                <w:rFonts w:ascii="Times New Roman" w:eastAsia="Calibri" w:hAnsi="Times New Roman"/>
                <w:lang w:eastAsia="en-US"/>
              </w:rPr>
            </w:pPr>
            <w:r w:rsidRPr="00527E7D">
              <w:rPr>
                <w:rFonts w:ascii="Times New Roman" w:eastAsia="Calibri" w:hAnsi="Times New Roman"/>
                <w:lang w:eastAsia="en-US"/>
              </w:rPr>
              <w:t>WTI Crude Oil</w:t>
            </w:r>
          </w:p>
        </w:tc>
        <w:tc>
          <w:tcPr>
            <w:tcW w:w="4356" w:type="dxa"/>
            <w:tcBorders>
              <w:left w:val="single" w:sz="4" w:space="0" w:color="auto"/>
            </w:tcBorders>
            <w:shd w:val="clear" w:color="auto" w:fill="auto"/>
          </w:tcPr>
          <w:p w:rsidR="00D30D62" w:rsidRPr="00527E7D" w:rsidRDefault="00D30D62" w:rsidP="001133C2">
            <w:pPr>
              <w:jc w:val="center"/>
              <w:rPr>
                <w:rFonts w:ascii="Times New Roman" w:eastAsia="Calibri" w:hAnsi="Times New Roman"/>
                <w:lang w:eastAsia="en-US"/>
              </w:rPr>
            </w:pPr>
            <w:r w:rsidRPr="00527E7D">
              <w:rPr>
                <w:rFonts w:ascii="Times New Roman" w:eastAsia="Calibri" w:hAnsi="Times New Roman"/>
                <w:lang w:eastAsia="en-US"/>
              </w:rPr>
              <w:t>WTI Crude Oil</w:t>
            </w:r>
          </w:p>
        </w:tc>
      </w:tr>
      <w:tr w:rsidR="00D30D62" w:rsidRPr="00527E7D" w:rsidTr="001133C2">
        <w:trPr>
          <w:trHeight w:val="263"/>
        </w:trPr>
        <w:tc>
          <w:tcPr>
            <w:tcW w:w="4356" w:type="dxa"/>
            <w:tcBorders>
              <w:bottom w:val="single" w:sz="4" w:space="0" w:color="auto"/>
              <w:right w:val="single" w:sz="4" w:space="0" w:color="auto"/>
            </w:tcBorders>
            <w:shd w:val="clear" w:color="auto" w:fill="auto"/>
          </w:tcPr>
          <w:p w:rsidR="00D30D62" w:rsidRPr="00527E7D" w:rsidRDefault="00D30D62" w:rsidP="001133C2">
            <w:pPr>
              <w:jc w:val="center"/>
              <w:rPr>
                <w:rFonts w:ascii="Times New Roman" w:eastAsia="Calibri" w:hAnsi="Times New Roman"/>
                <w:lang w:eastAsia="en-US"/>
              </w:rPr>
            </w:pPr>
            <w:r>
              <w:rPr>
                <w:rFonts w:ascii="Times New Roman" w:eastAsia="Calibri" w:hAnsi="Times New Roman"/>
                <w:noProof/>
              </w:rPr>
              <w:drawing>
                <wp:inline distT="0" distB="0" distL="0" distR="0">
                  <wp:extent cx="2491740" cy="2070100"/>
                  <wp:effectExtent l="0" t="0" r="3810" b="6350"/>
                  <wp:docPr id="28" name="Chart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4356" w:type="dxa"/>
            <w:tcBorders>
              <w:left w:val="single" w:sz="4" w:space="0" w:color="auto"/>
              <w:bottom w:val="single" w:sz="4" w:space="0" w:color="auto"/>
            </w:tcBorders>
            <w:shd w:val="clear" w:color="auto" w:fill="auto"/>
          </w:tcPr>
          <w:p w:rsidR="00D30D62" w:rsidRPr="00527E7D" w:rsidRDefault="00D30D62" w:rsidP="001133C2">
            <w:pPr>
              <w:jc w:val="center"/>
              <w:rPr>
                <w:rFonts w:ascii="Times New Roman" w:eastAsia="Calibri" w:hAnsi="Times New Roman"/>
                <w:lang w:eastAsia="en-US"/>
              </w:rPr>
            </w:pPr>
            <w:r>
              <w:rPr>
                <w:rFonts w:ascii="Times New Roman" w:eastAsia="Calibri" w:hAnsi="Times New Roman"/>
                <w:noProof/>
              </w:rPr>
              <w:drawing>
                <wp:inline distT="0" distB="0" distL="0" distR="0">
                  <wp:extent cx="2438400" cy="2093595"/>
                  <wp:effectExtent l="0" t="0" r="0" b="1905"/>
                  <wp:docPr id="27" name="Chart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D30D62" w:rsidRPr="00527E7D" w:rsidTr="001133C2">
        <w:trPr>
          <w:trHeight w:val="237"/>
        </w:trPr>
        <w:tc>
          <w:tcPr>
            <w:tcW w:w="4356" w:type="dxa"/>
            <w:tcBorders>
              <w:top w:val="single" w:sz="4" w:space="0" w:color="auto"/>
              <w:right w:val="single" w:sz="4" w:space="0" w:color="auto"/>
            </w:tcBorders>
            <w:shd w:val="clear" w:color="auto" w:fill="auto"/>
          </w:tcPr>
          <w:p w:rsidR="00D30D62" w:rsidRPr="00527E7D" w:rsidRDefault="00D30D6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World Government Bond Index</w:t>
            </w:r>
          </w:p>
        </w:tc>
        <w:tc>
          <w:tcPr>
            <w:tcW w:w="4356" w:type="dxa"/>
            <w:tcBorders>
              <w:top w:val="single" w:sz="4" w:space="0" w:color="auto"/>
              <w:left w:val="single" w:sz="4" w:space="0" w:color="auto"/>
            </w:tcBorders>
            <w:shd w:val="clear" w:color="auto" w:fill="auto"/>
          </w:tcPr>
          <w:p w:rsidR="00D30D62" w:rsidRPr="00527E7D" w:rsidRDefault="00D30D62" w:rsidP="001133C2">
            <w:pPr>
              <w:jc w:val="center"/>
              <w:rPr>
                <w:rFonts w:ascii="Times New Roman" w:eastAsia="Calibri" w:hAnsi="Times New Roman"/>
                <w:lang w:eastAsia="en-US"/>
              </w:rPr>
            </w:pPr>
            <w:r w:rsidRPr="00527E7D">
              <w:rPr>
                <w:rFonts w:ascii="Times New Roman" w:eastAsia="Calibri" w:hAnsi="Times New Roman"/>
                <w:lang w:eastAsia="en-US"/>
              </w:rPr>
              <w:t>World Government Bond Index</w:t>
            </w:r>
          </w:p>
        </w:tc>
      </w:tr>
      <w:tr w:rsidR="00D30D62" w:rsidRPr="00527E7D" w:rsidTr="001133C2">
        <w:trPr>
          <w:trHeight w:val="278"/>
        </w:trPr>
        <w:tc>
          <w:tcPr>
            <w:tcW w:w="4356" w:type="dxa"/>
            <w:tcBorders>
              <w:bottom w:val="single" w:sz="4" w:space="0" w:color="auto"/>
              <w:right w:val="single" w:sz="4" w:space="0" w:color="auto"/>
            </w:tcBorders>
            <w:shd w:val="clear" w:color="auto" w:fill="auto"/>
          </w:tcPr>
          <w:p w:rsidR="00D30D62" w:rsidRPr="00527E7D" w:rsidRDefault="00D30D62" w:rsidP="001133C2">
            <w:pPr>
              <w:rPr>
                <w:rFonts w:ascii="Times New Roman" w:eastAsia="Calibri" w:hAnsi="Times New Roman"/>
                <w:lang w:eastAsia="en-US"/>
              </w:rPr>
            </w:pPr>
            <w:r>
              <w:rPr>
                <w:rFonts w:eastAsia="Calibri"/>
                <w:noProof/>
              </w:rPr>
              <w:drawing>
                <wp:inline distT="0" distB="0" distL="0" distR="0">
                  <wp:extent cx="2438400" cy="2101215"/>
                  <wp:effectExtent l="0" t="0" r="0" b="0"/>
                  <wp:docPr id="26" name="Chart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4356" w:type="dxa"/>
            <w:tcBorders>
              <w:left w:val="single" w:sz="4" w:space="0" w:color="auto"/>
              <w:bottom w:val="single" w:sz="4" w:space="0" w:color="auto"/>
            </w:tcBorders>
            <w:shd w:val="clear" w:color="auto" w:fill="auto"/>
          </w:tcPr>
          <w:p w:rsidR="00D30D62" w:rsidRPr="00527E7D" w:rsidRDefault="00D30D62" w:rsidP="001133C2">
            <w:pPr>
              <w:jc w:val="center"/>
              <w:rPr>
                <w:rFonts w:ascii="Times New Roman" w:eastAsia="Calibri" w:hAnsi="Times New Roman"/>
                <w:lang w:eastAsia="en-US"/>
              </w:rPr>
            </w:pPr>
            <w:r>
              <w:rPr>
                <w:rFonts w:eastAsia="Calibri"/>
                <w:noProof/>
              </w:rPr>
              <w:drawing>
                <wp:inline distT="0" distB="0" distL="0" distR="0">
                  <wp:extent cx="2425065" cy="2090420"/>
                  <wp:effectExtent l="0" t="0" r="0" b="5080"/>
                  <wp:docPr id="25" name="Chart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D30D62" w:rsidRPr="00527E7D" w:rsidTr="001133C2">
        <w:trPr>
          <w:trHeight w:val="263"/>
        </w:trPr>
        <w:tc>
          <w:tcPr>
            <w:tcW w:w="4356" w:type="dxa"/>
            <w:tcBorders>
              <w:top w:val="single" w:sz="4" w:space="0" w:color="auto"/>
              <w:right w:val="single" w:sz="4" w:space="0" w:color="auto"/>
            </w:tcBorders>
            <w:shd w:val="clear" w:color="auto" w:fill="auto"/>
          </w:tcPr>
          <w:p w:rsidR="00D30D62" w:rsidRPr="00527E7D" w:rsidRDefault="00D30D62" w:rsidP="001133C2">
            <w:pPr>
              <w:jc w:val="center"/>
              <w:rPr>
                <w:rFonts w:ascii="Times New Roman" w:eastAsia="Calibri" w:hAnsi="Times New Roman"/>
                <w:lang w:eastAsia="en-US"/>
              </w:rPr>
            </w:pPr>
            <w:r w:rsidRPr="00527E7D">
              <w:rPr>
                <w:rFonts w:ascii="Times New Roman" w:eastAsia="Calibri" w:hAnsi="Times New Roman"/>
                <w:lang w:eastAsia="en-US"/>
              </w:rPr>
              <w:t>S&amp;P 500</w:t>
            </w:r>
          </w:p>
        </w:tc>
        <w:tc>
          <w:tcPr>
            <w:tcW w:w="4356" w:type="dxa"/>
            <w:tcBorders>
              <w:top w:val="single" w:sz="4" w:space="0" w:color="auto"/>
              <w:left w:val="single" w:sz="4" w:space="0" w:color="auto"/>
            </w:tcBorders>
            <w:shd w:val="clear" w:color="auto" w:fill="auto"/>
          </w:tcPr>
          <w:p w:rsidR="00D30D62" w:rsidRPr="00527E7D" w:rsidRDefault="00D30D62" w:rsidP="001133C2">
            <w:pPr>
              <w:jc w:val="center"/>
              <w:rPr>
                <w:rFonts w:ascii="Times New Roman" w:eastAsia="Calibri" w:hAnsi="Times New Roman"/>
                <w:lang w:eastAsia="en-US"/>
              </w:rPr>
            </w:pPr>
            <w:r w:rsidRPr="00527E7D">
              <w:rPr>
                <w:rFonts w:ascii="Times New Roman" w:eastAsia="Calibri" w:hAnsi="Times New Roman"/>
                <w:lang w:eastAsia="en-US"/>
              </w:rPr>
              <w:t>S&amp;P 500</w:t>
            </w:r>
          </w:p>
        </w:tc>
      </w:tr>
      <w:tr w:rsidR="00D30D62" w:rsidRPr="00527E7D" w:rsidTr="001133C2">
        <w:trPr>
          <w:trHeight w:val="278"/>
        </w:trPr>
        <w:tc>
          <w:tcPr>
            <w:tcW w:w="4356" w:type="dxa"/>
            <w:tcBorders>
              <w:bottom w:val="single" w:sz="4" w:space="0" w:color="auto"/>
              <w:right w:val="single" w:sz="4" w:space="0" w:color="auto"/>
            </w:tcBorders>
            <w:shd w:val="clear" w:color="auto" w:fill="auto"/>
          </w:tcPr>
          <w:p w:rsidR="00D30D62" w:rsidRPr="00527E7D" w:rsidRDefault="00D30D62" w:rsidP="001133C2">
            <w:pPr>
              <w:jc w:val="center"/>
              <w:rPr>
                <w:rFonts w:ascii="Times New Roman" w:eastAsia="Calibri" w:hAnsi="Times New Roman"/>
                <w:lang w:eastAsia="en-US"/>
              </w:rPr>
            </w:pPr>
            <w:r>
              <w:rPr>
                <w:rFonts w:ascii="Times New Roman" w:eastAsia="Calibri" w:hAnsi="Times New Roman"/>
                <w:noProof/>
              </w:rPr>
              <w:drawing>
                <wp:inline distT="0" distB="0" distL="0" distR="0">
                  <wp:extent cx="2359025" cy="2093595"/>
                  <wp:effectExtent l="0" t="0" r="3175" b="1905"/>
                  <wp:docPr id="24" name="Chart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4356" w:type="dxa"/>
            <w:tcBorders>
              <w:left w:val="single" w:sz="4" w:space="0" w:color="auto"/>
              <w:bottom w:val="single" w:sz="4" w:space="0" w:color="auto"/>
            </w:tcBorders>
            <w:shd w:val="clear" w:color="auto" w:fill="auto"/>
          </w:tcPr>
          <w:p w:rsidR="00D30D62" w:rsidRPr="00527E7D" w:rsidRDefault="00D30D62" w:rsidP="001133C2">
            <w:pPr>
              <w:jc w:val="center"/>
              <w:rPr>
                <w:rFonts w:ascii="Times New Roman" w:eastAsia="Calibri" w:hAnsi="Times New Roman"/>
                <w:lang w:eastAsia="en-US"/>
              </w:rPr>
            </w:pPr>
            <w:r>
              <w:rPr>
                <w:rFonts w:ascii="Times New Roman" w:eastAsia="Calibri" w:hAnsi="Times New Roman"/>
                <w:noProof/>
              </w:rPr>
              <w:drawing>
                <wp:inline distT="0" distB="0" distL="0" distR="0">
                  <wp:extent cx="2425065" cy="2100580"/>
                  <wp:effectExtent l="0" t="0" r="0" b="0"/>
                  <wp:docPr id="23" name="Chart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D30D62" w:rsidRDefault="00D30D62" w:rsidP="00D30D62">
      <w:pPr>
        <w:jc w:val="center"/>
        <w:rPr>
          <w:rFonts w:ascii="Times New Roman" w:hAnsi="Times New Roman"/>
          <w:b/>
          <w:sz w:val="24"/>
          <w:szCs w:val="24"/>
        </w:rPr>
      </w:pPr>
    </w:p>
    <w:p w:rsidR="00D30D62" w:rsidRDefault="00D30D62" w:rsidP="00D30D62">
      <w:pPr>
        <w:rPr>
          <w:rFonts w:ascii="Times New Roman" w:hAnsi="Times New Roman"/>
          <w:b/>
          <w:sz w:val="24"/>
          <w:szCs w:val="24"/>
        </w:rPr>
      </w:pPr>
      <w:r>
        <w:rPr>
          <w:rFonts w:ascii="Times New Roman" w:hAnsi="Times New Roman"/>
          <w:b/>
          <w:sz w:val="24"/>
          <w:szCs w:val="24"/>
        </w:rPr>
        <w:br w:type="page"/>
      </w:r>
    </w:p>
    <w:p w:rsidR="00D30D62" w:rsidRDefault="00D30D62" w:rsidP="00D30D62">
      <w:pPr>
        <w:jc w:val="center"/>
        <w:rPr>
          <w:rFonts w:ascii="Times New Roman" w:hAnsi="Times New Roman"/>
          <w:b/>
          <w:sz w:val="24"/>
          <w:szCs w:val="24"/>
        </w:rPr>
      </w:pPr>
      <w:r w:rsidRPr="00B81948">
        <w:rPr>
          <w:rFonts w:ascii="Times New Roman" w:hAnsi="Times New Roman"/>
          <w:b/>
          <w:sz w:val="24"/>
          <w:szCs w:val="24"/>
        </w:rPr>
        <w:lastRenderedPageBreak/>
        <w:t xml:space="preserve">Figure </w:t>
      </w:r>
      <w:r>
        <w:rPr>
          <w:rFonts w:ascii="Times New Roman" w:hAnsi="Times New Roman"/>
          <w:b/>
          <w:sz w:val="24"/>
          <w:szCs w:val="24"/>
        </w:rPr>
        <w:t>III</w:t>
      </w:r>
      <w:r w:rsidRPr="00B81948">
        <w:rPr>
          <w:rFonts w:ascii="Times New Roman" w:hAnsi="Times New Roman"/>
          <w:b/>
          <w:sz w:val="24"/>
          <w:szCs w:val="24"/>
        </w:rPr>
        <w:t xml:space="preserve"> </w:t>
      </w:r>
      <w:r>
        <w:rPr>
          <w:rFonts w:ascii="Times New Roman" w:hAnsi="Times New Roman"/>
          <w:b/>
          <w:sz w:val="24"/>
          <w:szCs w:val="24"/>
        </w:rPr>
        <w:t>Continued</w:t>
      </w:r>
    </w:p>
    <w:tbl>
      <w:tblPr>
        <w:tblpPr w:leftFromText="180" w:rightFromText="180" w:vertAnchor="text" w:horzAnchor="margin" w:tblpY="104"/>
        <w:tblW w:w="8712" w:type="dxa"/>
        <w:tblLook w:val="04A0" w:firstRow="1" w:lastRow="0" w:firstColumn="1" w:lastColumn="0" w:noHBand="0" w:noVBand="1"/>
      </w:tblPr>
      <w:tblGrid>
        <w:gridCol w:w="4356"/>
        <w:gridCol w:w="4356"/>
      </w:tblGrid>
      <w:tr w:rsidR="00D30D62" w:rsidRPr="00527E7D" w:rsidTr="001133C2">
        <w:trPr>
          <w:trHeight w:val="278"/>
        </w:trPr>
        <w:tc>
          <w:tcPr>
            <w:tcW w:w="4356" w:type="dxa"/>
            <w:tcBorders>
              <w:top w:val="single" w:sz="4" w:space="0" w:color="auto"/>
              <w:right w:val="single" w:sz="4" w:space="0" w:color="auto"/>
            </w:tcBorders>
            <w:shd w:val="clear" w:color="auto" w:fill="auto"/>
            <w:vAlign w:val="center"/>
          </w:tcPr>
          <w:p w:rsidR="00D30D62" w:rsidRPr="00527E7D" w:rsidRDefault="00D30D6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MSCI World</w:t>
            </w:r>
          </w:p>
        </w:tc>
        <w:tc>
          <w:tcPr>
            <w:tcW w:w="4356" w:type="dxa"/>
            <w:tcBorders>
              <w:top w:val="single" w:sz="4" w:space="0" w:color="auto"/>
              <w:left w:val="single" w:sz="4" w:space="0" w:color="auto"/>
            </w:tcBorders>
            <w:shd w:val="clear" w:color="auto" w:fill="auto"/>
            <w:vAlign w:val="center"/>
          </w:tcPr>
          <w:p w:rsidR="00D30D62" w:rsidRPr="00527E7D" w:rsidRDefault="00D30D6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MSCI World</w:t>
            </w:r>
          </w:p>
        </w:tc>
      </w:tr>
      <w:tr w:rsidR="00D30D62" w:rsidRPr="00527E7D" w:rsidTr="001133C2">
        <w:trPr>
          <w:trHeight w:val="278"/>
        </w:trPr>
        <w:tc>
          <w:tcPr>
            <w:tcW w:w="4356" w:type="dxa"/>
            <w:tcBorders>
              <w:bottom w:val="single" w:sz="4" w:space="0" w:color="auto"/>
              <w:right w:val="single" w:sz="4" w:space="0" w:color="auto"/>
            </w:tcBorders>
            <w:shd w:val="clear" w:color="auto" w:fill="auto"/>
            <w:vAlign w:val="center"/>
          </w:tcPr>
          <w:p w:rsidR="00D30D62" w:rsidRPr="00527E7D" w:rsidRDefault="00D30D62" w:rsidP="001133C2">
            <w:pPr>
              <w:spacing w:after="0" w:line="240" w:lineRule="auto"/>
              <w:jc w:val="center"/>
              <w:rPr>
                <w:rFonts w:ascii="Times New Roman" w:eastAsia="Calibri" w:hAnsi="Times New Roman"/>
                <w:lang w:eastAsia="en-US"/>
              </w:rPr>
            </w:pPr>
            <w:r>
              <w:rPr>
                <w:rFonts w:eastAsia="Calibri"/>
                <w:noProof/>
              </w:rPr>
              <w:drawing>
                <wp:inline distT="0" distB="0" distL="0" distR="0">
                  <wp:extent cx="2374900" cy="2073910"/>
                  <wp:effectExtent l="0" t="0" r="6350" b="2540"/>
                  <wp:docPr id="22" name="Char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4356" w:type="dxa"/>
            <w:tcBorders>
              <w:left w:val="single" w:sz="4" w:space="0" w:color="auto"/>
              <w:bottom w:val="single" w:sz="4" w:space="0" w:color="auto"/>
            </w:tcBorders>
            <w:shd w:val="clear" w:color="auto" w:fill="auto"/>
            <w:vAlign w:val="center"/>
          </w:tcPr>
          <w:p w:rsidR="00D30D62" w:rsidRPr="00527E7D" w:rsidRDefault="00D30D62" w:rsidP="001133C2">
            <w:pPr>
              <w:spacing w:after="0" w:line="240" w:lineRule="auto"/>
              <w:jc w:val="center"/>
              <w:rPr>
                <w:rFonts w:ascii="Times New Roman" w:eastAsia="Calibri" w:hAnsi="Times New Roman"/>
                <w:lang w:eastAsia="en-US"/>
              </w:rPr>
            </w:pPr>
            <w:r>
              <w:rPr>
                <w:rFonts w:eastAsia="Calibri"/>
                <w:noProof/>
              </w:rPr>
              <w:drawing>
                <wp:inline distT="0" distB="0" distL="0" distR="0">
                  <wp:extent cx="2438400" cy="2093595"/>
                  <wp:effectExtent l="0" t="0" r="0" b="1905"/>
                  <wp:docPr id="20" name="Chart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D30D62" w:rsidRPr="00527E7D" w:rsidTr="001133C2">
        <w:trPr>
          <w:trHeight w:val="278"/>
        </w:trPr>
        <w:tc>
          <w:tcPr>
            <w:tcW w:w="4356" w:type="dxa"/>
            <w:tcBorders>
              <w:top w:val="single" w:sz="4" w:space="0" w:color="auto"/>
              <w:right w:val="single" w:sz="4" w:space="0" w:color="auto"/>
            </w:tcBorders>
            <w:shd w:val="clear" w:color="auto" w:fill="auto"/>
            <w:vAlign w:val="center"/>
          </w:tcPr>
          <w:p w:rsidR="00D30D62" w:rsidRPr="00527E7D" w:rsidRDefault="00D30D62" w:rsidP="001133C2">
            <w:pPr>
              <w:jc w:val="center"/>
              <w:rPr>
                <w:rFonts w:eastAsia="Calibri"/>
                <w:lang w:eastAsia="en-US"/>
              </w:rPr>
            </w:pPr>
            <w:r w:rsidRPr="00527E7D">
              <w:rPr>
                <w:rFonts w:ascii="Times New Roman" w:eastAsia="Calibri" w:hAnsi="Times New Roman"/>
                <w:lang w:eastAsia="en-US"/>
              </w:rPr>
              <w:t>MSCI World excl. U.S.</w:t>
            </w:r>
          </w:p>
        </w:tc>
        <w:tc>
          <w:tcPr>
            <w:tcW w:w="4356" w:type="dxa"/>
            <w:tcBorders>
              <w:top w:val="single" w:sz="4" w:space="0" w:color="auto"/>
              <w:left w:val="single" w:sz="4" w:space="0" w:color="auto"/>
            </w:tcBorders>
            <w:shd w:val="clear" w:color="auto" w:fill="auto"/>
            <w:vAlign w:val="center"/>
          </w:tcPr>
          <w:p w:rsidR="00D30D62" w:rsidRPr="00527E7D" w:rsidRDefault="00D30D62" w:rsidP="001133C2">
            <w:pPr>
              <w:jc w:val="center"/>
              <w:rPr>
                <w:rFonts w:eastAsia="Calibri"/>
                <w:lang w:eastAsia="en-US"/>
              </w:rPr>
            </w:pPr>
            <w:r w:rsidRPr="00527E7D">
              <w:rPr>
                <w:rFonts w:ascii="Times New Roman" w:eastAsia="Calibri" w:hAnsi="Times New Roman"/>
                <w:lang w:eastAsia="en-US"/>
              </w:rPr>
              <w:t>MSCI World excl. U.S.</w:t>
            </w:r>
          </w:p>
        </w:tc>
      </w:tr>
      <w:tr w:rsidR="00D30D62" w:rsidRPr="00527E7D" w:rsidTr="001133C2">
        <w:trPr>
          <w:trHeight w:val="278"/>
        </w:trPr>
        <w:tc>
          <w:tcPr>
            <w:tcW w:w="4356" w:type="dxa"/>
            <w:tcBorders>
              <w:bottom w:val="double" w:sz="4" w:space="0" w:color="auto"/>
              <w:right w:val="single" w:sz="4" w:space="0" w:color="auto"/>
            </w:tcBorders>
            <w:shd w:val="clear" w:color="auto" w:fill="auto"/>
          </w:tcPr>
          <w:p w:rsidR="00D30D62" w:rsidRPr="00527E7D" w:rsidRDefault="00D30D62" w:rsidP="001133C2">
            <w:pPr>
              <w:spacing w:after="0" w:line="240" w:lineRule="auto"/>
              <w:jc w:val="center"/>
              <w:rPr>
                <w:rFonts w:ascii="Times New Roman" w:eastAsia="Calibri" w:hAnsi="Times New Roman"/>
                <w:lang w:eastAsia="en-US"/>
              </w:rPr>
            </w:pPr>
            <w:r>
              <w:rPr>
                <w:rFonts w:eastAsia="Calibri"/>
                <w:noProof/>
              </w:rPr>
              <w:drawing>
                <wp:inline distT="0" distB="0" distL="0" distR="0">
                  <wp:extent cx="2339340" cy="2073910"/>
                  <wp:effectExtent l="0" t="0" r="3810" b="2540"/>
                  <wp:docPr id="11" name="Char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4356" w:type="dxa"/>
            <w:tcBorders>
              <w:left w:val="single" w:sz="4" w:space="0" w:color="auto"/>
              <w:bottom w:val="double" w:sz="4" w:space="0" w:color="auto"/>
            </w:tcBorders>
            <w:shd w:val="clear" w:color="auto" w:fill="auto"/>
          </w:tcPr>
          <w:p w:rsidR="00D30D62" w:rsidRPr="00527E7D" w:rsidRDefault="00D30D62" w:rsidP="001133C2">
            <w:pPr>
              <w:spacing w:after="0" w:line="240" w:lineRule="auto"/>
              <w:jc w:val="center"/>
              <w:rPr>
                <w:rFonts w:ascii="Times New Roman" w:eastAsia="Calibri" w:hAnsi="Times New Roman"/>
                <w:lang w:eastAsia="en-US"/>
              </w:rPr>
            </w:pPr>
            <w:r>
              <w:rPr>
                <w:rFonts w:eastAsia="Calibri"/>
                <w:noProof/>
              </w:rPr>
              <w:drawing>
                <wp:inline distT="0" distB="0" distL="0" distR="0">
                  <wp:extent cx="2438400" cy="2093595"/>
                  <wp:effectExtent l="0" t="0" r="0" b="1905"/>
                  <wp:docPr id="10"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rsidR="00D30D62" w:rsidRPr="00470E8F" w:rsidRDefault="00D30D62" w:rsidP="00D30D62">
      <w:pPr>
        <w:ind w:left="-142" w:right="379"/>
        <w:jc w:val="both"/>
        <w:rPr>
          <w:rFonts w:ascii="Times New Roman" w:hAnsi="Times New Roman"/>
          <w:noProof/>
          <w:sz w:val="20"/>
          <w:szCs w:val="20"/>
          <w:lang w:val="en-US"/>
        </w:rPr>
      </w:pPr>
      <w:r w:rsidRPr="00470E8F">
        <w:rPr>
          <w:rFonts w:ascii="Times New Roman" w:hAnsi="Times New Roman"/>
          <w:noProof/>
          <w:sz w:val="20"/>
          <w:szCs w:val="20"/>
          <w:lang w:val="en-US"/>
        </w:rPr>
        <w:t xml:space="preserve">The graphs above plot Cumulative Average Abnormal Returns (CAARs) in the (-50,50) event windows, where day 0 denotes the war/crisis trigger date. The CAARs are measured on the vertical access, while days relative to the event appear on the horizontal axis. Panel A shows the diagrams for a sample of 43 wars, while the results in Panel B are based on 64 instances of severe international crisis. For the World Government Bond Index, the war sample and the international crisis sample comprise 21 and 32 events, respectively.   </w:t>
      </w:r>
    </w:p>
    <w:p w:rsidR="00D30D62" w:rsidRDefault="00D30D62" w:rsidP="00D30D62">
      <w:pPr>
        <w:rPr>
          <w:rFonts w:ascii="Times New Roman" w:hAnsi="Times New Roman"/>
          <w:b/>
          <w:sz w:val="24"/>
          <w:szCs w:val="24"/>
        </w:rPr>
      </w:pPr>
    </w:p>
    <w:p w:rsidR="00D30D62" w:rsidRDefault="00D30D62" w:rsidP="00D30D62">
      <w:pPr>
        <w:rPr>
          <w:rFonts w:ascii="Times New Roman" w:hAnsi="Times New Roman"/>
          <w:b/>
          <w:sz w:val="24"/>
          <w:szCs w:val="24"/>
        </w:rPr>
        <w:sectPr w:rsidR="00D30D62" w:rsidSect="00C14197">
          <w:pgSz w:w="11906" w:h="16838" w:code="9"/>
          <w:pgMar w:top="907" w:right="1440" w:bottom="907" w:left="1440" w:header="709" w:footer="709" w:gutter="0"/>
          <w:cols w:space="708"/>
          <w:docGrid w:linePitch="360"/>
        </w:sectPr>
      </w:pPr>
    </w:p>
    <w:p w:rsidR="001133C2" w:rsidRPr="008D2B45" w:rsidRDefault="001133C2" w:rsidP="001133C2">
      <w:pPr>
        <w:jc w:val="center"/>
        <w:rPr>
          <w:rFonts w:ascii="Times New Roman" w:eastAsia="Calibri" w:hAnsi="Times New Roman"/>
          <w:b/>
          <w:sz w:val="24"/>
          <w:szCs w:val="24"/>
          <w:lang w:eastAsia="en-US"/>
        </w:rPr>
      </w:pPr>
      <w:r w:rsidRPr="008D2B45">
        <w:rPr>
          <w:rFonts w:ascii="Times New Roman" w:eastAsia="Calibri" w:hAnsi="Times New Roman"/>
          <w:b/>
          <w:sz w:val="24"/>
          <w:szCs w:val="24"/>
          <w:lang w:eastAsia="en-US"/>
        </w:rPr>
        <w:lastRenderedPageBreak/>
        <w:t>Table I</w:t>
      </w:r>
    </w:p>
    <w:p w:rsidR="001133C2" w:rsidRPr="008D2B45" w:rsidRDefault="001133C2" w:rsidP="001133C2">
      <w:pPr>
        <w:jc w:val="center"/>
        <w:rPr>
          <w:rFonts w:ascii="Times New Roman" w:eastAsia="Calibri" w:hAnsi="Times New Roman"/>
          <w:b/>
          <w:sz w:val="24"/>
          <w:szCs w:val="24"/>
          <w:lang w:eastAsia="en-US"/>
        </w:rPr>
      </w:pPr>
      <w:r w:rsidRPr="008D2B45">
        <w:rPr>
          <w:rFonts w:ascii="Times New Roman" w:eastAsia="Calibri" w:hAnsi="Times New Roman"/>
          <w:b/>
          <w:sz w:val="24"/>
          <w:szCs w:val="24"/>
          <w:lang w:eastAsia="en-US"/>
        </w:rPr>
        <w:t xml:space="preserve">Descriptive </w:t>
      </w:r>
      <w:r>
        <w:rPr>
          <w:rFonts w:ascii="Times New Roman" w:eastAsia="Calibri" w:hAnsi="Times New Roman"/>
          <w:b/>
          <w:sz w:val="24"/>
          <w:szCs w:val="24"/>
          <w:lang w:eastAsia="en-US"/>
        </w:rPr>
        <w:t>S</w:t>
      </w:r>
      <w:r w:rsidRPr="008D2B45">
        <w:rPr>
          <w:rFonts w:ascii="Times New Roman" w:eastAsia="Calibri" w:hAnsi="Times New Roman"/>
          <w:b/>
          <w:sz w:val="24"/>
          <w:szCs w:val="24"/>
          <w:lang w:eastAsia="en-US"/>
        </w:rPr>
        <w:t>tatistics</w:t>
      </w:r>
    </w:p>
    <w:p w:rsidR="001133C2" w:rsidRPr="00470E8F" w:rsidRDefault="001133C2" w:rsidP="001133C2">
      <w:pPr>
        <w:spacing w:before="240" w:line="240" w:lineRule="auto"/>
        <w:ind w:left="1276" w:right="1274"/>
        <w:jc w:val="both"/>
        <w:rPr>
          <w:rFonts w:ascii="Times New Roman" w:eastAsia="Calibri" w:hAnsi="Times New Roman"/>
          <w:sz w:val="20"/>
          <w:szCs w:val="20"/>
          <w:lang w:val="en-US" w:eastAsia="en-US"/>
        </w:rPr>
      </w:pPr>
      <w:r w:rsidRPr="00470E8F">
        <w:rPr>
          <w:rFonts w:ascii="Times New Roman" w:eastAsia="Calibri" w:hAnsi="Times New Roman"/>
          <w:sz w:val="20"/>
          <w:szCs w:val="20"/>
          <w:lang w:val="en-US" w:eastAsia="en-US"/>
        </w:rPr>
        <w:t xml:space="preserve">This tables reports descriptive statistics for the period January 1987 to December 2007, with the exception of the World Government Bond Index for which the sample period runs from January 1995 to December 2007. </w:t>
      </w:r>
    </w:p>
    <w:tbl>
      <w:tblPr>
        <w:tblpPr w:leftFromText="180" w:rightFromText="180" w:vertAnchor="page" w:horzAnchor="margin" w:tblpXSpec="center" w:tblpY="3275"/>
        <w:tblW w:w="12560" w:type="dxa"/>
        <w:tblLayout w:type="fixed"/>
        <w:tblLook w:val="04A0" w:firstRow="1" w:lastRow="0" w:firstColumn="1" w:lastColumn="0" w:noHBand="0" w:noVBand="1"/>
      </w:tblPr>
      <w:tblGrid>
        <w:gridCol w:w="3652"/>
        <w:gridCol w:w="1115"/>
        <w:gridCol w:w="2031"/>
        <w:gridCol w:w="1590"/>
        <w:gridCol w:w="1115"/>
        <w:gridCol w:w="1570"/>
        <w:gridCol w:w="1487"/>
      </w:tblGrid>
      <w:tr w:rsidR="001133C2" w:rsidRPr="00527E7D" w:rsidTr="001133C2">
        <w:tc>
          <w:tcPr>
            <w:tcW w:w="3652" w:type="dxa"/>
            <w:tcBorders>
              <w:top w:val="double" w:sz="4" w:space="0" w:color="auto"/>
              <w:bottom w:val="single" w:sz="4" w:space="0" w:color="auto"/>
            </w:tcBorders>
            <w:shd w:val="clear" w:color="auto" w:fill="auto"/>
          </w:tcPr>
          <w:p w:rsidR="001133C2" w:rsidRPr="00527E7D" w:rsidRDefault="001133C2" w:rsidP="001133C2">
            <w:pPr>
              <w:spacing w:before="60" w:after="60" w:line="240" w:lineRule="auto"/>
              <w:rPr>
                <w:rFonts w:ascii="Times New Roman" w:eastAsia="Calibri" w:hAnsi="Times New Roman"/>
                <w:b/>
                <w:lang w:eastAsia="en-US"/>
              </w:rPr>
            </w:pPr>
          </w:p>
        </w:tc>
        <w:tc>
          <w:tcPr>
            <w:tcW w:w="1115" w:type="dxa"/>
            <w:tcBorders>
              <w:top w:val="double" w:sz="4" w:space="0" w:color="auto"/>
              <w:bottom w:val="single" w:sz="4" w:space="0" w:color="auto"/>
            </w:tcBorders>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Mean</w:t>
            </w:r>
          </w:p>
        </w:tc>
        <w:tc>
          <w:tcPr>
            <w:tcW w:w="2031" w:type="dxa"/>
            <w:tcBorders>
              <w:top w:val="double" w:sz="4" w:space="0" w:color="auto"/>
              <w:bottom w:val="single" w:sz="4" w:space="0" w:color="auto"/>
            </w:tcBorders>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Standard Deviation</w:t>
            </w:r>
          </w:p>
        </w:tc>
        <w:tc>
          <w:tcPr>
            <w:tcW w:w="1590" w:type="dxa"/>
            <w:tcBorders>
              <w:top w:val="double" w:sz="4" w:space="0" w:color="auto"/>
              <w:bottom w:val="single" w:sz="4" w:space="0" w:color="auto"/>
            </w:tcBorders>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25</w:t>
            </w:r>
            <w:r w:rsidRPr="00527E7D">
              <w:rPr>
                <w:rFonts w:ascii="Times New Roman" w:eastAsia="Calibri" w:hAnsi="Times New Roman"/>
                <w:color w:val="000000"/>
                <w:vertAlign w:val="superscript"/>
                <w:lang w:eastAsia="en-US"/>
              </w:rPr>
              <w:t>th</w:t>
            </w:r>
            <w:r w:rsidRPr="00527E7D">
              <w:rPr>
                <w:rFonts w:ascii="Times New Roman" w:eastAsia="Calibri" w:hAnsi="Times New Roman"/>
                <w:color w:val="000000"/>
                <w:lang w:eastAsia="en-US"/>
              </w:rPr>
              <w:t xml:space="preserve"> Percentile</w:t>
            </w:r>
          </w:p>
        </w:tc>
        <w:tc>
          <w:tcPr>
            <w:tcW w:w="1115" w:type="dxa"/>
            <w:tcBorders>
              <w:top w:val="double" w:sz="4" w:space="0" w:color="auto"/>
              <w:bottom w:val="single" w:sz="4" w:space="0" w:color="auto"/>
            </w:tcBorders>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Median</w:t>
            </w:r>
          </w:p>
        </w:tc>
        <w:tc>
          <w:tcPr>
            <w:tcW w:w="1570" w:type="dxa"/>
            <w:tcBorders>
              <w:top w:val="double" w:sz="4" w:space="0" w:color="auto"/>
              <w:bottom w:val="single" w:sz="4" w:space="0" w:color="auto"/>
            </w:tcBorders>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lang w:eastAsia="en-US"/>
              </w:rPr>
              <w:t>75</w:t>
            </w:r>
            <w:r w:rsidRPr="00527E7D">
              <w:rPr>
                <w:rFonts w:ascii="Times New Roman" w:eastAsia="Calibri" w:hAnsi="Times New Roman"/>
                <w:vertAlign w:val="superscript"/>
                <w:lang w:eastAsia="en-US"/>
              </w:rPr>
              <w:t xml:space="preserve">th </w:t>
            </w:r>
            <w:r w:rsidRPr="00527E7D">
              <w:rPr>
                <w:rFonts w:ascii="Times New Roman" w:eastAsia="Calibri" w:hAnsi="Times New Roman"/>
                <w:lang w:eastAsia="en-US"/>
              </w:rPr>
              <w:t>Percentile</w:t>
            </w:r>
          </w:p>
        </w:tc>
        <w:tc>
          <w:tcPr>
            <w:tcW w:w="1487" w:type="dxa"/>
            <w:tcBorders>
              <w:top w:val="double" w:sz="4" w:space="0" w:color="auto"/>
              <w:bottom w:val="single" w:sz="4" w:space="0" w:color="auto"/>
            </w:tcBorders>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lang w:eastAsia="en-US"/>
              </w:rPr>
              <w:t>Observations</w:t>
            </w:r>
          </w:p>
        </w:tc>
      </w:tr>
      <w:tr w:rsidR="001133C2" w:rsidRPr="00527E7D" w:rsidTr="001133C2">
        <w:tc>
          <w:tcPr>
            <w:tcW w:w="3652" w:type="dxa"/>
            <w:shd w:val="clear" w:color="auto" w:fill="auto"/>
            <w:vAlign w:val="bottom"/>
          </w:tcPr>
          <w:p w:rsidR="001133C2" w:rsidRPr="00527E7D" w:rsidRDefault="001133C2" w:rsidP="001133C2">
            <w:pPr>
              <w:autoSpaceDE w:val="0"/>
              <w:autoSpaceDN w:val="0"/>
              <w:adjustRightInd w:val="0"/>
              <w:spacing w:before="60" w:after="60" w:line="240" w:lineRule="auto"/>
              <w:jc w:val="both"/>
              <w:rPr>
                <w:rFonts w:ascii="Times New Roman" w:eastAsia="Calibri" w:hAnsi="Times New Roman"/>
                <w:color w:val="000000"/>
                <w:lang w:eastAsia="en-US"/>
              </w:rPr>
            </w:pPr>
            <w:r w:rsidRPr="00527E7D">
              <w:rPr>
                <w:rFonts w:ascii="Times New Roman" w:eastAsia="Calibri" w:hAnsi="Times New Roman"/>
                <w:color w:val="000000"/>
                <w:lang w:eastAsia="en-US"/>
              </w:rPr>
              <w:t>S&amp;P 500</w:t>
            </w:r>
          </w:p>
        </w:tc>
        <w:tc>
          <w:tcPr>
            <w:tcW w:w="1115"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0.0329%</w:t>
            </w:r>
          </w:p>
        </w:tc>
        <w:tc>
          <w:tcPr>
            <w:tcW w:w="2031"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1.0554%</w:t>
            </w:r>
          </w:p>
        </w:tc>
        <w:tc>
          <w:tcPr>
            <w:tcW w:w="1590"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lang w:eastAsia="en-US"/>
              </w:rPr>
              <w:t>-0.4310%</w:t>
            </w:r>
          </w:p>
        </w:tc>
        <w:tc>
          <w:tcPr>
            <w:tcW w:w="1115"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0.0276%</w:t>
            </w:r>
          </w:p>
        </w:tc>
        <w:tc>
          <w:tcPr>
            <w:tcW w:w="1570"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lang w:eastAsia="en-US"/>
              </w:rPr>
              <w:t>0.5404%</w:t>
            </w:r>
          </w:p>
        </w:tc>
        <w:tc>
          <w:tcPr>
            <w:tcW w:w="1487"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color w:val="000000"/>
                <w:lang w:eastAsia="en-US"/>
              </w:rPr>
              <w:t>5478</w:t>
            </w:r>
          </w:p>
        </w:tc>
      </w:tr>
      <w:tr w:rsidR="001133C2" w:rsidRPr="00527E7D" w:rsidTr="001133C2">
        <w:tc>
          <w:tcPr>
            <w:tcW w:w="3652" w:type="dxa"/>
            <w:shd w:val="clear" w:color="auto" w:fill="auto"/>
            <w:vAlign w:val="bottom"/>
          </w:tcPr>
          <w:p w:rsidR="001133C2" w:rsidRPr="00527E7D" w:rsidRDefault="001133C2" w:rsidP="001133C2">
            <w:pPr>
              <w:autoSpaceDE w:val="0"/>
              <w:autoSpaceDN w:val="0"/>
              <w:adjustRightInd w:val="0"/>
              <w:spacing w:before="60" w:after="60" w:line="240" w:lineRule="auto"/>
              <w:jc w:val="both"/>
              <w:rPr>
                <w:rFonts w:ascii="Times New Roman" w:eastAsia="Calibri" w:hAnsi="Times New Roman"/>
                <w:color w:val="000000"/>
                <w:lang w:eastAsia="en-US"/>
              </w:rPr>
            </w:pPr>
            <w:r w:rsidRPr="00527E7D">
              <w:rPr>
                <w:rFonts w:ascii="Times New Roman" w:eastAsia="Calibri" w:hAnsi="Times New Roman"/>
                <w:color w:val="000000"/>
                <w:lang w:eastAsia="en-US"/>
              </w:rPr>
              <w:t>MSCI World Index</w:t>
            </w:r>
          </w:p>
        </w:tc>
        <w:tc>
          <w:tcPr>
            <w:tcW w:w="1115"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0.0235%</w:t>
            </w:r>
          </w:p>
        </w:tc>
        <w:tc>
          <w:tcPr>
            <w:tcW w:w="2031"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0.8034%</w:t>
            </w:r>
          </w:p>
        </w:tc>
        <w:tc>
          <w:tcPr>
            <w:tcW w:w="1590"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-0.3554%</w:t>
            </w:r>
          </w:p>
        </w:tc>
        <w:tc>
          <w:tcPr>
            <w:tcW w:w="1115"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0.0531%</w:t>
            </w:r>
          </w:p>
        </w:tc>
        <w:tc>
          <w:tcPr>
            <w:tcW w:w="1570"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lang w:eastAsia="en-US"/>
              </w:rPr>
              <w:t>0.4213%</w:t>
            </w:r>
          </w:p>
        </w:tc>
        <w:tc>
          <w:tcPr>
            <w:tcW w:w="1487"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color w:val="000000"/>
                <w:lang w:eastAsia="en-US"/>
              </w:rPr>
              <w:t>5478</w:t>
            </w:r>
          </w:p>
        </w:tc>
      </w:tr>
      <w:tr w:rsidR="001133C2" w:rsidRPr="00527E7D" w:rsidTr="001133C2">
        <w:tc>
          <w:tcPr>
            <w:tcW w:w="3652" w:type="dxa"/>
            <w:shd w:val="clear" w:color="auto" w:fill="auto"/>
            <w:vAlign w:val="bottom"/>
          </w:tcPr>
          <w:p w:rsidR="001133C2" w:rsidRPr="00527E7D" w:rsidRDefault="001133C2" w:rsidP="001133C2">
            <w:pPr>
              <w:autoSpaceDE w:val="0"/>
              <w:autoSpaceDN w:val="0"/>
              <w:adjustRightInd w:val="0"/>
              <w:spacing w:before="60" w:after="60" w:line="240" w:lineRule="auto"/>
              <w:jc w:val="both"/>
              <w:rPr>
                <w:rFonts w:ascii="Times New Roman" w:eastAsia="Calibri" w:hAnsi="Times New Roman"/>
                <w:color w:val="000000"/>
                <w:lang w:eastAsia="en-US"/>
              </w:rPr>
            </w:pPr>
            <w:r w:rsidRPr="00527E7D">
              <w:rPr>
                <w:rFonts w:ascii="Times New Roman" w:eastAsia="Calibri" w:hAnsi="Times New Roman"/>
                <w:color w:val="000000"/>
                <w:lang w:eastAsia="en-US"/>
              </w:rPr>
              <w:t>MSCI World Excl. U.S. Index</w:t>
            </w:r>
          </w:p>
        </w:tc>
        <w:tc>
          <w:tcPr>
            <w:tcW w:w="1115"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color w:val="000000"/>
                <w:lang w:eastAsia="en-US"/>
              </w:rPr>
              <w:t>0.0175%</w:t>
            </w:r>
          </w:p>
        </w:tc>
        <w:tc>
          <w:tcPr>
            <w:tcW w:w="2031"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color w:val="000000"/>
                <w:lang w:eastAsia="en-US"/>
              </w:rPr>
              <w:t>0.8832%</w:t>
            </w:r>
          </w:p>
        </w:tc>
        <w:tc>
          <w:tcPr>
            <w:tcW w:w="1590"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color w:val="000000"/>
                <w:lang w:eastAsia="en-US"/>
              </w:rPr>
              <w:t>-0.3798%</w:t>
            </w:r>
          </w:p>
        </w:tc>
        <w:tc>
          <w:tcPr>
            <w:tcW w:w="1115"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color w:val="000000"/>
                <w:lang w:eastAsia="en-US"/>
              </w:rPr>
              <w:t>0.0490%</w:t>
            </w:r>
          </w:p>
        </w:tc>
        <w:tc>
          <w:tcPr>
            <w:tcW w:w="1570"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lang w:eastAsia="en-US"/>
              </w:rPr>
              <w:t>0.4651%</w:t>
            </w:r>
          </w:p>
        </w:tc>
        <w:tc>
          <w:tcPr>
            <w:tcW w:w="1487"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color w:val="000000"/>
                <w:lang w:eastAsia="en-US"/>
              </w:rPr>
              <w:t>5478</w:t>
            </w:r>
          </w:p>
        </w:tc>
      </w:tr>
      <w:tr w:rsidR="001133C2" w:rsidRPr="00527E7D" w:rsidTr="001133C2">
        <w:tc>
          <w:tcPr>
            <w:tcW w:w="3652" w:type="dxa"/>
            <w:shd w:val="clear" w:color="auto" w:fill="auto"/>
            <w:vAlign w:val="bottom"/>
          </w:tcPr>
          <w:p w:rsidR="001133C2" w:rsidRPr="00527E7D" w:rsidRDefault="001133C2" w:rsidP="001133C2">
            <w:pPr>
              <w:autoSpaceDE w:val="0"/>
              <w:autoSpaceDN w:val="0"/>
              <w:adjustRightInd w:val="0"/>
              <w:spacing w:before="60" w:after="60" w:line="240" w:lineRule="auto"/>
              <w:jc w:val="both"/>
              <w:rPr>
                <w:rFonts w:ascii="Times New Roman" w:eastAsia="Calibri" w:hAnsi="Times New Roman"/>
                <w:color w:val="000000"/>
                <w:lang w:eastAsia="en-US"/>
              </w:rPr>
            </w:pPr>
            <w:r w:rsidRPr="00527E7D">
              <w:rPr>
                <w:rFonts w:ascii="Times New Roman" w:eastAsia="Calibri" w:hAnsi="Times New Roman"/>
                <w:color w:val="000000"/>
                <w:lang w:eastAsia="en-US"/>
              </w:rPr>
              <w:t>WTI Crude Oil</w:t>
            </w:r>
          </w:p>
        </w:tc>
        <w:tc>
          <w:tcPr>
            <w:tcW w:w="1115"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0.0306%</w:t>
            </w:r>
          </w:p>
        </w:tc>
        <w:tc>
          <w:tcPr>
            <w:tcW w:w="2031"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2.4782%</w:t>
            </w:r>
          </w:p>
        </w:tc>
        <w:tc>
          <w:tcPr>
            <w:tcW w:w="1590"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lang w:eastAsia="en-US"/>
              </w:rPr>
              <w:t>-1.0761%</w:t>
            </w:r>
          </w:p>
        </w:tc>
        <w:tc>
          <w:tcPr>
            <w:tcW w:w="1115" w:type="dxa"/>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0.0000%</w:t>
            </w:r>
          </w:p>
        </w:tc>
        <w:tc>
          <w:tcPr>
            <w:tcW w:w="1570"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lang w:eastAsia="en-US"/>
              </w:rPr>
              <w:t>1.2075%</w:t>
            </w:r>
          </w:p>
        </w:tc>
        <w:tc>
          <w:tcPr>
            <w:tcW w:w="1487" w:type="dxa"/>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color w:val="000000"/>
                <w:lang w:eastAsia="en-US"/>
              </w:rPr>
              <w:t>5478</w:t>
            </w:r>
          </w:p>
        </w:tc>
      </w:tr>
      <w:tr w:rsidR="001133C2" w:rsidRPr="00527E7D" w:rsidTr="001133C2">
        <w:tc>
          <w:tcPr>
            <w:tcW w:w="3652" w:type="dxa"/>
            <w:tcBorders>
              <w:bottom w:val="double" w:sz="4" w:space="0" w:color="auto"/>
            </w:tcBorders>
            <w:shd w:val="clear" w:color="auto" w:fill="auto"/>
            <w:vAlign w:val="bottom"/>
          </w:tcPr>
          <w:p w:rsidR="001133C2" w:rsidRPr="00527E7D" w:rsidRDefault="001133C2" w:rsidP="001133C2">
            <w:pPr>
              <w:autoSpaceDE w:val="0"/>
              <w:autoSpaceDN w:val="0"/>
              <w:adjustRightInd w:val="0"/>
              <w:spacing w:before="60" w:after="60" w:line="240" w:lineRule="auto"/>
              <w:jc w:val="both"/>
              <w:rPr>
                <w:rFonts w:ascii="Times New Roman" w:eastAsia="Calibri" w:hAnsi="Times New Roman"/>
                <w:color w:val="000000"/>
                <w:lang w:eastAsia="en-US"/>
              </w:rPr>
            </w:pPr>
            <w:r w:rsidRPr="00527E7D">
              <w:rPr>
                <w:rFonts w:ascii="Times New Roman" w:eastAsia="Calibri" w:hAnsi="Times New Roman"/>
                <w:color w:val="000000"/>
                <w:lang w:eastAsia="en-US"/>
              </w:rPr>
              <w:t xml:space="preserve">World Government Bond Index </w:t>
            </w:r>
          </w:p>
        </w:tc>
        <w:tc>
          <w:tcPr>
            <w:tcW w:w="1115" w:type="dxa"/>
            <w:tcBorders>
              <w:bottom w:val="double" w:sz="4" w:space="0" w:color="auto"/>
            </w:tcBorders>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lang w:eastAsia="en-US"/>
              </w:rPr>
              <w:t>0.0243%</w:t>
            </w:r>
          </w:p>
        </w:tc>
        <w:tc>
          <w:tcPr>
            <w:tcW w:w="2031" w:type="dxa"/>
            <w:tcBorders>
              <w:bottom w:val="double" w:sz="4" w:space="0" w:color="auto"/>
            </w:tcBorders>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lang w:eastAsia="en-US"/>
              </w:rPr>
              <w:t>0.4039%</w:t>
            </w:r>
          </w:p>
        </w:tc>
        <w:tc>
          <w:tcPr>
            <w:tcW w:w="1590" w:type="dxa"/>
            <w:tcBorders>
              <w:bottom w:val="double" w:sz="4" w:space="0" w:color="auto"/>
            </w:tcBorders>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lang w:eastAsia="en-US"/>
              </w:rPr>
              <w:t>-0.2135%</w:t>
            </w:r>
          </w:p>
        </w:tc>
        <w:tc>
          <w:tcPr>
            <w:tcW w:w="1115" w:type="dxa"/>
            <w:tcBorders>
              <w:bottom w:val="double" w:sz="4" w:space="0" w:color="auto"/>
            </w:tcBorders>
            <w:shd w:val="clear" w:color="auto" w:fill="auto"/>
            <w:vAlign w:val="bottom"/>
          </w:tcPr>
          <w:p w:rsidR="001133C2" w:rsidRPr="00527E7D" w:rsidRDefault="001133C2" w:rsidP="001133C2">
            <w:pPr>
              <w:autoSpaceDE w:val="0"/>
              <w:autoSpaceDN w:val="0"/>
              <w:adjustRightInd w:val="0"/>
              <w:spacing w:before="60" w:after="60" w:line="240" w:lineRule="auto"/>
              <w:jc w:val="center"/>
              <w:rPr>
                <w:rFonts w:ascii="Times New Roman" w:eastAsia="Calibri" w:hAnsi="Times New Roman"/>
                <w:color w:val="000000"/>
                <w:lang w:eastAsia="en-US"/>
              </w:rPr>
            </w:pPr>
            <w:r w:rsidRPr="00527E7D">
              <w:rPr>
                <w:rFonts w:ascii="Times New Roman" w:eastAsia="Calibri" w:hAnsi="Times New Roman"/>
                <w:lang w:eastAsia="en-US"/>
              </w:rPr>
              <w:t>0.0137%</w:t>
            </w:r>
          </w:p>
        </w:tc>
        <w:tc>
          <w:tcPr>
            <w:tcW w:w="1570" w:type="dxa"/>
            <w:tcBorders>
              <w:bottom w:val="double" w:sz="4" w:space="0" w:color="auto"/>
            </w:tcBorders>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lang w:eastAsia="en-US"/>
              </w:rPr>
              <w:t>0.2444%</w:t>
            </w:r>
          </w:p>
        </w:tc>
        <w:tc>
          <w:tcPr>
            <w:tcW w:w="1487" w:type="dxa"/>
            <w:tcBorders>
              <w:bottom w:val="double" w:sz="4" w:space="0" w:color="auto"/>
            </w:tcBorders>
            <w:shd w:val="clear" w:color="auto" w:fill="auto"/>
          </w:tcPr>
          <w:p w:rsidR="001133C2" w:rsidRPr="00527E7D" w:rsidRDefault="001133C2" w:rsidP="001133C2">
            <w:pPr>
              <w:spacing w:before="60" w:after="60" w:line="240" w:lineRule="auto"/>
              <w:jc w:val="center"/>
              <w:rPr>
                <w:rFonts w:ascii="Times New Roman" w:eastAsia="Calibri" w:hAnsi="Times New Roman"/>
                <w:lang w:eastAsia="en-US"/>
              </w:rPr>
            </w:pPr>
            <w:r w:rsidRPr="00527E7D">
              <w:rPr>
                <w:rFonts w:ascii="Times New Roman" w:eastAsia="Calibri" w:hAnsi="Times New Roman"/>
                <w:lang w:eastAsia="en-US"/>
              </w:rPr>
              <w:t>3391</w:t>
            </w:r>
          </w:p>
        </w:tc>
      </w:tr>
    </w:tbl>
    <w:p w:rsidR="001133C2" w:rsidRDefault="001133C2" w:rsidP="001133C2">
      <w:pPr>
        <w:ind w:left="709" w:right="775"/>
        <w:jc w:val="both"/>
        <w:rPr>
          <w:rFonts w:ascii="Times New Roman" w:eastAsia="Calibri" w:hAnsi="Times New Roman"/>
          <w:sz w:val="20"/>
          <w:szCs w:val="20"/>
          <w:lang w:eastAsia="en-US"/>
        </w:rPr>
      </w:pPr>
    </w:p>
    <w:p w:rsidR="001133C2" w:rsidRDefault="001133C2" w:rsidP="001133C2">
      <w:pPr>
        <w:ind w:left="709" w:right="775"/>
        <w:jc w:val="both"/>
        <w:rPr>
          <w:rFonts w:ascii="Times New Roman" w:eastAsia="Calibri" w:hAnsi="Times New Roman"/>
          <w:sz w:val="20"/>
          <w:szCs w:val="20"/>
          <w:lang w:eastAsia="en-US"/>
        </w:rPr>
      </w:pPr>
    </w:p>
    <w:p w:rsidR="001133C2" w:rsidRDefault="001133C2" w:rsidP="001133C2">
      <w:pPr>
        <w:ind w:left="709" w:right="775"/>
        <w:jc w:val="both"/>
        <w:rPr>
          <w:rFonts w:ascii="Times New Roman" w:eastAsia="Calibri" w:hAnsi="Times New Roman"/>
          <w:sz w:val="20"/>
          <w:szCs w:val="20"/>
          <w:lang w:eastAsia="en-US"/>
        </w:rPr>
      </w:pPr>
    </w:p>
    <w:p w:rsidR="001133C2" w:rsidRDefault="001133C2" w:rsidP="001133C2">
      <w:pPr>
        <w:ind w:left="709" w:right="775"/>
        <w:jc w:val="both"/>
        <w:rPr>
          <w:rFonts w:ascii="Times New Roman" w:eastAsia="Calibri" w:hAnsi="Times New Roman"/>
          <w:sz w:val="20"/>
          <w:szCs w:val="20"/>
          <w:lang w:eastAsia="en-US"/>
        </w:rPr>
      </w:pPr>
    </w:p>
    <w:p w:rsidR="001133C2" w:rsidRDefault="001133C2" w:rsidP="001133C2">
      <w:pPr>
        <w:ind w:left="709" w:right="775"/>
        <w:jc w:val="both"/>
        <w:rPr>
          <w:rFonts w:ascii="Times New Roman" w:eastAsia="Calibri" w:hAnsi="Times New Roman"/>
          <w:sz w:val="20"/>
          <w:szCs w:val="20"/>
          <w:lang w:eastAsia="en-US"/>
        </w:rPr>
      </w:pPr>
    </w:p>
    <w:p w:rsidR="001133C2" w:rsidRPr="00B81948" w:rsidRDefault="001133C2" w:rsidP="001133C2">
      <w:pPr>
        <w:ind w:left="709" w:right="775"/>
        <w:jc w:val="both"/>
        <w:rPr>
          <w:rFonts w:eastAsia="Calibri"/>
          <w:lang w:eastAsia="en-US"/>
        </w:rPr>
      </w:pPr>
    </w:p>
    <w:p w:rsidR="001133C2" w:rsidRDefault="001133C2" w:rsidP="001133C2">
      <w:pPr>
        <w:rPr>
          <w:rFonts w:eastAsia="Calibri"/>
          <w:lang w:eastAsia="en-US"/>
        </w:rPr>
      </w:pPr>
      <w:r>
        <w:rPr>
          <w:rFonts w:eastAsia="Calibri"/>
          <w:lang w:eastAsia="en-US"/>
        </w:rPr>
        <w:br w:type="page"/>
      </w:r>
    </w:p>
    <w:p w:rsidR="001133C2" w:rsidRDefault="001133C2" w:rsidP="001133C2">
      <w:pPr>
        <w:rPr>
          <w:rFonts w:eastAsia="Calibri"/>
          <w:lang w:eastAsia="en-US"/>
        </w:rPr>
        <w:sectPr w:rsidR="001133C2" w:rsidSect="001A7DC3">
          <w:pgSz w:w="16838" w:h="11906" w:orient="landscape" w:code="9"/>
          <w:pgMar w:top="1440" w:right="907" w:bottom="1440" w:left="907" w:header="709" w:footer="709" w:gutter="0"/>
          <w:cols w:space="708"/>
          <w:docGrid w:linePitch="360"/>
        </w:sectPr>
      </w:pPr>
    </w:p>
    <w:p w:rsidR="001133C2" w:rsidRPr="00A1155D" w:rsidRDefault="001133C2" w:rsidP="001133C2">
      <w:pPr>
        <w:jc w:val="center"/>
        <w:rPr>
          <w:rFonts w:ascii="Times New Roman" w:hAnsi="Times New Roman"/>
          <w:b/>
          <w:sz w:val="24"/>
          <w:szCs w:val="24"/>
        </w:rPr>
      </w:pPr>
      <w:r w:rsidRPr="00A1155D">
        <w:rPr>
          <w:rFonts w:ascii="Times New Roman" w:hAnsi="Times New Roman"/>
          <w:b/>
          <w:sz w:val="24"/>
          <w:szCs w:val="24"/>
        </w:rPr>
        <w:lastRenderedPageBreak/>
        <w:t xml:space="preserve">Table </w:t>
      </w:r>
      <w:r>
        <w:rPr>
          <w:rFonts w:ascii="Times New Roman" w:hAnsi="Times New Roman"/>
          <w:b/>
          <w:sz w:val="24"/>
          <w:szCs w:val="24"/>
        </w:rPr>
        <w:t>II</w:t>
      </w:r>
    </w:p>
    <w:p w:rsidR="001133C2" w:rsidRPr="00A1155D" w:rsidRDefault="001133C2" w:rsidP="001133C2">
      <w:pPr>
        <w:jc w:val="center"/>
        <w:rPr>
          <w:rFonts w:ascii="Times New Roman" w:hAnsi="Times New Roman"/>
          <w:b/>
          <w:sz w:val="24"/>
          <w:szCs w:val="24"/>
          <w:lang w:val="en-US"/>
        </w:rPr>
      </w:pPr>
      <w:r w:rsidRPr="00A1155D">
        <w:rPr>
          <w:rFonts w:ascii="Times New Roman" w:hAnsi="Times New Roman"/>
          <w:b/>
          <w:sz w:val="24"/>
          <w:szCs w:val="24"/>
          <w:lang w:val="en-US"/>
        </w:rPr>
        <w:t>Unit Root Test</w:t>
      </w:r>
    </w:p>
    <w:p w:rsidR="001133C2" w:rsidRPr="00470E8F" w:rsidRDefault="001133C2" w:rsidP="001133C2">
      <w:pPr>
        <w:autoSpaceDE w:val="0"/>
        <w:autoSpaceDN w:val="0"/>
        <w:adjustRightInd w:val="0"/>
        <w:spacing w:after="0" w:line="240" w:lineRule="auto"/>
        <w:ind w:left="-426" w:right="-472"/>
        <w:jc w:val="both"/>
        <w:rPr>
          <w:rFonts w:ascii="Times New Roman" w:hAnsi="Times New Roman"/>
          <w:sz w:val="20"/>
          <w:szCs w:val="20"/>
          <w:lang w:val="en-US"/>
        </w:rPr>
      </w:pPr>
      <w:r w:rsidRPr="00470E8F">
        <w:rPr>
          <w:rFonts w:ascii="Times New Roman" w:hAnsi="Times New Roman"/>
          <w:sz w:val="20"/>
          <w:szCs w:val="20"/>
          <w:lang w:val="en-US"/>
        </w:rPr>
        <w:t xml:space="preserve">This table contains the ADF test statistics for the level, first differences and continuously compounded returns of the five series for the time from 31 December 1986 to 31 December 2007 for the first four series and from January 1995 to December 2007 for bonds.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denote statistical significance at 1%, 5% and 10%.</w:t>
      </w:r>
    </w:p>
    <w:tbl>
      <w:tblPr>
        <w:tblpPr w:leftFromText="180" w:rightFromText="180" w:vertAnchor="text" w:horzAnchor="margin" w:tblpXSpec="center" w:tblpY="70"/>
        <w:tblW w:w="10063" w:type="dxa"/>
        <w:tblLook w:val="04A0" w:firstRow="1" w:lastRow="0" w:firstColumn="1" w:lastColumn="0" w:noHBand="0" w:noVBand="1"/>
      </w:tblPr>
      <w:tblGrid>
        <w:gridCol w:w="3131"/>
        <w:gridCol w:w="2310"/>
        <w:gridCol w:w="2311"/>
        <w:gridCol w:w="2311"/>
      </w:tblGrid>
      <w:tr w:rsidR="001133C2" w:rsidRPr="00527E7D" w:rsidTr="001133C2">
        <w:trPr>
          <w:trHeight w:val="424"/>
        </w:trPr>
        <w:tc>
          <w:tcPr>
            <w:tcW w:w="3131" w:type="dxa"/>
            <w:tcBorders>
              <w:top w:val="doub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after="0" w:line="240" w:lineRule="auto"/>
              <w:rPr>
                <w:rFonts w:ascii="Times New Roman" w:hAnsi="Times New Roman"/>
              </w:rPr>
            </w:pPr>
            <w:r w:rsidRPr="00527E7D">
              <w:rPr>
                <w:rFonts w:ascii="Times New Roman" w:hAnsi="Times New Roman"/>
              </w:rPr>
              <w:t>Variables</w:t>
            </w:r>
          </w:p>
        </w:tc>
        <w:tc>
          <w:tcPr>
            <w:tcW w:w="2310" w:type="dxa"/>
            <w:tcBorders>
              <w:top w:val="doub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rPr>
              <w:t>Levels</w:t>
            </w:r>
          </w:p>
        </w:tc>
        <w:tc>
          <w:tcPr>
            <w:tcW w:w="2311" w:type="dxa"/>
            <w:tcBorders>
              <w:top w:val="doub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rPr>
              <w:t>First Differences</w:t>
            </w:r>
          </w:p>
        </w:tc>
        <w:tc>
          <w:tcPr>
            <w:tcW w:w="2311" w:type="dxa"/>
            <w:tcBorders>
              <w:top w:val="doub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rPr>
              <w:t>Returns</w:t>
            </w:r>
          </w:p>
        </w:tc>
      </w:tr>
      <w:tr w:rsidR="001133C2" w:rsidRPr="00527E7D" w:rsidTr="001133C2">
        <w:tc>
          <w:tcPr>
            <w:tcW w:w="3131" w:type="dxa"/>
            <w:shd w:val="clear" w:color="auto" w:fill="auto"/>
          </w:tcPr>
          <w:p w:rsidR="001133C2" w:rsidRPr="00527E7D" w:rsidRDefault="001133C2" w:rsidP="001133C2">
            <w:pPr>
              <w:autoSpaceDE w:val="0"/>
              <w:autoSpaceDN w:val="0"/>
              <w:adjustRightInd w:val="0"/>
              <w:spacing w:after="0" w:line="240" w:lineRule="auto"/>
              <w:rPr>
                <w:rFonts w:ascii="Times New Roman" w:hAnsi="Times New Roman"/>
              </w:rPr>
            </w:pPr>
          </w:p>
        </w:tc>
        <w:tc>
          <w:tcPr>
            <w:tcW w:w="2310"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color w:val="000000"/>
              </w:rPr>
            </w:pPr>
          </w:p>
        </w:tc>
      </w:tr>
      <w:tr w:rsidR="001133C2" w:rsidRPr="00527E7D" w:rsidTr="001133C2">
        <w:tc>
          <w:tcPr>
            <w:tcW w:w="3131" w:type="dxa"/>
            <w:shd w:val="clear" w:color="auto" w:fill="auto"/>
          </w:tcPr>
          <w:p w:rsidR="001133C2" w:rsidRPr="00527E7D" w:rsidRDefault="001133C2" w:rsidP="001133C2">
            <w:pPr>
              <w:autoSpaceDE w:val="0"/>
              <w:autoSpaceDN w:val="0"/>
              <w:adjustRightInd w:val="0"/>
              <w:spacing w:after="0" w:line="240" w:lineRule="auto"/>
              <w:rPr>
                <w:rFonts w:ascii="Times New Roman" w:hAnsi="Times New Roman"/>
              </w:rPr>
            </w:pPr>
            <w:r w:rsidRPr="00527E7D">
              <w:rPr>
                <w:rFonts w:ascii="Times New Roman" w:hAnsi="Times New Roman"/>
              </w:rPr>
              <w:t>WTI Crude Oil</w:t>
            </w:r>
          </w:p>
        </w:tc>
        <w:tc>
          <w:tcPr>
            <w:tcW w:w="2310"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rPr>
              <w:t>-0.5794</w:t>
            </w: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rPr>
              <w:t>-79.3544</w:t>
            </w:r>
            <w:r w:rsidRPr="00527E7D">
              <w:rPr>
                <w:rFonts w:ascii="Times New Roman" w:hAnsi="Times New Roman"/>
                <w:vertAlign w:val="superscript"/>
              </w:rPr>
              <w:t>***</w:t>
            </w: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color w:val="000000"/>
              </w:rPr>
              <w:t>-47.6210</w:t>
            </w:r>
            <w:r w:rsidRPr="00527E7D">
              <w:rPr>
                <w:rFonts w:ascii="Times New Roman" w:hAnsi="Times New Roman"/>
                <w:vertAlign w:val="superscript"/>
              </w:rPr>
              <w:t>***</w:t>
            </w:r>
          </w:p>
        </w:tc>
      </w:tr>
      <w:tr w:rsidR="001133C2" w:rsidRPr="00527E7D" w:rsidTr="001133C2">
        <w:tc>
          <w:tcPr>
            <w:tcW w:w="3131" w:type="dxa"/>
            <w:shd w:val="clear" w:color="auto" w:fill="auto"/>
          </w:tcPr>
          <w:p w:rsidR="001133C2" w:rsidRPr="00527E7D" w:rsidRDefault="001133C2" w:rsidP="001133C2">
            <w:pPr>
              <w:autoSpaceDE w:val="0"/>
              <w:autoSpaceDN w:val="0"/>
              <w:adjustRightInd w:val="0"/>
              <w:spacing w:after="0" w:line="240" w:lineRule="auto"/>
              <w:rPr>
                <w:rFonts w:ascii="Times New Roman" w:hAnsi="Times New Roman"/>
              </w:rPr>
            </w:pPr>
          </w:p>
        </w:tc>
        <w:tc>
          <w:tcPr>
            <w:tcW w:w="2310"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color w:val="000000"/>
              </w:rPr>
            </w:pPr>
          </w:p>
        </w:tc>
      </w:tr>
      <w:tr w:rsidR="001133C2" w:rsidRPr="00527E7D" w:rsidTr="001133C2">
        <w:tc>
          <w:tcPr>
            <w:tcW w:w="3131" w:type="dxa"/>
            <w:shd w:val="clear" w:color="auto" w:fill="auto"/>
          </w:tcPr>
          <w:p w:rsidR="001133C2" w:rsidRPr="00527E7D" w:rsidRDefault="001133C2" w:rsidP="001133C2">
            <w:pPr>
              <w:autoSpaceDE w:val="0"/>
              <w:autoSpaceDN w:val="0"/>
              <w:adjustRightInd w:val="0"/>
              <w:spacing w:after="0" w:line="240" w:lineRule="auto"/>
              <w:rPr>
                <w:rFonts w:ascii="Times New Roman" w:hAnsi="Times New Roman"/>
              </w:rPr>
            </w:pPr>
            <w:r w:rsidRPr="00527E7D">
              <w:rPr>
                <w:rFonts w:ascii="Times New Roman" w:hAnsi="Times New Roman"/>
              </w:rPr>
              <w:t>World Government Bond Index</w:t>
            </w:r>
          </w:p>
        </w:tc>
        <w:tc>
          <w:tcPr>
            <w:tcW w:w="2310"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color w:val="000000"/>
              </w:rPr>
              <w:t>-1.5303</w:t>
            </w: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color w:val="000000"/>
              </w:rPr>
              <w:t>-56.9934</w:t>
            </w:r>
            <w:r w:rsidRPr="00527E7D">
              <w:rPr>
                <w:rFonts w:ascii="Times New Roman" w:hAnsi="Times New Roman"/>
                <w:vertAlign w:val="superscript"/>
              </w:rPr>
              <w:t>***</w:t>
            </w: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color w:val="000000"/>
              </w:rPr>
              <w:t>-56.6607</w:t>
            </w:r>
            <w:r w:rsidRPr="00527E7D">
              <w:rPr>
                <w:rFonts w:ascii="Times New Roman" w:hAnsi="Times New Roman"/>
                <w:vertAlign w:val="superscript"/>
              </w:rPr>
              <w:t>***</w:t>
            </w:r>
          </w:p>
        </w:tc>
      </w:tr>
      <w:tr w:rsidR="001133C2" w:rsidRPr="00527E7D" w:rsidTr="001133C2">
        <w:tc>
          <w:tcPr>
            <w:tcW w:w="3131" w:type="dxa"/>
            <w:shd w:val="clear" w:color="auto" w:fill="auto"/>
          </w:tcPr>
          <w:p w:rsidR="001133C2" w:rsidRPr="00527E7D" w:rsidRDefault="001133C2" w:rsidP="001133C2">
            <w:pPr>
              <w:autoSpaceDE w:val="0"/>
              <w:autoSpaceDN w:val="0"/>
              <w:adjustRightInd w:val="0"/>
              <w:spacing w:after="0" w:line="240" w:lineRule="auto"/>
              <w:rPr>
                <w:rFonts w:ascii="Times New Roman" w:hAnsi="Times New Roman"/>
              </w:rPr>
            </w:pPr>
          </w:p>
        </w:tc>
        <w:tc>
          <w:tcPr>
            <w:tcW w:w="2310"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color w:val="000000"/>
              </w:rPr>
            </w:pP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color w:val="000000"/>
              </w:rPr>
            </w:pP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color w:val="000000"/>
              </w:rPr>
            </w:pPr>
          </w:p>
        </w:tc>
      </w:tr>
      <w:tr w:rsidR="001133C2" w:rsidRPr="00527E7D" w:rsidTr="001133C2">
        <w:tc>
          <w:tcPr>
            <w:tcW w:w="3131" w:type="dxa"/>
            <w:shd w:val="clear" w:color="auto" w:fill="auto"/>
          </w:tcPr>
          <w:p w:rsidR="001133C2" w:rsidRPr="00527E7D" w:rsidRDefault="001133C2" w:rsidP="001133C2">
            <w:pPr>
              <w:autoSpaceDE w:val="0"/>
              <w:autoSpaceDN w:val="0"/>
              <w:adjustRightInd w:val="0"/>
              <w:spacing w:after="0" w:line="240" w:lineRule="auto"/>
              <w:rPr>
                <w:rFonts w:ascii="Times New Roman" w:hAnsi="Times New Roman"/>
              </w:rPr>
            </w:pPr>
            <w:r w:rsidRPr="00527E7D">
              <w:rPr>
                <w:rFonts w:ascii="Times New Roman" w:hAnsi="Times New Roman"/>
              </w:rPr>
              <w:t>S&amp;P 500</w:t>
            </w:r>
          </w:p>
        </w:tc>
        <w:tc>
          <w:tcPr>
            <w:tcW w:w="2310"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rPr>
              <w:t>-2.0651</w:t>
            </w: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rPr>
              <w:t>-76.0704</w:t>
            </w:r>
            <w:r w:rsidRPr="00527E7D">
              <w:rPr>
                <w:rFonts w:ascii="Times New Roman" w:hAnsi="Times New Roman"/>
                <w:vertAlign w:val="superscript"/>
              </w:rPr>
              <w:t>***</w:t>
            </w: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color w:val="000000"/>
              </w:rPr>
              <w:t>-54.7222</w:t>
            </w:r>
            <w:r w:rsidRPr="00527E7D">
              <w:rPr>
                <w:rFonts w:ascii="Times New Roman" w:hAnsi="Times New Roman"/>
                <w:vertAlign w:val="superscript"/>
              </w:rPr>
              <w:t>***</w:t>
            </w:r>
          </w:p>
        </w:tc>
      </w:tr>
      <w:tr w:rsidR="001133C2" w:rsidRPr="00527E7D" w:rsidTr="001133C2">
        <w:tc>
          <w:tcPr>
            <w:tcW w:w="3131" w:type="dxa"/>
            <w:shd w:val="clear" w:color="auto" w:fill="auto"/>
          </w:tcPr>
          <w:p w:rsidR="001133C2" w:rsidRPr="00527E7D" w:rsidRDefault="001133C2" w:rsidP="001133C2">
            <w:pPr>
              <w:autoSpaceDE w:val="0"/>
              <w:autoSpaceDN w:val="0"/>
              <w:adjustRightInd w:val="0"/>
              <w:spacing w:after="0" w:line="240" w:lineRule="auto"/>
              <w:rPr>
                <w:rFonts w:ascii="Times New Roman" w:hAnsi="Times New Roman"/>
              </w:rPr>
            </w:pPr>
          </w:p>
        </w:tc>
        <w:tc>
          <w:tcPr>
            <w:tcW w:w="2310"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color w:val="000000"/>
              </w:rPr>
            </w:pPr>
          </w:p>
        </w:tc>
      </w:tr>
      <w:tr w:rsidR="001133C2" w:rsidRPr="00527E7D" w:rsidTr="001133C2">
        <w:tc>
          <w:tcPr>
            <w:tcW w:w="3131" w:type="dxa"/>
            <w:shd w:val="clear" w:color="auto" w:fill="auto"/>
          </w:tcPr>
          <w:p w:rsidR="001133C2" w:rsidRPr="00527E7D" w:rsidRDefault="001133C2" w:rsidP="001133C2">
            <w:pPr>
              <w:autoSpaceDE w:val="0"/>
              <w:autoSpaceDN w:val="0"/>
              <w:adjustRightInd w:val="0"/>
              <w:spacing w:after="0" w:line="240" w:lineRule="auto"/>
              <w:rPr>
                <w:rFonts w:ascii="Times New Roman" w:hAnsi="Times New Roman"/>
              </w:rPr>
            </w:pPr>
            <w:r w:rsidRPr="00527E7D">
              <w:rPr>
                <w:rFonts w:ascii="Times New Roman" w:hAnsi="Times New Roman"/>
              </w:rPr>
              <w:t>MCSI World</w:t>
            </w:r>
          </w:p>
        </w:tc>
        <w:tc>
          <w:tcPr>
            <w:tcW w:w="2310"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rPr>
              <w:t>-1.8237</w:t>
            </w: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rPr>
              <w:t>-50.6641</w:t>
            </w:r>
            <w:r w:rsidRPr="00527E7D">
              <w:rPr>
                <w:rFonts w:ascii="Times New Roman" w:hAnsi="Times New Roman"/>
                <w:vertAlign w:val="superscript"/>
              </w:rPr>
              <w:t>***</w:t>
            </w: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color w:val="000000"/>
              </w:rPr>
              <w:t>-51.3603</w:t>
            </w:r>
            <w:r w:rsidRPr="00527E7D">
              <w:rPr>
                <w:rFonts w:ascii="Times New Roman" w:hAnsi="Times New Roman"/>
                <w:vertAlign w:val="superscript"/>
              </w:rPr>
              <w:t>***</w:t>
            </w:r>
          </w:p>
        </w:tc>
      </w:tr>
      <w:tr w:rsidR="001133C2" w:rsidRPr="00527E7D" w:rsidTr="001133C2">
        <w:tc>
          <w:tcPr>
            <w:tcW w:w="3131" w:type="dxa"/>
            <w:shd w:val="clear" w:color="auto" w:fill="auto"/>
          </w:tcPr>
          <w:p w:rsidR="001133C2" w:rsidRPr="00527E7D" w:rsidRDefault="001133C2" w:rsidP="001133C2">
            <w:pPr>
              <w:autoSpaceDE w:val="0"/>
              <w:autoSpaceDN w:val="0"/>
              <w:adjustRightInd w:val="0"/>
              <w:spacing w:after="0" w:line="240" w:lineRule="auto"/>
              <w:rPr>
                <w:rFonts w:ascii="Times New Roman" w:hAnsi="Times New Roman"/>
              </w:rPr>
            </w:pPr>
          </w:p>
        </w:tc>
        <w:tc>
          <w:tcPr>
            <w:tcW w:w="2310"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color w:val="000000"/>
              </w:rPr>
            </w:pPr>
          </w:p>
        </w:tc>
      </w:tr>
      <w:tr w:rsidR="001133C2" w:rsidRPr="00527E7D" w:rsidTr="001133C2">
        <w:tc>
          <w:tcPr>
            <w:tcW w:w="3131" w:type="dxa"/>
            <w:shd w:val="clear" w:color="auto" w:fill="auto"/>
          </w:tcPr>
          <w:p w:rsidR="001133C2" w:rsidRPr="00527E7D" w:rsidRDefault="001133C2" w:rsidP="001133C2">
            <w:pPr>
              <w:autoSpaceDE w:val="0"/>
              <w:autoSpaceDN w:val="0"/>
              <w:adjustRightInd w:val="0"/>
              <w:spacing w:after="0" w:line="240" w:lineRule="auto"/>
              <w:rPr>
                <w:rFonts w:ascii="Times New Roman" w:hAnsi="Times New Roman"/>
              </w:rPr>
            </w:pPr>
            <w:r w:rsidRPr="00527E7D">
              <w:rPr>
                <w:rFonts w:ascii="Times New Roman" w:hAnsi="Times New Roman"/>
              </w:rPr>
              <w:t>MSCI World excl. U.S.</w:t>
            </w:r>
          </w:p>
        </w:tc>
        <w:tc>
          <w:tcPr>
            <w:tcW w:w="2310"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rPr>
              <w:t>-1.7425</w:t>
            </w: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rPr>
              <w:t>-51.8431</w:t>
            </w:r>
            <w:r w:rsidRPr="00527E7D">
              <w:rPr>
                <w:rFonts w:ascii="Times New Roman" w:hAnsi="Times New Roman"/>
                <w:vertAlign w:val="superscript"/>
              </w:rPr>
              <w:t>***</w:t>
            </w:r>
          </w:p>
        </w:tc>
        <w:tc>
          <w:tcPr>
            <w:tcW w:w="2311" w:type="dxa"/>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r w:rsidRPr="00527E7D">
              <w:rPr>
                <w:rFonts w:ascii="Times New Roman" w:hAnsi="Times New Roman"/>
                <w:color w:val="000000"/>
              </w:rPr>
              <w:t>-33.6471</w:t>
            </w:r>
            <w:r w:rsidRPr="00527E7D">
              <w:rPr>
                <w:rFonts w:ascii="Times New Roman" w:hAnsi="Times New Roman"/>
                <w:vertAlign w:val="superscript"/>
              </w:rPr>
              <w:t>***</w:t>
            </w:r>
          </w:p>
        </w:tc>
      </w:tr>
      <w:tr w:rsidR="001133C2" w:rsidRPr="00527E7D" w:rsidTr="001133C2">
        <w:tc>
          <w:tcPr>
            <w:tcW w:w="3131" w:type="dxa"/>
            <w:tcBorders>
              <w:bottom w:val="double" w:sz="4" w:space="0" w:color="auto"/>
            </w:tcBorders>
            <w:shd w:val="clear" w:color="auto" w:fill="auto"/>
          </w:tcPr>
          <w:p w:rsidR="001133C2" w:rsidRPr="00527E7D" w:rsidRDefault="001133C2" w:rsidP="001133C2">
            <w:pPr>
              <w:autoSpaceDE w:val="0"/>
              <w:autoSpaceDN w:val="0"/>
              <w:adjustRightInd w:val="0"/>
              <w:spacing w:after="0" w:line="240" w:lineRule="auto"/>
              <w:rPr>
                <w:rFonts w:ascii="Times New Roman" w:hAnsi="Times New Roman"/>
              </w:rPr>
            </w:pPr>
          </w:p>
        </w:tc>
        <w:tc>
          <w:tcPr>
            <w:tcW w:w="2310" w:type="dxa"/>
            <w:tcBorders>
              <w:bottom w:val="double" w:sz="4" w:space="0" w:color="auto"/>
            </w:tcBorders>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p>
        </w:tc>
        <w:tc>
          <w:tcPr>
            <w:tcW w:w="2311" w:type="dxa"/>
            <w:tcBorders>
              <w:bottom w:val="double" w:sz="4" w:space="0" w:color="auto"/>
            </w:tcBorders>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rPr>
            </w:pPr>
          </w:p>
        </w:tc>
        <w:tc>
          <w:tcPr>
            <w:tcW w:w="2311" w:type="dxa"/>
            <w:tcBorders>
              <w:bottom w:val="double" w:sz="4" w:space="0" w:color="auto"/>
            </w:tcBorders>
            <w:shd w:val="clear" w:color="auto" w:fill="auto"/>
          </w:tcPr>
          <w:p w:rsidR="001133C2" w:rsidRPr="00527E7D" w:rsidRDefault="001133C2" w:rsidP="001133C2">
            <w:pPr>
              <w:autoSpaceDE w:val="0"/>
              <w:autoSpaceDN w:val="0"/>
              <w:adjustRightInd w:val="0"/>
              <w:spacing w:after="0" w:line="240" w:lineRule="auto"/>
              <w:jc w:val="center"/>
              <w:rPr>
                <w:rFonts w:ascii="Times New Roman" w:hAnsi="Times New Roman"/>
                <w:color w:val="000000"/>
              </w:rPr>
            </w:pPr>
          </w:p>
        </w:tc>
      </w:tr>
    </w:tbl>
    <w:p w:rsidR="001133C2" w:rsidRPr="00A1155D" w:rsidRDefault="001133C2" w:rsidP="001133C2">
      <w:pPr>
        <w:autoSpaceDE w:val="0"/>
        <w:autoSpaceDN w:val="0"/>
        <w:adjustRightInd w:val="0"/>
        <w:spacing w:after="0" w:line="240" w:lineRule="auto"/>
        <w:ind w:left="-1134" w:right="95"/>
        <w:jc w:val="both"/>
        <w:rPr>
          <w:rFonts w:ascii="Times New Roman" w:hAnsi="Times New Roman"/>
          <w:sz w:val="20"/>
          <w:szCs w:val="20"/>
        </w:rPr>
      </w:pPr>
    </w:p>
    <w:p w:rsidR="001133C2" w:rsidRPr="00A1155D" w:rsidRDefault="001133C2" w:rsidP="001133C2">
      <w:pPr>
        <w:rPr>
          <w:rFonts w:ascii="CMR12" w:hAnsi="CMR12" w:cs="CMR12"/>
          <w:sz w:val="24"/>
          <w:szCs w:val="24"/>
        </w:rPr>
      </w:pPr>
      <w:r w:rsidRPr="00A1155D">
        <w:rPr>
          <w:rFonts w:ascii="Arial" w:hAnsi="Arial" w:cs="Arial"/>
          <w:sz w:val="18"/>
          <w:szCs w:val="18"/>
        </w:rPr>
        <w:br/>
      </w:r>
    </w:p>
    <w:p w:rsidR="001133C2" w:rsidRDefault="001133C2" w:rsidP="001133C2">
      <w:pPr>
        <w:rPr>
          <w:rFonts w:ascii="Times New Roman" w:hAnsi="Times New Roman"/>
          <w:b/>
          <w:sz w:val="24"/>
          <w:szCs w:val="24"/>
        </w:rPr>
      </w:pPr>
      <w:r>
        <w:rPr>
          <w:rFonts w:ascii="Times New Roman" w:hAnsi="Times New Roman"/>
          <w:b/>
          <w:sz w:val="24"/>
          <w:szCs w:val="24"/>
        </w:rPr>
        <w:br w:type="page"/>
      </w:r>
    </w:p>
    <w:p w:rsidR="001133C2" w:rsidRPr="00A1155D" w:rsidRDefault="001133C2" w:rsidP="001133C2">
      <w:pPr>
        <w:jc w:val="center"/>
        <w:rPr>
          <w:rFonts w:ascii="Times New Roman" w:hAnsi="Times New Roman"/>
          <w:b/>
          <w:sz w:val="24"/>
          <w:szCs w:val="24"/>
        </w:rPr>
      </w:pPr>
      <w:r w:rsidRPr="00A1155D">
        <w:rPr>
          <w:rFonts w:ascii="Times New Roman" w:hAnsi="Times New Roman"/>
          <w:b/>
          <w:sz w:val="24"/>
          <w:szCs w:val="24"/>
        </w:rPr>
        <w:lastRenderedPageBreak/>
        <w:t xml:space="preserve">Table </w:t>
      </w:r>
      <w:r>
        <w:rPr>
          <w:rFonts w:ascii="Times New Roman" w:hAnsi="Times New Roman"/>
          <w:b/>
          <w:sz w:val="24"/>
          <w:szCs w:val="24"/>
        </w:rPr>
        <w:t>III</w:t>
      </w:r>
    </w:p>
    <w:p w:rsidR="001133C2" w:rsidRPr="00A1155D" w:rsidRDefault="001133C2" w:rsidP="001133C2">
      <w:pPr>
        <w:jc w:val="center"/>
        <w:rPr>
          <w:rFonts w:ascii="Times New Roman" w:hAnsi="Times New Roman"/>
          <w:b/>
          <w:sz w:val="24"/>
          <w:szCs w:val="24"/>
          <w:lang w:val="en-US"/>
        </w:rPr>
      </w:pPr>
      <w:proofErr w:type="spellStart"/>
      <w:r w:rsidRPr="00A1155D">
        <w:rPr>
          <w:rFonts w:ascii="Times New Roman" w:hAnsi="Times New Roman"/>
          <w:b/>
          <w:sz w:val="24"/>
          <w:szCs w:val="24"/>
          <w:lang w:val="en-US"/>
        </w:rPr>
        <w:t>Cointegration</w:t>
      </w:r>
      <w:proofErr w:type="spellEnd"/>
      <w:r w:rsidRPr="00A1155D">
        <w:rPr>
          <w:rFonts w:ascii="Times New Roman" w:hAnsi="Times New Roman"/>
          <w:b/>
          <w:sz w:val="24"/>
          <w:szCs w:val="24"/>
          <w:lang w:val="en-US"/>
        </w:rPr>
        <w:t xml:space="preserve"> Test</w:t>
      </w:r>
      <w:r>
        <w:rPr>
          <w:rFonts w:ascii="Times New Roman" w:hAnsi="Times New Roman"/>
          <w:b/>
          <w:sz w:val="24"/>
          <w:szCs w:val="24"/>
          <w:lang w:val="en-US"/>
        </w:rPr>
        <w:t>s</w:t>
      </w:r>
    </w:p>
    <w:p w:rsidR="001133C2" w:rsidRDefault="001133C2" w:rsidP="001133C2">
      <w:pPr>
        <w:autoSpaceDE w:val="0"/>
        <w:autoSpaceDN w:val="0"/>
        <w:adjustRightInd w:val="0"/>
        <w:spacing w:after="0" w:line="240" w:lineRule="auto"/>
        <w:ind w:left="-993" w:right="-1039"/>
        <w:jc w:val="both"/>
        <w:rPr>
          <w:rFonts w:ascii="Times New Roman" w:hAnsi="Times New Roman"/>
          <w:sz w:val="20"/>
          <w:szCs w:val="20"/>
          <w:lang w:val="en-US"/>
        </w:rPr>
      </w:pPr>
      <w:r w:rsidRPr="00470E8F">
        <w:rPr>
          <w:rFonts w:ascii="Times New Roman" w:hAnsi="Times New Roman"/>
          <w:sz w:val="20"/>
          <w:szCs w:val="20"/>
          <w:lang w:val="en-US"/>
        </w:rPr>
        <w:t xml:space="preserve">This table reports </w:t>
      </w:r>
      <w:r>
        <w:rPr>
          <w:rFonts w:ascii="Times New Roman" w:hAnsi="Times New Roman"/>
          <w:sz w:val="20"/>
          <w:szCs w:val="20"/>
          <w:lang w:val="en-US"/>
        </w:rPr>
        <w:t xml:space="preserve">in Panel </w:t>
      </w:r>
      <w:proofErr w:type="gramStart"/>
      <w:r>
        <w:rPr>
          <w:rFonts w:ascii="Times New Roman" w:hAnsi="Times New Roman"/>
          <w:sz w:val="20"/>
          <w:szCs w:val="20"/>
          <w:lang w:val="en-US"/>
        </w:rPr>
        <w:t>A</w:t>
      </w:r>
      <w:proofErr w:type="gramEnd"/>
      <w:r>
        <w:rPr>
          <w:rFonts w:ascii="Times New Roman" w:hAnsi="Times New Roman"/>
          <w:sz w:val="20"/>
          <w:szCs w:val="20"/>
          <w:lang w:val="en-US"/>
        </w:rPr>
        <w:t xml:space="preserve"> the </w:t>
      </w:r>
      <w:r w:rsidRPr="00470E8F">
        <w:rPr>
          <w:rFonts w:ascii="Times New Roman" w:hAnsi="Times New Roman"/>
          <w:sz w:val="20"/>
          <w:szCs w:val="20"/>
          <w:lang w:val="en-US"/>
        </w:rPr>
        <w:t xml:space="preserve">ADF Engle-Granger </w:t>
      </w:r>
      <w:r w:rsidRPr="00470E8F">
        <w:rPr>
          <w:rFonts w:ascii="Times New Roman" w:hAnsi="Times New Roman"/>
          <w:i/>
          <w:sz w:val="20"/>
          <w:szCs w:val="20"/>
          <w:lang w:val="en-US"/>
        </w:rPr>
        <w:t>t</w:t>
      </w:r>
      <w:r w:rsidRPr="00470E8F">
        <w:rPr>
          <w:rFonts w:ascii="Times New Roman" w:hAnsi="Times New Roman"/>
          <w:sz w:val="20"/>
          <w:szCs w:val="20"/>
          <w:lang w:val="en-US"/>
        </w:rPr>
        <w:t xml:space="preserve">-statistic applied to residuals of the regression </w:t>
      </w:r>
      <m:oMath>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it</m:t>
            </m:r>
          </m:sub>
        </m:sSub>
        <m:r>
          <w:rPr>
            <w:rFonts w:ascii="Cambria Math" w:hAnsi="Cambria Math"/>
            <w:sz w:val="20"/>
            <w:szCs w:val="20"/>
            <w:lang w:val="en-US"/>
          </w:rPr>
          <m:t>=c+</m:t>
        </m:r>
        <m:sSub>
          <m:sSubPr>
            <m:ctrlPr>
              <w:rPr>
                <w:rFonts w:ascii="Cambria Math" w:hAnsi="Cambria Math"/>
                <w:i/>
                <w:sz w:val="20"/>
                <w:szCs w:val="20"/>
                <w:lang w:val="en-US"/>
              </w:rPr>
            </m:ctrlPr>
          </m:sSubPr>
          <m:e>
            <m:r>
              <w:rPr>
                <w:rFonts w:ascii="Cambria Math" w:hAnsi="Cambria Math"/>
                <w:sz w:val="20"/>
                <w:szCs w:val="20"/>
                <w:lang w:val="en-US"/>
              </w:rPr>
              <m:t>ρ</m:t>
            </m:r>
          </m:e>
          <m:sub>
            <m:r>
              <w:rPr>
                <w:rFonts w:ascii="Cambria Math" w:hAnsi="Cambria Math"/>
                <w:sz w:val="20"/>
                <w:szCs w:val="20"/>
                <w:lang w:val="en-US"/>
              </w:rPr>
              <m:t>j</m:t>
            </m:r>
          </m:sub>
        </m:sSub>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jt</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ε</m:t>
            </m:r>
          </m:e>
          <m:sub>
            <m:r>
              <w:rPr>
                <w:rFonts w:ascii="Cambria Math" w:hAnsi="Cambria Math"/>
                <w:sz w:val="20"/>
                <w:szCs w:val="20"/>
                <w:lang w:val="en-US"/>
              </w:rPr>
              <m:t>t</m:t>
            </m:r>
          </m:sub>
        </m:sSub>
      </m:oMath>
      <w:r w:rsidRPr="00470E8F">
        <w:rPr>
          <w:rFonts w:ascii="Times New Roman" w:hAnsi="Times New Roman"/>
          <w:sz w:val="20"/>
          <w:szCs w:val="20"/>
          <w:lang w:val="en-US"/>
        </w:rPr>
        <w:t xml:space="preserve">  with a one-to-one mapping between (1, 2) and {i, j}. The co-integration tests are performed for six different pairs of variables. Each variable pairing defines a system of two equations, which leads to two ADF tests.</w:t>
      </w:r>
      <w:r>
        <w:rPr>
          <w:rFonts w:ascii="Times New Roman" w:hAnsi="Times New Roman"/>
          <w:sz w:val="20"/>
          <w:szCs w:val="20"/>
          <w:lang w:val="en-US"/>
        </w:rPr>
        <w:t xml:space="preserve">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denote statistical significance at 1%, 5% and 10% level, respectively.</w:t>
      </w:r>
    </w:p>
    <w:p w:rsidR="001133C2" w:rsidRPr="003652C7" w:rsidRDefault="001133C2" w:rsidP="001133C2">
      <w:pPr>
        <w:autoSpaceDE w:val="0"/>
        <w:autoSpaceDN w:val="0"/>
        <w:adjustRightInd w:val="0"/>
        <w:spacing w:after="0" w:line="240" w:lineRule="auto"/>
        <w:ind w:left="-993" w:right="-1039"/>
        <w:jc w:val="both"/>
        <w:rPr>
          <w:rFonts w:ascii="Times New Roman" w:hAnsi="Times New Roman"/>
          <w:b/>
          <w:sz w:val="24"/>
          <w:szCs w:val="24"/>
          <w:lang w:val="en-US"/>
        </w:rPr>
      </w:pPr>
      <w:r w:rsidRPr="003652C7">
        <w:rPr>
          <w:rFonts w:ascii="Times New Roman" w:hAnsi="Times New Roman"/>
          <w:sz w:val="20"/>
          <w:szCs w:val="20"/>
          <w:lang w:val="en-US"/>
        </w:rPr>
        <w:t xml:space="preserve">Panel B reports the results of the Johansen (1991) Trace test. The tests are again performed for the same six pairs as for the Engle Granger test for a significance level alpha of 5%. The table displays the eigenvalue, the trace statistic, the critical value and the </w:t>
      </w:r>
      <w:r w:rsidRPr="003652C7">
        <w:rPr>
          <w:rFonts w:ascii="Times New Roman" w:hAnsi="Times New Roman"/>
          <w:i/>
          <w:sz w:val="20"/>
          <w:szCs w:val="20"/>
          <w:lang w:val="en-US"/>
        </w:rPr>
        <w:t>p</w:t>
      </w:r>
      <w:r w:rsidRPr="003652C7">
        <w:rPr>
          <w:rFonts w:ascii="Times New Roman" w:hAnsi="Times New Roman"/>
          <w:sz w:val="20"/>
          <w:szCs w:val="20"/>
          <w:lang w:val="en-US"/>
        </w:rPr>
        <w:t xml:space="preserve">-value.  </w:t>
      </w:r>
    </w:p>
    <w:tbl>
      <w:tblPr>
        <w:tblpPr w:leftFromText="180" w:rightFromText="180" w:vertAnchor="text" w:horzAnchor="margin" w:tblpXSpec="center" w:tblpY="77"/>
        <w:tblW w:w="11220" w:type="dxa"/>
        <w:tblLook w:val="04A0" w:firstRow="1" w:lastRow="0" w:firstColumn="1" w:lastColumn="0" w:noHBand="0" w:noVBand="1"/>
      </w:tblPr>
      <w:tblGrid>
        <w:gridCol w:w="1939"/>
        <w:gridCol w:w="1540"/>
        <w:gridCol w:w="1939"/>
        <w:gridCol w:w="1540"/>
        <w:gridCol w:w="2721"/>
        <w:gridCol w:w="1541"/>
      </w:tblGrid>
      <w:tr w:rsidR="001133C2" w:rsidRPr="00527E7D" w:rsidTr="001133C2">
        <w:tc>
          <w:tcPr>
            <w:tcW w:w="11220" w:type="dxa"/>
            <w:gridSpan w:val="6"/>
            <w:tcBorders>
              <w:top w:val="double" w:sz="4" w:space="0" w:color="auto"/>
              <w:bottom w:val="single" w:sz="4" w:space="0" w:color="auto"/>
            </w:tcBorders>
            <w:shd w:val="clear" w:color="auto" w:fill="auto"/>
          </w:tcPr>
          <w:p w:rsidR="001133C2" w:rsidRPr="00527E7D" w:rsidRDefault="001133C2" w:rsidP="001133C2">
            <w:pPr>
              <w:spacing w:before="120" w:after="120" w:line="240" w:lineRule="auto"/>
              <w:rPr>
                <w:rFonts w:ascii="Times New Roman" w:hAnsi="Times New Roman"/>
                <w:b/>
              </w:rPr>
            </w:pPr>
            <w:r w:rsidRPr="00527E7D">
              <w:rPr>
                <w:rFonts w:ascii="Times New Roman" w:hAnsi="Times New Roman"/>
                <w:b/>
              </w:rPr>
              <w:t>Panel A. Engle Granger Test</w:t>
            </w:r>
          </w:p>
        </w:tc>
      </w:tr>
      <w:tr w:rsidR="001133C2" w:rsidRPr="00527E7D" w:rsidTr="001133C2">
        <w:tc>
          <w:tcPr>
            <w:tcW w:w="3479" w:type="dxa"/>
            <w:gridSpan w:val="2"/>
            <w:tcBorders>
              <w:top w:val="double" w:sz="4" w:space="0" w:color="auto"/>
              <w:bottom w:val="single" w:sz="4" w:space="0" w:color="auto"/>
              <w:right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rPr>
                <w:rFonts w:ascii="Times New Roman" w:hAnsi="Times New Roman"/>
                <w:color w:val="000000"/>
              </w:rPr>
            </w:pPr>
            <w:r w:rsidRPr="00527E7D">
              <w:rPr>
                <w:rFonts w:ascii="Times New Roman" w:hAnsi="Times New Roman"/>
              </w:rPr>
              <w:t>System 1: WTI &amp; S&amp;P500</w:t>
            </w:r>
          </w:p>
        </w:tc>
        <w:tc>
          <w:tcPr>
            <w:tcW w:w="3479" w:type="dxa"/>
            <w:gridSpan w:val="2"/>
            <w:tcBorders>
              <w:top w:val="double" w:sz="4" w:space="0" w:color="auto"/>
              <w:left w:val="single" w:sz="4" w:space="0" w:color="auto"/>
              <w:bottom w:val="single" w:sz="4" w:space="0" w:color="auto"/>
              <w:right w:val="single" w:sz="4" w:space="0" w:color="auto"/>
            </w:tcBorders>
            <w:shd w:val="clear" w:color="auto" w:fill="auto"/>
          </w:tcPr>
          <w:p w:rsidR="001133C2" w:rsidRPr="00527E7D" w:rsidRDefault="001133C2" w:rsidP="001133C2">
            <w:pPr>
              <w:autoSpaceDE w:val="0"/>
              <w:autoSpaceDN w:val="0"/>
              <w:adjustRightInd w:val="0"/>
              <w:spacing w:before="60" w:after="60" w:line="240" w:lineRule="auto"/>
              <w:rPr>
                <w:rFonts w:ascii="Times New Roman" w:hAnsi="Times New Roman"/>
              </w:rPr>
            </w:pPr>
            <w:r w:rsidRPr="00527E7D">
              <w:rPr>
                <w:rFonts w:ascii="Times New Roman" w:hAnsi="Times New Roman"/>
                <w:color w:val="000000"/>
              </w:rPr>
              <w:t>System 2: WTI &amp; MSCI</w:t>
            </w:r>
          </w:p>
        </w:tc>
        <w:tc>
          <w:tcPr>
            <w:tcW w:w="4262" w:type="dxa"/>
            <w:gridSpan w:val="2"/>
            <w:tcBorders>
              <w:top w:val="double" w:sz="4" w:space="0" w:color="auto"/>
              <w:left w:val="single" w:sz="4" w:space="0" w:color="auto"/>
              <w:bottom w:val="single" w:sz="4" w:space="0" w:color="auto"/>
            </w:tcBorders>
            <w:shd w:val="clear" w:color="auto" w:fill="auto"/>
          </w:tcPr>
          <w:p w:rsidR="001133C2" w:rsidRPr="00527E7D" w:rsidRDefault="001133C2" w:rsidP="001133C2">
            <w:pPr>
              <w:autoSpaceDE w:val="0"/>
              <w:autoSpaceDN w:val="0"/>
              <w:adjustRightInd w:val="0"/>
              <w:spacing w:before="60" w:after="60" w:line="240" w:lineRule="auto"/>
              <w:rPr>
                <w:rFonts w:ascii="Times New Roman" w:hAnsi="Times New Roman"/>
              </w:rPr>
            </w:pPr>
            <w:r w:rsidRPr="00527E7D">
              <w:rPr>
                <w:rFonts w:ascii="Times New Roman" w:hAnsi="Times New Roman"/>
                <w:color w:val="000000"/>
              </w:rPr>
              <w:t>System 3: WTI &amp; MSCI World excl. U.S.</w:t>
            </w:r>
          </w:p>
        </w:tc>
      </w:tr>
      <w:tr w:rsidR="001133C2" w:rsidRPr="00527E7D" w:rsidTr="001133C2">
        <w:tc>
          <w:tcPr>
            <w:tcW w:w="1939" w:type="dxa"/>
            <w:tcBorders>
              <w:top w:val="sing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Left hand variable</w:t>
            </w:r>
          </w:p>
        </w:tc>
        <w:tc>
          <w:tcPr>
            <w:tcW w:w="1540" w:type="dxa"/>
            <w:tcBorders>
              <w:top w:val="single" w:sz="4" w:space="0" w:color="auto"/>
              <w:bottom w:val="single" w:sz="4" w:space="0" w:color="auto"/>
              <w:right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ADF</w:t>
            </w:r>
          </w:p>
        </w:tc>
        <w:tc>
          <w:tcPr>
            <w:tcW w:w="1939" w:type="dxa"/>
            <w:tcBorders>
              <w:top w:val="single" w:sz="4" w:space="0" w:color="auto"/>
              <w:left w:val="sing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Left hand variable</w:t>
            </w:r>
          </w:p>
        </w:tc>
        <w:tc>
          <w:tcPr>
            <w:tcW w:w="1540" w:type="dxa"/>
            <w:tcBorders>
              <w:top w:val="single" w:sz="4" w:space="0" w:color="auto"/>
              <w:bottom w:val="single" w:sz="4" w:space="0" w:color="auto"/>
              <w:right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ADF</w:t>
            </w:r>
          </w:p>
        </w:tc>
        <w:tc>
          <w:tcPr>
            <w:tcW w:w="2721" w:type="dxa"/>
            <w:tcBorders>
              <w:top w:val="single" w:sz="4" w:space="0" w:color="auto"/>
              <w:left w:val="sing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rPr>
                <w:rFonts w:ascii="Times New Roman" w:hAnsi="Times New Roman"/>
              </w:rPr>
            </w:pPr>
            <w:r w:rsidRPr="00527E7D">
              <w:rPr>
                <w:rFonts w:ascii="Times New Roman" w:hAnsi="Times New Roman"/>
              </w:rPr>
              <w:t>Left hand variable</w:t>
            </w:r>
          </w:p>
        </w:tc>
        <w:tc>
          <w:tcPr>
            <w:tcW w:w="1541" w:type="dxa"/>
            <w:tcBorders>
              <w:top w:val="sing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ADF</w:t>
            </w:r>
          </w:p>
        </w:tc>
      </w:tr>
      <w:tr w:rsidR="001133C2" w:rsidRPr="00527E7D" w:rsidTr="001133C2">
        <w:tc>
          <w:tcPr>
            <w:tcW w:w="1939" w:type="dxa"/>
            <w:tcBorders>
              <w:top w:val="single" w:sz="4" w:space="0" w:color="auto"/>
            </w:tcBorders>
            <w:shd w:val="clear" w:color="auto" w:fill="auto"/>
          </w:tcPr>
          <w:p w:rsidR="001133C2" w:rsidRPr="00527E7D" w:rsidRDefault="009A0C3B" w:rsidP="001133C2">
            <w:pPr>
              <w:autoSpaceDE w:val="0"/>
              <w:autoSpaceDN w:val="0"/>
              <w:adjustRightInd w:val="0"/>
              <w:spacing w:before="60" w:after="60" w:line="240" w:lineRule="auto"/>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1t</m:t>
                  </m:r>
                </m:sub>
              </m:sSub>
            </m:oMath>
            <w:r w:rsidR="001133C2" w:rsidRPr="00527E7D">
              <w:rPr>
                <w:rFonts w:ascii="Times New Roman" w:hAnsi="Times New Roman"/>
              </w:rPr>
              <w:t xml:space="preserve"> (WTI)</w:t>
            </w:r>
          </w:p>
        </w:tc>
        <w:tc>
          <w:tcPr>
            <w:tcW w:w="1540" w:type="dxa"/>
            <w:tcBorders>
              <w:top w:val="single" w:sz="4" w:space="0" w:color="auto"/>
              <w:right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-0.3023</w:t>
            </w:r>
          </w:p>
        </w:tc>
        <w:tc>
          <w:tcPr>
            <w:tcW w:w="1939" w:type="dxa"/>
            <w:tcBorders>
              <w:top w:val="single" w:sz="4" w:space="0" w:color="auto"/>
              <w:left w:val="single" w:sz="4" w:space="0" w:color="auto"/>
            </w:tcBorders>
            <w:shd w:val="clear" w:color="auto" w:fill="auto"/>
          </w:tcPr>
          <w:p w:rsidR="001133C2" w:rsidRPr="00527E7D" w:rsidRDefault="009A0C3B" w:rsidP="001133C2">
            <w:pPr>
              <w:autoSpaceDE w:val="0"/>
              <w:autoSpaceDN w:val="0"/>
              <w:adjustRightInd w:val="0"/>
              <w:spacing w:before="60" w:after="60" w:line="240" w:lineRule="auto"/>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1t</m:t>
                  </m:r>
                </m:sub>
              </m:sSub>
            </m:oMath>
            <w:r w:rsidR="001133C2" w:rsidRPr="00527E7D">
              <w:rPr>
                <w:rFonts w:ascii="Times New Roman" w:hAnsi="Times New Roman"/>
              </w:rPr>
              <w:t>(WTI)</w:t>
            </w:r>
          </w:p>
        </w:tc>
        <w:tc>
          <w:tcPr>
            <w:tcW w:w="1540" w:type="dxa"/>
            <w:tcBorders>
              <w:top w:val="single" w:sz="4" w:space="0" w:color="auto"/>
              <w:right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-0.5764</w:t>
            </w:r>
          </w:p>
        </w:tc>
        <w:tc>
          <w:tcPr>
            <w:tcW w:w="2721" w:type="dxa"/>
            <w:tcBorders>
              <w:top w:val="single" w:sz="4" w:space="0" w:color="auto"/>
              <w:left w:val="single" w:sz="4" w:space="0" w:color="auto"/>
            </w:tcBorders>
            <w:shd w:val="clear" w:color="auto" w:fill="auto"/>
          </w:tcPr>
          <w:p w:rsidR="001133C2" w:rsidRPr="00527E7D" w:rsidRDefault="009A0C3B" w:rsidP="001133C2">
            <w:pPr>
              <w:autoSpaceDE w:val="0"/>
              <w:autoSpaceDN w:val="0"/>
              <w:adjustRightInd w:val="0"/>
              <w:spacing w:before="60" w:after="60" w:line="240" w:lineRule="auto"/>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1t</m:t>
                  </m:r>
                </m:sub>
              </m:sSub>
            </m:oMath>
            <w:r w:rsidR="001133C2" w:rsidRPr="00527E7D">
              <w:rPr>
                <w:rFonts w:ascii="Times New Roman" w:hAnsi="Times New Roman"/>
              </w:rPr>
              <w:t xml:space="preserve"> (WTI)</w:t>
            </w:r>
          </w:p>
        </w:tc>
        <w:tc>
          <w:tcPr>
            <w:tcW w:w="1541" w:type="dxa"/>
            <w:tcBorders>
              <w:top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-1.1112</w:t>
            </w:r>
          </w:p>
        </w:tc>
      </w:tr>
      <w:tr w:rsidR="001133C2" w:rsidRPr="00527E7D" w:rsidTr="001133C2">
        <w:tc>
          <w:tcPr>
            <w:tcW w:w="1939" w:type="dxa"/>
            <w:tcBorders>
              <w:bottom w:val="double" w:sz="4" w:space="0" w:color="auto"/>
            </w:tcBorders>
            <w:shd w:val="clear" w:color="auto" w:fill="auto"/>
          </w:tcPr>
          <w:p w:rsidR="001133C2" w:rsidRPr="00527E7D" w:rsidRDefault="009A0C3B" w:rsidP="001133C2">
            <w:pPr>
              <w:autoSpaceDE w:val="0"/>
              <w:autoSpaceDN w:val="0"/>
              <w:adjustRightInd w:val="0"/>
              <w:spacing w:before="60" w:after="60" w:line="240" w:lineRule="auto"/>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2t</m:t>
                  </m:r>
                </m:sub>
              </m:sSub>
            </m:oMath>
            <w:r w:rsidR="001133C2" w:rsidRPr="00527E7D">
              <w:rPr>
                <w:rFonts w:ascii="Times New Roman" w:hAnsi="Times New Roman"/>
              </w:rPr>
              <w:t xml:space="preserve"> (S&amp;P500)</w:t>
            </w:r>
          </w:p>
        </w:tc>
        <w:tc>
          <w:tcPr>
            <w:tcW w:w="1540" w:type="dxa"/>
            <w:tcBorders>
              <w:bottom w:val="double" w:sz="4" w:space="0" w:color="auto"/>
              <w:right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-1.6606</w:t>
            </w:r>
          </w:p>
        </w:tc>
        <w:tc>
          <w:tcPr>
            <w:tcW w:w="1939" w:type="dxa"/>
            <w:tcBorders>
              <w:left w:val="single" w:sz="4" w:space="0" w:color="auto"/>
              <w:bottom w:val="double" w:sz="4" w:space="0" w:color="auto"/>
            </w:tcBorders>
            <w:shd w:val="clear" w:color="auto" w:fill="auto"/>
          </w:tcPr>
          <w:p w:rsidR="001133C2" w:rsidRPr="00527E7D" w:rsidRDefault="009A0C3B" w:rsidP="001133C2">
            <w:pPr>
              <w:autoSpaceDE w:val="0"/>
              <w:autoSpaceDN w:val="0"/>
              <w:adjustRightInd w:val="0"/>
              <w:spacing w:before="60" w:after="60" w:line="240" w:lineRule="auto"/>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2t</m:t>
                  </m:r>
                </m:sub>
              </m:sSub>
            </m:oMath>
            <w:r w:rsidR="001133C2" w:rsidRPr="00527E7D">
              <w:rPr>
                <w:rFonts w:ascii="Times New Roman" w:hAnsi="Times New Roman"/>
              </w:rPr>
              <w:t>(MSCI )</w:t>
            </w:r>
          </w:p>
        </w:tc>
        <w:tc>
          <w:tcPr>
            <w:tcW w:w="1540" w:type="dxa"/>
            <w:tcBorders>
              <w:bottom w:val="double" w:sz="4" w:space="0" w:color="auto"/>
              <w:right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-1.8315</w:t>
            </w:r>
          </w:p>
        </w:tc>
        <w:tc>
          <w:tcPr>
            <w:tcW w:w="2721" w:type="dxa"/>
            <w:tcBorders>
              <w:left w:val="single" w:sz="4" w:space="0" w:color="auto"/>
              <w:bottom w:val="double" w:sz="4" w:space="0" w:color="auto"/>
            </w:tcBorders>
            <w:shd w:val="clear" w:color="auto" w:fill="auto"/>
          </w:tcPr>
          <w:p w:rsidR="001133C2" w:rsidRPr="00527E7D" w:rsidRDefault="009A0C3B" w:rsidP="001133C2">
            <w:pPr>
              <w:autoSpaceDE w:val="0"/>
              <w:autoSpaceDN w:val="0"/>
              <w:adjustRightInd w:val="0"/>
              <w:spacing w:before="60" w:after="60" w:line="240" w:lineRule="auto"/>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2t</m:t>
                  </m:r>
                </m:sub>
              </m:sSub>
            </m:oMath>
            <w:r w:rsidR="001133C2" w:rsidRPr="00527E7D">
              <w:rPr>
                <w:rFonts w:ascii="Times New Roman" w:hAnsi="Times New Roman"/>
              </w:rPr>
              <w:t xml:space="preserve"> (MSCI World excl. US)</w:t>
            </w:r>
          </w:p>
        </w:tc>
        <w:tc>
          <w:tcPr>
            <w:tcW w:w="1541" w:type="dxa"/>
            <w:tcBorders>
              <w:bottom w:val="doub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-2.2493</w:t>
            </w:r>
          </w:p>
        </w:tc>
      </w:tr>
      <w:tr w:rsidR="001133C2" w:rsidRPr="00527E7D" w:rsidTr="001133C2">
        <w:tc>
          <w:tcPr>
            <w:tcW w:w="3479" w:type="dxa"/>
            <w:gridSpan w:val="2"/>
            <w:tcBorders>
              <w:top w:val="double" w:sz="4" w:space="0" w:color="auto"/>
              <w:bottom w:val="single" w:sz="4" w:space="0" w:color="auto"/>
              <w:right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rPr>
                <w:rFonts w:ascii="Times New Roman" w:hAnsi="Times New Roman"/>
              </w:rPr>
            </w:pPr>
            <w:r w:rsidRPr="00527E7D">
              <w:rPr>
                <w:rFonts w:ascii="Times New Roman" w:hAnsi="Times New Roman"/>
              </w:rPr>
              <w:t>System 4: Bonds &amp; S&amp;P500</w:t>
            </w:r>
          </w:p>
        </w:tc>
        <w:tc>
          <w:tcPr>
            <w:tcW w:w="3479"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rPr>
                <w:rFonts w:ascii="Times New Roman" w:hAnsi="Times New Roman"/>
                <w:color w:val="000000"/>
              </w:rPr>
            </w:pPr>
            <w:r w:rsidRPr="00527E7D">
              <w:rPr>
                <w:rFonts w:ascii="Times New Roman" w:hAnsi="Times New Roman"/>
                <w:color w:val="000000"/>
              </w:rPr>
              <w:t>System 5: Bonds &amp; MSCI</w:t>
            </w:r>
          </w:p>
        </w:tc>
        <w:tc>
          <w:tcPr>
            <w:tcW w:w="4262" w:type="dxa"/>
            <w:gridSpan w:val="2"/>
            <w:tcBorders>
              <w:top w:val="double" w:sz="4" w:space="0" w:color="auto"/>
              <w:left w:val="single" w:sz="4" w:space="0" w:color="auto"/>
              <w:bottom w:val="single" w:sz="4" w:space="0" w:color="auto"/>
            </w:tcBorders>
            <w:shd w:val="clear" w:color="auto" w:fill="auto"/>
          </w:tcPr>
          <w:p w:rsidR="001133C2" w:rsidRPr="00527E7D" w:rsidRDefault="001133C2" w:rsidP="001133C2">
            <w:pPr>
              <w:autoSpaceDE w:val="0"/>
              <w:autoSpaceDN w:val="0"/>
              <w:adjustRightInd w:val="0"/>
              <w:spacing w:before="60" w:after="60" w:line="240" w:lineRule="auto"/>
              <w:rPr>
                <w:rFonts w:ascii="Times New Roman" w:hAnsi="Times New Roman"/>
                <w:color w:val="000000"/>
              </w:rPr>
            </w:pPr>
            <w:r w:rsidRPr="00527E7D">
              <w:rPr>
                <w:rFonts w:ascii="Times New Roman" w:hAnsi="Times New Roman"/>
                <w:color w:val="000000"/>
              </w:rPr>
              <w:t>System 6: Bonds &amp; MSCI World excl. U.S.</w:t>
            </w:r>
          </w:p>
        </w:tc>
      </w:tr>
      <w:tr w:rsidR="001133C2" w:rsidRPr="00527E7D" w:rsidTr="001133C2">
        <w:tc>
          <w:tcPr>
            <w:tcW w:w="1939" w:type="dxa"/>
            <w:tcBorders>
              <w:top w:val="sing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Left hand variable</w:t>
            </w:r>
          </w:p>
        </w:tc>
        <w:tc>
          <w:tcPr>
            <w:tcW w:w="1540" w:type="dxa"/>
            <w:tcBorders>
              <w:top w:val="single" w:sz="4" w:space="0" w:color="auto"/>
              <w:bottom w:val="single" w:sz="4" w:space="0" w:color="auto"/>
              <w:right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ADF</w:t>
            </w:r>
          </w:p>
        </w:tc>
        <w:tc>
          <w:tcPr>
            <w:tcW w:w="1939" w:type="dxa"/>
            <w:tcBorders>
              <w:top w:val="single" w:sz="4" w:space="0" w:color="auto"/>
              <w:left w:val="sing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Left hand variable</w:t>
            </w:r>
          </w:p>
        </w:tc>
        <w:tc>
          <w:tcPr>
            <w:tcW w:w="1540" w:type="dxa"/>
            <w:tcBorders>
              <w:top w:val="single" w:sz="4" w:space="0" w:color="auto"/>
              <w:bottom w:val="single" w:sz="4" w:space="0" w:color="auto"/>
              <w:right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ADF</w:t>
            </w:r>
          </w:p>
        </w:tc>
        <w:tc>
          <w:tcPr>
            <w:tcW w:w="2721" w:type="dxa"/>
            <w:tcBorders>
              <w:top w:val="single" w:sz="4" w:space="0" w:color="auto"/>
              <w:left w:val="sing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rPr>
                <w:rFonts w:ascii="Times New Roman" w:hAnsi="Times New Roman"/>
              </w:rPr>
            </w:pPr>
            <w:r w:rsidRPr="00527E7D">
              <w:rPr>
                <w:rFonts w:ascii="Times New Roman" w:hAnsi="Times New Roman"/>
              </w:rPr>
              <w:t>Left hand variable</w:t>
            </w:r>
          </w:p>
        </w:tc>
        <w:tc>
          <w:tcPr>
            <w:tcW w:w="1541" w:type="dxa"/>
            <w:tcBorders>
              <w:top w:val="sing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rPr>
              <w:t>ADF</w:t>
            </w:r>
          </w:p>
        </w:tc>
      </w:tr>
      <w:tr w:rsidR="001133C2" w:rsidRPr="00527E7D" w:rsidTr="001133C2">
        <w:tc>
          <w:tcPr>
            <w:tcW w:w="1939" w:type="dxa"/>
            <w:tcBorders>
              <w:top w:val="single" w:sz="4" w:space="0" w:color="auto"/>
            </w:tcBorders>
            <w:shd w:val="clear" w:color="auto" w:fill="auto"/>
          </w:tcPr>
          <w:p w:rsidR="001133C2" w:rsidRPr="00527E7D" w:rsidRDefault="009A0C3B" w:rsidP="001133C2">
            <w:pPr>
              <w:autoSpaceDE w:val="0"/>
              <w:autoSpaceDN w:val="0"/>
              <w:adjustRightInd w:val="0"/>
              <w:spacing w:before="60" w:after="60" w:line="240" w:lineRule="auto"/>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1t</m:t>
                  </m:r>
                </m:sub>
              </m:sSub>
            </m:oMath>
            <w:r w:rsidR="001133C2" w:rsidRPr="00527E7D">
              <w:rPr>
                <w:rFonts w:ascii="Times New Roman" w:hAnsi="Times New Roman"/>
              </w:rPr>
              <w:t xml:space="preserve"> (Bonds)</w:t>
            </w:r>
          </w:p>
        </w:tc>
        <w:tc>
          <w:tcPr>
            <w:tcW w:w="1540" w:type="dxa"/>
            <w:tcBorders>
              <w:top w:val="single" w:sz="4" w:space="0" w:color="auto"/>
              <w:right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color w:val="000000"/>
              </w:rPr>
              <w:t>-0.6122</w:t>
            </w:r>
          </w:p>
        </w:tc>
        <w:tc>
          <w:tcPr>
            <w:tcW w:w="1939" w:type="dxa"/>
            <w:tcBorders>
              <w:top w:val="single" w:sz="4" w:space="0" w:color="auto"/>
              <w:left w:val="single" w:sz="4" w:space="0" w:color="auto"/>
            </w:tcBorders>
            <w:shd w:val="clear" w:color="auto" w:fill="auto"/>
          </w:tcPr>
          <w:p w:rsidR="001133C2" w:rsidRPr="00527E7D" w:rsidRDefault="001133C2" w:rsidP="001133C2">
            <w:pPr>
              <w:autoSpaceDE w:val="0"/>
              <w:autoSpaceDN w:val="0"/>
              <w:adjustRightInd w:val="0"/>
              <w:spacing w:before="60" w:after="60" w:line="240" w:lineRule="auto"/>
              <w:rPr>
                <w:rFonts w:ascii="Times New Roman" w:hAnsi="Times New Roman"/>
              </w:rPr>
            </w:pPr>
            <w:r w:rsidRPr="00527E7D">
              <w:rPr>
                <w:rFonts w:ascii="Times New Roman" w:hAnsi="Times New Roman"/>
              </w:rPr>
              <w:t xml:space="preserve"> </w:t>
            </w:r>
            <m:oMath>
              <m:sSub>
                <m:sSubPr>
                  <m:ctrlPr>
                    <w:rPr>
                      <w:rFonts w:ascii="Cambria Math" w:hAnsi="Cambria Math"/>
                      <w:i/>
                    </w:rPr>
                  </m:ctrlPr>
                </m:sSubPr>
                <m:e>
                  <m:r>
                    <w:rPr>
                      <w:rFonts w:ascii="Cambria Math" w:hAnsi="Cambria Math"/>
                    </w:rPr>
                    <m:t>y</m:t>
                  </m:r>
                </m:e>
                <m:sub>
                  <m:r>
                    <w:rPr>
                      <w:rFonts w:ascii="Cambria Math" w:hAnsi="Cambria Math"/>
                    </w:rPr>
                    <m:t>1t</m:t>
                  </m:r>
                </m:sub>
              </m:sSub>
            </m:oMath>
            <w:r w:rsidRPr="00527E7D">
              <w:rPr>
                <w:rFonts w:ascii="Times New Roman" w:hAnsi="Times New Roman"/>
              </w:rPr>
              <w:t xml:space="preserve"> (Bonds)</w:t>
            </w:r>
          </w:p>
        </w:tc>
        <w:tc>
          <w:tcPr>
            <w:tcW w:w="1540" w:type="dxa"/>
            <w:tcBorders>
              <w:top w:val="single" w:sz="4" w:space="0" w:color="auto"/>
              <w:right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color w:val="000000"/>
              </w:rPr>
              <w:t>-0.6242</w:t>
            </w:r>
          </w:p>
        </w:tc>
        <w:tc>
          <w:tcPr>
            <w:tcW w:w="2721" w:type="dxa"/>
            <w:tcBorders>
              <w:top w:val="single" w:sz="4" w:space="0" w:color="auto"/>
              <w:left w:val="single" w:sz="4" w:space="0" w:color="auto"/>
            </w:tcBorders>
            <w:shd w:val="clear" w:color="auto" w:fill="auto"/>
          </w:tcPr>
          <w:p w:rsidR="001133C2" w:rsidRPr="00527E7D" w:rsidRDefault="009A0C3B" w:rsidP="001133C2">
            <w:pPr>
              <w:autoSpaceDE w:val="0"/>
              <w:autoSpaceDN w:val="0"/>
              <w:adjustRightInd w:val="0"/>
              <w:spacing w:before="60" w:after="60" w:line="240" w:lineRule="auto"/>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1t</m:t>
                  </m:r>
                </m:sub>
              </m:sSub>
            </m:oMath>
            <w:r w:rsidR="001133C2" w:rsidRPr="00527E7D">
              <w:rPr>
                <w:rFonts w:ascii="Times New Roman" w:hAnsi="Times New Roman"/>
              </w:rPr>
              <w:t xml:space="preserve"> (Bonds)</w:t>
            </w:r>
          </w:p>
        </w:tc>
        <w:tc>
          <w:tcPr>
            <w:tcW w:w="1541" w:type="dxa"/>
            <w:tcBorders>
              <w:top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color w:val="000000"/>
              </w:rPr>
              <w:t>-0.6541</w:t>
            </w:r>
          </w:p>
        </w:tc>
      </w:tr>
      <w:tr w:rsidR="001133C2" w:rsidRPr="00527E7D" w:rsidTr="001133C2">
        <w:tc>
          <w:tcPr>
            <w:tcW w:w="1939" w:type="dxa"/>
            <w:tcBorders>
              <w:bottom w:val="double" w:sz="4" w:space="0" w:color="auto"/>
            </w:tcBorders>
            <w:shd w:val="clear" w:color="auto" w:fill="auto"/>
          </w:tcPr>
          <w:p w:rsidR="001133C2" w:rsidRPr="00527E7D" w:rsidRDefault="009A0C3B" w:rsidP="001133C2">
            <w:pPr>
              <w:autoSpaceDE w:val="0"/>
              <w:autoSpaceDN w:val="0"/>
              <w:adjustRightInd w:val="0"/>
              <w:spacing w:before="60" w:after="60" w:line="240" w:lineRule="auto"/>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2t</m:t>
                  </m:r>
                </m:sub>
              </m:sSub>
            </m:oMath>
            <w:r w:rsidR="001133C2" w:rsidRPr="00527E7D">
              <w:rPr>
                <w:rFonts w:ascii="Times New Roman" w:hAnsi="Times New Roman"/>
              </w:rPr>
              <w:t xml:space="preserve"> (S&amp;P500)</w:t>
            </w:r>
          </w:p>
        </w:tc>
        <w:tc>
          <w:tcPr>
            <w:tcW w:w="1540" w:type="dxa"/>
            <w:tcBorders>
              <w:bottom w:val="double" w:sz="4" w:space="0" w:color="auto"/>
              <w:right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color w:val="000000"/>
              </w:rPr>
              <w:t>-2.0444</w:t>
            </w:r>
          </w:p>
        </w:tc>
        <w:tc>
          <w:tcPr>
            <w:tcW w:w="1939" w:type="dxa"/>
            <w:tcBorders>
              <w:left w:val="single" w:sz="4" w:space="0" w:color="auto"/>
              <w:bottom w:val="double" w:sz="4" w:space="0" w:color="auto"/>
            </w:tcBorders>
            <w:shd w:val="clear" w:color="auto" w:fill="auto"/>
          </w:tcPr>
          <w:p w:rsidR="001133C2" w:rsidRPr="00527E7D" w:rsidRDefault="009A0C3B" w:rsidP="001133C2">
            <w:pPr>
              <w:autoSpaceDE w:val="0"/>
              <w:autoSpaceDN w:val="0"/>
              <w:adjustRightInd w:val="0"/>
              <w:spacing w:before="60" w:after="60" w:line="240" w:lineRule="auto"/>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2t</m:t>
                  </m:r>
                </m:sub>
              </m:sSub>
            </m:oMath>
            <w:r w:rsidR="001133C2" w:rsidRPr="00527E7D">
              <w:rPr>
                <w:rFonts w:ascii="Times New Roman" w:hAnsi="Times New Roman"/>
              </w:rPr>
              <w:t xml:space="preserve"> (MSCI )</w:t>
            </w:r>
          </w:p>
        </w:tc>
        <w:tc>
          <w:tcPr>
            <w:tcW w:w="1540" w:type="dxa"/>
            <w:tcBorders>
              <w:bottom w:val="double" w:sz="4" w:space="0" w:color="auto"/>
              <w:right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color w:val="000000"/>
              </w:rPr>
              <w:t>-1.7436</w:t>
            </w:r>
          </w:p>
        </w:tc>
        <w:tc>
          <w:tcPr>
            <w:tcW w:w="2721" w:type="dxa"/>
            <w:tcBorders>
              <w:left w:val="single" w:sz="4" w:space="0" w:color="auto"/>
              <w:bottom w:val="double" w:sz="4" w:space="0" w:color="auto"/>
            </w:tcBorders>
            <w:shd w:val="clear" w:color="auto" w:fill="auto"/>
          </w:tcPr>
          <w:p w:rsidR="001133C2" w:rsidRPr="00527E7D" w:rsidRDefault="009A0C3B" w:rsidP="001133C2">
            <w:pPr>
              <w:autoSpaceDE w:val="0"/>
              <w:autoSpaceDN w:val="0"/>
              <w:adjustRightInd w:val="0"/>
              <w:spacing w:before="60" w:after="60" w:line="240" w:lineRule="auto"/>
              <w:rPr>
                <w:rFonts w:ascii="Times New Roman" w:hAnsi="Times New Roman"/>
              </w:rPr>
            </w:pPr>
            <m:oMath>
              <m:sSub>
                <m:sSubPr>
                  <m:ctrlPr>
                    <w:rPr>
                      <w:rFonts w:ascii="Cambria Math" w:hAnsi="Cambria Math"/>
                      <w:i/>
                    </w:rPr>
                  </m:ctrlPr>
                </m:sSubPr>
                <m:e>
                  <m:r>
                    <w:rPr>
                      <w:rFonts w:ascii="Cambria Math" w:hAnsi="Cambria Math"/>
                    </w:rPr>
                    <m:t>y</m:t>
                  </m:r>
                </m:e>
                <m:sub>
                  <m:r>
                    <w:rPr>
                      <w:rFonts w:ascii="Cambria Math" w:hAnsi="Cambria Math"/>
                    </w:rPr>
                    <m:t>2t</m:t>
                  </m:r>
                </m:sub>
              </m:sSub>
            </m:oMath>
            <w:r w:rsidR="001133C2" w:rsidRPr="00527E7D">
              <w:rPr>
                <w:rFonts w:ascii="Times New Roman" w:hAnsi="Times New Roman"/>
              </w:rPr>
              <w:t xml:space="preserve"> (MSCI World excl. US)</w:t>
            </w:r>
          </w:p>
        </w:tc>
        <w:tc>
          <w:tcPr>
            <w:tcW w:w="1541" w:type="dxa"/>
            <w:tcBorders>
              <w:bottom w:val="doub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rPr>
            </w:pPr>
            <w:r w:rsidRPr="00527E7D">
              <w:rPr>
                <w:rFonts w:ascii="Times New Roman" w:hAnsi="Times New Roman"/>
                <w:color w:val="000000"/>
              </w:rPr>
              <w:t>-1.5228</w:t>
            </w:r>
          </w:p>
        </w:tc>
      </w:tr>
      <w:tr w:rsidR="001133C2" w:rsidRPr="00527E7D" w:rsidTr="001133C2">
        <w:tc>
          <w:tcPr>
            <w:tcW w:w="11220" w:type="dxa"/>
            <w:gridSpan w:val="6"/>
            <w:tcBorders>
              <w:top w:val="double" w:sz="4" w:space="0" w:color="auto"/>
              <w:bottom w:val="double" w:sz="4" w:space="0" w:color="auto"/>
            </w:tcBorders>
            <w:shd w:val="clear" w:color="auto" w:fill="auto"/>
          </w:tcPr>
          <w:p w:rsidR="001133C2" w:rsidRPr="00527E7D" w:rsidRDefault="001133C2" w:rsidP="001133C2">
            <w:pPr>
              <w:spacing w:before="120" w:after="120" w:line="240" w:lineRule="auto"/>
              <w:rPr>
                <w:rFonts w:ascii="Times New Roman" w:hAnsi="Times New Roman"/>
                <w:b/>
              </w:rPr>
            </w:pPr>
            <w:r w:rsidRPr="00527E7D">
              <w:rPr>
                <w:rFonts w:ascii="Times New Roman" w:hAnsi="Times New Roman"/>
                <w:b/>
              </w:rPr>
              <w:t>Panel B. Johansen Test Trace Test</w:t>
            </w:r>
          </w:p>
        </w:tc>
      </w:tr>
    </w:tbl>
    <w:p w:rsidR="001133C2" w:rsidRPr="00527E7D" w:rsidRDefault="001133C2" w:rsidP="001133C2">
      <w:pPr>
        <w:spacing w:after="0"/>
        <w:rPr>
          <w:vanish/>
        </w:rPr>
      </w:pP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1666"/>
        <w:gridCol w:w="1554"/>
        <w:gridCol w:w="1540"/>
        <w:gridCol w:w="1453"/>
        <w:gridCol w:w="2186"/>
      </w:tblGrid>
      <w:tr w:rsidR="001133C2" w:rsidRPr="00527E7D" w:rsidTr="001133C2">
        <w:tc>
          <w:tcPr>
            <w:tcW w:w="2659" w:type="dxa"/>
            <w:tcBorders>
              <w:top w:val="nil"/>
              <w:left w:val="nil"/>
              <w:bottom w:val="nil"/>
              <w:right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b/>
              </w:rPr>
            </w:pPr>
          </w:p>
        </w:tc>
        <w:tc>
          <w:tcPr>
            <w:tcW w:w="1666" w:type="dxa"/>
            <w:tcBorders>
              <w:top w:val="nil"/>
              <w:left w:val="single" w:sz="4" w:space="0" w:color="auto"/>
              <w:bottom w:val="single" w:sz="4" w:space="0" w:color="auto"/>
              <w:right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 xml:space="preserve">Number of </w:t>
            </w:r>
            <w:proofErr w:type="spellStart"/>
            <w:r w:rsidRPr="00527E7D">
              <w:rPr>
                <w:rFonts w:ascii="Times New Roman" w:hAnsi="Times New Roman"/>
              </w:rPr>
              <w:t>cointegrating</w:t>
            </w:r>
            <w:proofErr w:type="spellEnd"/>
            <w:r w:rsidRPr="00527E7D">
              <w:rPr>
                <w:rFonts w:ascii="Times New Roman" w:hAnsi="Times New Roman"/>
              </w:rPr>
              <w:t xml:space="preserve"> vectors</w:t>
            </w:r>
          </w:p>
        </w:tc>
        <w:tc>
          <w:tcPr>
            <w:tcW w:w="1554" w:type="dxa"/>
            <w:tcBorders>
              <w:top w:val="nil"/>
              <w:left w:val="single" w:sz="4" w:space="0" w:color="auto"/>
              <w:bottom w:val="single" w:sz="4" w:space="0" w:color="auto"/>
              <w:right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Eigenvalue</w:t>
            </w:r>
          </w:p>
        </w:tc>
        <w:tc>
          <w:tcPr>
            <w:tcW w:w="1540" w:type="dxa"/>
            <w:tcBorders>
              <w:top w:val="nil"/>
              <w:left w:val="single" w:sz="4" w:space="0" w:color="auto"/>
              <w:bottom w:val="single" w:sz="4" w:space="0" w:color="auto"/>
              <w:right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Trace statistic</w:t>
            </w:r>
          </w:p>
        </w:tc>
        <w:tc>
          <w:tcPr>
            <w:tcW w:w="1453" w:type="dxa"/>
            <w:tcBorders>
              <w:top w:val="nil"/>
              <w:left w:val="single" w:sz="4" w:space="0" w:color="auto"/>
              <w:bottom w:val="single" w:sz="4" w:space="0" w:color="auto"/>
              <w:right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 xml:space="preserve">0.05 </w:t>
            </w:r>
          </w:p>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Critical value</w:t>
            </w:r>
          </w:p>
        </w:tc>
        <w:tc>
          <w:tcPr>
            <w:tcW w:w="2186" w:type="dxa"/>
            <w:tcBorders>
              <w:top w:val="nil"/>
              <w:left w:val="single" w:sz="4" w:space="0" w:color="auto"/>
              <w:bottom w:val="single" w:sz="4" w:space="0" w:color="auto"/>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i/>
              </w:rPr>
              <w:t>p</w:t>
            </w:r>
            <w:r w:rsidRPr="00527E7D">
              <w:rPr>
                <w:rFonts w:ascii="Times New Roman" w:hAnsi="Times New Roman"/>
              </w:rPr>
              <w:t>-value</w:t>
            </w:r>
          </w:p>
        </w:tc>
      </w:tr>
      <w:tr w:rsidR="001133C2" w:rsidRPr="00527E7D" w:rsidTr="001133C2">
        <w:tc>
          <w:tcPr>
            <w:tcW w:w="2659" w:type="dxa"/>
            <w:vMerge w:val="restart"/>
            <w:tcBorders>
              <w:left w:val="nil"/>
            </w:tcBorders>
            <w:shd w:val="clear" w:color="auto" w:fill="auto"/>
            <w:vAlign w:val="center"/>
          </w:tcPr>
          <w:p w:rsidR="001133C2" w:rsidRPr="00527E7D" w:rsidRDefault="001133C2" w:rsidP="001133C2">
            <w:pPr>
              <w:spacing w:after="0" w:line="240" w:lineRule="auto"/>
              <w:rPr>
                <w:rFonts w:ascii="Times New Roman" w:hAnsi="Times New Roman"/>
                <w:b/>
              </w:rPr>
            </w:pPr>
            <w:r w:rsidRPr="00527E7D">
              <w:rPr>
                <w:rFonts w:ascii="Times New Roman" w:hAnsi="Times New Roman"/>
              </w:rPr>
              <w:t>System 1: WTI &amp; S&amp;P500</w:t>
            </w:r>
          </w:p>
        </w:tc>
        <w:tc>
          <w:tcPr>
            <w:tcW w:w="1666" w:type="dxa"/>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None</w:t>
            </w:r>
          </w:p>
        </w:tc>
        <w:tc>
          <w:tcPr>
            <w:tcW w:w="1554" w:type="dxa"/>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0.0008</w:t>
            </w:r>
          </w:p>
        </w:tc>
        <w:tc>
          <w:tcPr>
            <w:tcW w:w="1540" w:type="dxa"/>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4.6388</w:t>
            </w:r>
          </w:p>
        </w:tc>
        <w:tc>
          <w:tcPr>
            <w:tcW w:w="1453" w:type="dxa"/>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15.4947</w:t>
            </w:r>
          </w:p>
        </w:tc>
        <w:tc>
          <w:tcPr>
            <w:tcW w:w="2186" w:type="dxa"/>
            <w:tcBorders>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0.8459</w:t>
            </w:r>
          </w:p>
        </w:tc>
      </w:tr>
      <w:tr w:rsidR="001133C2" w:rsidRPr="00527E7D" w:rsidTr="001133C2">
        <w:tc>
          <w:tcPr>
            <w:tcW w:w="2659" w:type="dxa"/>
            <w:vMerge/>
            <w:tcBorders>
              <w:left w:val="nil"/>
            </w:tcBorders>
            <w:shd w:val="clear" w:color="auto" w:fill="auto"/>
            <w:vAlign w:val="center"/>
          </w:tcPr>
          <w:p w:rsidR="001133C2" w:rsidRPr="00527E7D" w:rsidRDefault="001133C2" w:rsidP="001133C2">
            <w:pPr>
              <w:spacing w:after="0" w:line="240" w:lineRule="auto"/>
              <w:rPr>
                <w:rFonts w:ascii="Times New Roman" w:hAnsi="Times New Roman"/>
                <w:b/>
              </w:rPr>
            </w:pPr>
          </w:p>
        </w:tc>
        <w:tc>
          <w:tcPr>
            <w:tcW w:w="1666" w:type="dxa"/>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At most one</w:t>
            </w:r>
          </w:p>
        </w:tc>
        <w:tc>
          <w:tcPr>
            <w:tcW w:w="1554" w:type="dxa"/>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0.0000</w:t>
            </w:r>
          </w:p>
        </w:tc>
        <w:tc>
          <w:tcPr>
            <w:tcW w:w="1540" w:type="dxa"/>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0.0010</w:t>
            </w:r>
          </w:p>
        </w:tc>
        <w:tc>
          <w:tcPr>
            <w:tcW w:w="1453" w:type="dxa"/>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3.8415</w:t>
            </w:r>
          </w:p>
        </w:tc>
        <w:tc>
          <w:tcPr>
            <w:tcW w:w="2186" w:type="dxa"/>
            <w:tcBorders>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0.9748</w:t>
            </w:r>
          </w:p>
        </w:tc>
      </w:tr>
      <w:tr w:rsidR="001133C2" w:rsidRPr="00527E7D" w:rsidTr="001133C2">
        <w:tc>
          <w:tcPr>
            <w:tcW w:w="2659" w:type="dxa"/>
            <w:vMerge w:val="restart"/>
            <w:tcBorders>
              <w:left w:val="nil"/>
            </w:tcBorders>
            <w:shd w:val="clear" w:color="auto" w:fill="auto"/>
            <w:vAlign w:val="center"/>
          </w:tcPr>
          <w:p w:rsidR="001133C2" w:rsidRPr="00527E7D" w:rsidRDefault="001133C2" w:rsidP="001133C2">
            <w:pPr>
              <w:spacing w:after="0" w:line="240" w:lineRule="auto"/>
              <w:rPr>
                <w:rFonts w:ascii="Times New Roman" w:hAnsi="Times New Roman"/>
                <w:b/>
              </w:rPr>
            </w:pPr>
            <w:r w:rsidRPr="00527E7D">
              <w:rPr>
                <w:rFonts w:ascii="Times New Roman" w:hAnsi="Times New Roman"/>
                <w:color w:val="000000"/>
              </w:rPr>
              <w:t>System 2: WTI &amp; MSCI</w:t>
            </w:r>
          </w:p>
        </w:tc>
        <w:tc>
          <w:tcPr>
            <w:tcW w:w="1666" w:type="dxa"/>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None</w:t>
            </w:r>
          </w:p>
        </w:tc>
        <w:tc>
          <w:tcPr>
            <w:tcW w:w="1554" w:type="dxa"/>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0.0010</w:t>
            </w:r>
          </w:p>
        </w:tc>
        <w:tc>
          <w:tcPr>
            <w:tcW w:w="1540" w:type="dxa"/>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5.4420</w:t>
            </w:r>
          </w:p>
        </w:tc>
        <w:tc>
          <w:tcPr>
            <w:tcW w:w="1453" w:type="dxa"/>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15.4947</w:t>
            </w:r>
          </w:p>
        </w:tc>
        <w:tc>
          <w:tcPr>
            <w:tcW w:w="2186" w:type="dxa"/>
            <w:tcBorders>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0.7602</w:t>
            </w:r>
          </w:p>
        </w:tc>
      </w:tr>
      <w:tr w:rsidR="001133C2" w:rsidRPr="00527E7D" w:rsidTr="001133C2">
        <w:tc>
          <w:tcPr>
            <w:tcW w:w="2659" w:type="dxa"/>
            <w:vMerge/>
            <w:tcBorders>
              <w:left w:val="nil"/>
              <w:bottom w:val="single" w:sz="4" w:space="0" w:color="auto"/>
            </w:tcBorders>
            <w:shd w:val="clear" w:color="auto" w:fill="auto"/>
            <w:vAlign w:val="center"/>
          </w:tcPr>
          <w:p w:rsidR="001133C2" w:rsidRPr="00527E7D" w:rsidRDefault="001133C2" w:rsidP="001133C2">
            <w:pPr>
              <w:spacing w:after="0" w:line="240" w:lineRule="auto"/>
              <w:rPr>
                <w:rFonts w:ascii="Times New Roman" w:hAnsi="Times New Roman"/>
                <w:b/>
              </w:rPr>
            </w:pPr>
          </w:p>
        </w:tc>
        <w:tc>
          <w:tcPr>
            <w:tcW w:w="1666" w:type="dxa"/>
            <w:tcBorders>
              <w:bottom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At most one</w:t>
            </w:r>
          </w:p>
        </w:tc>
        <w:tc>
          <w:tcPr>
            <w:tcW w:w="1554" w:type="dxa"/>
            <w:tcBorders>
              <w:bottom w:val="sing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0.0000</w:t>
            </w:r>
          </w:p>
        </w:tc>
        <w:tc>
          <w:tcPr>
            <w:tcW w:w="1540" w:type="dxa"/>
            <w:tcBorders>
              <w:bottom w:val="sing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0.1579</w:t>
            </w:r>
          </w:p>
        </w:tc>
        <w:tc>
          <w:tcPr>
            <w:tcW w:w="1453" w:type="dxa"/>
            <w:tcBorders>
              <w:bottom w:val="single" w:sz="4" w:space="0" w:color="auto"/>
            </w:tcBorders>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3.8415</w:t>
            </w:r>
          </w:p>
        </w:tc>
        <w:tc>
          <w:tcPr>
            <w:tcW w:w="2186" w:type="dxa"/>
            <w:tcBorders>
              <w:bottom w:val="single" w:sz="4" w:space="0" w:color="auto"/>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0.6911</w:t>
            </w:r>
          </w:p>
        </w:tc>
      </w:tr>
      <w:tr w:rsidR="001133C2" w:rsidRPr="00527E7D" w:rsidTr="001133C2">
        <w:tc>
          <w:tcPr>
            <w:tcW w:w="2659" w:type="dxa"/>
            <w:vMerge w:val="restart"/>
            <w:tcBorders>
              <w:left w:val="nil"/>
            </w:tcBorders>
            <w:shd w:val="clear" w:color="auto" w:fill="auto"/>
            <w:vAlign w:val="center"/>
          </w:tcPr>
          <w:p w:rsidR="001133C2" w:rsidRPr="00527E7D" w:rsidRDefault="001133C2" w:rsidP="001133C2">
            <w:pPr>
              <w:spacing w:after="0" w:line="240" w:lineRule="auto"/>
              <w:rPr>
                <w:rFonts w:ascii="Times New Roman" w:hAnsi="Times New Roman"/>
                <w:b/>
              </w:rPr>
            </w:pPr>
            <w:r w:rsidRPr="00527E7D">
              <w:rPr>
                <w:rFonts w:ascii="Times New Roman" w:hAnsi="Times New Roman"/>
                <w:color w:val="000000"/>
              </w:rPr>
              <w:t>System 3: WTI &amp; MSCI World excl. U.S.</w:t>
            </w:r>
          </w:p>
        </w:tc>
        <w:tc>
          <w:tcPr>
            <w:tcW w:w="1666" w:type="dxa"/>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None</w:t>
            </w:r>
          </w:p>
        </w:tc>
        <w:tc>
          <w:tcPr>
            <w:tcW w:w="1554" w:type="dxa"/>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0.0012</w:t>
            </w:r>
          </w:p>
        </w:tc>
        <w:tc>
          <w:tcPr>
            <w:tcW w:w="1540" w:type="dxa"/>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7.1116</w:t>
            </w:r>
          </w:p>
        </w:tc>
        <w:tc>
          <w:tcPr>
            <w:tcW w:w="1453" w:type="dxa"/>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15.4947</w:t>
            </w:r>
          </w:p>
        </w:tc>
        <w:tc>
          <w:tcPr>
            <w:tcW w:w="2186" w:type="dxa"/>
            <w:tcBorders>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0.5647</w:t>
            </w:r>
          </w:p>
        </w:tc>
      </w:tr>
      <w:tr w:rsidR="001133C2" w:rsidRPr="00527E7D" w:rsidTr="001133C2">
        <w:tc>
          <w:tcPr>
            <w:tcW w:w="2659" w:type="dxa"/>
            <w:vMerge/>
            <w:tcBorders>
              <w:left w:val="nil"/>
              <w:bottom w:val="double" w:sz="4" w:space="0" w:color="auto"/>
            </w:tcBorders>
            <w:shd w:val="clear" w:color="auto" w:fill="auto"/>
            <w:vAlign w:val="center"/>
          </w:tcPr>
          <w:p w:rsidR="001133C2" w:rsidRPr="00527E7D" w:rsidRDefault="001133C2" w:rsidP="001133C2">
            <w:pPr>
              <w:spacing w:after="0" w:line="240" w:lineRule="auto"/>
              <w:rPr>
                <w:rFonts w:ascii="Times New Roman" w:hAnsi="Times New Roman"/>
                <w:b/>
              </w:rPr>
            </w:pPr>
          </w:p>
        </w:tc>
        <w:tc>
          <w:tcPr>
            <w:tcW w:w="1666" w:type="dxa"/>
            <w:tcBorders>
              <w:bottom w:val="doub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At most one</w:t>
            </w:r>
          </w:p>
        </w:tc>
        <w:tc>
          <w:tcPr>
            <w:tcW w:w="1554" w:type="dxa"/>
            <w:tcBorders>
              <w:bottom w:val="doub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0.0001</w:t>
            </w:r>
          </w:p>
        </w:tc>
        <w:tc>
          <w:tcPr>
            <w:tcW w:w="1540" w:type="dxa"/>
            <w:tcBorders>
              <w:bottom w:val="doub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0.7709</w:t>
            </w:r>
          </w:p>
        </w:tc>
        <w:tc>
          <w:tcPr>
            <w:tcW w:w="1453" w:type="dxa"/>
            <w:tcBorders>
              <w:bottom w:val="double" w:sz="4" w:space="0" w:color="auto"/>
            </w:tcBorders>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3.8415</w:t>
            </w:r>
          </w:p>
        </w:tc>
        <w:tc>
          <w:tcPr>
            <w:tcW w:w="2186" w:type="dxa"/>
            <w:tcBorders>
              <w:bottom w:val="double" w:sz="4" w:space="0" w:color="auto"/>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0.3799</w:t>
            </w:r>
          </w:p>
        </w:tc>
      </w:tr>
      <w:tr w:rsidR="001133C2" w:rsidRPr="00527E7D" w:rsidTr="001133C2">
        <w:tc>
          <w:tcPr>
            <w:tcW w:w="2659" w:type="dxa"/>
            <w:vMerge w:val="restart"/>
            <w:tcBorders>
              <w:top w:val="double" w:sz="4" w:space="0" w:color="auto"/>
              <w:left w:val="nil"/>
              <w:bottom w:val="single" w:sz="4" w:space="0" w:color="auto"/>
              <w:right w:val="single" w:sz="4" w:space="0" w:color="auto"/>
            </w:tcBorders>
            <w:shd w:val="clear" w:color="auto" w:fill="auto"/>
            <w:vAlign w:val="center"/>
          </w:tcPr>
          <w:p w:rsidR="001133C2" w:rsidRPr="00527E7D" w:rsidRDefault="001133C2" w:rsidP="001133C2">
            <w:pPr>
              <w:spacing w:after="0" w:line="240" w:lineRule="auto"/>
              <w:rPr>
                <w:rFonts w:ascii="Times New Roman" w:hAnsi="Times New Roman"/>
                <w:b/>
              </w:rPr>
            </w:pPr>
            <w:r w:rsidRPr="00527E7D">
              <w:rPr>
                <w:rFonts w:ascii="Times New Roman" w:hAnsi="Times New Roman"/>
              </w:rPr>
              <w:t>System 4: Bonds &amp; S&amp;P500</w:t>
            </w:r>
          </w:p>
        </w:tc>
        <w:tc>
          <w:tcPr>
            <w:tcW w:w="1666" w:type="dxa"/>
            <w:tcBorders>
              <w:top w:val="double" w:sz="4" w:space="0" w:color="auto"/>
              <w:left w:val="single" w:sz="4" w:space="0" w:color="auto"/>
              <w:bottom w:val="single" w:sz="4" w:space="0" w:color="auto"/>
              <w:right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None</w:t>
            </w:r>
          </w:p>
        </w:tc>
        <w:tc>
          <w:tcPr>
            <w:tcW w:w="1554" w:type="dxa"/>
            <w:tcBorders>
              <w:top w:val="double" w:sz="4" w:space="0" w:color="auto"/>
              <w:left w:val="single" w:sz="4" w:space="0" w:color="auto"/>
              <w:bottom w:val="single" w:sz="4" w:space="0" w:color="auto"/>
              <w:right w:val="sing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0.0023</w:t>
            </w:r>
          </w:p>
        </w:tc>
        <w:tc>
          <w:tcPr>
            <w:tcW w:w="1540" w:type="dxa"/>
            <w:tcBorders>
              <w:top w:val="double" w:sz="4" w:space="0" w:color="auto"/>
              <w:left w:val="single" w:sz="4" w:space="0" w:color="auto"/>
              <w:bottom w:val="single" w:sz="4" w:space="0" w:color="auto"/>
              <w:right w:val="sing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7.6748</w:t>
            </w:r>
          </w:p>
        </w:tc>
        <w:tc>
          <w:tcPr>
            <w:tcW w:w="1453" w:type="dxa"/>
            <w:tcBorders>
              <w:top w:val="double" w:sz="4" w:space="0" w:color="auto"/>
              <w:left w:val="single" w:sz="4" w:space="0" w:color="auto"/>
              <w:bottom w:val="single" w:sz="4" w:space="0" w:color="auto"/>
              <w:right w:val="single" w:sz="4" w:space="0" w:color="auto"/>
            </w:tcBorders>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15.4947</w:t>
            </w:r>
          </w:p>
        </w:tc>
        <w:tc>
          <w:tcPr>
            <w:tcW w:w="2186" w:type="dxa"/>
            <w:tcBorders>
              <w:top w:val="double" w:sz="4" w:space="0" w:color="auto"/>
              <w:left w:val="single" w:sz="4" w:space="0" w:color="auto"/>
              <w:bottom w:val="single" w:sz="4" w:space="0" w:color="auto"/>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0.5008</w:t>
            </w:r>
          </w:p>
        </w:tc>
      </w:tr>
      <w:tr w:rsidR="001133C2" w:rsidRPr="00527E7D" w:rsidTr="001133C2">
        <w:tc>
          <w:tcPr>
            <w:tcW w:w="2659" w:type="dxa"/>
            <w:vMerge/>
            <w:tcBorders>
              <w:top w:val="single" w:sz="4" w:space="0" w:color="auto"/>
              <w:left w:val="nil"/>
              <w:bottom w:val="single" w:sz="4" w:space="0" w:color="auto"/>
              <w:right w:val="single" w:sz="4" w:space="0" w:color="auto"/>
            </w:tcBorders>
            <w:shd w:val="clear" w:color="auto" w:fill="auto"/>
            <w:vAlign w:val="center"/>
          </w:tcPr>
          <w:p w:rsidR="001133C2" w:rsidRPr="00527E7D" w:rsidRDefault="001133C2" w:rsidP="001133C2">
            <w:pPr>
              <w:spacing w:after="0" w:line="240" w:lineRule="auto"/>
              <w:rPr>
                <w:rFonts w:ascii="Times New Roman" w:hAnsi="Times New Roman"/>
                <w:b/>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At most one</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0.0000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0.0307</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3.8415</w:t>
            </w:r>
          </w:p>
        </w:tc>
        <w:tc>
          <w:tcPr>
            <w:tcW w:w="2186" w:type="dxa"/>
            <w:tcBorders>
              <w:top w:val="single" w:sz="4" w:space="0" w:color="auto"/>
              <w:left w:val="single" w:sz="4" w:space="0" w:color="auto"/>
              <w:bottom w:val="single" w:sz="4" w:space="0" w:color="auto"/>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0.8608</w:t>
            </w:r>
          </w:p>
        </w:tc>
      </w:tr>
      <w:tr w:rsidR="001133C2" w:rsidRPr="00527E7D" w:rsidTr="001133C2">
        <w:tc>
          <w:tcPr>
            <w:tcW w:w="2659" w:type="dxa"/>
            <w:vMerge w:val="restart"/>
            <w:tcBorders>
              <w:top w:val="single" w:sz="4" w:space="0" w:color="auto"/>
              <w:left w:val="nil"/>
            </w:tcBorders>
            <w:shd w:val="clear" w:color="auto" w:fill="auto"/>
            <w:vAlign w:val="center"/>
          </w:tcPr>
          <w:p w:rsidR="001133C2" w:rsidRPr="00527E7D" w:rsidRDefault="001133C2" w:rsidP="001133C2">
            <w:pPr>
              <w:spacing w:after="0" w:line="240" w:lineRule="auto"/>
              <w:rPr>
                <w:rFonts w:ascii="Times New Roman" w:hAnsi="Times New Roman"/>
                <w:b/>
              </w:rPr>
            </w:pPr>
            <w:r w:rsidRPr="00527E7D">
              <w:rPr>
                <w:rFonts w:ascii="Times New Roman" w:hAnsi="Times New Roman"/>
                <w:color w:val="000000"/>
              </w:rPr>
              <w:t>System 5: Bonds &amp; MSCI</w:t>
            </w:r>
          </w:p>
        </w:tc>
        <w:tc>
          <w:tcPr>
            <w:tcW w:w="1666"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None</w:t>
            </w:r>
          </w:p>
        </w:tc>
        <w:tc>
          <w:tcPr>
            <w:tcW w:w="1554" w:type="dxa"/>
            <w:tcBorders>
              <w:top w:val="sing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0.0020</w:t>
            </w:r>
          </w:p>
        </w:tc>
        <w:tc>
          <w:tcPr>
            <w:tcW w:w="1540" w:type="dxa"/>
            <w:tcBorders>
              <w:top w:val="sing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6.8071</w:t>
            </w:r>
          </w:p>
        </w:tc>
        <w:tc>
          <w:tcPr>
            <w:tcW w:w="1453" w:type="dxa"/>
            <w:tcBorders>
              <w:top w:val="single" w:sz="4" w:space="0" w:color="auto"/>
            </w:tcBorders>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15.4947</w:t>
            </w:r>
          </w:p>
        </w:tc>
        <w:tc>
          <w:tcPr>
            <w:tcW w:w="2186" w:type="dxa"/>
            <w:tcBorders>
              <w:top w:val="single" w:sz="4" w:space="0" w:color="auto"/>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0.6002</w:t>
            </w:r>
          </w:p>
        </w:tc>
      </w:tr>
      <w:tr w:rsidR="001133C2" w:rsidRPr="00527E7D" w:rsidTr="001133C2">
        <w:tc>
          <w:tcPr>
            <w:tcW w:w="2659" w:type="dxa"/>
            <w:vMerge/>
            <w:tcBorders>
              <w:left w:val="nil"/>
              <w:bottom w:val="single" w:sz="4" w:space="0" w:color="auto"/>
            </w:tcBorders>
            <w:shd w:val="clear" w:color="auto" w:fill="auto"/>
            <w:vAlign w:val="center"/>
          </w:tcPr>
          <w:p w:rsidR="001133C2" w:rsidRPr="00527E7D" w:rsidRDefault="001133C2" w:rsidP="001133C2">
            <w:pPr>
              <w:spacing w:after="0" w:line="240" w:lineRule="auto"/>
              <w:rPr>
                <w:rFonts w:ascii="Times New Roman" w:hAnsi="Times New Roman"/>
                <w:b/>
              </w:rPr>
            </w:pPr>
          </w:p>
        </w:tc>
        <w:tc>
          <w:tcPr>
            <w:tcW w:w="1666" w:type="dxa"/>
            <w:tcBorders>
              <w:bottom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At most one</w:t>
            </w:r>
          </w:p>
        </w:tc>
        <w:tc>
          <w:tcPr>
            <w:tcW w:w="1554" w:type="dxa"/>
            <w:tcBorders>
              <w:bottom w:val="sing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0.0000</w:t>
            </w:r>
          </w:p>
        </w:tc>
        <w:tc>
          <w:tcPr>
            <w:tcW w:w="1540" w:type="dxa"/>
            <w:tcBorders>
              <w:bottom w:val="sing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0.0004</w:t>
            </w:r>
          </w:p>
        </w:tc>
        <w:tc>
          <w:tcPr>
            <w:tcW w:w="1453" w:type="dxa"/>
            <w:tcBorders>
              <w:bottom w:val="single" w:sz="4" w:space="0" w:color="auto"/>
            </w:tcBorders>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3.8415</w:t>
            </w:r>
          </w:p>
        </w:tc>
        <w:tc>
          <w:tcPr>
            <w:tcW w:w="2186" w:type="dxa"/>
            <w:tcBorders>
              <w:bottom w:val="single" w:sz="4" w:space="0" w:color="auto"/>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0.9862</w:t>
            </w:r>
          </w:p>
        </w:tc>
      </w:tr>
      <w:tr w:rsidR="001133C2" w:rsidRPr="00527E7D" w:rsidTr="001133C2">
        <w:tc>
          <w:tcPr>
            <w:tcW w:w="2659" w:type="dxa"/>
            <w:vMerge w:val="restart"/>
            <w:tcBorders>
              <w:left w:val="nil"/>
            </w:tcBorders>
            <w:shd w:val="clear" w:color="auto" w:fill="auto"/>
            <w:vAlign w:val="center"/>
          </w:tcPr>
          <w:p w:rsidR="001133C2" w:rsidRPr="00527E7D" w:rsidRDefault="001133C2" w:rsidP="001133C2">
            <w:pPr>
              <w:spacing w:after="0" w:line="240" w:lineRule="auto"/>
              <w:rPr>
                <w:rFonts w:ascii="Times New Roman" w:hAnsi="Times New Roman"/>
                <w:b/>
              </w:rPr>
            </w:pPr>
            <w:r w:rsidRPr="00527E7D">
              <w:rPr>
                <w:rFonts w:ascii="Times New Roman" w:hAnsi="Times New Roman"/>
                <w:color w:val="000000"/>
              </w:rPr>
              <w:t>System 6: Bonds &amp; MSCI World excl. U.S.</w:t>
            </w:r>
          </w:p>
        </w:tc>
        <w:tc>
          <w:tcPr>
            <w:tcW w:w="1666" w:type="dxa"/>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None</w:t>
            </w:r>
          </w:p>
        </w:tc>
        <w:tc>
          <w:tcPr>
            <w:tcW w:w="1554" w:type="dxa"/>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0.0018</w:t>
            </w:r>
          </w:p>
        </w:tc>
        <w:tc>
          <w:tcPr>
            <w:tcW w:w="1540" w:type="dxa"/>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6.0091</w:t>
            </w:r>
          </w:p>
        </w:tc>
        <w:tc>
          <w:tcPr>
            <w:tcW w:w="1453" w:type="dxa"/>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15.4947</w:t>
            </w:r>
          </w:p>
        </w:tc>
        <w:tc>
          <w:tcPr>
            <w:tcW w:w="2186" w:type="dxa"/>
            <w:tcBorders>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0.6945</w:t>
            </w:r>
          </w:p>
        </w:tc>
      </w:tr>
      <w:tr w:rsidR="001133C2" w:rsidRPr="00527E7D" w:rsidTr="001133C2">
        <w:tc>
          <w:tcPr>
            <w:tcW w:w="2659" w:type="dxa"/>
            <w:vMerge/>
            <w:tcBorders>
              <w:left w:val="nil"/>
              <w:bottom w:val="double" w:sz="4" w:space="0" w:color="auto"/>
            </w:tcBorders>
            <w:shd w:val="clear" w:color="auto" w:fill="auto"/>
          </w:tcPr>
          <w:p w:rsidR="001133C2" w:rsidRPr="00527E7D" w:rsidRDefault="001133C2" w:rsidP="001133C2">
            <w:pPr>
              <w:spacing w:after="0" w:line="240" w:lineRule="auto"/>
              <w:jc w:val="center"/>
              <w:rPr>
                <w:rFonts w:ascii="Times New Roman" w:hAnsi="Times New Roman"/>
                <w:b/>
              </w:rPr>
            </w:pPr>
          </w:p>
        </w:tc>
        <w:tc>
          <w:tcPr>
            <w:tcW w:w="1666" w:type="dxa"/>
            <w:tcBorders>
              <w:bottom w:val="doub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At most one</w:t>
            </w:r>
          </w:p>
        </w:tc>
        <w:tc>
          <w:tcPr>
            <w:tcW w:w="1554" w:type="dxa"/>
            <w:tcBorders>
              <w:bottom w:val="doub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0.0000</w:t>
            </w:r>
          </w:p>
        </w:tc>
        <w:tc>
          <w:tcPr>
            <w:tcW w:w="1540" w:type="dxa"/>
            <w:tcBorders>
              <w:bottom w:val="double" w:sz="4" w:space="0" w:color="auto"/>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0.0145</w:t>
            </w:r>
          </w:p>
        </w:tc>
        <w:tc>
          <w:tcPr>
            <w:tcW w:w="1453" w:type="dxa"/>
            <w:tcBorders>
              <w:bottom w:val="double" w:sz="4" w:space="0" w:color="auto"/>
            </w:tcBorders>
            <w:shd w:val="clear" w:color="auto" w:fill="auto"/>
            <w:vAlign w:val="center"/>
          </w:tcPr>
          <w:p w:rsidR="001133C2" w:rsidRPr="00527E7D" w:rsidRDefault="001133C2" w:rsidP="001133C2">
            <w:pPr>
              <w:tabs>
                <w:tab w:val="decimal" w:pos="456"/>
              </w:tabs>
              <w:spacing w:before="60" w:after="60" w:line="240" w:lineRule="auto"/>
              <w:rPr>
                <w:rFonts w:ascii="Times New Roman" w:hAnsi="Times New Roman"/>
                <w:b/>
              </w:rPr>
            </w:pPr>
            <w:r w:rsidRPr="00527E7D">
              <w:rPr>
                <w:rFonts w:ascii="Times New Roman" w:hAnsi="Times New Roman"/>
                <w:color w:val="000000"/>
              </w:rPr>
              <w:t>3.8415</w:t>
            </w:r>
          </w:p>
        </w:tc>
        <w:tc>
          <w:tcPr>
            <w:tcW w:w="2186" w:type="dxa"/>
            <w:tcBorders>
              <w:bottom w:val="double" w:sz="4" w:space="0" w:color="auto"/>
              <w:right w:val="nil"/>
            </w:tcBorders>
            <w:shd w:val="clear" w:color="auto" w:fill="auto"/>
            <w:vAlign w:val="center"/>
          </w:tcPr>
          <w:p w:rsidR="001133C2" w:rsidRPr="00527E7D" w:rsidRDefault="001133C2" w:rsidP="001133C2">
            <w:pPr>
              <w:spacing w:before="60" w:after="60" w:line="240" w:lineRule="auto"/>
              <w:jc w:val="center"/>
              <w:rPr>
                <w:rFonts w:ascii="Times New Roman" w:hAnsi="Times New Roman"/>
                <w:b/>
              </w:rPr>
            </w:pPr>
            <w:r w:rsidRPr="00527E7D">
              <w:rPr>
                <w:rFonts w:ascii="Times New Roman" w:hAnsi="Times New Roman"/>
                <w:color w:val="000000"/>
              </w:rPr>
              <w:t>0.9039</w:t>
            </w:r>
          </w:p>
        </w:tc>
      </w:tr>
    </w:tbl>
    <w:p w:rsidR="001133C2" w:rsidRDefault="001133C2" w:rsidP="001133C2">
      <w:pPr>
        <w:rPr>
          <w:rFonts w:ascii="Arial" w:hAnsi="Arial" w:cs="Arial"/>
          <w:sz w:val="18"/>
          <w:szCs w:val="18"/>
        </w:rPr>
      </w:pPr>
    </w:p>
    <w:p w:rsidR="001133C2" w:rsidRDefault="001133C2" w:rsidP="001133C2">
      <w:pPr>
        <w:rPr>
          <w:rFonts w:eastAsia="Calibri"/>
          <w:lang w:eastAsia="en-US"/>
        </w:rPr>
      </w:pPr>
    </w:p>
    <w:p w:rsidR="001133C2" w:rsidRDefault="001133C2" w:rsidP="001133C2">
      <w:pPr>
        <w:rPr>
          <w:rFonts w:eastAsia="Calibri"/>
          <w:lang w:eastAsia="en-US"/>
        </w:rPr>
        <w:sectPr w:rsidR="001133C2" w:rsidSect="001133C2">
          <w:pgSz w:w="11906" w:h="16838" w:code="9"/>
          <w:pgMar w:top="907" w:right="1440" w:bottom="907" w:left="1440" w:header="709" w:footer="709" w:gutter="0"/>
          <w:cols w:space="708"/>
          <w:docGrid w:linePitch="360"/>
        </w:sectPr>
      </w:pPr>
    </w:p>
    <w:p w:rsidR="001133C2" w:rsidRDefault="001133C2" w:rsidP="001133C2">
      <w:pPr>
        <w:rPr>
          <w:rFonts w:eastAsia="Calibri"/>
          <w:lang w:eastAsia="en-US"/>
        </w:rPr>
      </w:pPr>
    </w:p>
    <w:p w:rsidR="001133C2" w:rsidRPr="00B81948" w:rsidRDefault="001133C2" w:rsidP="001133C2">
      <w:pPr>
        <w:rPr>
          <w:rFonts w:eastAsia="Calibri"/>
          <w:lang w:eastAsia="en-US"/>
        </w:rPr>
      </w:pPr>
    </w:p>
    <w:p w:rsidR="001133C2" w:rsidRPr="00B4501A" w:rsidRDefault="001133C2" w:rsidP="001133C2">
      <w:pPr>
        <w:jc w:val="center"/>
        <w:rPr>
          <w:rFonts w:ascii="Times New Roman" w:hAnsi="Times New Roman"/>
          <w:b/>
          <w:sz w:val="24"/>
          <w:szCs w:val="24"/>
        </w:rPr>
      </w:pPr>
      <w:r w:rsidRPr="00B4501A">
        <w:rPr>
          <w:rFonts w:ascii="Times New Roman" w:hAnsi="Times New Roman"/>
          <w:b/>
          <w:sz w:val="24"/>
          <w:szCs w:val="24"/>
        </w:rPr>
        <w:t>Table IV</w:t>
      </w:r>
    </w:p>
    <w:p w:rsidR="001133C2" w:rsidRPr="009B43E7" w:rsidRDefault="001133C2" w:rsidP="001133C2">
      <w:pPr>
        <w:jc w:val="center"/>
        <w:rPr>
          <w:rFonts w:ascii="Times New Roman" w:eastAsia="Calibri" w:hAnsi="Times New Roman"/>
          <w:b/>
          <w:sz w:val="24"/>
          <w:szCs w:val="24"/>
          <w:lang w:eastAsia="en-US"/>
        </w:rPr>
      </w:pPr>
      <w:r w:rsidRPr="009B43E7">
        <w:rPr>
          <w:rFonts w:ascii="Times New Roman" w:eastAsia="Calibri" w:hAnsi="Times New Roman"/>
          <w:b/>
          <w:sz w:val="24"/>
          <w:szCs w:val="24"/>
          <w:lang w:eastAsia="en-US"/>
        </w:rPr>
        <w:t>Cumulative</w:t>
      </w:r>
      <w:r>
        <w:rPr>
          <w:rFonts w:ascii="Times New Roman" w:eastAsia="Calibri" w:hAnsi="Times New Roman"/>
          <w:b/>
          <w:sz w:val="24"/>
          <w:szCs w:val="24"/>
          <w:lang w:eastAsia="en-US"/>
        </w:rPr>
        <w:t xml:space="preserve"> Average</w:t>
      </w:r>
      <w:r w:rsidRPr="009B43E7">
        <w:rPr>
          <w:rFonts w:ascii="Times New Roman" w:eastAsia="Calibri" w:hAnsi="Times New Roman"/>
          <w:b/>
          <w:sz w:val="24"/>
          <w:szCs w:val="24"/>
          <w:lang w:eastAsia="en-US"/>
        </w:rPr>
        <w:t xml:space="preserve"> Abnormal Returns</w:t>
      </w:r>
    </w:p>
    <w:p w:rsidR="001133C2" w:rsidRPr="00470E8F" w:rsidRDefault="001133C2" w:rsidP="001133C2">
      <w:pPr>
        <w:ind w:left="-142" w:right="423"/>
        <w:jc w:val="both"/>
        <w:rPr>
          <w:rFonts w:ascii="Times New Roman" w:eastAsia="Calibri" w:hAnsi="Times New Roman"/>
          <w:sz w:val="20"/>
          <w:szCs w:val="20"/>
          <w:lang w:val="en-US" w:eastAsia="en-US"/>
        </w:rPr>
      </w:pPr>
      <w:r w:rsidRPr="00470E8F">
        <w:rPr>
          <w:rFonts w:ascii="Times New Roman" w:eastAsia="Calibri" w:hAnsi="Times New Roman"/>
          <w:sz w:val="20"/>
          <w:szCs w:val="20"/>
          <w:lang w:val="en-US" w:eastAsia="en-US"/>
        </w:rPr>
        <w:t xml:space="preserve">This table reports cumulative average abnormal returns (CAARs) in periods around the war/crisis trigger dates. A constant mean return model has been used to estimate the values of the CAARs and the </w:t>
      </w:r>
      <w:r w:rsidRPr="00470E8F">
        <w:rPr>
          <w:rFonts w:ascii="Times New Roman" w:eastAsia="Calibri" w:hAnsi="Times New Roman"/>
          <w:i/>
          <w:sz w:val="20"/>
          <w:szCs w:val="20"/>
          <w:lang w:val="en-US" w:eastAsia="en-US"/>
        </w:rPr>
        <w:t>t</w:t>
      </w:r>
      <w:r w:rsidRPr="00470E8F">
        <w:rPr>
          <w:rFonts w:ascii="Times New Roman" w:eastAsia="Calibri" w:hAnsi="Times New Roman"/>
          <w:sz w:val="20"/>
          <w:szCs w:val="20"/>
          <w:lang w:val="en-US" w:eastAsia="en-US"/>
        </w:rPr>
        <w:t xml:space="preserve">-statistics for the null hypotheses that the respective CAARs are equal to zero are given in the parentheses. These test statistics have been calculated in line with Kothari and Warner (2007, p. 11). </w:t>
      </w:r>
      <w:r w:rsidRPr="00470E8F">
        <w:rPr>
          <w:rFonts w:ascii="Times New Roman" w:eastAsia="Calibri" w:hAnsi="Times New Roman"/>
          <w:sz w:val="20"/>
          <w:szCs w:val="20"/>
          <w:vertAlign w:val="superscript"/>
          <w:lang w:val="en-US" w:eastAsia="en-US"/>
        </w:rPr>
        <w:t>***</w:t>
      </w:r>
      <w:r w:rsidRPr="00470E8F">
        <w:rPr>
          <w:rFonts w:ascii="Times New Roman" w:eastAsia="Calibri" w:hAnsi="Times New Roman"/>
          <w:sz w:val="20"/>
          <w:szCs w:val="20"/>
          <w:lang w:val="en-US" w:eastAsia="en-US"/>
        </w:rPr>
        <w:t xml:space="preserve">, </w:t>
      </w:r>
      <w:r w:rsidRPr="00470E8F">
        <w:rPr>
          <w:rFonts w:ascii="Times New Roman" w:eastAsia="Calibri" w:hAnsi="Times New Roman"/>
          <w:sz w:val="20"/>
          <w:szCs w:val="20"/>
          <w:vertAlign w:val="superscript"/>
          <w:lang w:val="en-US" w:eastAsia="en-US"/>
        </w:rPr>
        <w:t>**</w:t>
      </w:r>
      <w:r w:rsidRPr="00470E8F">
        <w:rPr>
          <w:rFonts w:ascii="Times New Roman" w:eastAsia="Calibri" w:hAnsi="Times New Roman"/>
          <w:sz w:val="20"/>
          <w:szCs w:val="20"/>
          <w:lang w:val="en-US" w:eastAsia="en-US"/>
        </w:rPr>
        <w:t xml:space="preserve">, </w:t>
      </w:r>
      <w:r w:rsidRPr="00470E8F">
        <w:rPr>
          <w:rFonts w:ascii="Times New Roman" w:eastAsia="Calibri" w:hAnsi="Times New Roman"/>
          <w:sz w:val="20"/>
          <w:szCs w:val="20"/>
          <w:vertAlign w:val="superscript"/>
          <w:lang w:val="en-US" w:eastAsia="en-US"/>
        </w:rPr>
        <w:t>*</w:t>
      </w:r>
      <w:r w:rsidRPr="00470E8F">
        <w:rPr>
          <w:rFonts w:ascii="Times New Roman" w:eastAsia="Calibri" w:hAnsi="Times New Roman"/>
          <w:sz w:val="20"/>
          <w:szCs w:val="20"/>
          <w:lang w:val="en-US" w:eastAsia="en-US"/>
        </w:rPr>
        <w:t xml:space="preserve"> denote statistical significance at 1%, 5% and 10% level, respectively. Findings for the World Gov. Bond Index CAARs are based on the sub-period from January 1995 to December 2007. </w:t>
      </w:r>
    </w:p>
    <w:tbl>
      <w:tblPr>
        <w:tblW w:w="14646" w:type="dxa"/>
        <w:tblLook w:val="04A0" w:firstRow="1" w:lastRow="0" w:firstColumn="1" w:lastColumn="0" w:noHBand="0" w:noVBand="1"/>
      </w:tblPr>
      <w:tblGrid>
        <w:gridCol w:w="2239"/>
        <w:gridCol w:w="2696"/>
        <w:gridCol w:w="2870"/>
        <w:gridCol w:w="2227"/>
        <w:gridCol w:w="2258"/>
        <w:gridCol w:w="2356"/>
      </w:tblGrid>
      <w:tr w:rsidR="001133C2" w:rsidRPr="00527E7D" w:rsidTr="001133C2">
        <w:trPr>
          <w:trHeight w:val="323"/>
        </w:trPr>
        <w:tc>
          <w:tcPr>
            <w:tcW w:w="12213" w:type="dxa"/>
            <w:gridSpan w:val="5"/>
            <w:tcBorders>
              <w:top w:val="double" w:sz="4" w:space="0" w:color="auto"/>
              <w:bottom w:val="single" w:sz="4" w:space="0" w:color="auto"/>
            </w:tcBorders>
            <w:shd w:val="clear" w:color="auto" w:fill="auto"/>
          </w:tcPr>
          <w:p w:rsidR="001133C2" w:rsidRPr="00527E7D" w:rsidRDefault="001133C2" w:rsidP="001133C2">
            <w:pPr>
              <w:spacing w:before="60" w:after="60" w:line="240" w:lineRule="auto"/>
              <w:rPr>
                <w:rFonts w:ascii="Times New Roman" w:hAnsi="Times New Roman"/>
                <w:b/>
              </w:rPr>
            </w:pPr>
            <w:r w:rsidRPr="00527E7D">
              <w:rPr>
                <w:rFonts w:ascii="Times New Roman" w:hAnsi="Times New Roman"/>
                <w:b/>
              </w:rPr>
              <w:t>Panel A. Cumulative Average Abnormal Returns for the War Sample</w:t>
            </w:r>
          </w:p>
        </w:tc>
        <w:tc>
          <w:tcPr>
            <w:tcW w:w="2433" w:type="dxa"/>
            <w:tcBorders>
              <w:top w:val="double" w:sz="4" w:space="0" w:color="auto"/>
              <w:bottom w:val="single" w:sz="4" w:space="0" w:color="auto"/>
            </w:tcBorders>
            <w:shd w:val="clear" w:color="auto" w:fill="auto"/>
          </w:tcPr>
          <w:p w:rsidR="001133C2" w:rsidRPr="00527E7D" w:rsidRDefault="001133C2" w:rsidP="001133C2">
            <w:pPr>
              <w:spacing w:before="60" w:after="60" w:line="240" w:lineRule="auto"/>
              <w:rPr>
                <w:rFonts w:ascii="Times New Roman" w:hAnsi="Times New Roman"/>
                <w:b/>
              </w:rPr>
            </w:pPr>
          </w:p>
        </w:tc>
      </w:tr>
      <w:tr w:rsidR="001133C2" w:rsidRPr="00527E7D" w:rsidTr="001133C2">
        <w:trPr>
          <w:trHeight w:val="323"/>
        </w:trPr>
        <w:tc>
          <w:tcPr>
            <w:tcW w:w="2315"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p>
        </w:tc>
        <w:tc>
          <w:tcPr>
            <w:tcW w:w="2688"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WTI Crude Oil</w:t>
            </w:r>
          </w:p>
        </w:tc>
        <w:tc>
          <w:tcPr>
            <w:tcW w:w="2564"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World Gov. Bond Index</w:t>
            </w:r>
          </w:p>
        </w:tc>
        <w:tc>
          <w:tcPr>
            <w:tcW w:w="2321"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S&amp;P 500</w:t>
            </w:r>
          </w:p>
        </w:tc>
        <w:tc>
          <w:tcPr>
            <w:tcW w:w="2325"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 World</w:t>
            </w:r>
          </w:p>
        </w:tc>
        <w:tc>
          <w:tcPr>
            <w:tcW w:w="2433"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 World excl. U.S.</w:t>
            </w:r>
          </w:p>
        </w:tc>
      </w:tr>
      <w:tr w:rsidR="001133C2" w:rsidRPr="00527E7D" w:rsidTr="001133C2">
        <w:trPr>
          <w:trHeight w:val="323"/>
        </w:trPr>
        <w:tc>
          <w:tcPr>
            <w:tcW w:w="2315" w:type="dxa"/>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CAAR(-50,50)</w:t>
            </w:r>
          </w:p>
        </w:tc>
        <w:tc>
          <w:tcPr>
            <w:tcW w:w="2688" w:type="dxa"/>
            <w:shd w:val="clear" w:color="auto" w:fill="auto"/>
          </w:tcPr>
          <w:p w:rsidR="001133C2" w:rsidRPr="00527E7D" w:rsidRDefault="001133C2" w:rsidP="001133C2">
            <w:pPr>
              <w:tabs>
                <w:tab w:val="decimal" w:pos="1055"/>
              </w:tabs>
              <w:spacing w:before="60" w:after="0" w:line="240" w:lineRule="auto"/>
              <w:ind w:left="-188" w:right="457"/>
              <w:rPr>
                <w:rFonts w:ascii="Times New Roman" w:hAnsi="Times New Roman"/>
              </w:rPr>
            </w:pPr>
            <w:r w:rsidRPr="00527E7D">
              <w:rPr>
                <w:rFonts w:ascii="Times New Roman" w:hAnsi="Times New Roman"/>
              </w:rPr>
              <w:t>12.0848%</w:t>
            </w:r>
            <w:r w:rsidRPr="00527E7D">
              <w:rPr>
                <w:rFonts w:ascii="Times New Roman" w:hAnsi="Times New Roman"/>
                <w:vertAlign w:val="superscript"/>
              </w:rPr>
              <w:t>***</w:t>
            </w:r>
          </w:p>
          <w:p w:rsidR="001133C2" w:rsidRPr="00527E7D" w:rsidRDefault="001133C2" w:rsidP="001133C2">
            <w:pPr>
              <w:tabs>
                <w:tab w:val="decimal" w:pos="1055"/>
              </w:tabs>
              <w:spacing w:after="60" w:line="240" w:lineRule="auto"/>
              <w:ind w:left="-188" w:right="457"/>
              <w:rPr>
                <w:rFonts w:ascii="Times New Roman" w:hAnsi="Times New Roman"/>
                <w:i/>
              </w:rPr>
            </w:pPr>
            <w:r w:rsidRPr="00527E7D">
              <w:rPr>
                <w:rFonts w:ascii="Times New Roman" w:hAnsi="Times New Roman"/>
                <w:i/>
              </w:rPr>
              <w:t>(3.6866)</w:t>
            </w:r>
          </w:p>
        </w:tc>
        <w:tc>
          <w:tcPr>
            <w:tcW w:w="2564" w:type="dxa"/>
            <w:shd w:val="clear" w:color="auto" w:fill="auto"/>
          </w:tcPr>
          <w:p w:rsidR="001133C2" w:rsidRPr="00527E7D" w:rsidRDefault="001133C2" w:rsidP="001133C2">
            <w:pPr>
              <w:tabs>
                <w:tab w:val="decimal" w:pos="1083"/>
              </w:tabs>
              <w:spacing w:before="60" w:after="0" w:line="240" w:lineRule="auto"/>
              <w:ind w:right="553"/>
              <w:rPr>
                <w:rFonts w:ascii="Times New Roman" w:hAnsi="Times New Roman"/>
                <w:i/>
                <w:vertAlign w:val="superscript"/>
              </w:rPr>
            </w:pPr>
            <w:r w:rsidRPr="00527E7D">
              <w:rPr>
                <w:rFonts w:ascii="Times New Roman" w:hAnsi="Times New Roman"/>
                <w:i/>
              </w:rPr>
              <w:t>1.9495%</w:t>
            </w:r>
            <w:r w:rsidRPr="00527E7D">
              <w:rPr>
                <w:rFonts w:ascii="Times New Roman" w:hAnsi="Times New Roman"/>
                <w:vertAlign w:val="superscript"/>
              </w:rPr>
              <w:t>**</w:t>
            </w:r>
          </w:p>
          <w:p w:rsidR="001133C2" w:rsidRPr="00527E7D" w:rsidRDefault="001133C2" w:rsidP="001133C2">
            <w:pPr>
              <w:tabs>
                <w:tab w:val="decimal" w:pos="1083"/>
              </w:tabs>
              <w:spacing w:after="60" w:line="240" w:lineRule="auto"/>
              <w:ind w:right="553"/>
              <w:rPr>
                <w:rFonts w:ascii="Times New Roman" w:hAnsi="Times New Roman"/>
                <w:i/>
              </w:rPr>
            </w:pPr>
            <w:r w:rsidRPr="00527E7D">
              <w:rPr>
                <w:rFonts w:ascii="Times New Roman" w:hAnsi="Times New Roman"/>
                <w:i/>
              </w:rPr>
              <w:t>(2.0273)</w:t>
            </w:r>
          </w:p>
        </w:tc>
        <w:tc>
          <w:tcPr>
            <w:tcW w:w="2321" w:type="dxa"/>
            <w:shd w:val="clear" w:color="auto" w:fill="auto"/>
          </w:tcPr>
          <w:p w:rsidR="001133C2" w:rsidRPr="00527E7D" w:rsidRDefault="001133C2" w:rsidP="001133C2">
            <w:pPr>
              <w:tabs>
                <w:tab w:val="decimal" w:pos="724"/>
              </w:tabs>
              <w:spacing w:before="60" w:after="0" w:line="240" w:lineRule="auto"/>
              <w:rPr>
                <w:rFonts w:ascii="Times New Roman" w:hAnsi="Times New Roman"/>
              </w:rPr>
            </w:pPr>
            <w:r w:rsidRPr="00527E7D">
              <w:rPr>
                <w:rFonts w:ascii="Times New Roman" w:hAnsi="Times New Roman"/>
              </w:rPr>
              <w:t>-4.6700%</w:t>
            </w:r>
            <w:r w:rsidRPr="00527E7D">
              <w:rPr>
                <w:rFonts w:ascii="Times New Roman" w:hAnsi="Times New Roman"/>
                <w:vertAlign w:val="superscript"/>
              </w:rPr>
              <w:t>**</w:t>
            </w:r>
          </w:p>
          <w:p w:rsidR="001133C2" w:rsidRPr="00527E7D" w:rsidRDefault="001133C2" w:rsidP="001133C2">
            <w:pPr>
              <w:tabs>
                <w:tab w:val="decimal" w:pos="724"/>
              </w:tabs>
              <w:spacing w:after="60" w:line="240" w:lineRule="auto"/>
              <w:rPr>
                <w:rFonts w:ascii="Times New Roman" w:hAnsi="Times New Roman"/>
                <w:i/>
              </w:rPr>
            </w:pPr>
            <w:r w:rsidRPr="00527E7D">
              <w:rPr>
                <w:rFonts w:ascii="Times New Roman" w:hAnsi="Times New Roman"/>
                <w:i/>
              </w:rPr>
              <w:t>(-2.2980)</w:t>
            </w:r>
          </w:p>
        </w:tc>
        <w:tc>
          <w:tcPr>
            <w:tcW w:w="2325" w:type="dxa"/>
            <w:shd w:val="clear" w:color="auto" w:fill="auto"/>
          </w:tcPr>
          <w:p w:rsidR="001133C2" w:rsidRPr="00527E7D" w:rsidRDefault="001133C2" w:rsidP="001133C2">
            <w:pPr>
              <w:tabs>
                <w:tab w:val="decimal" w:pos="970"/>
              </w:tabs>
              <w:spacing w:before="60" w:after="0" w:line="240" w:lineRule="auto"/>
              <w:ind w:right="336"/>
              <w:rPr>
                <w:rFonts w:ascii="Times New Roman" w:hAnsi="Times New Roman"/>
              </w:rPr>
            </w:pPr>
            <w:r w:rsidRPr="00527E7D">
              <w:rPr>
                <w:rFonts w:ascii="Times New Roman" w:hAnsi="Times New Roman"/>
              </w:rPr>
              <w:t>-3.4670%</w:t>
            </w:r>
            <w:r w:rsidRPr="00527E7D">
              <w:rPr>
                <w:rFonts w:ascii="Times New Roman" w:hAnsi="Times New Roman"/>
                <w:vertAlign w:val="superscript"/>
              </w:rPr>
              <w:t>**</w:t>
            </w:r>
          </w:p>
          <w:p w:rsidR="001133C2" w:rsidRPr="00527E7D" w:rsidRDefault="001133C2" w:rsidP="001133C2">
            <w:pPr>
              <w:tabs>
                <w:tab w:val="decimal" w:pos="970"/>
              </w:tabs>
              <w:spacing w:after="60" w:line="240" w:lineRule="auto"/>
              <w:ind w:right="336"/>
              <w:rPr>
                <w:rFonts w:ascii="Times New Roman" w:hAnsi="Times New Roman"/>
                <w:i/>
              </w:rPr>
            </w:pPr>
            <w:r w:rsidRPr="00527E7D">
              <w:rPr>
                <w:rFonts w:ascii="Times New Roman" w:hAnsi="Times New Roman"/>
                <w:i/>
              </w:rPr>
              <w:t>(-2.3274)</w:t>
            </w:r>
          </w:p>
        </w:tc>
        <w:tc>
          <w:tcPr>
            <w:tcW w:w="2433" w:type="dxa"/>
            <w:shd w:val="clear" w:color="auto" w:fill="auto"/>
          </w:tcPr>
          <w:p w:rsidR="001133C2" w:rsidRPr="00527E7D" w:rsidRDefault="001133C2" w:rsidP="001133C2">
            <w:pPr>
              <w:tabs>
                <w:tab w:val="decimal" w:pos="998"/>
              </w:tabs>
              <w:spacing w:before="60" w:after="0" w:line="240" w:lineRule="auto"/>
              <w:ind w:right="255"/>
              <w:rPr>
                <w:rFonts w:ascii="Times New Roman" w:hAnsi="Times New Roman"/>
              </w:rPr>
            </w:pPr>
            <w:r w:rsidRPr="00527E7D">
              <w:rPr>
                <w:rFonts w:ascii="Times New Roman" w:hAnsi="Times New Roman"/>
              </w:rPr>
              <w:t>-2.7791%</w:t>
            </w:r>
            <w:r w:rsidRPr="00527E7D">
              <w:rPr>
                <w:rFonts w:ascii="Times New Roman" w:hAnsi="Times New Roman"/>
                <w:vertAlign w:val="superscript"/>
              </w:rPr>
              <w:t>*</w:t>
            </w:r>
          </w:p>
          <w:p w:rsidR="001133C2" w:rsidRPr="00527E7D" w:rsidRDefault="001133C2" w:rsidP="001133C2">
            <w:pPr>
              <w:tabs>
                <w:tab w:val="decimal" w:pos="998"/>
              </w:tabs>
              <w:spacing w:after="60" w:line="240" w:lineRule="auto"/>
              <w:ind w:right="255"/>
              <w:rPr>
                <w:rFonts w:ascii="Times New Roman" w:hAnsi="Times New Roman"/>
                <w:i/>
              </w:rPr>
            </w:pPr>
            <w:r w:rsidRPr="00527E7D">
              <w:rPr>
                <w:rFonts w:ascii="Times New Roman" w:hAnsi="Times New Roman"/>
                <w:i/>
              </w:rPr>
              <w:t>(-1.7806)</w:t>
            </w:r>
          </w:p>
        </w:tc>
      </w:tr>
      <w:tr w:rsidR="001133C2" w:rsidRPr="00527E7D" w:rsidTr="001133C2">
        <w:trPr>
          <w:trHeight w:val="323"/>
        </w:trPr>
        <w:tc>
          <w:tcPr>
            <w:tcW w:w="2315" w:type="dxa"/>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CAAR(-50,-1)</w:t>
            </w:r>
          </w:p>
        </w:tc>
        <w:tc>
          <w:tcPr>
            <w:tcW w:w="2688" w:type="dxa"/>
            <w:shd w:val="clear" w:color="auto" w:fill="auto"/>
          </w:tcPr>
          <w:p w:rsidR="001133C2" w:rsidRPr="00527E7D" w:rsidRDefault="001133C2" w:rsidP="001133C2">
            <w:pPr>
              <w:tabs>
                <w:tab w:val="decimal" w:pos="1055"/>
              </w:tabs>
              <w:spacing w:before="60" w:after="0" w:line="240" w:lineRule="auto"/>
              <w:ind w:left="-188" w:right="457"/>
              <w:rPr>
                <w:rFonts w:ascii="Times New Roman" w:hAnsi="Times New Roman"/>
              </w:rPr>
            </w:pPr>
            <w:r w:rsidRPr="00527E7D">
              <w:rPr>
                <w:rFonts w:ascii="Times New Roman" w:hAnsi="Times New Roman"/>
              </w:rPr>
              <w:t>7.4314%</w:t>
            </w:r>
            <w:r w:rsidRPr="00527E7D">
              <w:rPr>
                <w:rFonts w:ascii="Times New Roman" w:hAnsi="Times New Roman"/>
                <w:vertAlign w:val="superscript"/>
              </w:rPr>
              <w:t>***</w:t>
            </w:r>
          </w:p>
          <w:p w:rsidR="001133C2" w:rsidRPr="00527E7D" w:rsidRDefault="001133C2" w:rsidP="001133C2">
            <w:pPr>
              <w:tabs>
                <w:tab w:val="decimal" w:pos="1055"/>
              </w:tabs>
              <w:spacing w:after="60" w:line="240" w:lineRule="auto"/>
              <w:ind w:left="-188" w:right="457"/>
              <w:rPr>
                <w:rFonts w:ascii="Times New Roman" w:hAnsi="Times New Roman"/>
                <w:i/>
              </w:rPr>
            </w:pPr>
            <w:r w:rsidRPr="00527E7D">
              <w:rPr>
                <w:rFonts w:ascii="Times New Roman" w:hAnsi="Times New Roman"/>
                <w:i/>
              </w:rPr>
              <w:t>(2.8547)</w:t>
            </w:r>
          </w:p>
        </w:tc>
        <w:tc>
          <w:tcPr>
            <w:tcW w:w="2564" w:type="dxa"/>
            <w:shd w:val="clear" w:color="auto" w:fill="auto"/>
          </w:tcPr>
          <w:p w:rsidR="001133C2" w:rsidRPr="00527E7D" w:rsidRDefault="001133C2" w:rsidP="001133C2">
            <w:pPr>
              <w:tabs>
                <w:tab w:val="decimal" w:pos="1083"/>
              </w:tabs>
              <w:spacing w:after="60" w:line="240" w:lineRule="auto"/>
              <w:ind w:right="553"/>
              <w:rPr>
                <w:rFonts w:ascii="Times New Roman" w:hAnsi="Times New Roman"/>
                <w:i/>
              </w:rPr>
            </w:pPr>
            <w:r w:rsidRPr="00527E7D">
              <w:rPr>
                <w:rFonts w:ascii="Times New Roman" w:hAnsi="Times New Roman"/>
                <w:i/>
              </w:rPr>
              <w:t>0.1526%</w:t>
            </w:r>
          </w:p>
          <w:p w:rsidR="001133C2" w:rsidRPr="00527E7D" w:rsidRDefault="001133C2" w:rsidP="001133C2">
            <w:pPr>
              <w:tabs>
                <w:tab w:val="decimal" w:pos="1083"/>
              </w:tabs>
              <w:spacing w:after="60" w:line="240" w:lineRule="auto"/>
              <w:ind w:right="553"/>
              <w:rPr>
                <w:rFonts w:ascii="Times New Roman" w:hAnsi="Times New Roman"/>
                <w:i/>
              </w:rPr>
            </w:pPr>
            <w:r w:rsidRPr="00527E7D">
              <w:rPr>
                <w:rFonts w:ascii="Times New Roman" w:hAnsi="Times New Roman"/>
                <w:i/>
              </w:rPr>
              <w:t>(0.2192)</w:t>
            </w:r>
          </w:p>
        </w:tc>
        <w:tc>
          <w:tcPr>
            <w:tcW w:w="2321" w:type="dxa"/>
            <w:shd w:val="clear" w:color="auto" w:fill="auto"/>
          </w:tcPr>
          <w:p w:rsidR="001133C2" w:rsidRPr="00527E7D" w:rsidRDefault="001133C2" w:rsidP="001133C2">
            <w:pPr>
              <w:tabs>
                <w:tab w:val="decimal" w:pos="724"/>
              </w:tabs>
              <w:spacing w:before="60" w:after="0" w:line="240" w:lineRule="auto"/>
              <w:rPr>
                <w:rFonts w:ascii="Times New Roman" w:hAnsi="Times New Roman"/>
              </w:rPr>
            </w:pPr>
            <w:r w:rsidRPr="00527E7D">
              <w:rPr>
                <w:rFonts w:ascii="Times New Roman" w:hAnsi="Times New Roman"/>
              </w:rPr>
              <w:t>-1.5979%</w:t>
            </w:r>
          </w:p>
          <w:p w:rsidR="001133C2" w:rsidRPr="00527E7D" w:rsidRDefault="001133C2" w:rsidP="001133C2">
            <w:pPr>
              <w:tabs>
                <w:tab w:val="decimal" w:pos="724"/>
              </w:tabs>
              <w:spacing w:after="60" w:line="240" w:lineRule="auto"/>
              <w:rPr>
                <w:rFonts w:ascii="Times New Roman" w:hAnsi="Times New Roman"/>
                <w:i/>
              </w:rPr>
            </w:pPr>
            <w:r w:rsidRPr="00527E7D">
              <w:rPr>
                <w:rFonts w:ascii="Times New Roman" w:hAnsi="Times New Roman"/>
                <w:i/>
              </w:rPr>
              <w:t>(-1.0083)</w:t>
            </w:r>
          </w:p>
        </w:tc>
        <w:tc>
          <w:tcPr>
            <w:tcW w:w="2325" w:type="dxa"/>
            <w:shd w:val="clear" w:color="auto" w:fill="auto"/>
          </w:tcPr>
          <w:p w:rsidR="001133C2" w:rsidRPr="00527E7D" w:rsidRDefault="001133C2" w:rsidP="001133C2">
            <w:pPr>
              <w:tabs>
                <w:tab w:val="decimal" w:pos="970"/>
              </w:tabs>
              <w:spacing w:before="60" w:after="0" w:line="240" w:lineRule="auto"/>
              <w:ind w:right="336"/>
              <w:rPr>
                <w:rFonts w:ascii="Times New Roman" w:hAnsi="Times New Roman"/>
              </w:rPr>
            </w:pPr>
            <w:r w:rsidRPr="00527E7D">
              <w:rPr>
                <w:rFonts w:ascii="Times New Roman" w:hAnsi="Times New Roman"/>
              </w:rPr>
              <w:t>-1.0601%</w:t>
            </w:r>
          </w:p>
          <w:p w:rsidR="001133C2" w:rsidRPr="00527E7D" w:rsidRDefault="001133C2" w:rsidP="001133C2">
            <w:pPr>
              <w:tabs>
                <w:tab w:val="decimal" w:pos="970"/>
              </w:tabs>
              <w:spacing w:after="60" w:line="240" w:lineRule="auto"/>
              <w:ind w:right="336"/>
              <w:rPr>
                <w:rFonts w:ascii="Times New Roman" w:hAnsi="Times New Roman"/>
                <w:i/>
              </w:rPr>
            </w:pPr>
            <w:r w:rsidRPr="00527E7D">
              <w:rPr>
                <w:rFonts w:ascii="Times New Roman" w:hAnsi="Times New Roman"/>
                <w:i/>
              </w:rPr>
              <w:t>(-0.9084)</w:t>
            </w:r>
          </w:p>
        </w:tc>
        <w:tc>
          <w:tcPr>
            <w:tcW w:w="2433" w:type="dxa"/>
            <w:shd w:val="clear" w:color="auto" w:fill="auto"/>
          </w:tcPr>
          <w:p w:rsidR="001133C2" w:rsidRPr="00527E7D" w:rsidRDefault="001133C2" w:rsidP="001133C2">
            <w:pPr>
              <w:tabs>
                <w:tab w:val="decimal" w:pos="998"/>
              </w:tabs>
              <w:spacing w:before="60" w:after="0" w:line="240" w:lineRule="auto"/>
              <w:ind w:right="255"/>
              <w:rPr>
                <w:rFonts w:ascii="Times New Roman" w:hAnsi="Times New Roman"/>
              </w:rPr>
            </w:pPr>
            <w:r w:rsidRPr="00527E7D">
              <w:rPr>
                <w:rFonts w:ascii="Times New Roman" w:hAnsi="Times New Roman"/>
              </w:rPr>
              <w:t>-0.6869%</w:t>
            </w:r>
          </w:p>
          <w:p w:rsidR="001133C2" w:rsidRPr="00527E7D" w:rsidRDefault="001133C2" w:rsidP="001133C2">
            <w:pPr>
              <w:tabs>
                <w:tab w:val="decimal" w:pos="998"/>
              </w:tabs>
              <w:spacing w:after="60" w:line="240" w:lineRule="auto"/>
              <w:ind w:right="255"/>
              <w:rPr>
                <w:rFonts w:ascii="Times New Roman" w:hAnsi="Times New Roman"/>
                <w:i/>
              </w:rPr>
            </w:pPr>
            <w:r w:rsidRPr="00527E7D">
              <w:rPr>
                <w:rFonts w:ascii="Times New Roman" w:hAnsi="Times New Roman"/>
                <w:i/>
              </w:rPr>
              <w:t>(-0.5598)</w:t>
            </w:r>
          </w:p>
        </w:tc>
      </w:tr>
      <w:tr w:rsidR="001133C2" w:rsidRPr="00527E7D" w:rsidTr="001133C2">
        <w:trPr>
          <w:trHeight w:val="323"/>
        </w:trPr>
        <w:tc>
          <w:tcPr>
            <w:tcW w:w="2315" w:type="dxa"/>
            <w:tcBorders>
              <w:bottom w:val="single" w:sz="4" w:space="0" w:color="auto"/>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CAAR(0,50)</w:t>
            </w:r>
          </w:p>
        </w:tc>
        <w:tc>
          <w:tcPr>
            <w:tcW w:w="2688" w:type="dxa"/>
            <w:tcBorders>
              <w:bottom w:val="single" w:sz="4" w:space="0" w:color="auto"/>
            </w:tcBorders>
            <w:shd w:val="clear" w:color="auto" w:fill="auto"/>
          </w:tcPr>
          <w:p w:rsidR="001133C2" w:rsidRPr="00527E7D" w:rsidRDefault="001133C2" w:rsidP="001133C2">
            <w:pPr>
              <w:tabs>
                <w:tab w:val="decimal" w:pos="1055"/>
              </w:tabs>
              <w:spacing w:before="60" w:after="0" w:line="240" w:lineRule="auto"/>
              <w:ind w:left="-188" w:right="457"/>
              <w:rPr>
                <w:rFonts w:ascii="Times New Roman" w:hAnsi="Times New Roman"/>
              </w:rPr>
            </w:pPr>
            <w:r w:rsidRPr="00527E7D">
              <w:rPr>
                <w:rFonts w:ascii="Times New Roman" w:hAnsi="Times New Roman"/>
              </w:rPr>
              <w:t>4.6534%</w:t>
            </w:r>
            <w:r w:rsidRPr="00527E7D">
              <w:rPr>
                <w:rFonts w:ascii="Times New Roman" w:hAnsi="Times New Roman"/>
                <w:vertAlign w:val="superscript"/>
              </w:rPr>
              <w:t>**</w:t>
            </w:r>
          </w:p>
          <w:p w:rsidR="001133C2" w:rsidRPr="00527E7D" w:rsidRDefault="001133C2" w:rsidP="001133C2">
            <w:pPr>
              <w:tabs>
                <w:tab w:val="decimal" w:pos="1055"/>
              </w:tabs>
              <w:spacing w:after="60" w:line="240" w:lineRule="auto"/>
              <w:ind w:left="-188" w:right="457"/>
              <w:rPr>
                <w:rFonts w:ascii="Times New Roman" w:hAnsi="Times New Roman"/>
                <w:i/>
              </w:rPr>
            </w:pPr>
            <w:r w:rsidRPr="00527E7D">
              <w:rPr>
                <w:rFonts w:ascii="Times New Roman" w:hAnsi="Times New Roman"/>
                <w:i/>
              </w:rPr>
              <w:t>(2.3287)</w:t>
            </w:r>
          </w:p>
        </w:tc>
        <w:tc>
          <w:tcPr>
            <w:tcW w:w="2564" w:type="dxa"/>
            <w:tcBorders>
              <w:bottom w:val="single" w:sz="4" w:space="0" w:color="auto"/>
            </w:tcBorders>
            <w:shd w:val="clear" w:color="auto" w:fill="auto"/>
          </w:tcPr>
          <w:p w:rsidR="001133C2" w:rsidRPr="00527E7D" w:rsidRDefault="001133C2" w:rsidP="001133C2">
            <w:pPr>
              <w:tabs>
                <w:tab w:val="decimal" w:pos="1083"/>
              </w:tabs>
              <w:spacing w:before="60" w:after="0" w:line="240" w:lineRule="auto"/>
              <w:ind w:right="553"/>
              <w:rPr>
                <w:rFonts w:ascii="Times New Roman" w:hAnsi="Times New Roman"/>
                <w:i/>
              </w:rPr>
            </w:pPr>
            <w:r w:rsidRPr="00527E7D">
              <w:rPr>
                <w:rFonts w:ascii="Times New Roman" w:hAnsi="Times New Roman"/>
                <w:i/>
              </w:rPr>
              <w:t>1.7969%</w:t>
            </w:r>
            <w:r w:rsidRPr="00527E7D">
              <w:rPr>
                <w:rFonts w:ascii="Times New Roman" w:hAnsi="Times New Roman"/>
                <w:vertAlign w:val="superscript"/>
              </w:rPr>
              <w:t>**</w:t>
            </w:r>
          </w:p>
          <w:p w:rsidR="001133C2" w:rsidRPr="00527E7D" w:rsidRDefault="001133C2" w:rsidP="001133C2">
            <w:pPr>
              <w:tabs>
                <w:tab w:val="decimal" w:pos="1083"/>
              </w:tabs>
              <w:spacing w:after="60" w:line="240" w:lineRule="auto"/>
              <w:ind w:right="553"/>
              <w:rPr>
                <w:rFonts w:ascii="Times New Roman" w:hAnsi="Times New Roman"/>
                <w:i/>
              </w:rPr>
            </w:pPr>
            <w:r w:rsidRPr="00527E7D">
              <w:rPr>
                <w:rFonts w:ascii="Times New Roman" w:hAnsi="Times New Roman"/>
                <w:i/>
              </w:rPr>
              <w:t>(2.7643)</w:t>
            </w:r>
          </w:p>
        </w:tc>
        <w:tc>
          <w:tcPr>
            <w:tcW w:w="2321" w:type="dxa"/>
            <w:tcBorders>
              <w:bottom w:val="single" w:sz="4" w:space="0" w:color="auto"/>
            </w:tcBorders>
            <w:shd w:val="clear" w:color="auto" w:fill="auto"/>
          </w:tcPr>
          <w:p w:rsidR="001133C2" w:rsidRPr="00527E7D" w:rsidRDefault="001133C2" w:rsidP="001133C2">
            <w:pPr>
              <w:tabs>
                <w:tab w:val="decimal" w:pos="724"/>
              </w:tabs>
              <w:spacing w:before="60" w:after="0" w:line="240" w:lineRule="auto"/>
              <w:rPr>
                <w:rFonts w:ascii="Times New Roman" w:hAnsi="Times New Roman"/>
              </w:rPr>
            </w:pPr>
            <w:r w:rsidRPr="00527E7D">
              <w:rPr>
                <w:rFonts w:ascii="Times New Roman" w:hAnsi="Times New Roman"/>
              </w:rPr>
              <w:t>-3.0721%</w:t>
            </w:r>
            <w:r w:rsidRPr="00527E7D">
              <w:rPr>
                <w:rFonts w:ascii="Times New Roman" w:hAnsi="Times New Roman"/>
                <w:vertAlign w:val="superscript"/>
              </w:rPr>
              <w:t>**</w:t>
            </w:r>
          </w:p>
          <w:p w:rsidR="001133C2" w:rsidRPr="00527E7D" w:rsidRDefault="001133C2" w:rsidP="001133C2">
            <w:pPr>
              <w:tabs>
                <w:tab w:val="decimal" w:pos="724"/>
              </w:tabs>
              <w:spacing w:after="60" w:line="240" w:lineRule="auto"/>
              <w:rPr>
                <w:rFonts w:ascii="Times New Roman" w:hAnsi="Times New Roman"/>
                <w:i/>
              </w:rPr>
            </w:pPr>
            <w:r w:rsidRPr="00527E7D">
              <w:rPr>
                <w:rFonts w:ascii="Times New Roman" w:hAnsi="Times New Roman"/>
                <w:i/>
              </w:rPr>
              <w:t>(-2.3989)</w:t>
            </w:r>
          </w:p>
        </w:tc>
        <w:tc>
          <w:tcPr>
            <w:tcW w:w="2325" w:type="dxa"/>
            <w:tcBorders>
              <w:bottom w:val="single" w:sz="4" w:space="0" w:color="auto"/>
            </w:tcBorders>
            <w:shd w:val="clear" w:color="auto" w:fill="auto"/>
          </w:tcPr>
          <w:p w:rsidR="001133C2" w:rsidRPr="00527E7D" w:rsidRDefault="001133C2" w:rsidP="001133C2">
            <w:pPr>
              <w:tabs>
                <w:tab w:val="decimal" w:pos="970"/>
              </w:tabs>
              <w:spacing w:before="60" w:after="0" w:line="240" w:lineRule="auto"/>
              <w:ind w:right="336"/>
              <w:rPr>
                <w:rFonts w:ascii="Times New Roman" w:hAnsi="Times New Roman"/>
              </w:rPr>
            </w:pPr>
            <w:r w:rsidRPr="00527E7D">
              <w:rPr>
                <w:rFonts w:ascii="Times New Roman" w:hAnsi="Times New Roman"/>
              </w:rPr>
              <w:t>-2.4085%</w:t>
            </w:r>
            <w:r w:rsidRPr="00527E7D">
              <w:rPr>
                <w:rFonts w:ascii="Times New Roman" w:hAnsi="Times New Roman"/>
                <w:vertAlign w:val="superscript"/>
              </w:rPr>
              <w:t>**</w:t>
            </w:r>
          </w:p>
          <w:p w:rsidR="001133C2" w:rsidRPr="00527E7D" w:rsidRDefault="001133C2" w:rsidP="001133C2">
            <w:pPr>
              <w:tabs>
                <w:tab w:val="decimal" w:pos="970"/>
              </w:tabs>
              <w:spacing w:after="60" w:line="240" w:lineRule="auto"/>
              <w:ind w:right="336"/>
              <w:rPr>
                <w:rFonts w:ascii="Times New Roman" w:hAnsi="Times New Roman"/>
                <w:i/>
              </w:rPr>
            </w:pPr>
            <w:r w:rsidRPr="00527E7D">
              <w:rPr>
                <w:rFonts w:ascii="Times New Roman" w:hAnsi="Times New Roman"/>
                <w:i/>
              </w:rPr>
              <w:t>(-2.5905)</w:t>
            </w:r>
          </w:p>
        </w:tc>
        <w:tc>
          <w:tcPr>
            <w:tcW w:w="2433" w:type="dxa"/>
            <w:tcBorders>
              <w:bottom w:val="single" w:sz="4" w:space="0" w:color="auto"/>
            </w:tcBorders>
            <w:shd w:val="clear" w:color="auto" w:fill="auto"/>
          </w:tcPr>
          <w:p w:rsidR="001133C2" w:rsidRPr="00527E7D" w:rsidRDefault="001133C2" w:rsidP="001133C2">
            <w:pPr>
              <w:tabs>
                <w:tab w:val="decimal" w:pos="998"/>
              </w:tabs>
              <w:spacing w:before="60" w:after="0" w:line="240" w:lineRule="auto"/>
              <w:ind w:right="255"/>
              <w:rPr>
                <w:rFonts w:ascii="Times New Roman" w:hAnsi="Times New Roman"/>
              </w:rPr>
            </w:pPr>
            <w:r w:rsidRPr="00527E7D">
              <w:rPr>
                <w:rFonts w:ascii="Times New Roman" w:hAnsi="Times New Roman"/>
              </w:rPr>
              <w:t>-2.0921%</w:t>
            </w:r>
            <w:r w:rsidRPr="00527E7D">
              <w:rPr>
                <w:rFonts w:ascii="Times New Roman" w:hAnsi="Times New Roman"/>
                <w:vertAlign w:val="superscript"/>
              </w:rPr>
              <w:t>**</w:t>
            </w:r>
          </w:p>
          <w:p w:rsidR="001133C2" w:rsidRPr="00527E7D" w:rsidRDefault="001133C2" w:rsidP="001133C2">
            <w:pPr>
              <w:tabs>
                <w:tab w:val="decimal" w:pos="998"/>
              </w:tabs>
              <w:spacing w:after="60" w:line="240" w:lineRule="auto"/>
              <w:ind w:right="255"/>
              <w:rPr>
                <w:rFonts w:ascii="Times New Roman" w:hAnsi="Times New Roman"/>
                <w:i/>
              </w:rPr>
            </w:pPr>
            <w:r w:rsidRPr="00527E7D">
              <w:rPr>
                <w:rFonts w:ascii="Times New Roman" w:hAnsi="Times New Roman"/>
                <w:i/>
              </w:rPr>
              <w:t>(-2.1630)</w:t>
            </w:r>
          </w:p>
        </w:tc>
      </w:tr>
      <w:tr w:rsidR="001133C2" w:rsidRPr="00527E7D" w:rsidTr="001133C2">
        <w:trPr>
          <w:trHeight w:val="323"/>
        </w:trPr>
        <w:tc>
          <w:tcPr>
            <w:tcW w:w="12213" w:type="dxa"/>
            <w:gridSpan w:val="5"/>
            <w:tcBorders>
              <w:top w:val="single" w:sz="4" w:space="0" w:color="auto"/>
              <w:bottom w:val="single" w:sz="4" w:space="0" w:color="auto"/>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b/>
              </w:rPr>
              <w:t>Panel B. Cumulative Average Abnormal Returns for the International Crisis Sample</w:t>
            </w:r>
          </w:p>
        </w:tc>
        <w:tc>
          <w:tcPr>
            <w:tcW w:w="2433" w:type="dxa"/>
            <w:tcBorders>
              <w:top w:val="single" w:sz="4" w:space="0" w:color="auto"/>
              <w:bottom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b/>
              </w:rPr>
            </w:pPr>
          </w:p>
        </w:tc>
      </w:tr>
      <w:tr w:rsidR="001133C2" w:rsidRPr="00527E7D" w:rsidTr="001133C2">
        <w:trPr>
          <w:trHeight w:val="323"/>
        </w:trPr>
        <w:tc>
          <w:tcPr>
            <w:tcW w:w="2315"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p>
        </w:tc>
        <w:tc>
          <w:tcPr>
            <w:tcW w:w="2688"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WTI Crude Oil</w:t>
            </w:r>
          </w:p>
        </w:tc>
        <w:tc>
          <w:tcPr>
            <w:tcW w:w="2564"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World Gov. Bond Index</w:t>
            </w:r>
          </w:p>
        </w:tc>
        <w:tc>
          <w:tcPr>
            <w:tcW w:w="2321"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S&amp;P 500</w:t>
            </w:r>
          </w:p>
        </w:tc>
        <w:tc>
          <w:tcPr>
            <w:tcW w:w="2325"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 World</w:t>
            </w:r>
          </w:p>
        </w:tc>
        <w:tc>
          <w:tcPr>
            <w:tcW w:w="2433" w:type="dxa"/>
            <w:tcBorders>
              <w:top w:val="single" w:sz="4" w:space="0" w:color="auto"/>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 World excl. U.S.</w:t>
            </w:r>
          </w:p>
        </w:tc>
      </w:tr>
      <w:tr w:rsidR="001133C2" w:rsidRPr="00527E7D" w:rsidTr="001133C2">
        <w:trPr>
          <w:trHeight w:val="323"/>
        </w:trPr>
        <w:tc>
          <w:tcPr>
            <w:tcW w:w="2315" w:type="dxa"/>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CAAR(-50,50)</w:t>
            </w:r>
          </w:p>
        </w:tc>
        <w:tc>
          <w:tcPr>
            <w:tcW w:w="2688" w:type="dxa"/>
            <w:shd w:val="clear" w:color="auto" w:fill="auto"/>
          </w:tcPr>
          <w:p w:rsidR="001133C2" w:rsidRPr="00527E7D" w:rsidRDefault="001133C2" w:rsidP="001133C2">
            <w:pPr>
              <w:tabs>
                <w:tab w:val="decimal" w:pos="992"/>
              </w:tabs>
              <w:spacing w:before="60" w:after="0" w:line="240" w:lineRule="auto"/>
              <w:ind w:right="599"/>
              <w:rPr>
                <w:rFonts w:ascii="Times New Roman" w:hAnsi="Times New Roman"/>
              </w:rPr>
            </w:pPr>
            <w:r w:rsidRPr="00527E7D">
              <w:rPr>
                <w:rFonts w:ascii="Times New Roman" w:hAnsi="Times New Roman"/>
              </w:rPr>
              <w:t>8.4580%</w:t>
            </w:r>
            <w:r w:rsidRPr="00527E7D">
              <w:rPr>
                <w:rFonts w:ascii="Times New Roman" w:hAnsi="Times New Roman"/>
                <w:vertAlign w:val="superscript"/>
              </w:rPr>
              <w:t>***</w:t>
            </w:r>
          </w:p>
          <w:p w:rsidR="001133C2" w:rsidRPr="00527E7D" w:rsidRDefault="001133C2" w:rsidP="001133C2">
            <w:pPr>
              <w:tabs>
                <w:tab w:val="decimal" w:pos="992"/>
              </w:tabs>
              <w:spacing w:after="60" w:line="240" w:lineRule="auto"/>
              <w:ind w:right="599"/>
              <w:rPr>
                <w:rFonts w:ascii="Times New Roman" w:hAnsi="Times New Roman"/>
                <w:i/>
              </w:rPr>
            </w:pPr>
            <w:r w:rsidRPr="00527E7D">
              <w:rPr>
                <w:rFonts w:ascii="Times New Roman" w:hAnsi="Times New Roman"/>
                <w:i/>
              </w:rPr>
              <w:t>(3.1623)</w:t>
            </w:r>
          </w:p>
        </w:tc>
        <w:tc>
          <w:tcPr>
            <w:tcW w:w="2564" w:type="dxa"/>
            <w:shd w:val="clear" w:color="auto" w:fill="auto"/>
          </w:tcPr>
          <w:p w:rsidR="001133C2" w:rsidRPr="00527E7D" w:rsidRDefault="001133C2" w:rsidP="001133C2">
            <w:pPr>
              <w:tabs>
                <w:tab w:val="decimal" w:pos="1131"/>
              </w:tabs>
              <w:spacing w:before="60" w:after="0" w:line="240" w:lineRule="auto"/>
              <w:ind w:right="634"/>
              <w:rPr>
                <w:rFonts w:ascii="Times New Roman" w:hAnsi="Times New Roman"/>
                <w:i/>
              </w:rPr>
            </w:pPr>
            <w:r w:rsidRPr="00527E7D">
              <w:rPr>
                <w:rFonts w:ascii="Times New Roman" w:hAnsi="Times New Roman"/>
                <w:i/>
              </w:rPr>
              <w:t>3.0425%</w:t>
            </w:r>
            <w:r w:rsidRPr="00527E7D">
              <w:rPr>
                <w:rFonts w:ascii="Times New Roman" w:hAnsi="Times New Roman"/>
                <w:vertAlign w:val="superscript"/>
              </w:rPr>
              <w:t>***</w:t>
            </w:r>
          </w:p>
          <w:p w:rsidR="001133C2" w:rsidRPr="00527E7D" w:rsidRDefault="001133C2" w:rsidP="001133C2">
            <w:pPr>
              <w:tabs>
                <w:tab w:val="decimal" w:pos="1131"/>
              </w:tabs>
              <w:spacing w:after="60" w:line="240" w:lineRule="auto"/>
              <w:ind w:right="634"/>
              <w:rPr>
                <w:rFonts w:ascii="Times New Roman" w:hAnsi="Times New Roman"/>
                <w:i/>
              </w:rPr>
            </w:pPr>
            <w:r w:rsidRPr="00527E7D">
              <w:rPr>
                <w:rFonts w:ascii="Times New Roman" w:hAnsi="Times New Roman"/>
                <w:i/>
              </w:rPr>
              <w:t>(3.5171)</w:t>
            </w:r>
          </w:p>
        </w:tc>
        <w:tc>
          <w:tcPr>
            <w:tcW w:w="2321" w:type="dxa"/>
            <w:shd w:val="clear" w:color="auto" w:fill="auto"/>
          </w:tcPr>
          <w:p w:rsidR="001133C2" w:rsidRPr="00527E7D" w:rsidRDefault="001133C2" w:rsidP="001133C2">
            <w:pPr>
              <w:tabs>
                <w:tab w:val="decimal" w:pos="711"/>
              </w:tabs>
              <w:spacing w:before="60" w:after="0" w:line="240" w:lineRule="auto"/>
              <w:rPr>
                <w:rFonts w:ascii="Times New Roman" w:hAnsi="Times New Roman"/>
              </w:rPr>
            </w:pPr>
            <w:r w:rsidRPr="00527E7D">
              <w:rPr>
                <w:rFonts w:ascii="Times New Roman" w:hAnsi="Times New Roman"/>
              </w:rPr>
              <w:t>-3.3553%</w:t>
            </w:r>
            <w:r w:rsidRPr="00527E7D">
              <w:rPr>
                <w:rFonts w:ascii="Times New Roman" w:hAnsi="Times New Roman"/>
                <w:vertAlign w:val="superscript"/>
              </w:rPr>
              <w:t>**</w:t>
            </w:r>
          </w:p>
          <w:p w:rsidR="001133C2" w:rsidRPr="00527E7D" w:rsidRDefault="001133C2" w:rsidP="001133C2">
            <w:pPr>
              <w:tabs>
                <w:tab w:val="decimal" w:pos="711"/>
              </w:tabs>
              <w:spacing w:after="60" w:line="240" w:lineRule="auto"/>
              <w:rPr>
                <w:rFonts w:ascii="Times New Roman" w:hAnsi="Times New Roman"/>
                <w:i/>
              </w:rPr>
            </w:pPr>
            <w:r w:rsidRPr="00527E7D">
              <w:rPr>
                <w:rFonts w:ascii="Times New Roman" w:hAnsi="Times New Roman"/>
                <w:i/>
              </w:rPr>
              <w:t>(-2.1064)</w:t>
            </w:r>
          </w:p>
        </w:tc>
        <w:tc>
          <w:tcPr>
            <w:tcW w:w="2325" w:type="dxa"/>
            <w:shd w:val="clear" w:color="auto" w:fill="auto"/>
          </w:tcPr>
          <w:p w:rsidR="001133C2" w:rsidRPr="00527E7D" w:rsidRDefault="001133C2" w:rsidP="001133C2">
            <w:pPr>
              <w:tabs>
                <w:tab w:val="decimal" w:pos="970"/>
              </w:tabs>
              <w:spacing w:before="60" w:after="0" w:line="240" w:lineRule="auto"/>
              <w:ind w:right="192"/>
              <w:rPr>
                <w:rFonts w:ascii="Times New Roman" w:hAnsi="Times New Roman"/>
              </w:rPr>
            </w:pPr>
            <w:r w:rsidRPr="00527E7D">
              <w:rPr>
                <w:rFonts w:ascii="Times New Roman" w:hAnsi="Times New Roman"/>
              </w:rPr>
              <w:t>-2.9889%</w:t>
            </w:r>
            <w:r w:rsidRPr="00527E7D">
              <w:rPr>
                <w:rFonts w:ascii="Times New Roman" w:hAnsi="Times New Roman"/>
                <w:vertAlign w:val="superscript"/>
              </w:rPr>
              <w:t>***</w:t>
            </w:r>
          </w:p>
          <w:p w:rsidR="001133C2" w:rsidRPr="00527E7D" w:rsidRDefault="001133C2" w:rsidP="001133C2">
            <w:pPr>
              <w:tabs>
                <w:tab w:val="decimal" w:pos="970"/>
              </w:tabs>
              <w:spacing w:after="60" w:line="240" w:lineRule="auto"/>
              <w:ind w:right="192"/>
              <w:rPr>
                <w:rFonts w:ascii="Times New Roman" w:hAnsi="Times New Roman"/>
                <w:i/>
              </w:rPr>
            </w:pPr>
            <w:r w:rsidRPr="00527E7D">
              <w:rPr>
                <w:rFonts w:ascii="Times New Roman" w:hAnsi="Times New Roman"/>
                <w:i/>
              </w:rPr>
              <w:t>(-2.7892)</w:t>
            </w:r>
          </w:p>
        </w:tc>
        <w:tc>
          <w:tcPr>
            <w:tcW w:w="2433" w:type="dxa"/>
            <w:shd w:val="clear" w:color="auto" w:fill="auto"/>
          </w:tcPr>
          <w:p w:rsidR="001133C2" w:rsidRPr="00527E7D" w:rsidRDefault="001133C2" w:rsidP="001133C2">
            <w:pPr>
              <w:tabs>
                <w:tab w:val="decimal" w:pos="998"/>
              </w:tabs>
              <w:spacing w:before="60" w:after="0" w:line="240" w:lineRule="auto"/>
              <w:ind w:right="255"/>
              <w:rPr>
                <w:rFonts w:ascii="Times New Roman" w:hAnsi="Times New Roman"/>
              </w:rPr>
            </w:pPr>
            <w:r w:rsidRPr="00527E7D">
              <w:rPr>
                <w:rFonts w:ascii="Times New Roman" w:hAnsi="Times New Roman"/>
              </w:rPr>
              <w:t>-2.9765%</w:t>
            </w:r>
            <w:r w:rsidRPr="00527E7D">
              <w:rPr>
                <w:rFonts w:ascii="Times New Roman" w:hAnsi="Times New Roman"/>
                <w:vertAlign w:val="superscript"/>
              </w:rPr>
              <w:t>***</w:t>
            </w:r>
          </w:p>
          <w:p w:rsidR="001133C2" w:rsidRPr="00527E7D" w:rsidRDefault="001133C2" w:rsidP="001133C2">
            <w:pPr>
              <w:tabs>
                <w:tab w:val="decimal" w:pos="998"/>
              </w:tabs>
              <w:spacing w:after="60" w:line="240" w:lineRule="auto"/>
              <w:ind w:right="255"/>
              <w:rPr>
                <w:rFonts w:ascii="Times New Roman" w:hAnsi="Times New Roman"/>
                <w:i/>
              </w:rPr>
            </w:pPr>
            <w:r w:rsidRPr="00527E7D">
              <w:rPr>
                <w:rFonts w:ascii="Times New Roman" w:hAnsi="Times New Roman"/>
                <w:i/>
              </w:rPr>
              <w:t>(-2.7382)</w:t>
            </w:r>
          </w:p>
        </w:tc>
      </w:tr>
      <w:tr w:rsidR="001133C2" w:rsidRPr="00527E7D" w:rsidTr="001133C2">
        <w:trPr>
          <w:trHeight w:val="323"/>
        </w:trPr>
        <w:tc>
          <w:tcPr>
            <w:tcW w:w="2315" w:type="dxa"/>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CAAR(-50,-1)</w:t>
            </w:r>
          </w:p>
        </w:tc>
        <w:tc>
          <w:tcPr>
            <w:tcW w:w="2688" w:type="dxa"/>
            <w:shd w:val="clear" w:color="auto" w:fill="auto"/>
          </w:tcPr>
          <w:p w:rsidR="001133C2" w:rsidRPr="00527E7D" w:rsidRDefault="001133C2" w:rsidP="001133C2">
            <w:pPr>
              <w:tabs>
                <w:tab w:val="decimal" w:pos="992"/>
              </w:tabs>
              <w:spacing w:before="60" w:after="0" w:line="240" w:lineRule="auto"/>
              <w:ind w:right="599"/>
              <w:rPr>
                <w:rFonts w:ascii="Times New Roman" w:hAnsi="Times New Roman"/>
              </w:rPr>
            </w:pPr>
            <w:r w:rsidRPr="00527E7D">
              <w:rPr>
                <w:rFonts w:ascii="Times New Roman" w:hAnsi="Times New Roman"/>
              </w:rPr>
              <w:t>5.7392%</w:t>
            </w:r>
            <w:r w:rsidRPr="00527E7D">
              <w:rPr>
                <w:rFonts w:ascii="Times New Roman" w:hAnsi="Times New Roman"/>
                <w:vertAlign w:val="superscript"/>
              </w:rPr>
              <w:t>***</w:t>
            </w:r>
          </w:p>
          <w:p w:rsidR="001133C2" w:rsidRPr="00527E7D" w:rsidRDefault="001133C2" w:rsidP="001133C2">
            <w:pPr>
              <w:tabs>
                <w:tab w:val="decimal" w:pos="992"/>
              </w:tabs>
              <w:spacing w:after="60" w:line="240" w:lineRule="auto"/>
              <w:ind w:right="599"/>
              <w:rPr>
                <w:rFonts w:ascii="Times New Roman" w:hAnsi="Times New Roman"/>
                <w:i/>
              </w:rPr>
            </w:pPr>
            <w:r w:rsidRPr="00527E7D">
              <w:rPr>
                <w:rFonts w:ascii="Times New Roman" w:hAnsi="Times New Roman"/>
                <w:i/>
              </w:rPr>
              <w:t>(2.7752)</w:t>
            </w:r>
          </w:p>
        </w:tc>
        <w:tc>
          <w:tcPr>
            <w:tcW w:w="2564" w:type="dxa"/>
            <w:shd w:val="clear" w:color="auto" w:fill="auto"/>
          </w:tcPr>
          <w:p w:rsidR="001133C2" w:rsidRPr="00527E7D" w:rsidRDefault="001133C2" w:rsidP="001133C2">
            <w:pPr>
              <w:tabs>
                <w:tab w:val="decimal" w:pos="1131"/>
              </w:tabs>
              <w:spacing w:after="60" w:line="240" w:lineRule="auto"/>
              <w:ind w:right="634"/>
              <w:rPr>
                <w:rFonts w:ascii="Times New Roman" w:hAnsi="Times New Roman"/>
                <w:i/>
              </w:rPr>
            </w:pPr>
            <w:r w:rsidRPr="00527E7D">
              <w:rPr>
                <w:rFonts w:ascii="Times New Roman" w:hAnsi="Times New Roman"/>
                <w:i/>
              </w:rPr>
              <w:t>1.0134%</w:t>
            </w:r>
            <w:r w:rsidRPr="00527E7D">
              <w:rPr>
                <w:rFonts w:ascii="Times New Roman" w:hAnsi="Times New Roman"/>
                <w:vertAlign w:val="superscript"/>
              </w:rPr>
              <w:t>*</w:t>
            </w:r>
          </w:p>
          <w:p w:rsidR="001133C2" w:rsidRPr="00527E7D" w:rsidRDefault="001133C2" w:rsidP="001133C2">
            <w:pPr>
              <w:tabs>
                <w:tab w:val="decimal" w:pos="1131"/>
              </w:tabs>
              <w:spacing w:after="60" w:line="240" w:lineRule="auto"/>
              <w:ind w:right="634"/>
              <w:rPr>
                <w:rFonts w:ascii="Times New Roman" w:hAnsi="Times New Roman"/>
                <w:i/>
              </w:rPr>
            </w:pPr>
            <w:r w:rsidRPr="00527E7D">
              <w:rPr>
                <w:rFonts w:ascii="Times New Roman" w:hAnsi="Times New Roman"/>
                <w:i/>
              </w:rPr>
              <w:t>(1.7747)</w:t>
            </w:r>
          </w:p>
        </w:tc>
        <w:tc>
          <w:tcPr>
            <w:tcW w:w="2321" w:type="dxa"/>
            <w:shd w:val="clear" w:color="auto" w:fill="auto"/>
          </w:tcPr>
          <w:p w:rsidR="001133C2" w:rsidRPr="00527E7D" w:rsidRDefault="001133C2" w:rsidP="001133C2">
            <w:pPr>
              <w:tabs>
                <w:tab w:val="decimal" w:pos="711"/>
              </w:tabs>
              <w:spacing w:before="60" w:after="0" w:line="240" w:lineRule="auto"/>
              <w:rPr>
                <w:rFonts w:ascii="Times New Roman" w:hAnsi="Times New Roman"/>
              </w:rPr>
            </w:pPr>
            <w:r w:rsidRPr="00527E7D">
              <w:rPr>
                <w:rFonts w:ascii="Times New Roman" w:hAnsi="Times New Roman"/>
              </w:rPr>
              <w:t>-1.7593%</w:t>
            </w:r>
          </w:p>
          <w:p w:rsidR="001133C2" w:rsidRPr="00527E7D" w:rsidRDefault="001133C2" w:rsidP="001133C2">
            <w:pPr>
              <w:tabs>
                <w:tab w:val="decimal" w:pos="711"/>
              </w:tabs>
              <w:spacing w:after="60" w:line="240" w:lineRule="auto"/>
              <w:rPr>
                <w:rFonts w:ascii="Times New Roman" w:hAnsi="Times New Roman"/>
                <w:i/>
              </w:rPr>
            </w:pPr>
            <w:r w:rsidRPr="00527E7D">
              <w:rPr>
                <w:rFonts w:ascii="Times New Roman" w:hAnsi="Times New Roman"/>
                <w:i/>
              </w:rPr>
              <w:t>(-1.4318)</w:t>
            </w:r>
          </w:p>
        </w:tc>
        <w:tc>
          <w:tcPr>
            <w:tcW w:w="2325" w:type="dxa"/>
            <w:shd w:val="clear" w:color="auto" w:fill="auto"/>
          </w:tcPr>
          <w:p w:rsidR="001133C2" w:rsidRPr="00527E7D" w:rsidRDefault="001133C2" w:rsidP="001133C2">
            <w:pPr>
              <w:tabs>
                <w:tab w:val="decimal" w:pos="970"/>
              </w:tabs>
              <w:spacing w:before="60" w:after="0" w:line="240" w:lineRule="auto"/>
              <w:ind w:right="192"/>
              <w:rPr>
                <w:rFonts w:ascii="Times New Roman" w:hAnsi="Times New Roman"/>
              </w:rPr>
            </w:pPr>
            <w:r w:rsidRPr="00527E7D">
              <w:rPr>
                <w:rFonts w:ascii="Times New Roman" w:hAnsi="Times New Roman"/>
              </w:rPr>
              <w:t>-1.2056%</w:t>
            </w:r>
          </w:p>
          <w:p w:rsidR="001133C2" w:rsidRPr="00527E7D" w:rsidRDefault="001133C2" w:rsidP="001133C2">
            <w:pPr>
              <w:tabs>
                <w:tab w:val="decimal" w:pos="970"/>
              </w:tabs>
              <w:spacing w:after="60" w:line="240" w:lineRule="auto"/>
              <w:ind w:right="192"/>
              <w:rPr>
                <w:rFonts w:ascii="Times New Roman" w:hAnsi="Times New Roman"/>
                <w:i/>
              </w:rPr>
            </w:pPr>
            <w:r w:rsidRPr="00527E7D">
              <w:rPr>
                <w:rFonts w:ascii="Times New Roman" w:hAnsi="Times New Roman"/>
                <w:i/>
              </w:rPr>
              <w:t>(-1.4634)</w:t>
            </w:r>
          </w:p>
        </w:tc>
        <w:tc>
          <w:tcPr>
            <w:tcW w:w="2433" w:type="dxa"/>
            <w:shd w:val="clear" w:color="auto" w:fill="auto"/>
          </w:tcPr>
          <w:p w:rsidR="001133C2" w:rsidRPr="00527E7D" w:rsidRDefault="001133C2" w:rsidP="001133C2">
            <w:pPr>
              <w:tabs>
                <w:tab w:val="decimal" w:pos="998"/>
              </w:tabs>
              <w:spacing w:before="60" w:after="0" w:line="240" w:lineRule="auto"/>
              <w:ind w:right="255"/>
              <w:rPr>
                <w:rFonts w:ascii="Times New Roman" w:hAnsi="Times New Roman"/>
              </w:rPr>
            </w:pPr>
            <w:r w:rsidRPr="00527E7D">
              <w:rPr>
                <w:rFonts w:ascii="Times New Roman" w:hAnsi="Times New Roman"/>
              </w:rPr>
              <w:t>-0.9052%</w:t>
            </w:r>
          </w:p>
          <w:p w:rsidR="001133C2" w:rsidRPr="00527E7D" w:rsidRDefault="001133C2" w:rsidP="001133C2">
            <w:pPr>
              <w:tabs>
                <w:tab w:val="decimal" w:pos="998"/>
              </w:tabs>
              <w:spacing w:after="60" w:line="240" w:lineRule="auto"/>
              <w:ind w:right="255"/>
              <w:rPr>
                <w:rFonts w:ascii="Times New Roman" w:hAnsi="Times New Roman"/>
                <w:i/>
              </w:rPr>
            </w:pPr>
            <w:r w:rsidRPr="00527E7D">
              <w:rPr>
                <w:rFonts w:ascii="Times New Roman" w:hAnsi="Times New Roman"/>
                <w:i/>
              </w:rPr>
              <w:t>(-1.0680)</w:t>
            </w:r>
          </w:p>
        </w:tc>
      </w:tr>
      <w:tr w:rsidR="001133C2" w:rsidRPr="00527E7D" w:rsidTr="001133C2">
        <w:trPr>
          <w:trHeight w:val="323"/>
        </w:trPr>
        <w:tc>
          <w:tcPr>
            <w:tcW w:w="2315" w:type="dxa"/>
            <w:tcBorders>
              <w:bottom w:val="double" w:sz="4" w:space="0" w:color="auto"/>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CAAR(0,50)</w:t>
            </w:r>
          </w:p>
        </w:tc>
        <w:tc>
          <w:tcPr>
            <w:tcW w:w="2688" w:type="dxa"/>
            <w:tcBorders>
              <w:bottom w:val="double" w:sz="4" w:space="0" w:color="auto"/>
            </w:tcBorders>
            <w:shd w:val="clear" w:color="auto" w:fill="auto"/>
          </w:tcPr>
          <w:p w:rsidR="001133C2" w:rsidRPr="00527E7D" w:rsidRDefault="001133C2" w:rsidP="001133C2">
            <w:pPr>
              <w:tabs>
                <w:tab w:val="decimal" w:pos="992"/>
              </w:tabs>
              <w:spacing w:before="60" w:after="0" w:line="240" w:lineRule="auto"/>
              <w:ind w:right="599"/>
              <w:rPr>
                <w:rFonts w:ascii="Times New Roman" w:hAnsi="Times New Roman"/>
              </w:rPr>
            </w:pPr>
            <w:r w:rsidRPr="00527E7D">
              <w:rPr>
                <w:rFonts w:ascii="Times New Roman" w:hAnsi="Times New Roman"/>
              </w:rPr>
              <w:t>2.7188%</w:t>
            </w:r>
          </w:p>
          <w:p w:rsidR="001133C2" w:rsidRPr="00527E7D" w:rsidRDefault="001133C2" w:rsidP="001133C2">
            <w:pPr>
              <w:tabs>
                <w:tab w:val="decimal" w:pos="992"/>
              </w:tabs>
              <w:spacing w:after="60" w:line="240" w:lineRule="auto"/>
              <w:ind w:right="599"/>
              <w:rPr>
                <w:rFonts w:ascii="Times New Roman" w:hAnsi="Times New Roman"/>
                <w:i/>
              </w:rPr>
            </w:pPr>
            <w:r w:rsidRPr="00527E7D">
              <w:rPr>
                <w:rFonts w:ascii="Times New Roman" w:hAnsi="Times New Roman"/>
                <w:i/>
              </w:rPr>
              <w:t>(1.6099)</w:t>
            </w:r>
          </w:p>
        </w:tc>
        <w:tc>
          <w:tcPr>
            <w:tcW w:w="2564" w:type="dxa"/>
            <w:tcBorders>
              <w:bottom w:val="double" w:sz="4" w:space="0" w:color="auto"/>
            </w:tcBorders>
            <w:shd w:val="clear" w:color="auto" w:fill="auto"/>
          </w:tcPr>
          <w:p w:rsidR="001133C2" w:rsidRPr="00527E7D" w:rsidRDefault="001133C2" w:rsidP="001133C2">
            <w:pPr>
              <w:tabs>
                <w:tab w:val="decimal" w:pos="1131"/>
              </w:tabs>
              <w:spacing w:before="60" w:after="0" w:line="240" w:lineRule="auto"/>
              <w:ind w:right="634"/>
              <w:rPr>
                <w:rFonts w:ascii="Times New Roman" w:hAnsi="Times New Roman"/>
                <w:i/>
              </w:rPr>
            </w:pPr>
            <w:r w:rsidRPr="00527E7D">
              <w:rPr>
                <w:rFonts w:ascii="Times New Roman" w:hAnsi="Times New Roman"/>
                <w:i/>
              </w:rPr>
              <w:t>2.0291%</w:t>
            </w:r>
            <w:r w:rsidRPr="00527E7D">
              <w:rPr>
                <w:rFonts w:ascii="Times New Roman" w:hAnsi="Times New Roman"/>
                <w:vertAlign w:val="superscript"/>
              </w:rPr>
              <w:t>***</w:t>
            </w:r>
          </w:p>
          <w:p w:rsidR="001133C2" w:rsidRPr="00527E7D" w:rsidRDefault="001133C2" w:rsidP="001133C2">
            <w:pPr>
              <w:tabs>
                <w:tab w:val="decimal" w:pos="1131"/>
              </w:tabs>
              <w:spacing w:after="60" w:line="240" w:lineRule="auto"/>
              <w:ind w:right="634"/>
              <w:rPr>
                <w:rFonts w:ascii="Times New Roman" w:hAnsi="Times New Roman"/>
                <w:i/>
              </w:rPr>
            </w:pPr>
            <w:r w:rsidRPr="00527E7D">
              <w:rPr>
                <w:rFonts w:ascii="Times New Roman" w:hAnsi="Times New Roman"/>
                <w:i/>
              </w:rPr>
              <w:t>(3.1310)</w:t>
            </w:r>
          </w:p>
        </w:tc>
        <w:tc>
          <w:tcPr>
            <w:tcW w:w="2321" w:type="dxa"/>
            <w:tcBorders>
              <w:bottom w:val="double" w:sz="4" w:space="0" w:color="auto"/>
            </w:tcBorders>
            <w:shd w:val="clear" w:color="auto" w:fill="auto"/>
          </w:tcPr>
          <w:p w:rsidR="001133C2" w:rsidRPr="00527E7D" w:rsidRDefault="001133C2" w:rsidP="001133C2">
            <w:pPr>
              <w:tabs>
                <w:tab w:val="decimal" w:pos="711"/>
              </w:tabs>
              <w:spacing w:before="60" w:after="0" w:line="240" w:lineRule="auto"/>
              <w:rPr>
                <w:rFonts w:ascii="Times New Roman" w:hAnsi="Times New Roman"/>
              </w:rPr>
            </w:pPr>
            <w:r w:rsidRPr="00527E7D">
              <w:rPr>
                <w:rFonts w:ascii="Times New Roman" w:hAnsi="Times New Roman"/>
              </w:rPr>
              <w:t>-1.5960%</w:t>
            </w:r>
          </w:p>
          <w:p w:rsidR="001133C2" w:rsidRPr="00527E7D" w:rsidRDefault="001133C2" w:rsidP="001133C2">
            <w:pPr>
              <w:tabs>
                <w:tab w:val="decimal" w:pos="711"/>
              </w:tabs>
              <w:spacing w:after="60" w:line="240" w:lineRule="auto"/>
              <w:rPr>
                <w:rFonts w:ascii="Times New Roman" w:hAnsi="Times New Roman"/>
                <w:i/>
              </w:rPr>
            </w:pPr>
            <w:r w:rsidRPr="00527E7D">
              <w:rPr>
                <w:rFonts w:ascii="Times New Roman" w:hAnsi="Times New Roman"/>
                <w:i/>
              </w:rPr>
              <w:t>(-1.5555)</w:t>
            </w:r>
          </w:p>
        </w:tc>
        <w:tc>
          <w:tcPr>
            <w:tcW w:w="2325" w:type="dxa"/>
            <w:tcBorders>
              <w:bottom w:val="double" w:sz="4" w:space="0" w:color="auto"/>
            </w:tcBorders>
            <w:shd w:val="clear" w:color="auto" w:fill="auto"/>
          </w:tcPr>
          <w:p w:rsidR="001133C2" w:rsidRPr="00527E7D" w:rsidRDefault="001133C2" w:rsidP="001133C2">
            <w:pPr>
              <w:tabs>
                <w:tab w:val="decimal" w:pos="970"/>
              </w:tabs>
              <w:spacing w:before="60" w:after="0" w:line="240" w:lineRule="auto"/>
              <w:ind w:right="192"/>
              <w:rPr>
                <w:rFonts w:ascii="Times New Roman" w:hAnsi="Times New Roman"/>
              </w:rPr>
            </w:pPr>
            <w:r w:rsidRPr="00527E7D">
              <w:rPr>
                <w:rFonts w:ascii="Times New Roman" w:hAnsi="Times New Roman"/>
              </w:rPr>
              <w:t>-1.7833%</w:t>
            </w:r>
            <w:r w:rsidRPr="00527E7D">
              <w:rPr>
                <w:rFonts w:ascii="Times New Roman" w:hAnsi="Times New Roman"/>
                <w:vertAlign w:val="superscript"/>
              </w:rPr>
              <w:t>**</w:t>
            </w:r>
          </w:p>
          <w:p w:rsidR="001133C2" w:rsidRPr="00527E7D" w:rsidRDefault="001133C2" w:rsidP="001133C2">
            <w:pPr>
              <w:tabs>
                <w:tab w:val="decimal" w:pos="970"/>
              </w:tabs>
              <w:spacing w:after="60" w:line="240" w:lineRule="auto"/>
              <w:ind w:right="192"/>
              <w:rPr>
                <w:rFonts w:ascii="Times New Roman" w:hAnsi="Times New Roman"/>
                <w:i/>
              </w:rPr>
            </w:pPr>
            <w:r w:rsidRPr="00527E7D">
              <w:rPr>
                <w:rFonts w:ascii="Times New Roman" w:hAnsi="Times New Roman"/>
                <w:i/>
              </w:rPr>
              <w:t>(-2.5788)</w:t>
            </w:r>
          </w:p>
        </w:tc>
        <w:tc>
          <w:tcPr>
            <w:tcW w:w="2433" w:type="dxa"/>
            <w:tcBorders>
              <w:bottom w:val="double" w:sz="4" w:space="0" w:color="auto"/>
            </w:tcBorders>
            <w:shd w:val="clear" w:color="auto" w:fill="auto"/>
          </w:tcPr>
          <w:p w:rsidR="001133C2" w:rsidRPr="00527E7D" w:rsidRDefault="001133C2" w:rsidP="001133C2">
            <w:pPr>
              <w:tabs>
                <w:tab w:val="decimal" w:pos="998"/>
              </w:tabs>
              <w:spacing w:before="60" w:after="0" w:line="240" w:lineRule="auto"/>
              <w:ind w:right="255"/>
              <w:rPr>
                <w:rFonts w:ascii="Times New Roman" w:hAnsi="Times New Roman"/>
              </w:rPr>
            </w:pPr>
            <w:r w:rsidRPr="00527E7D">
              <w:rPr>
                <w:rFonts w:ascii="Times New Roman" w:hAnsi="Times New Roman"/>
              </w:rPr>
              <w:t>-2.0713%</w:t>
            </w:r>
            <w:r w:rsidRPr="00527E7D">
              <w:rPr>
                <w:rFonts w:ascii="Times New Roman" w:hAnsi="Times New Roman"/>
                <w:vertAlign w:val="superscript"/>
              </w:rPr>
              <w:t>***</w:t>
            </w:r>
          </w:p>
          <w:p w:rsidR="001133C2" w:rsidRPr="00527E7D" w:rsidRDefault="001133C2" w:rsidP="001133C2">
            <w:pPr>
              <w:tabs>
                <w:tab w:val="decimal" w:pos="998"/>
              </w:tabs>
              <w:spacing w:after="60" w:line="240" w:lineRule="auto"/>
              <w:ind w:right="255"/>
              <w:rPr>
                <w:rFonts w:ascii="Times New Roman" w:hAnsi="Times New Roman"/>
                <w:i/>
              </w:rPr>
            </w:pPr>
            <w:r w:rsidRPr="00527E7D">
              <w:rPr>
                <w:rFonts w:ascii="Times New Roman" w:hAnsi="Times New Roman"/>
                <w:i/>
              </w:rPr>
              <w:t>(-3.0464)</w:t>
            </w:r>
          </w:p>
        </w:tc>
      </w:tr>
    </w:tbl>
    <w:p w:rsidR="001133C2" w:rsidRDefault="001133C2" w:rsidP="001133C2">
      <w:pPr>
        <w:rPr>
          <w:rFonts w:ascii="Times New Roman" w:hAnsi="Times New Roman"/>
          <w:b/>
          <w:sz w:val="24"/>
          <w:szCs w:val="24"/>
        </w:rPr>
        <w:sectPr w:rsidR="001133C2" w:rsidSect="001A7DC3">
          <w:pgSz w:w="16838" w:h="11906" w:orient="landscape" w:code="9"/>
          <w:pgMar w:top="1440" w:right="907" w:bottom="1440" w:left="907" w:header="709" w:footer="709" w:gutter="0"/>
          <w:cols w:space="708"/>
          <w:docGrid w:linePitch="360"/>
        </w:sectPr>
      </w:pPr>
    </w:p>
    <w:p w:rsidR="001133C2" w:rsidRDefault="001133C2" w:rsidP="001133C2">
      <w:pPr>
        <w:jc w:val="center"/>
        <w:rPr>
          <w:rFonts w:ascii="Times New Roman" w:hAnsi="Times New Roman"/>
          <w:b/>
          <w:sz w:val="24"/>
          <w:szCs w:val="24"/>
        </w:rPr>
      </w:pPr>
      <w:r>
        <w:rPr>
          <w:rFonts w:ascii="Times New Roman" w:hAnsi="Times New Roman"/>
          <w:b/>
          <w:sz w:val="24"/>
          <w:szCs w:val="24"/>
        </w:rPr>
        <w:lastRenderedPageBreak/>
        <w:t>Table V</w:t>
      </w:r>
    </w:p>
    <w:p w:rsidR="001133C2" w:rsidRDefault="001133C2" w:rsidP="001133C2">
      <w:pPr>
        <w:jc w:val="center"/>
        <w:rPr>
          <w:rFonts w:ascii="Times New Roman" w:hAnsi="Times New Roman"/>
          <w:b/>
          <w:sz w:val="24"/>
          <w:szCs w:val="24"/>
          <w:lang w:val="en-US"/>
        </w:rPr>
      </w:pPr>
      <w:r w:rsidRPr="00373618">
        <w:rPr>
          <w:rFonts w:ascii="Times New Roman" w:hAnsi="Times New Roman"/>
          <w:b/>
          <w:sz w:val="24"/>
          <w:szCs w:val="24"/>
          <w:lang w:val="en-US"/>
        </w:rPr>
        <w:t>Modeling Oil Returns</w:t>
      </w:r>
    </w:p>
    <w:p w:rsidR="001133C2" w:rsidRPr="00470E8F" w:rsidRDefault="001133C2" w:rsidP="001133C2">
      <w:pPr>
        <w:ind w:left="-142" w:right="-188"/>
        <w:jc w:val="both"/>
        <w:rPr>
          <w:rFonts w:ascii="Times New Roman" w:hAnsi="Times New Roman"/>
          <w:sz w:val="20"/>
          <w:szCs w:val="20"/>
          <w:lang w:val="en-US"/>
        </w:rPr>
      </w:pPr>
      <w:r w:rsidRPr="00470E8F">
        <w:rPr>
          <w:rFonts w:ascii="Times New Roman" w:hAnsi="Times New Roman"/>
          <w:sz w:val="20"/>
          <w:szCs w:val="20"/>
          <w:lang w:val="en-US"/>
        </w:rPr>
        <w:t xml:space="preserve">This table presents estimation results for regressions where the daily return on crude oil is modeled as a function of stock market returns </w:t>
      </w:r>
      <w:proofErr w:type="spellStart"/>
      <w:r w:rsidRPr="00470E8F">
        <w:rPr>
          <w:rFonts w:ascii="Times New Roman" w:hAnsi="Times New Roman"/>
          <w:i/>
          <w:sz w:val="20"/>
          <w:szCs w:val="20"/>
          <w:lang w:val="en-US"/>
        </w:rPr>
        <w:t>r</w:t>
      </w:r>
      <w:r w:rsidRPr="00470E8F">
        <w:rPr>
          <w:rFonts w:ascii="Times New Roman" w:hAnsi="Times New Roman"/>
          <w:i/>
          <w:sz w:val="20"/>
          <w:szCs w:val="20"/>
          <w:vertAlign w:val="subscript"/>
          <w:lang w:val="en-US"/>
        </w:rPr>
        <w:t>Stock</w:t>
      </w:r>
      <w:proofErr w:type="spellEnd"/>
      <w:r w:rsidRPr="00470E8F">
        <w:rPr>
          <w:rFonts w:ascii="Times New Roman" w:hAnsi="Times New Roman"/>
          <w:sz w:val="20"/>
          <w:szCs w:val="20"/>
          <w:lang w:val="en-US"/>
        </w:rPr>
        <w:t xml:space="preserve"> and stock market returns interacted with a </w:t>
      </w:r>
      <w:r>
        <w:rPr>
          <w:rFonts w:ascii="Times New Roman" w:hAnsi="Times New Roman"/>
          <w:sz w:val="20"/>
          <w:szCs w:val="20"/>
          <w:lang w:val="en-US"/>
        </w:rPr>
        <w:t>conflict</w:t>
      </w:r>
      <w:r w:rsidRPr="00470E8F">
        <w:rPr>
          <w:rFonts w:ascii="Times New Roman" w:hAnsi="Times New Roman"/>
          <w:sz w:val="20"/>
          <w:szCs w:val="20"/>
          <w:lang w:val="en-US"/>
        </w:rPr>
        <w:t xml:space="preserve"> dummy variable. This dummy takes the value of 1 in the (-50</w:t>
      </w:r>
      <w:proofErr w:type="gramStart"/>
      <w:r w:rsidRPr="00470E8F">
        <w:rPr>
          <w:rFonts w:ascii="Times New Roman" w:hAnsi="Times New Roman"/>
          <w:sz w:val="20"/>
          <w:szCs w:val="20"/>
          <w:lang w:val="en-US"/>
        </w:rPr>
        <w:t>,50</w:t>
      </w:r>
      <w:proofErr w:type="gramEnd"/>
      <w:r w:rsidRPr="00470E8F">
        <w:rPr>
          <w:rFonts w:ascii="Times New Roman" w:hAnsi="Times New Roman"/>
          <w:sz w:val="20"/>
          <w:szCs w:val="20"/>
          <w:lang w:val="en-US"/>
        </w:rPr>
        <w:t xml:space="preserve">) event windows centered on a conflict trigger dates and 0 otherwise. The table also reports the R-square, and the corresponding </w:t>
      </w:r>
      <w:r w:rsidRPr="00470E8F">
        <w:rPr>
          <w:rFonts w:ascii="Times New Roman" w:hAnsi="Times New Roman"/>
          <w:i/>
          <w:sz w:val="20"/>
          <w:szCs w:val="20"/>
          <w:lang w:val="en-US"/>
        </w:rPr>
        <w:t>F</w:t>
      </w:r>
      <w:r w:rsidRPr="00470E8F">
        <w:rPr>
          <w:rFonts w:ascii="Times New Roman" w:hAnsi="Times New Roman"/>
          <w:sz w:val="20"/>
          <w:szCs w:val="20"/>
          <w:lang w:val="en-US"/>
        </w:rPr>
        <w:t xml:space="preserve">-statistic for the test of overall significance of the regression with the corresponding </w:t>
      </w:r>
      <w:r w:rsidRPr="00470E8F">
        <w:rPr>
          <w:rFonts w:ascii="Times New Roman" w:hAnsi="Times New Roman"/>
          <w:i/>
          <w:sz w:val="20"/>
          <w:szCs w:val="20"/>
          <w:lang w:val="en-US"/>
        </w:rPr>
        <w:t>p</w:t>
      </w:r>
      <w:r w:rsidRPr="00470E8F">
        <w:rPr>
          <w:rFonts w:ascii="Times New Roman" w:hAnsi="Times New Roman"/>
          <w:sz w:val="20"/>
          <w:szCs w:val="20"/>
          <w:lang w:val="en-US"/>
        </w:rPr>
        <w:t xml:space="preserve">-value. Moreover, the table reports the summed value of slopes and the </w:t>
      </w:r>
      <w:r w:rsidRPr="00470E8F">
        <w:rPr>
          <w:rFonts w:ascii="Times New Roman" w:hAnsi="Times New Roman"/>
          <w:i/>
          <w:sz w:val="20"/>
          <w:szCs w:val="20"/>
          <w:lang w:val="en-US"/>
        </w:rPr>
        <w:t>p</w:t>
      </w:r>
      <w:r w:rsidRPr="00470E8F">
        <w:rPr>
          <w:rFonts w:ascii="Times New Roman" w:hAnsi="Times New Roman"/>
          <w:sz w:val="20"/>
          <w:szCs w:val="20"/>
          <w:lang w:val="en-US"/>
        </w:rPr>
        <w:t xml:space="preserve">-value for the null hypothesis that oil is a safe haven in times of war or international crisis. Parameter standard errors are given in the parentheses.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denote statistical significance at 1%, 5% and 10% level, respectively.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93"/>
        <w:gridCol w:w="1542"/>
        <w:gridCol w:w="2336"/>
        <w:gridCol w:w="2336"/>
      </w:tblGrid>
      <w:tr w:rsidR="001133C2" w:rsidRPr="00527E7D" w:rsidTr="001133C2">
        <w:tc>
          <w:tcPr>
            <w:tcW w:w="9242" w:type="dxa"/>
            <w:gridSpan w:val="5"/>
            <w:tcBorders>
              <w:top w:val="double" w:sz="4" w:space="0" w:color="auto"/>
              <w:left w:val="nil"/>
              <w:bottom w:val="single" w:sz="4" w:space="0" w:color="auto"/>
              <w:right w:val="nil"/>
            </w:tcBorders>
            <w:shd w:val="clear" w:color="auto" w:fill="auto"/>
          </w:tcPr>
          <w:p w:rsidR="001133C2" w:rsidRPr="00527E7D" w:rsidRDefault="001133C2" w:rsidP="001133C2">
            <w:pPr>
              <w:spacing w:before="120" w:after="120" w:line="240" w:lineRule="auto"/>
              <w:rPr>
                <w:rFonts w:ascii="Times New Roman" w:hAnsi="Times New Roman"/>
                <w:b/>
              </w:rPr>
            </w:pPr>
            <w:r w:rsidRPr="00527E7D">
              <w:rPr>
                <w:rFonts w:ascii="Times New Roman" w:hAnsi="Times New Roman"/>
                <w:b/>
              </w:rPr>
              <w:t>Panel A. Safe Haven Regressions Based on the Instances of War</w:t>
            </w:r>
          </w:p>
        </w:tc>
      </w:tr>
      <w:tr w:rsidR="001133C2" w:rsidRPr="00527E7D" w:rsidTr="001133C2">
        <w:tc>
          <w:tcPr>
            <w:tcW w:w="3028" w:type="dxa"/>
            <w:gridSpan w:val="2"/>
            <w:tcBorders>
              <w:top w:val="single" w:sz="4" w:space="0" w:color="auto"/>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b/>
              </w:rPr>
            </w:pPr>
          </w:p>
        </w:tc>
        <w:tc>
          <w:tcPr>
            <w:tcW w:w="6214" w:type="dxa"/>
            <w:gridSpan w:val="3"/>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Proxy for market index used:</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b/>
              </w:rPr>
            </w:pPr>
          </w:p>
        </w:tc>
        <w:tc>
          <w:tcPr>
            <w:tcW w:w="2335" w:type="dxa"/>
            <w:gridSpan w:val="2"/>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S&amp;P 500</w:t>
            </w:r>
          </w:p>
        </w:tc>
        <w:tc>
          <w:tcPr>
            <w:tcW w:w="2336"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 World</w:t>
            </w:r>
          </w:p>
        </w:tc>
        <w:tc>
          <w:tcPr>
            <w:tcW w:w="2336"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 World (excl. US)</w:t>
            </w:r>
          </w:p>
        </w:tc>
      </w:tr>
      <w:tr w:rsidR="001133C2" w:rsidRPr="00527E7D" w:rsidTr="001133C2">
        <w:tc>
          <w:tcPr>
            <w:tcW w:w="2235"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p>
        </w:tc>
        <w:tc>
          <w:tcPr>
            <w:tcW w:w="2335" w:type="dxa"/>
            <w:gridSpan w:val="2"/>
            <w:tcBorders>
              <w:top w:val="nil"/>
              <w:left w:val="nil"/>
              <w:bottom w:val="single" w:sz="4" w:space="0" w:color="auto"/>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(1)</w:t>
            </w:r>
          </w:p>
        </w:tc>
        <w:tc>
          <w:tcPr>
            <w:tcW w:w="2336"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(2)</w:t>
            </w:r>
          </w:p>
        </w:tc>
        <w:tc>
          <w:tcPr>
            <w:tcW w:w="2336"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(3)</w:t>
            </w:r>
          </w:p>
        </w:tc>
      </w:tr>
      <w:tr w:rsidR="001133C2" w:rsidRPr="00527E7D" w:rsidTr="001133C2">
        <w:tc>
          <w:tcPr>
            <w:tcW w:w="2235" w:type="dxa"/>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C</w:t>
            </w:r>
          </w:p>
        </w:tc>
        <w:tc>
          <w:tcPr>
            <w:tcW w:w="2335" w:type="dxa"/>
            <w:gridSpan w:val="2"/>
            <w:tcBorders>
              <w:top w:val="single" w:sz="4" w:space="0" w:color="auto"/>
              <w:left w:val="nil"/>
              <w:bottom w:val="nil"/>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(0.0003)</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17"/>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817"/>
              </w:tabs>
              <w:spacing w:after="60" w:line="240" w:lineRule="auto"/>
              <w:rPr>
                <w:rFonts w:ascii="Times New Roman" w:hAnsi="Times New Roman"/>
                <w:i/>
              </w:rPr>
            </w:pPr>
            <w:r w:rsidRPr="00527E7D">
              <w:rPr>
                <w:rFonts w:ascii="Times New Roman" w:hAnsi="Times New Roman"/>
                <w:i/>
              </w:rPr>
              <w:t>(0.0003)</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796"/>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796"/>
              </w:tabs>
              <w:spacing w:after="60" w:line="240" w:lineRule="auto"/>
              <w:rPr>
                <w:rFonts w:ascii="Times New Roman" w:hAnsi="Times New Roman"/>
                <w:i/>
              </w:rPr>
            </w:pPr>
            <w:r w:rsidRPr="00527E7D">
              <w:rPr>
                <w:rFonts w:ascii="Times New Roman" w:hAnsi="Times New Roman"/>
                <w:i/>
              </w:rPr>
              <w:t>(0.0003)</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vertAlign w:val="subscript"/>
              </w:rPr>
            </w:pPr>
            <w:proofErr w:type="spellStart"/>
            <w:r w:rsidRPr="00527E7D">
              <w:rPr>
                <w:rFonts w:ascii="Times New Roman" w:hAnsi="Times New Roman"/>
              </w:rPr>
              <w:t>r</w:t>
            </w:r>
            <w:r w:rsidRPr="00527E7D">
              <w:rPr>
                <w:rFonts w:ascii="Times New Roman" w:hAnsi="Times New Roman"/>
                <w:vertAlign w:val="subscript"/>
              </w:rPr>
              <w:t>Stock</w:t>
            </w:r>
            <w:proofErr w:type="spellEnd"/>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-0.1197</w:t>
            </w:r>
            <w:r w:rsidRPr="00527E7D">
              <w:rPr>
                <w:rFonts w:ascii="Times New Roman" w:hAnsi="Times New Roman"/>
                <w:vertAlign w:val="superscript"/>
              </w:rPr>
              <w:t>**</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(0.0515)</w:t>
            </w:r>
          </w:p>
        </w:tc>
        <w:tc>
          <w:tcPr>
            <w:tcW w:w="2336" w:type="dxa"/>
            <w:tcBorders>
              <w:top w:val="nil"/>
              <w:left w:val="nil"/>
              <w:bottom w:val="nil"/>
              <w:right w:val="nil"/>
            </w:tcBorders>
            <w:shd w:val="clear" w:color="auto" w:fill="auto"/>
          </w:tcPr>
          <w:p w:rsidR="001133C2" w:rsidRPr="00527E7D" w:rsidRDefault="001133C2" w:rsidP="001133C2">
            <w:pPr>
              <w:tabs>
                <w:tab w:val="decimal" w:pos="817"/>
              </w:tabs>
              <w:spacing w:before="60" w:after="0" w:line="240" w:lineRule="auto"/>
              <w:rPr>
                <w:rFonts w:ascii="Times New Roman" w:hAnsi="Times New Roman"/>
              </w:rPr>
            </w:pPr>
            <w:r w:rsidRPr="00527E7D">
              <w:rPr>
                <w:rFonts w:ascii="Times New Roman" w:hAnsi="Times New Roman"/>
              </w:rPr>
              <w:t>-0.0339</w:t>
            </w:r>
          </w:p>
          <w:p w:rsidR="001133C2" w:rsidRPr="00527E7D" w:rsidRDefault="001133C2" w:rsidP="001133C2">
            <w:pPr>
              <w:tabs>
                <w:tab w:val="decimal" w:pos="817"/>
              </w:tabs>
              <w:spacing w:after="60" w:line="240" w:lineRule="auto"/>
              <w:rPr>
                <w:rFonts w:ascii="Times New Roman" w:hAnsi="Times New Roman"/>
                <w:i/>
              </w:rPr>
            </w:pPr>
            <w:r w:rsidRPr="00527E7D">
              <w:rPr>
                <w:rFonts w:ascii="Times New Roman" w:hAnsi="Times New Roman"/>
                <w:i/>
              </w:rPr>
              <w:t>(0.0659)</w:t>
            </w:r>
          </w:p>
        </w:tc>
        <w:tc>
          <w:tcPr>
            <w:tcW w:w="2336" w:type="dxa"/>
            <w:tcBorders>
              <w:top w:val="nil"/>
              <w:left w:val="nil"/>
              <w:bottom w:val="nil"/>
              <w:right w:val="nil"/>
            </w:tcBorders>
            <w:shd w:val="clear" w:color="auto" w:fill="auto"/>
          </w:tcPr>
          <w:p w:rsidR="001133C2" w:rsidRPr="00527E7D" w:rsidRDefault="001133C2" w:rsidP="001133C2">
            <w:pPr>
              <w:tabs>
                <w:tab w:val="decimal" w:pos="796"/>
              </w:tabs>
              <w:spacing w:before="60" w:after="0" w:line="240" w:lineRule="auto"/>
              <w:rPr>
                <w:rFonts w:ascii="Times New Roman" w:hAnsi="Times New Roman"/>
              </w:rPr>
            </w:pPr>
            <w:r w:rsidRPr="00527E7D">
              <w:rPr>
                <w:rFonts w:ascii="Times New Roman" w:hAnsi="Times New Roman"/>
              </w:rPr>
              <w:t>0.0847</w:t>
            </w:r>
          </w:p>
          <w:p w:rsidR="001133C2" w:rsidRPr="00527E7D" w:rsidRDefault="001133C2" w:rsidP="001133C2">
            <w:pPr>
              <w:tabs>
                <w:tab w:val="decimal" w:pos="796"/>
              </w:tabs>
              <w:spacing w:after="60" w:line="240" w:lineRule="auto"/>
              <w:rPr>
                <w:rFonts w:ascii="Times New Roman" w:hAnsi="Times New Roman"/>
                <w:i/>
              </w:rPr>
            </w:pPr>
            <w:r w:rsidRPr="00527E7D">
              <w:rPr>
                <w:rFonts w:ascii="Times New Roman" w:hAnsi="Times New Roman"/>
                <w:i/>
              </w:rPr>
              <w:t>(0.0601)</w:t>
            </w:r>
          </w:p>
        </w:tc>
      </w:tr>
      <w:tr w:rsidR="001133C2" w:rsidRPr="00527E7D" w:rsidTr="001133C2">
        <w:tc>
          <w:tcPr>
            <w:tcW w:w="2235"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rPr>
                <w:rFonts w:ascii="Times New Roman" w:hAnsi="Times New Roman"/>
              </w:rPr>
            </w:pPr>
            <w:proofErr w:type="spellStart"/>
            <w:r w:rsidRPr="00527E7D">
              <w:rPr>
                <w:rFonts w:ascii="Times New Roman" w:hAnsi="Times New Roman"/>
              </w:rPr>
              <w:t>D</w:t>
            </w:r>
            <w:r w:rsidRPr="00527E7D">
              <w:rPr>
                <w:rFonts w:ascii="Times New Roman" w:hAnsi="Times New Roman"/>
                <w:vertAlign w:val="subscript"/>
              </w:rPr>
              <w:t>Conflict</w:t>
            </w:r>
            <w:proofErr w:type="spellEnd"/>
            <w:r w:rsidRPr="00527E7D">
              <w:rPr>
                <w:rFonts w:ascii="Times New Roman" w:hAnsi="Times New Roman"/>
              </w:rPr>
              <w:sym w:font="Symbol" w:char="F0B4"/>
            </w:r>
            <w:r w:rsidRPr="00527E7D">
              <w:rPr>
                <w:rFonts w:ascii="Times New Roman" w:hAnsi="Times New Roman"/>
              </w:rPr>
              <w:t xml:space="preserve"> </w:t>
            </w:r>
            <w:proofErr w:type="spellStart"/>
            <w:r w:rsidRPr="00527E7D">
              <w:rPr>
                <w:rFonts w:ascii="Times New Roman" w:hAnsi="Times New Roman"/>
              </w:rPr>
              <w:t>r</w:t>
            </w:r>
            <w:r w:rsidRPr="00527E7D">
              <w:rPr>
                <w:rFonts w:ascii="Times New Roman" w:hAnsi="Times New Roman"/>
                <w:vertAlign w:val="subscript"/>
              </w:rPr>
              <w:t>Stock</w:t>
            </w:r>
            <w:proofErr w:type="spellEnd"/>
          </w:p>
        </w:tc>
        <w:tc>
          <w:tcPr>
            <w:tcW w:w="2335" w:type="dxa"/>
            <w:gridSpan w:val="2"/>
            <w:tcBorders>
              <w:top w:val="nil"/>
              <w:left w:val="nil"/>
              <w:bottom w:val="single" w:sz="4" w:space="0" w:color="auto"/>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-0.0101</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(0.0653)</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817"/>
              </w:tabs>
              <w:spacing w:before="60" w:after="0" w:line="240" w:lineRule="auto"/>
              <w:rPr>
                <w:rFonts w:ascii="Times New Roman" w:hAnsi="Times New Roman"/>
              </w:rPr>
            </w:pPr>
            <w:r w:rsidRPr="00527E7D">
              <w:rPr>
                <w:rFonts w:ascii="Times New Roman" w:hAnsi="Times New Roman"/>
              </w:rPr>
              <w:t>-0.1709</w:t>
            </w:r>
            <w:r w:rsidRPr="00527E7D">
              <w:rPr>
                <w:rFonts w:ascii="Times New Roman" w:hAnsi="Times New Roman"/>
                <w:vertAlign w:val="superscript"/>
              </w:rPr>
              <w:t>**</w:t>
            </w:r>
          </w:p>
          <w:p w:rsidR="001133C2" w:rsidRPr="00527E7D" w:rsidRDefault="001133C2" w:rsidP="001133C2">
            <w:pPr>
              <w:tabs>
                <w:tab w:val="decimal" w:pos="817"/>
              </w:tabs>
              <w:spacing w:after="60" w:line="240" w:lineRule="auto"/>
              <w:rPr>
                <w:rFonts w:ascii="Times New Roman" w:hAnsi="Times New Roman"/>
                <w:i/>
              </w:rPr>
            </w:pPr>
            <w:r w:rsidRPr="00527E7D">
              <w:rPr>
                <w:rFonts w:ascii="Times New Roman" w:hAnsi="Times New Roman"/>
                <w:i/>
              </w:rPr>
              <w:t>(0.0849)</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796"/>
              </w:tabs>
              <w:spacing w:before="60" w:after="0" w:line="240" w:lineRule="auto"/>
              <w:rPr>
                <w:rFonts w:ascii="Times New Roman" w:hAnsi="Times New Roman"/>
              </w:rPr>
            </w:pPr>
            <w:r w:rsidRPr="00527E7D">
              <w:rPr>
                <w:rFonts w:ascii="Times New Roman" w:hAnsi="Times New Roman"/>
              </w:rPr>
              <w:t>-0.2337</w:t>
            </w:r>
            <w:r w:rsidRPr="00527E7D">
              <w:rPr>
                <w:rFonts w:ascii="Times New Roman" w:hAnsi="Times New Roman"/>
                <w:vertAlign w:val="superscript"/>
              </w:rPr>
              <w:t>***</w:t>
            </w:r>
          </w:p>
          <w:p w:rsidR="001133C2" w:rsidRPr="00527E7D" w:rsidRDefault="001133C2" w:rsidP="001133C2">
            <w:pPr>
              <w:tabs>
                <w:tab w:val="decimal" w:pos="796"/>
              </w:tabs>
              <w:spacing w:after="60" w:line="240" w:lineRule="auto"/>
              <w:rPr>
                <w:rFonts w:ascii="Times New Roman" w:hAnsi="Times New Roman"/>
                <w:i/>
              </w:rPr>
            </w:pPr>
            <w:r w:rsidRPr="00527E7D">
              <w:rPr>
                <w:rFonts w:ascii="Times New Roman" w:hAnsi="Times New Roman"/>
                <w:i/>
              </w:rPr>
              <w:t>(0.0774)</w:t>
            </w:r>
          </w:p>
        </w:tc>
      </w:tr>
      <w:tr w:rsidR="001133C2" w:rsidRPr="00527E7D" w:rsidTr="001133C2">
        <w:tc>
          <w:tcPr>
            <w:tcW w:w="2235" w:type="dxa"/>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R-square</w:t>
            </w:r>
          </w:p>
        </w:tc>
        <w:tc>
          <w:tcPr>
            <w:tcW w:w="2335" w:type="dxa"/>
            <w:gridSpan w:val="2"/>
            <w:tcBorders>
              <w:top w:val="single" w:sz="4" w:space="0" w:color="auto"/>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0.2881%</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17"/>
              </w:tabs>
              <w:spacing w:before="60" w:after="60" w:line="240" w:lineRule="auto"/>
              <w:rPr>
                <w:rFonts w:ascii="Times New Roman" w:hAnsi="Times New Roman"/>
              </w:rPr>
            </w:pPr>
            <w:r w:rsidRPr="00527E7D">
              <w:rPr>
                <w:rFonts w:ascii="Times New Roman" w:hAnsi="Times New Roman"/>
              </w:rPr>
              <w:t>0.2702%</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796"/>
              </w:tabs>
              <w:spacing w:before="60" w:after="60" w:line="240" w:lineRule="auto"/>
              <w:rPr>
                <w:rFonts w:ascii="Times New Roman" w:hAnsi="Times New Roman"/>
              </w:rPr>
            </w:pPr>
            <w:r w:rsidRPr="00527E7D">
              <w:rPr>
                <w:rFonts w:ascii="Times New Roman" w:hAnsi="Times New Roman"/>
              </w:rPr>
              <w:t>0.2065%</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F-stat regression</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7.9100</w:t>
            </w:r>
          </w:p>
        </w:tc>
        <w:tc>
          <w:tcPr>
            <w:tcW w:w="2336" w:type="dxa"/>
            <w:tcBorders>
              <w:top w:val="nil"/>
              <w:left w:val="nil"/>
              <w:bottom w:val="nil"/>
              <w:right w:val="nil"/>
            </w:tcBorders>
            <w:shd w:val="clear" w:color="auto" w:fill="auto"/>
          </w:tcPr>
          <w:p w:rsidR="001133C2" w:rsidRPr="00527E7D" w:rsidRDefault="001133C2" w:rsidP="001133C2">
            <w:pPr>
              <w:tabs>
                <w:tab w:val="decimal" w:pos="817"/>
              </w:tabs>
              <w:spacing w:before="60" w:after="60" w:line="240" w:lineRule="auto"/>
              <w:rPr>
                <w:rFonts w:ascii="Times New Roman" w:hAnsi="Times New Roman"/>
              </w:rPr>
            </w:pPr>
            <w:r w:rsidRPr="00527E7D">
              <w:rPr>
                <w:rFonts w:ascii="Times New Roman" w:hAnsi="Times New Roman"/>
              </w:rPr>
              <w:t>7.4171</w:t>
            </w:r>
          </w:p>
        </w:tc>
        <w:tc>
          <w:tcPr>
            <w:tcW w:w="2336" w:type="dxa"/>
            <w:tcBorders>
              <w:top w:val="nil"/>
              <w:left w:val="nil"/>
              <w:bottom w:val="nil"/>
              <w:right w:val="nil"/>
            </w:tcBorders>
            <w:shd w:val="clear" w:color="auto" w:fill="auto"/>
          </w:tcPr>
          <w:p w:rsidR="001133C2" w:rsidRPr="00527E7D" w:rsidRDefault="001133C2" w:rsidP="001133C2">
            <w:pPr>
              <w:tabs>
                <w:tab w:val="decimal" w:pos="796"/>
              </w:tabs>
              <w:spacing w:before="60" w:after="60" w:line="240" w:lineRule="auto"/>
              <w:rPr>
                <w:rFonts w:ascii="Times New Roman" w:hAnsi="Times New Roman"/>
              </w:rPr>
            </w:pPr>
            <w:r w:rsidRPr="00527E7D">
              <w:rPr>
                <w:rFonts w:ascii="Times New Roman" w:hAnsi="Times New Roman"/>
              </w:rPr>
              <w:t>5.6642</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i/>
              </w:rPr>
              <w:t>p</w:t>
            </w:r>
            <w:r w:rsidRPr="00527E7D">
              <w:rPr>
                <w:rFonts w:ascii="Times New Roman" w:hAnsi="Times New Roman"/>
              </w:rPr>
              <w:t>-value</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0.0004</w:t>
            </w:r>
          </w:p>
        </w:tc>
        <w:tc>
          <w:tcPr>
            <w:tcW w:w="2336" w:type="dxa"/>
            <w:tcBorders>
              <w:top w:val="nil"/>
              <w:left w:val="nil"/>
              <w:bottom w:val="nil"/>
              <w:right w:val="nil"/>
            </w:tcBorders>
            <w:shd w:val="clear" w:color="auto" w:fill="auto"/>
          </w:tcPr>
          <w:p w:rsidR="001133C2" w:rsidRPr="00527E7D" w:rsidRDefault="001133C2" w:rsidP="001133C2">
            <w:pPr>
              <w:tabs>
                <w:tab w:val="decimal" w:pos="817"/>
              </w:tabs>
              <w:spacing w:before="60" w:after="60" w:line="240" w:lineRule="auto"/>
              <w:rPr>
                <w:rFonts w:ascii="Times New Roman" w:hAnsi="Times New Roman"/>
              </w:rPr>
            </w:pPr>
            <w:r w:rsidRPr="00527E7D">
              <w:rPr>
                <w:rFonts w:ascii="Times New Roman" w:hAnsi="Times New Roman"/>
              </w:rPr>
              <w:t>0.0006</w:t>
            </w:r>
          </w:p>
        </w:tc>
        <w:tc>
          <w:tcPr>
            <w:tcW w:w="2336" w:type="dxa"/>
            <w:tcBorders>
              <w:top w:val="nil"/>
              <w:left w:val="nil"/>
              <w:bottom w:val="nil"/>
              <w:right w:val="nil"/>
            </w:tcBorders>
            <w:shd w:val="clear" w:color="auto" w:fill="auto"/>
          </w:tcPr>
          <w:p w:rsidR="001133C2" w:rsidRPr="00527E7D" w:rsidRDefault="001133C2" w:rsidP="001133C2">
            <w:pPr>
              <w:tabs>
                <w:tab w:val="decimal" w:pos="796"/>
              </w:tabs>
              <w:spacing w:before="60" w:after="60" w:line="240" w:lineRule="auto"/>
              <w:rPr>
                <w:rFonts w:ascii="Times New Roman" w:hAnsi="Times New Roman"/>
              </w:rPr>
            </w:pPr>
            <w:r w:rsidRPr="00527E7D">
              <w:rPr>
                <w:rFonts w:ascii="Times New Roman" w:hAnsi="Times New Roman"/>
              </w:rPr>
              <w:t>0.0035</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color w:val="000000"/>
                <w:lang w:val="en-US"/>
              </w:rPr>
            </w:pPr>
            <w:r w:rsidRPr="00527E7D">
              <w:rPr>
                <w:rFonts w:ascii="Times New Roman" w:hAnsi="Times New Roman"/>
                <w:color w:val="000000"/>
                <w:lang w:val="en-US"/>
              </w:rPr>
              <w:t>(</w:t>
            </w:r>
            <w:r w:rsidRPr="00527E7D">
              <w:rPr>
                <w:rFonts w:ascii="Times New Roman" w:hAnsi="Times New Roman"/>
                <w:i/>
                <w:color w:val="000000"/>
                <w:lang w:val="en-US"/>
              </w:rPr>
              <w:t>β</w:t>
            </w:r>
            <w:r w:rsidRPr="00527E7D">
              <w:rPr>
                <w:rFonts w:ascii="Times New Roman" w:hAnsi="Times New Roman"/>
                <w:i/>
                <w:color w:val="000000"/>
                <w:vertAlign w:val="subscript"/>
                <w:lang w:val="en-US"/>
              </w:rPr>
              <w:t>1</w:t>
            </w:r>
            <w:r w:rsidRPr="00527E7D">
              <w:rPr>
                <w:rFonts w:ascii="Times New Roman" w:hAnsi="Times New Roman"/>
                <w:i/>
                <w:color w:val="000000"/>
                <w:lang w:val="en-US"/>
              </w:rPr>
              <w:t>+ β</w:t>
            </w:r>
            <w:r w:rsidRPr="00527E7D">
              <w:rPr>
                <w:rFonts w:ascii="Times New Roman" w:hAnsi="Times New Roman"/>
                <w:i/>
                <w:color w:val="000000"/>
                <w:vertAlign w:val="subscript"/>
                <w:lang w:val="en-US"/>
              </w:rPr>
              <w:t xml:space="preserve"> 2</w:t>
            </w:r>
            <w:r w:rsidRPr="00527E7D">
              <w:rPr>
                <w:rFonts w:ascii="Times New Roman" w:hAnsi="Times New Roman"/>
                <w:color w:val="000000"/>
                <w:lang w:val="en-US"/>
              </w:rPr>
              <w:t>)</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-0.1298</w:t>
            </w:r>
          </w:p>
        </w:tc>
        <w:tc>
          <w:tcPr>
            <w:tcW w:w="2336" w:type="dxa"/>
            <w:tcBorders>
              <w:top w:val="nil"/>
              <w:left w:val="nil"/>
              <w:bottom w:val="nil"/>
              <w:right w:val="nil"/>
            </w:tcBorders>
            <w:shd w:val="clear" w:color="auto" w:fill="auto"/>
          </w:tcPr>
          <w:p w:rsidR="001133C2" w:rsidRPr="00527E7D" w:rsidRDefault="001133C2" w:rsidP="001133C2">
            <w:pPr>
              <w:tabs>
                <w:tab w:val="decimal" w:pos="817"/>
              </w:tabs>
              <w:spacing w:before="60" w:after="60" w:line="240" w:lineRule="auto"/>
              <w:rPr>
                <w:rFonts w:ascii="Times New Roman" w:hAnsi="Times New Roman"/>
              </w:rPr>
            </w:pPr>
            <w:r w:rsidRPr="00527E7D">
              <w:rPr>
                <w:rFonts w:ascii="Times New Roman" w:hAnsi="Times New Roman"/>
              </w:rPr>
              <w:t>-0.2048</w:t>
            </w:r>
          </w:p>
        </w:tc>
        <w:tc>
          <w:tcPr>
            <w:tcW w:w="2336" w:type="dxa"/>
            <w:tcBorders>
              <w:top w:val="nil"/>
              <w:left w:val="nil"/>
              <w:bottom w:val="nil"/>
              <w:right w:val="nil"/>
            </w:tcBorders>
            <w:shd w:val="clear" w:color="auto" w:fill="auto"/>
          </w:tcPr>
          <w:p w:rsidR="001133C2" w:rsidRPr="00527E7D" w:rsidRDefault="001133C2" w:rsidP="001133C2">
            <w:pPr>
              <w:tabs>
                <w:tab w:val="decimal" w:pos="796"/>
              </w:tabs>
              <w:spacing w:before="60" w:after="60" w:line="240" w:lineRule="auto"/>
              <w:rPr>
                <w:rFonts w:ascii="Times New Roman" w:hAnsi="Times New Roman"/>
              </w:rPr>
            </w:pPr>
            <w:r w:rsidRPr="00527E7D">
              <w:rPr>
                <w:rFonts w:ascii="Times New Roman" w:hAnsi="Times New Roman"/>
              </w:rPr>
              <w:t>-0.4674</w:t>
            </w:r>
          </w:p>
        </w:tc>
      </w:tr>
      <w:tr w:rsidR="001133C2" w:rsidRPr="00527E7D" w:rsidTr="001133C2">
        <w:tc>
          <w:tcPr>
            <w:tcW w:w="2235"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rPr>
                <w:rFonts w:ascii="Times New Roman" w:hAnsi="Times New Roman"/>
              </w:rPr>
            </w:pPr>
            <w:r>
              <w:rPr>
                <w:rFonts w:ascii="Times New Roman" w:hAnsi="Times New Roman"/>
              </w:rPr>
              <w:t>Safe H</w:t>
            </w:r>
            <w:r w:rsidRPr="00527E7D">
              <w:rPr>
                <w:rFonts w:ascii="Times New Roman" w:hAnsi="Times New Roman"/>
              </w:rPr>
              <w:t>aven</w:t>
            </w:r>
            <w:r w:rsidRPr="00527E7D">
              <w:rPr>
                <w:rFonts w:ascii="Times New Roman" w:hAnsi="Times New Roman"/>
                <w:i/>
              </w:rPr>
              <w:t xml:space="preserve"> p</w:t>
            </w:r>
            <w:r w:rsidRPr="00527E7D">
              <w:rPr>
                <w:rFonts w:ascii="Times New Roman" w:hAnsi="Times New Roman"/>
              </w:rPr>
              <w:t>-value</w:t>
            </w:r>
          </w:p>
        </w:tc>
        <w:tc>
          <w:tcPr>
            <w:tcW w:w="2335" w:type="dxa"/>
            <w:gridSpan w:val="2"/>
            <w:tcBorders>
              <w:top w:val="nil"/>
              <w:left w:val="nil"/>
              <w:bottom w:val="single" w:sz="4" w:space="0" w:color="auto"/>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0.9994</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817"/>
              </w:tabs>
              <w:spacing w:before="60" w:after="60" w:line="240" w:lineRule="auto"/>
              <w:rPr>
                <w:rFonts w:ascii="Times New Roman" w:hAnsi="Times New Roman"/>
              </w:rPr>
            </w:pPr>
            <w:r w:rsidRPr="00527E7D">
              <w:rPr>
                <w:rFonts w:ascii="Times New Roman" w:hAnsi="Times New Roman"/>
              </w:rPr>
              <w:t>0.9999</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796"/>
              </w:tabs>
              <w:spacing w:before="60" w:after="60" w:line="240" w:lineRule="auto"/>
              <w:rPr>
                <w:rFonts w:ascii="Times New Roman" w:hAnsi="Times New Roman"/>
              </w:rPr>
            </w:pPr>
            <w:r w:rsidRPr="00527E7D">
              <w:rPr>
                <w:rFonts w:ascii="Times New Roman" w:hAnsi="Times New Roman"/>
              </w:rPr>
              <w:t>0.9989</w:t>
            </w:r>
          </w:p>
        </w:tc>
      </w:tr>
      <w:tr w:rsidR="001133C2" w:rsidRPr="00527E7D" w:rsidTr="001133C2">
        <w:tc>
          <w:tcPr>
            <w:tcW w:w="9242" w:type="dxa"/>
            <w:gridSpan w:val="5"/>
            <w:tcBorders>
              <w:top w:val="single" w:sz="4" w:space="0" w:color="auto"/>
              <w:left w:val="nil"/>
              <w:bottom w:val="single" w:sz="4" w:space="0" w:color="auto"/>
              <w:right w:val="nil"/>
            </w:tcBorders>
            <w:shd w:val="clear" w:color="auto" w:fill="auto"/>
          </w:tcPr>
          <w:p w:rsidR="001133C2" w:rsidRPr="00527E7D" w:rsidRDefault="001133C2" w:rsidP="001133C2">
            <w:pPr>
              <w:spacing w:before="120" w:after="120" w:line="240" w:lineRule="auto"/>
              <w:rPr>
                <w:rFonts w:ascii="Times New Roman" w:hAnsi="Times New Roman"/>
              </w:rPr>
            </w:pPr>
            <w:r w:rsidRPr="00527E7D">
              <w:rPr>
                <w:rFonts w:ascii="Times New Roman" w:hAnsi="Times New Roman"/>
                <w:b/>
              </w:rPr>
              <w:t>Panel B. Safe Haven Regressions Based on the Instances of International Crisis</w:t>
            </w:r>
          </w:p>
        </w:tc>
      </w:tr>
      <w:tr w:rsidR="001133C2" w:rsidRPr="00527E7D" w:rsidTr="001133C2">
        <w:tc>
          <w:tcPr>
            <w:tcW w:w="3028" w:type="dxa"/>
            <w:gridSpan w:val="2"/>
            <w:tcBorders>
              <w:top w:val="single" w:sz="4" w:space="0" w:color="auto"/>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b/>
              </w:rPr>
            </w:pPr>
          </w:p>
        </w:tc>
        <w:tc>
          <w:tcPr>
            <w:tcW w:w="6214" w:type="dxa"/>
            <w:gridSpan w:val="3"/>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Proxy for market index used:</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b/>
              </w:rPr>
            </w:pPr>
          </w:p>
        </w:tc>
        <w:tc>
          <w:tcPr>
            <w:tcW w:w="2335" w:type="dxa"/>
            <w:gridSpan w:val="2"/>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S&amp;P 500</w:t>
            </w:r>
          </w:p>
        </w:tc>
        <w:tc>
          <w:tcPr>
            <w:tcW w:w="2336"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w:t>
            </w:r>
          </w:p>
        </w:tc>
        <w:tc>
          <w:tcPr>
            <w:tcW w:w="2336"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 World (excl. US)</w:t>
            </w:r>
          </w:p>
        </w:tc>
      </w:tr>
      <w:tr w:rsidR="001133C2" w:rsidRPr="00527E7D" w:rsidTr="001133C2">
        <w:tc>
          <w:tcPr>
            <w:tcW w:w="2235"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rPr>
                <w:rFonts w:ascii="Times New Roman" w:hAnsi="Times New Roman"/>
              </w:rPr>
            </w:pPr>
          </w:p>
        </w:tc>
        <w:tc>
          <w:tcPr>
            <w:tcW w:w="2335" w:type="dxa"/>
            <w:gridSpan w:val="2"/>
            <w:tcBorders>
              <w:top w:val="nil"/>
              <w:left w:val="nil"/>
              <w:bottom w:val="single" w:sz="4" w:space="0" w:color="auto"/>
              <w:right w:val="nil"/>
            </w:tcBorders>
            <w:shd w:val="clear" w:color="auto" w:fill="auto"/>
          </w:tcPr>
          <w:p w:rsidR="001133C2" w:rsidRPr="00527E7D" w:rsidRDefault="001133C2" w:rsidP="001133C2">
            <w:pPr>
              <w:spacing w:before="60" w:after="0" w:line="240" w:lineRule="auto"/>
              <w:jc w:val="center"/>
              <w:rPr>
                <w:rFonts w:ascii="Times New Roman" w:hAnsi="Times New Roman"/>
              </w:rPr>
            </w:pPr>
            <w:r w:rsidRPr="00527E7D">
              <w:rPr>
                <w:rFonts w:ascii="Times New Roman" w:hAnsi="Times New Roman"/>
              </w:rPr>
              <w:t>(1)</w:t>
            </w:r>
          </w:p>
        </w:tc>
        <w:tc>
          <w:tcPr>
            <w:tcW w:w="2336" w:type="dxa"/>
            <w:tcBorders>
              <w:top w:val="nil"/>
              <w:left w:val="nil"/>
              <w:bottom w:val="single" w:sz="4" w:space="0" w:color="auto"/>
              <w:right w:val="nil"/>
            </w:tcBorders>
            <w:shd w:val="clear" w:color="auto" w:fill="auto"/>
          </w:tcPr>
          <w:p w:rsidR="001133C2" w:rsidRPr="00527E7D" w:rsidRDefault="001133C2" w:rsidP="001133C2">
            <w:pPr>
              <w:spacing w:before="60" w:after="0" w:line="240" w:lineRule="auto"/>
              <w:jc w:val="center"/>
              <w:rPr>
                <w:rFonts w:ascii="Times New Roman" w:hAnsi="Times New Roman"/>
              </w:rPr>
            </w:pPr>
            <w:r w:rsidRPr="00527E7D">
              <w:rPr>
                <w:rFonts w:ascii="Times New Roman" w:hAnsi="Times New Roman"/>
              </w:rPr>
              <w:t>(2)</w:t>
            </w:r>
          </w:p>
        </w:tc>
        <w:tc>
          <w:tcPr>
            <w:tcW w:w="2336" w:type="dxa"/>
            <w:tcBorders>
              <w:top w:val="nil"/>
              <w:left w:val="nil"/>
              <w:bottom w:val="single" w:sz="4" w:space="0" w:color="auto"/>
              <w:right w:val="nil"/>
            </w:tcBorders>
            <w:shd w:val="clear" w:color="auto" w:fill="auto"/>
          </w:tcPr>
          <w:p w:rsidR="001133C2" w:rsidRPr="00527E7D" w:rsidRDefault="001133C2" w:rsidP="001133C2">
            <w:pPr>
              <w:spacing w:before="60" w:after="0" w:line="240" w:lineRule="auto"/>
              <w:jc w:val="center"/>
              <w:rPr>
                <w:rFonts w:ascii="Times New Roman" w:hAnsi="Times New Roman"/>
              </w:rPr>
            </w:pPr>
            <w:r w:rsidRPr="00527E7D">
              <w:rPr>
                <w:rFonts w:ascii="Times New Roman" w:hAnsi="Times New Roman"/>
              </w:rPr>
              <w:t>(3)</w:t>
            </w:r>
          </w:p>
        </w:tc>
      </w:tr>
      <w:tr w:rsidR="001133C2" w:rsidRPr="00527E7D" w:rsidTr="001133C2">
        <w:tc>
          <w:tcPr>
            <w:tcW w:w="2235" w:type="dxa"/>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C</w:t>
            </w:r>
          </w:p>
        </w:tc>
        <w:tc>
          <w:tcPr>
            <w:tcW w:w="2335" w:type="dxa"/>
            <w:gridSpan w:val="2"/>
            <w:tcBorders>
              <w:top w:val="single" w:sz="4" w:space="0" w:color="auto"/>
              <w:left w:val="nil"/>
              <w:bottom w:val="nil"/>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(0.0003)</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15"/>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815"/>
              </w:tabs>
              <w:spacing w:after="60" w:line="240" w:lineRule="auto"/>
              <w:rPr>
                <w:rFonts w:ascii="Times New Roman" w:hAnsi="Times New Roman"/>
                <w:i/>
              </w:rPr>
            </w:pPr>
            <w:r w:rsidRPr="00527E7D">
              <w:rPr>
                <w:rFonts w:ascii="Times New Roman" w:hAnsi="Times New Roman"/>
                <w:i/>
              </w:rPr>
              <w:t>(0.0003)</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79"/>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879"/>
              </w:tabs>
              <w:spacing w:after="60" w:line="240" w:lineRule="auto"/>
              <w:rPr>
                <w:rFonts w:ascii="Times New Roman" w:hAnsi="Times New Roman"/>
                <w:i/>
              </w:rPr>
            </w:pPr>
            <w:r w:rsidRPr="00527E7D">
              <w:rPr>
                <w:rFonts w:ascii="Times New Roman" w:hAnsi="Times New Roman"/>
                <w:i/>
              </w:rPr>
              <w:t>(0.0003)</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proofErr w:type="spellStart"/>
            <w:r w:rsidRPr="00527E7D">
              <w:rPr>
                <w:rFonts w:ascii="Times New Roman" w:hAnsi="Times New Roman"/>
              </w:rPr>
              <w:t>r</w:t>
            </w:r>
            <w:r w:rsidRPr="00527E7D">
              <w:rPr>
                <w:rFonts w:ascii="Times New Roman" w:hAnsi="Times New Roman"/>
                <w:vertAlign w:val="subscript"/>
              </w:rPr>
              <w:t>Stock</w:t>
            </w:r>
            <w:proofErr w:type="spellEnd"/>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-0.1138</w:t>
            </w:r>
            <w:r w:rsidRPr="00527E7D">
              <w:rPr>
                <w:rFonts w:ascii="Times New Roman" w:hAnsi="Times New Roman"/>
                <w:vertAlign w:val="superscript"/>
              </w:rPr>
              <w:t>**</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(0.0567)</w:t>
            </w:r>
          </w:p>
        </w:tc>
        <w:tc>
          <w:tcPr>
            <w:tcW w:w="2336" w:type="dxa"/>
            <w:tcBorders>
              <w:top w:val="nil"/>
              <w:left w:val="nil"/>
              <w:bottom w:val="nil"/>
              <w:right w:val="nil"/>
            </w:tcBorders>
            <w:shd w:val="clear" w:color="auto" w:fill="auto"/>
          </w:tcPr>
          <w:p w:rsidR="001133C2" w:rsidRPr="00527E7D" w:rsidRDefault="001133C2" w:rsidP="001133C2">
            <w:pPr>
              <w:tabs>
                <w:tab w:val="decimal" w:pos="815"/>
              </w:tabs>
              <w:spacing w:before="60" w:after="0" w:line="240" w:lineRule="auto"/>
              <w:rPr>
                <w:rFonts w:ascii="Times New Roman" w:hAnsi="Times New Roman"/>
              </w:rPr>
            </w:pPr>
            <w:r w:rsidRPr="00527E7D">
              <w:rPr>
                <w:rFonts w:ascii="Times New Roman" w:hAnsi="Times New Roman"/>
              </w:rPr>
              <w:t>-0.0374</w:t>
            </w:r>
          </w:p>
          <w:p w:rsidR="001133C2" w:rsidRPr="00527E7D" w:rsidRDefault="001133C2" w:rsidP="001133C2">
            <w:pPr>
              <w:tabs>
                <w:tab w:val="decimal" w:pos="815"/>
              </w:tabs>
              <w:spacing w:after="60" w:line="240" w:lineRule="auto"/>
              <w:rPr>
                <w:rFonts w:ascii="Times New Roman" w:hAnsi="Times New Roman"/>
                <w:i/>
              </w:rPr>
            </w:pPr>
            <w:r w:rsidRPr="00527E7D">
              <w:rPr>
                <w:rFonts w:ascii="Times New Roman" w:hAnsi="Times New Roman"/>
                <w:i/>
              </w:rPr>
              <w:t>(0.0722)</w:t>
            </w:r>
          </w:p>
        </w:tc>
        <w:tc>
          <w:tcPr>
            <w:tcW w:w="2336" w:type="dxa"/>
            <w:tcBorders>
              <w:top w:val="nil"/>
              <w:left w:val="nil"/>
              <w:bottom w:val="nil"/>
              <w:right w:val="nil"/>
            </w:tcBorders>
            <w:shd w:val="clear" w:color="auto" w:fill="auto"/>
          </w:tcPr>
          <w:p w:rsidR="001133C2" w:rsidRPr="00527E7D" w:rsidRDefault="001133C2" w:rsidP="001133C2">
            <w:pPr>
              <w:tabs>
                <w:tab w:val="decimal" w:pos="879"/>
              </w:tabs>
              <w:spacing w:before="60" w:after="0" w:line="240" w:lineRule="auto"/>
              <w:rPr>
                <w:rFonts w:ascii="Times New Roman" w:hAnsi="Times New Roman"/>
              </w:rPr>
            </w:pPr>
            <w:r w:rsidRPr="00527E7D">
              <w:rPr>
                <w:rFonts w:ascii="Times New Roman" w:hAnsi="Times New Roman"/>
              </w:rPr>
              <w:t>0.0741</w:t>
            </w:r>
          </w:p>
          <w:p w:rsidR="001133C2" w:rsidRPr="00527E7D" w:rsidRDefault="001133C2" w:rsidP="001133C2">
            <w:pPr>
              <w:tabs>
                <w:tab w:val="decimal" w:pos="879"/>
              </w:tabs>
              <w:spacing w:after="60" w:line="240" w:lineRule="auto"/>
              <w:rPr>
                <w:rFonts w:ascii="Times New Roman" w:hAnsi="Times New Roman"/>
                <w:i/>
              </w:rPr>
            </w:pPr>
            <w:r w:rsidRPr="00527E7D">
              <w:rPr>
                <w:rFonts w:ascii="Times New Roman" w:hAnsi="Times New Roman"/>
                <w:i/>
              </w:rPr>
              <w:t>(0.0673)</w:t>
            </w:r>
          </w:p>
        </w:tc>
      </w:tr>
      <w:tr w:rsidR="001133C2" w:rsidRPr="00527E7D" w:rsidTr="001133C2">
        <w:tc>
          <w:tcPr>
            <w:tcW w:w="2235"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 xml:space="preserve">D </w:t>
            </w:r>
            <w:r w:rsidRPr="00527E7D">
              <w:rPr>
                <w:rFonts w:ascii="Times New Roman" w:hAnsi="Times New Roman"/>
                <w:vertAlign w:val="subscript"/>
              </w:rPr>
              <w:t>Conflict</w:t>
            </w:r>
            <w:r w:rsidRPr="00527E7D">
              <w:rPr>
                <w:rFonts w:ascii="Times New Roman" w:hAnsi="Times New Roman"/>
              </w:rPr>
              <w:sym w:font="Symbol" w:char="F0B4"/>
            </w:r>
            <w:r w:rsidRPr="00527E7D">
              <w:rPr>
                <w:rFonts w:ascii="Times New Roman" w:hAnsi="Times New Roman"/>
              </w:rPr>
              <w:t xml:space="preserve"> </w:t>
            </w:r>
            <w:proofErr w:type="spellStart"/>
            <w:r w:rsidRPr="00527E7D">
              <w:rPr>
                <w:rFonts w:ascii="Times New Roman" w:hAnsi="Times New Roman"/>
              </w:rPr>
              <w:t>r</w:t>
            </w:r>
            <w:r w:rsidRPr="00527E7D">
              <w:rPr>
                <w:rFonts w:ascii="Times New Roman" w:hAnsi="Times New Roman"/>
                <w:vertAlign w:val="subscript"/>
              </w:rPr>
              <w:t>Stock</w:t>
            </w:r>
            <w:proofErr w:type="spellEnd"/>
          </w:p>
        </w:tc>
        <w:tc>
          <w:tcPr>
            <w:tcW w:w="2335" w:type="dxa"/>
            <w:gridSpan w:val="2"/>
            <w:tcBorders>
              <w:top w:val="nil"/>
              <w:left w:val="nil"/>
              <w:bottom w:val="single" w:sz="4" w:space="0" w:color="auto"/>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-0.0177</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(0.0684)</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815"/>
              </w:tabs>
              <w:spacing w:before="60" w:after="0" w:line="240" w:lineRule="auto"/>
              <w:rPr>
                <w:rFonts w:ascii="Times New Roman" w:hAnsi="Times New Roman"/>
              </w:rPr>
            </w:pPr>
            <w:r w:rsidRPr="00527E7D">
              <w:rPr>
                <w:rFonts w:ascii="Times New Roman" w:hAnsi="Times New Roman"/>
              </w:rPr>
              <w:t>-0.1486</w:t>
            </w:r>
            <w:r w:rsidRPr="00527E7D">
              <w:rPr>
                <w:rFonts w:ascii="Times New Roman" w:hAnsi="Times New Roman"/>
                <w:vertAlign w:val="superscript"/>
              </w:rPr>
              <w:t>*</w:t>
            </w:r>
          </w:p>
          <w:p w:rsidR="001133C2" w:rsidRPr="00527E7D" w:rsidRDefault="001133C2" w:rsidP="001133C2">
            <w:pPr>
              <w:tabs>
                <w:tab w:val="decimal" w:pos="815"/>
              </w:tabs>
              <w:spacing w:after="60" w:line="240" w:lineRule="auto"/>
              <w:rPr>
                <w:rFonts w:ascii="Times New Roman" w:hAnsi="Times New Roman"/>
                <w:i/>
              </w:rPr>
            </w:pPr>
            <w:r w:rsidRPr="00527E7D">
              <w:rPr>
                <w:rFonts w:ascii="Times New Roman" w:hAnsi="Times New Roman"/>
                <w:i/>
              </w:rPr>
              <w:t>(0.0884)</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879"/>
              </w:tabs>
              <w:spacing w:before="60" w:after="0" w:line="240" w:lineRule="auto"/>
              <w:rPr>
                <w:rFonts w:ascii="Times New Roman" w:hAnsi="Times New Roman"/>
              </w:rPr>
            </w:pPr>
            <w:r w:rsidRPr="00527E7D">
              <w:rPr>
                <w:rFonts w:ascii="Times New Roman" w:hAnsi="Times New Roman"/>
              </w:rPr>
              <w:t>-0.1909</w:t>
            </w:r>
            <w:r w:rsidRPr="00527E7D">
              <w:rPr>
                <w:rFonts w:ascii="Times New Roman" w:hAnsi="Times New Roman"/>
                <w:vertAlign w:val="superscript"/>
              </w:rPr>
              <w:t>**</w:t>
            </w:r>
          </w:p>
          <w:p w:rsidR="001133C2" w:rsidRPr="00527E7D" w:rsidRDefault="001133C2" w:rsidP="001133C2">
            <w:pPr>
              <w:tabs>
                <w:tab w:val="decimal" w:pos="879"/>
              </w:tabs>
              <w:spacing w:after="60" w:line="240" w:lineRule="auto"/>
              <w:rPr>
                <w:rFonts w:ascii="Times New Roman" w:hAnsi="Times New Roman"/>
                <w:i/>
              </w:rPr>
            </w:pPr>
            <w:r w:rsidRPr="00527E7D">
              <w:rPr>
                <w:rFonts w:ascii="Times New Roman" w:hAnsi="Times New Roman"/>
                <w:i/>
              </w:rPr>
              <w:t>(0.0814)</w:t>
            </w:r>
          </w:p>
        </w:tc>
      </w:tr>
      <w:tr w:rsidR="001133C2" w:rsidRPr="00527E7D" w:rsidTr="001133C2">
        <w:tc>
          <w:tcPr>
            <w:tcW w:w="2235" w:type="dxa"/>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R-square</w:t>
            </w:r>
          </w:p>
        </w:tc>
        <w:tc>
          <w:tcPr>
            <w:tcW w:w="2335" w:type="dxa"/>
            <w:gridSpan w:val="2"/>
            <w:tcBorders>
              <w:top w:val="single" w:sz="4" w:space="0" w:color="auto"/>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0.2889%</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15"/>
              </w:tabs>
              <w:spacing w:before="60" w:after="60" w:line="240" w:lineRule="auto"/>
              <w:rPr>
                <w:rFonts w:ascii="Times New Roman" w:hAnsi="Times New Roman"/>
              </w:rPr>
            </w:pPr>
            <w:r w:rsidRPr="00527E7D">
              <w:rPr>
                <w:rFonts w:ascii="Times New Roman" w:hAnsi="Times New Roman"/>
              </w:rPr>
              <w:t>0.2480%</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79"/>
              </w:tabs>
              <w:spacing w:before="60" w:after="60" w:line="240" w:lineRule="auto"/>
              <w:rPr>
                <w:rFonts w:ascii="Times New Roman" w:hAnsi="Times New Roman"/>
              </w:rPr>
            </w:pPr>
            <w:r w:rsidRPr="00527E7D">
              <w:rPr>
                <w:rFonts w:ascii="Times New Roman" w:hAnsi="Times New Roman"/>
              </w:rPr>
              <w:t>0.1404%</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F-stat regression</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7.9315</w:t>
            </w:r>
          </w:p>
        </w:tc>
        <w:tc>
          <w:tcPr>
            <w:tcW w:w="2336" w:type="dxa"/>
            <w:tcBorders>
              <w:top w:val="nil"/>
              <w:left w:val="nil"/>
              <w:bottom w:val="nil"/>
              <w:right w:val="nil"/>
            </w:tcBorders>
            <w:shd w:val="clear" w:color="auto" w:fill="auto"/>
          </w:tcPr>
          <w:p w:rsidR="001133C2" w:rsidRPr="00527E7D" w:rsidRDefault="001133C2" w:rsidP="001133C2">
            <w:pPr>
              <w:tabs>
                <w:tab w:val="decimal" w:pos="815"/>
              </w:tabs>
              <w:spacing w:before="60" w:after="60" w:line="240" w:lineRule="auto"/>
              <w:rPr>
                <w:rFonts w:ascii="Times New Roman" w:hAnsi="Times New Roman"/>
              </w:rPr>
            </w:pPr>
            <w:r w:rsidRPr="00527E7D">
              <w:rPr>
                <w:rFonts w:ascii="Times New Roman" w:hAnsi="Times New Roman"/>
              </w:rPr>
              <w:t>6.8058</w:t>
            </w:r>
          </w:p>
        </w:tc>
        <w:tc>
          <w:tcPr>
            <w:tcW w:w="2336" w:type="dxa"/>
            <w:tcBorders>
              <w:top w:val="nil"/>
              <w:left w:val="nil"/>
              <w:bottom w:val="nil"/>
              <w:right w:val="nil"/>
            </w:tcBorders>
            <w:shd w:val="clear" w:color="auto" w:fill="auto"/>
          </w:tcPr>
          <w:p w:rsidR="001133C2" w:rsidRPr="00527E7D" w:rsidRDefault="001133C2" w:rsidP="001133C2">
            <w:pPr>
              <w:tabs>
                <w:tab w:val="decimal" w:pos="879"/>
              </w:tabs>
              <w:spacing w:before="60" w:after="60" w:line="240" w:lineRule="auto"/>
              <w:rPr>
                <w:rFonts w:ascii="Times New Roman" w:hAnsi="Times New Roman"/>
              </w:rPr>
            </w:pPr>
            <w:r w:rsidRPr="00527E7D">
              <w:rPr>
                <w:rFonts w:ascii="Times New Roman" w:hAnsi="Times New Roman"/>
              </w:rPr>
              <w:t>3.8502</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i/>
              </w:rPr>
              <w:t>p</w:t>
            </w:r>
            <w:r w:rsidRPr="00527E7D">
              <w:rPr>
                <w:rFonts w:ascii="Times New Roman" w:hAnsi="Times New Roman"/>
              </w:rPr>
              <w:t>-value</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0.0004</w:t>
            </w:r>
          </w:p>
        </w:tc>
        <w:tc>
          <w:tcPr>
            <w:tcW w:w="2336" w:type="dxa"/>
            <w:tcBorders>
              <w:top w:val="nil"/>
              <w:left w:val="nil"/>
              <w:bottom w:val="nil"/>
              <w:right w:val="nil"/>
            </w:tcBorders>
            <w:shd w:val="clear" w:color="auto" w:fill="auto"/>
          </w:tcPr>
          <w:p w:rsidR="001133C2" w:rsidRPr="00527E7D" w:rsidRDefault="001133C2" w:rsidP="001133C2">
            <w:pPr>
              <w:tabs>
                <w:tab w:val="decimal" w:pos="815"/>
              </w:tabs>
              <w:spacing w:before="60" w:after="60" w:line="240" w:lineRule="auto"/>
              <w:rPr>
                <w:rFonts w:ascii="Times New Roman" w:hAnsi="Times New Roman"/>
              </w:rPr>
            </w:pPr>
            <w:r w:rsidRPr="00527E7D">
              <w:rPr>
                <w:rFonts w:ascii="Times New Roman" w:hAnsi="Times New Roman"/>
              </w:rPr>
              <w:t>0.0011</w:t>
            </w:r>
          </w:p>
        </w:tc>
        <w:tc>
          <w:tcPr>
            <w:tcW w:w="2336" w:type="dxa"/>
            <w:tcBorders>
              <w:top w:val="nil"/>
              <w:left w:val="nil"/>
              <w:bottom w:val="nil"/>
              <w:right w:val="nil"/>
            </w:tcBorders>
            <w:shd w:val="clear" w:color="auto" w:fill="auto"/>
          </w:tcPr>
          <w:p w:rsidR="001133C2" w:rsidRPr="00527E7D" w:rsidRDefault="001133C2" w:rsidP="001133C2">
            <w:pPr>
              <w:tabs>
                <w:tab w:val="decimal" w:pos="879"/>
              </w:tabs>
              <w:spacing w:before="60" w:after="60" w:line="240" w:lineRule="auto"/>
              <w:rPr>
                <w:rFonts w:ascii="Times New Roman" w:hAnsi="Times New Roman"/>
              </w:rPr>
            </w:pPr>
            <w:r w:rsidRPr="00527E7D">
              <w:rPr>
                <w:rFonts w:ascii="Times New Roman" w:hAnsi="Times New Roman"/>
              </w:rPr>
              <w:t>0.0213</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color w:val="000000"/>
                <w:sz w:val="24"/>
                <w:szCs w:val="24"/>
                <w:lang w:val="en-US"/>
              </w:rPr>
            </w:pPr>
            <w:r w:rsidRPr="00527E7D">
              <w:rPr>
                <w:rFonts w:ascii="Times New Roman" w:hAnsi="Times New Roman"/>
                <w:color w:val="000000"/>
                <w:lang w:val="en-US"/>
              </w:rPr>
              <w:t>(</w:t>
            </w:r>
            <w:r w:rsidRPr="00527E7D">
              <w:rPr>
                <w:rFonts w:ascii="Times New Roman" w:hAnsi="Times New Roman"/>
                <w:i/>
                <w:color w:val="000000"/>
                <w:lang w:val="en-US"/>
              </w:rPr>
              <w:t>β</w:t>
            </w:r>
            <w:r w:rsidRPr="00527E7D">
              <w:rPr>
                <w:rFonts w:ascii="Times New Roman" w:hAnsi="Times New Roman"/>
                <w:i/>
                <w:color w:val="000000"/>
                <w:vertAlign w:val="subscript"/>
                <w:lang w:val="en-US"/>
              </w:rPr>
              <w:t xml:space="preserve"> 1</w:t>
            </w:r>
            <w:r w:rsidRPr="00527E7D">
              <w:rPr>
                <w:rFonts w:ascii="Times New Roman" w:hAnsi="Times New Roman"/>
                <w:i/>
                <w:color w:val="000000"/>
                <w:lang w:val="en-US"/>
              </w:rPr>
              <w:t>+ β</w:t>
            </w:r>
            <w:r w:rsidRPr="00527E7D">
              <w:rPr>
                <w:rFonts w:ascii="Times New Roman" w:hAnsi="Times New Roman"/>
                <w:i/>
                <w:color w:val="000000"/>
                <w:vertAlign w:val="subscript"/>
                <w:lang w:val="en-US"/>
              </w:rPr>
              <w:t xml:space="preserve"> 2</w:t>
            </w:r>
            <w:r w:rsidRPr="00527E7D">
              <w:rPr>
                <w:rFonts w:ascii="Times New Roman" w:hAnsi="Times New Roman"/>
                <w:color w:val="000000"/>
                <w:lang w:val="en-US"/>
              </w:rPr>
              <w:t>)</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-0.1315</w:t>
            </w:r>
          </w:p>
        </w:tc>
        <w:tc>
          <w:tcPr>
            <w:tcW w:w="2336" w:type="dxa"/>
            <w:tcBorders>
              <w:top w:val="nil"/>
              <w:left w:val="nil"/>
              <w:bottom w:val="nil"/>
              <w:right w:val="nil"/>
            </w:tcBorders>
            <w:shd w:val="clear" w:color="auto" w:fill="auto"/>
          </w:tcPr>
          <w:p w:rsidR="001133C2" w:rsidRPr="00527E7D" w:rsidRDefault="001133C2" w:rsidP="001133C2">
            <w:pPr>
              <w:tabs>
                <w:tab w:val="decimal" w:pos="815"/>
              </w:tabs>
              <w:spacing w:before="60" w:after="60" w:line="240" w:lineRule="auto"/>
              <w:rPr>
                <w:rFonts w:ascii="Times New Roman" w:hAnsi="Times New Roman"/>
              </w:rPr>
            </w:pPr>
            <w:r w:rsidRPr="00527E7D">
              <w:rPr>
                <w:rFonts w:ascii="Times New Roman" w:hAnsi="Times New Roman"/>
              </w:rPr>
              <w:t>-0.1860</w:t>
            </w:r>
          </w:p>
        </w:tc>
        <w:tc>
          <w:tcPr>
            <w:tcW w:w="2336" w:type="dxa"/>
            <w:tcBorders>
              <w:top w:val="nil"/>
              <w:left w:val="nil"/>
              <w:bottom w:val="nil"/>
              <w:right w:val="nil"/>
            </w:tcBorders>
            <w:shd w:val="clear" w:color="auto" w:fill="auto"/>
          </w:tcPr>
          <w:p w:rsidR="001133C2" w:rsidRPr="00527E7D" w:rsidRDefault="001133C2" w:rsidP="001133C2">
            <w:pPr>
              <w:tabs>
                <w:tab w:val="decimal" w:pos="879"/>
              </w:tabs>
              <w:spacing w:before="60" w:after="60" w:line="240" w:lineRule="auto"/>
              <w:rPr>
                <w:rFonts w:ascii="Times New Roman" w:hAnsi="Times New Roman"/>
              </w:rPr>
            </w:pPr>
            <w:r w:rsidRPr="00527E7D">
              <w:rPr>
                <w:rFonts w:ascii="Times New Roman" w:hAnsi="Times New Roman"/>
              </w:rPr>
              <w:t>-0.1168</w:t>
            </w:r>
          </w:p>
        </w:tc>
      </w:tr>
      <w:tr w:rsidR="001133C2" w:rsidRPr="00527E7D" w:rsidTr="001133C2">
        <w:tc>
          <w:tcPr>
            <w:tcW w:w="2235" w:type="dxa"/>
            <w:tcBorders>
              <w:top w:val="nil"/>
              <w:left w:val="nil"/>
              <w:bottom w:val="double" w:sz="4" w:space="0" w:color="auto"/>
              <w:right w:val="nil"/>
            </w:tcBorders>
            <w:shd w:val="clear" w:color="auto" w:fill="auto"/>
          </w:tcPr>
          <w:p w:rsidR="001133C2" w:rsidRPr="00527E7D" w:rsidRDefault="001133C2" w:rsidP="001133C2">
            <w:pPr>
              <w:spacing w:before="60" w:after="60" w:line="240" w:lineRule="auto"/>
              <w:rPr>
                <w:rFonts w:ascii="Times New Roman" w:hAnsi="Times New Roman"/>
              </w:rPr>
            </w:pPr>
            <w:r>
              <w:rPr>
                <w:rFonts w:ascii="Times New Roman" w:hAnsi="Times New Roman"/>
              </w:rPr>
              <w:t>Safe Ha</w:t>
            </w:r>
            <w:r w:rsidRPr="00527E7D">
              <w:rPr>
                <w:rFonts w:ascii="Times New Roman" w:hAnsi="Times New Roman"/>
              </w:rPr>
              <w:t>ven</w:t>
            </w:r>
            <w:r w:rsidRPr="00527E7D">
              <w:rPr>
                <w:rFonts w:ascii="Times New Roman" w:hAnsi="Times New Roman"/>
                <w:i/>
              </w:rPr>
              <w:t xml:space="preserve"> p</w:t>
            </w:r>
            <w:r w:rsidRPr="00527E7D">
              <w:rPr>
                <w:rFonts w:ascii="Times New Roman" w:hAnsi="Times New Roman"/>
              </w:rPr>
              <w:t>-value</w:t>
            </w:r>
          </w:p>
        </w:tc>
        <w:tc>
          <w:tcPr>
            <w:tcW w:w="2335" w:type="dxa"/>
            <w:gridSpan w:val="2"/>
            <w:tcBorders>
              <w:top w:val="nil"/>
              <w:left w:val="nil"/>
              <w:bottom w:val="double" w:sz="4" w:space="0" w:color="auto"/>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0.9997</w:t>
            </w:r>
          </w:p>
        </w:tc>
        <w:tc>
          <w:tcPr>
            <w:tcW w:w="2336" w:type="dxa"/>
            <w:tcBorders>
              <w:top w:val="nil"/>
              <w:left w:val="nil"/>
              <w:bottom w:val="double" w:sz="4" w:space="0" w:color="auto"/>
              <w:right w:val="nil"/>
            </w:tcBorders>
            <w:shd w:val="clear" w:color="auto" w:fill="auto"/>
          </w:tcPr>
          <w:p w:rsidR="001133C2" w:rsidRPr="00527E7D" w:rsidRDefault="001133C2" w:rsidP="001133C2">
            <w:pPr>
              <w:tabs>
                <w:tab w:val="decimal" w:pos="815"/>
              </w:tabs>
              <w:spacing w:before="60" w:after="60" w:line="240" w:lineRule="auto"/>
              <w:rPr>
                <w:rFonts w:ascii="Times New Roman" w:hAnsi="Times New Roman"/>
              </w:rPr>
            </w:pPr>
            <w:r w:rsidRPr="00527E7D">
              <w:rPr>
                <w:rFonts w:ascii="Times New Roman" w:hAnsi="Times New Roman"/>
              </w:rPr>
              <w:t>0.9999</w:t>
            </w:r>
          </w:p>
        </w:tc>
        <w:tc>
          <w:tcPr>
            <w:tcW w:w="2336" w:type="dxa"/>
            <w:tcBorders>
              <w:top w:val="nil"/>
              <w:left w:val="nil"/>
              <w:bottom w:val="double" w:sz="4" w:space="0" w:color="auto"/>
              <w:right w:val="nil"/>
            </w:tcBorders>
            <w:shd w:val="clear" w:color="auto" w:fill="auto"/>
          </w:tcPr>
          <w:p w:rsidR="001133C2" w:rsidRPr="00527E7D" w:rsidRDefault="001133C2" w:rsidP="001133C2">
            <w:pPr>
              <w:tabs>
                <w:tab w:val="decimal" w:pos="879"/>
              </w:tabs>
              <w:spacing w:before="60" w:after="60" w:line="240" w:lineRule="auto"/>
              <w:rPr>
                <w:rFonts w:ascii="Times New Roman" w:hAnsi="Times New Roman"/>
              </w:rPr>
            </w:pPr>
            <w:r w:rsidRPr="00527E7D">
              <w:rPr>
                <w:rFonts w:ascii="Times New Roman" w:hAnsi="Times New Roman"/>
              </w:rPr>
              <w:t>0.9946</w:t>
            </w:r>
          </w:p>
        </w:tc>
      </w:tr>
    </w:tbl>
    <w:p w:rsidR="001133C2" w:rsidRDefault="001133C2" w:rsidP="001133C2">
      <w:pPr>
        <w:spacing w:before="120" w:after="120" w:line="360" w:lineRule="auto"/>
        <w:ind w:left="426" w:hanging="426"/>
        <w:jc w:val="both"/>
        <w:rPr>
          <w:rFonts w:ascii="Times New Roman" w:hAnsi="Times New Roman"/>
          <w:sz w:val="20"/>
          <w:szCs w:val="20"/>
        </w:rPr>
      </w:pPr>
    </w:p>
    <w:p w:rsidR="001133C2" w:rsidRDefault="001133C2" w:rsidP="001133C2">
      <w:pPr>
        <w:jc w:val="center"/>
        <w:rPr>
          <w:rFonts w:ascii="Times New Roman" w:hAnsi="Times New Roman"/>
          <w:b/>
          <w:sz w:val="24"/>
          <w:szCs w:val="24"/>
        </w:rPr>
      </w:pPr>
      <w:r w:rsidRPr="00A1155D">
        <w:rPr>
          <w:rFonts w:ascii="Times New Roman" w:hAnsi="Times New Roman"/>
          <w:b/>
          <w:sz w:val="24"/>
          <w:szCs w:val="24"/>
        </w:rPr>
        <w:lastRenderedPageBreak/>
        <w:t xml:space="preserve">Table </w:t>
      </w:r>
      <w:r>
        <w:rPr>
          <w:rFonts w:ascii="Times New Roman" w:hAnsi="Times New Roman"/>
          <w:b/>
          <w:sz w:val="24"/>
          <w:szCs w:val="24"/>
        </w:rPr>
        <w:t>VI</w:t>
      </w:r>
    </w:p>
    <w:p w:rsidR="001133C2" w:rsidRPr="00BF76B7" w:rsidRDefault="001133C2" w:rsidP="001133C2">
      <w:pPr>
        <w:jc w:val="center"/>
        <w:rPr>
          <w:rFonts w:ascii="Times New Roman" w:eastAsia="Calibri" w:hAnsi="Times New Roman"/>
          <w:b/>
          <w:sz w:val="24"/>
          <w:szCs w:val="24"/>
          <w:lang w:eastAsia="en-US"/>
        </w:rPr>
      </w:pPr>
      <w:r w:rsidRPr="00BF76B7">
        <w:rPr>
          <w:rFonts w:ascii="Times New Roman" w:eastAsia="Calibri" w:hAnsi="Times New Roman"/>
          <w:b/>
          <w:sz w:val="24"/>
          <w:szCs w:val="24"/>
          <w:lang w:eastAsia="en-US"/>
        </w:rPr>
        <w:t>Pearson Correlations</w:t>
      </w:r>
    </w:p>
    <w:p w:rsidR="001133C2" w:rsidRPr="00470E8F" w:rsidRDefault="001133C2" w:rsidP="001133C2">
      <w:pPr>
        <w:ind w:left="709" w:right="662"/>
        <w:jc w:val="both"/>
        <w:rPr>
          <w:rFonts w:ascii="Times New Roman" w:eastAsia="Calibri" w:hAnsi="Times New Roman"/>
          <w:b/>
          <w:sz w:val="24"/>
          <w:szCs w:val="24"/>
          <w:lang w:val="en-US" w:eastAsia="en-US"/>
        </w:rPr>
      </w:pPr>
      <w:r w:rsidRPr="00470E8F">
        <w:rPr>
          <w:rFonts w:ascii="Times New Roman" w:eastAsia="Calibri" w:hAnsi="Times New Roman"/>
          <w:sz w:val="20"/>
          <w:szCs w:val="20"/>
          <w:lang w:val="en-US" w:eastAsia="en-US"/>
        </w:rPr>
        <w:t>Panel A reports Pearson correlations between asset classes during the (-50</w:t>
      </w:r>
      <w:proofErr w:type="gramStart"/>
      <w:r w:rsidRPr="00470E8F">
        <w:rPr>
          <w:rFonts w:ascii="Times New Roman" w:eastAsia="Calibri" w:hAnsi="Times New Roman"/>
          <w:sz w:val="20"/>
          <w:szCs w:val="20"/>
          <w:lang w:val="en-US" w:eastAsia="en-US"/>
        </w:rPr>
        <w:t>,50</w:t>
      </w:r>
      <w:proofErr w:type="gramEnd"/>
      <w:r w:rsidRPr="00470E8F">
        <w:rPr>
          <w:rFonts w:ascii="Times New Roman" w:eastAsia="Calibri" w:hAnsi="Times New Roman"/>
          <w:sz w:val="20"/>
          <w:szCs w:val="20"/>
          <w:lang w:val="en-US" w:eastAsia="en-US"/>
        </w:rPr>
        <w:t xml:space="preserve">) event windows for 43 wars which occurred between January 1987 and December 2007, while Panel B presents the correlations during (-50,50) event windows for 64 intense international conflicts.  Correlations coefficients corresponding to World Government Bond Index in Panel A and Panel B are measured for the same window length but for the 21 wars and 32 international conflicts occurring between January 1995 and December 2007. </w:t>
      </w:r>
      <w:proofErr w:type="gramStart"/>
      <w:r w:rsidRPr="00470E8F">
        <w:rPr>
          <w:rFonts w:ascii="Times New Roman" w:eastAsia="Calibri" w:hAnsi="Times New Roman"/>
          <w:i/>
          <w:sz w:val="20"/>
          <w:szCs w:val="20"/>
          <w:lang w:val="en-US" w:eastAsia="en-US"/>
        </w:rPr>
        <w:t>p</w:t>
      </w:r>
      <w:r w:rsidRPr="00470E8F">
        <w:rPr>
          <w:rFonts w:ascii="Times New Roman" w:eastAsia="Calibri" w:hAnsi="Times New Roman"/>
          <w:sz w:val="20"/>
          <w:szCs w:val="20"/>
          <w:lang w:val="en-US" w:eastAsia="en-US"/>
        </w:rPr>
        <w:t>-values</w:t>
      </w:r>
      <w:proofErr w:type="gramEnd"/>
      <w:r w:rsidRPr="00470E8F">
        <w:rPr>
          <w:rFonts w:ascii="Times New Roman" w:eastAsia="Calibri" w:hAnsi="Times New Roman"/>
          <w:sz w:val="20"/>
          <w:szCs w:val="20"/>
          <w:lang w:val="en-US" w:eastAsia="en-US"/>
        </w:rPr>
        <w:t xml:space="preserve"> for the correlation coefficients are given in parentheses. </w:t>
      </w:r>
    </w:p>
    <w:tbl>
      <w:tblPr>
        <w:tblW w:w="7628" w:type="dxa"/>
        <w:jc w:val="center"/>
        <w:tblLook w:val="04A0" w:firstRow="1" w:lastRow="0" w:firstColumn="1" w:lastColumn="0" w:noHBand="0" w:noVBand="1"/>
      </w:tblPr>
      <w:tblGrid>
        <w:gridCol w:w="3814"/>
        <w:gridCol w:w="23"/>
        <w:gridCol w:w="3791"/>
      </w:tblGrid>
      <w:tr w:rsidR="001133C2" w:rsidRPr="00527E7D" w:rsidTr="001133C2">
        <w:trPr>
          <w:trHeight w:val="424"/>
          <w:jc w:val="center"/>
        </w:trPr>
        <w:tc>
          <w:tcPr>
            <w:tcW w:w="7628" w:type="dxa"/>
            <w:gridSpan w:val="3"/>
            <w:tcBorders>
              <w:top w:val="doub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after="0" w:line="240" w:lineRule="auto"/>
              <w:rPr>
                <w:rFonts w:ascii="Times New Roman" w:hAnsi="Times New Roman"/>
                <w:sz w:val="20"/>
                <w:szCs w:val="20"/>
              </w:rPr>
            </w:pPr>
            <w:r w:rsidRPr="00527E7D">
              <w:rPr>
                <w:rFonts w:ascii="Times New Roman" w:hAnsi="Times New Roman"/>
                <w:b/>
              </w:rPr>
              <w:t>Panel A. Pearson Correlations during the Instances of War</w:t>
            </w:r>
          </w:p>
        </w:tc>
      </w:tr>
      <w:tr w:rsidR="001133C2" w:rsidRPr="00527E7D" w:rsidTr="001133C2">
        <w:trPr>
          <w:jc w:val="center"/>
        </w:trPr>
        <w:tc>
          <w:tcPr>
            <w:tcW w:w="3814" w:type="dxa"/>
            <w:tcBorders>
              <w:top w:val="single" w:sz="4" w:space="0" w:color="auto"/>
            </w:tcBorders>
            <w:shd w:val="clear" w:color="auto" w:fill="auto"/>
          </w:tcPr>
          <w:p w:rsidR="001133C2" w:rsidRPr="00527E7D" w:rsidRDefault="001133C2" w:rsidP="001133C2">
            <w:pPr>
              <w:autoSpaceDE w:val="0"/>
              <w:autoSpaceDN w:val="0"/>
              <w:adjustRightInd w:val="0"/>
              <w:spacing w:after="0" w:line="240" w:lineRule="auto"/>
              <w:rPr>
                <w:rFonts w:ascii="Times New Roman" w:hAnsi="Times New Roman"/>
                <w:sz w:val="20"/>
                <w:szCs w:val="20"/>
              </w:rPr>
            </w:pPr>
          </w:p>
        </w:tc>
        <w:tc>
          <w:tcPr>
            <w:tcW w:w="3814" w:type="dxa"/>
            <w:gridSpan w:val="2"/>
            <w:tcBorders>
              <w:top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sz w:val="20"/>
                <w:szCs w:val="20"/>
              </w:rPr>
            </w:pPr>
            <w:r w:rsidRPr="00527E7D">
              <w:rPr>
                <w:rFonts w:ascii="Times New Roman" w:hAnsi="Times New Roman"/>
              </w:rPr>
              <w:t>Pearson Correlation</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S&amp;P 500</w:t>
            </w:r>
          </w:p>
        </w:tc>
        <w:tc>
          <w:tcPr>
            <w:tcW w:w="3791" w:type="dxa"/>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-0.0574</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(0.0000)</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MSCI</w:t>
            </w:r>
          </w:p>
        </w:tc>
        <w:tc>
          <w:tcPr>
            <w:tcW w:w="3791" w:type="dxa"/>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-0.0678</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(0.0000)</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MSCI World excl. U.S.</w:t>
            </w:r>
          </w:p>
        </w:tc>
        <w:tc>
          <w:tcPr>
            <w:tcW w:w="3791" w:type="dxa"/>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-0.0543</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(0.0001)</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S&amp;P 500</w:t>
            </w:r>
          </w:p>
        </w:tc>
        <w:tc>
          <w:tcPr>
            <w:tcW w:w="3791" w:type="dxa"/>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-0.1502</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(0.0000)</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MSCI</w:t>
            </w:r>
          </w:p>
        </w:tc>
        <w:tc>
          <w:tcPr>
            <w:tcW w:w="3791" w:type="dxa"/>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-0.2478</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(0.0000)</w:t>
            </w:r>
          </w:p>
        </w:tc>
      </w:tr>
      <w:tr w:rsidR="001133C2" w:rsidRPr="00527E7D" w:rsidTr="001133C2">
        <w:trPr>
          <w:jc w:val="center"/>
        </w:trPr>
        <w:tc>
          <w:tcPr>
            <w:tcW w:w="3837" w:type="dxa"/>
            <w:gridSpan w:val="2"/>
            <w:tcBorders>
              <w:bottom w:val="single" w:sz="4" w:space="0" w:color="auto"/>
            </w:tcBorders>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MSCI World excl. U.S.</w:t>
            </w:r>
          </w:p>
        </w:tc>
        <w:tc>
          <w:tcPr>
            <w:tcW w:w="3791" w:type="dxa"/>
            <w:tcBorders>
              <w:bottom w:val="single" w:sz="4" w:space="0" w:color="auto"/>
            </w:tcBorders>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-0.2889</w:t>
            </w:r>
          </w:p>
          <w:p w:rsidR="001133C2" w:rsidRPr="00527E7D" w:rsidRDefault="001133C2" w:rsidP="001133C2">
            <w:pPr>
              <w:autoSpaceDE w:val="0"/>
              <w:autoSpaceDN w:val="0"/>
              <w:adjustRightInd w:val="0"/>
              <w:spacing w:after="60" w:line="240" w:lineRule="auto"/>
              <w:jc w:val="center"/>
              <w:rPr>
                <w:rFonts w:ascii="Times New Roman" w:hAnsi="Times New Roman"/>
              </w:rPr>
            </w:pPr>
            <w:r w:rsidRPr="00527E7D">
              <w:rPr>
                <w:rFonts w:ascii="Times New Roman" w:hAnsi="Times New Roman"/>
                <w:i/>
              </w:rPr>
              <w:t>(0.0000)</w:t>
            </w:r>
          </w:p>
        </w:tc>
      </w:tr>
      <w:tr w:rsidR="001133C2" w:rsidRPr="00527E7D" w:rsidTr="001133C2">
        <w:trPr>
          <w:trHeight w:val="509"/>
          <w:jc w:val="center"/>
        </w:trPr>
        <w:tc>
          <w:tcPr>
            <w:tcW w:w="7628" w:type="dxa"/>
            <w:gridSpan w:val="3"/>
            <w:tcBorders>
              <w:top w:val="sing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after="0" w:line="240" w:lineRule="auto"/>
              <w:rPr>
                <w:rFonts w:ascii="Times New Roman" w:hAnsi="Times New Roman"/>
                <w:sz w:val="20"/>
                <w:szCs w:val="20"/>
              </w:rPr>
            </w:pPr>
            <w:r w:rsidRPr="00527E7D">
              <w:rPr>
                <w:rFonts w:ascii="Times New Roman" w:hAnsi="Times New Roman"/>
                <w:b/>
              </w:rPr>
              <w:t>Panel B. Pearson Correlations during Instances of International Crisis</w:t>
            </w:r>
          </w:p>
        </w:tc>
      </w:tr>
      <w:tr w:rsidR="001133C2" w:rsidRPr="00527E7D" w:rsidTr="001133C2">
        <w:trPr>
          <w:jc w:val="center"/>
        </w:trPr>
        <w:tc>
          <w:tcPr>
            <w:tcW w:w="3814" w:type="dxa"/>
            <w:tcBorders>
              <w:top w:val="single" w:sz="4" w:space="0" w:color="auto"/>
            </w:tcBorders>
            <w:shd w:val="clear" w:color="auto" w:fill="auto"/>
          </w:tcPr>
          <w:p w:rsidR="001133C2" w:rsidRPr="00527E7D" w:rsidRDefault="001133C2" w:rsidP="001133C2">
            <w:pPr>
              <w:autoSpaceDE w:val="0"/>
              <w:autoSpaceDN w:val="0"/>
              <w:adjustRightInd w:val="0"/>
              <w:spacing w:after="0" w:line="240" w:lineRule="auto"/>
              <w:rPr>
                <w:rFonts w:ascii="Times New Roman" w:hAnsi="Times New Roman"/>
                <w:sz w:val="20"/>
                <w:szCs w:val="20"/>
              </w:rPr>
            </w:pPr>
          </w:p>
        </w:tc>
        <w:tc>
          <w:tcPr>
            <w:tcW w:w="3814" w:type="dxa"/>
            <w:gridSpan w:val="2"/>
            <w:tcBorders>
              <w:top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sz w:val="20"/>
                <w:szCs w:val="20"/>
              </w:rPr>
            </w:pPr>
            <w:r w:rsidRPr="00527E7D">
              <w:rPr>
                <w:rFonts w:ascii="Times New Roman" w:hAnsi="Times New Roman"/>
              </w:rPr>
              <w:t>Pearson Correlation</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S&amp;P 500</w:t>
            </w:r>
          </w:p>
        </w:tc>
        <w:tc>
          <w:tcPr>
            <w:tcW w:w="3791" w:type="dxa"/>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-0.0589</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(0.0000)</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MSCI</w:t>
            </w:r>
          </w:p>
        </w:tc>
        <w:tc>
          <w:tcPr>
            <w:tcW w:w="3791" w:type="dxa"/>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-0.0626</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(0.0000)</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MSCI World excl. U.S.</w:t>
            </w:r>
          </w:p>
        </w:tc>
        <w:tc>
          <w:tcPr>
            <w:tcW w:w="3791" w:type="dxa"/>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-0.0437</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(0.0012)</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S&amp;P 500</w:t>
            </w:r>
          </w:p>
        </w:tc>
        <w:tc>
          <w:tcPr>
            <w:tcW w:w="3791" w:type="dxa"/>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-0.1322</w:t>
            </w:r>
          </w:p>
          <w:p w:rsidR="001133C2" w:rsidRPr="00527E7D" w:rsidRDefault="001133C2" w:rsidP="001133C2">
            <w:pPr>
              <w:autoSpaceDE w:val="0"/>
              <w:autoSpaceDN w:val="0"/>
              <w:adjustRightInd w:val="0"/>
              <w:spacing w:after="60" w:line="240" w:lineRule="auto"/>
              <w:jc w:val="center"/>
              <w:rPr>
                <w:rFonts w:ascii="Times New Roman" w:hAnsi="Times New Roman"/>
              </w:rPr>
            </w:pPr>
            <w:r w:rsidRPr="00527E7D">
              <w:rPr>
                <w:rFonts w:ascii="Times New Roman" w:hAnsi="Times New Roman"/>
              </w:rPr>
              <w:t>(</w:t>
            </w:r>
            <w:r w:rsidRPr="00527E7D">
              <w:rPr>
                <w:rFonts w:ascii="Times New Roman" w:hAnsi="Times New Roman"/>
                <w:i/>
              </w:rPr>
              <w:t>0.0000</w:t>
            </w:r>
            <w:r w:rsidRPr="00527E7D">
              <w:rPr>
                <w:rFonts w:ascii="Times New Roman" w:hAnsi="Times New Roman"/>
              </w:rPr>
              <w:t>)</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MSCI</w:t>
            </w:r>
          </w:p>
        </w:tc>
        <w:tc>
          <w:tcPr>
            <w:tcW w:w="3791" w:type="dxa"/>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-0.2348</w:t>
            </w:r>
          </w:p>
          <w:p w:rsidR="001133C2" w:rsidRPr="00527E7D" w:rsidRDefault="001133C2" w:rsidP="001133C2">
            <w:pPr>
              <w:autoSpaceDE w:val="0"/>
              <w:autoSpaceDN w:val="0"/>
              <w:adjustRightInd w:val="0"/>
              <w:spacing w:after="60" w:line="240" w:lineRule="auto"/>
              <w:jc w:val="center"/>
              <w:rPr>
                <w:rFonts w:ascii="Times New Roman" w:hAnsi="Times New Roman"/>
              </w:rPr>
            </w:pPr>
            <w:r w:rsidRPr="00527E7D">
              <w:rPr>
                <w:rFonts w:ascii="Times New Roman" w:hAnsi="Times New Roman"/>
              </w:rPr>
              <w:t>(</w:t>
            </w:r>
            <w:r w:rsidRPr="00527E7D">
              <w:rPr>
                <w:rFonts w:ascii="Times New Roman" w:hAnsi="Times New Roman"/>
                <w:i/>
              </w:rPr>
              <w:t>0.0000</w:t>
            </w:r>
            <w:r w:rsidRPr="00527E7D">
              <w:rPr>
                <w:rFonts w:ascii="Times New Roman" w:hAnsi="Times New Roman"/>
              </w:rPr>
              <w:t>)</w:t>
            </w:r>
          </w:p>
        </w:tc>
      </w:tr>
      <w:tr w:rsidR="001133C2" w:rsidRPr="00527E7D" w:rsidTr="001133C2">
        <w:trPr>
          <w:jc w:val="center"/>
        </w:trPr>
        <w:tc>
          <w:tcPr>
            <w:tcW w:w="3837" w:type="dxa"/>
            <w:gridSpan w:val="2"/>
            <w:tcBorders>
              <w:bottom w:val="double" w:sz="4" w:space="0" w:color="auto"/>
            </w:tcBorders>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MSCI World excl. U.S.</w:t>
            </w:r>
          </w:p>
        </w:tc>
        <w:tc>
          <w:tcPr>
            <w:tcW w:w="3791" w:type="dxa"/>
            <w:tcBorders>
              <w:bottom w:val="double" w:sz="4" w:space="0" w:color="auto"/>
            </w:tcBorders>
            <w:shd w:val="clear" w:color="auto" w:fill="auto"/>
          </w:tcPr>
          <w:p w:rsidR="001133C2" w:rsidRPr="00527E7D" w:rsidRDefault="001133C2" w:rsidP="001133C2">
            <w:pPr>
              <w:autoSpaceDE w:val="0"/>
              <w:autoSpaceDN w:val="0"/>
              <w:adjustRightInd w:val="0"/>
              <w:spacing w:before="60" w:after="0" w:line="240" w:lineRule="auto"/>
              <w:jc w:val="center"/>
              <w:rPr>
                <w:rFonts w:ascii="Times New Roman" w:hAnsi="Times New Roman"/>
              </w:rPr>
            </w:pPr>
            <w:r w:rsidRPr="00527E7D">
              <w:rPr>
                <w:rFonts w:ascii="Times New Roman" w:hAnsi="Times New Roman"/>
                <w:color w:val="000000"/>
              </w:rPr>
              <w:t>-0.2764</w:t>
            </w:r>
          </w:p>
          <w:p w:rsidR="001133C2" w:rsidRPr="00527E7D" w:rsidRDefault="001133C2" w:rsidP="001133C2">
            <w:pPr>
              <w:autoSpaceDE w:val="0"/>
              <w:autoSpaceDN w:val="0"/>
              <w:adjustRightInd w:val="0"/>
              <w:spacing w:after="60" w:line="240" w:lineRule="auto"/>
              <w:jc w:val="center"/>
              <w:rPr>
                <w:rFonts w:ascii="Times New Roman" w:hAnsi="Times New Roman"/>
              </w:rPr>
            </w:pPr>
            <w:r w:rsidRPr="00527E7D">
              <w:rPr>
                <w:rFonts w:ascii="Times New Roman" w:hAnsi="Times New Roman"/>
              </w:rPr>
              <w:t>(</w:t>
            </w:r>
            <w:r w:rsidRPr="00527E7D">
              <w:rPr>
                <w:rFonts w:ascii="Times New Roman" w:hAnsi="Times New Roman"/>
                <w:i/>
              </w:rPr>
              <w:t>0.0000</w:t>
            </w:r>
            <w:r w:rsidRPr="00527E7D">
              <w:rPr>
                <w:rFonts w:ascii="Times New Roman" w:hAnsi="Times New Roman"/>
              </w:rPr>
              <w:t>)</w:t>
            </w:r>
          </w:p>
        </w:tc>
      </w:tr>
    </w:tbl>
    <w:p w:rsidR="001133C2" w:rsidRPr="00A1155D" w:rsidRDefault="001133C2" w:rsidP="001133C2">
      <w:pPr>
        <w:jc w:val="center"/>
        <w:rPr>
          <w:rFonts w:ascii="Times New Roman" w:hAnsi="Times New Roman"/>
          <w:b/>
          <w:sz w:val="24"/>
          <w:szCs w:val="24"/>
        </w:rPr>
      </w:pPr>
    </w:p>
    <w:p w:rsidR="001133C2" w:rsidRDefault="001133C2" w:rsidP="001133C2">
      <w:pPr>
        <w:rPr>
          <w:rFonts w:ascii="Times New Roman" w:hAnsi="Times New Roman"/>
          <w:b/>
          <w:sz w:val="24"/>
          <w:szCs w:val="24"/>
        </w:rPr>
      </w:pPr>
      <w:r>
        <w:rPr>
          <w:rFonts w:ascii="Times New Roman" w:hAnsi="Times New Roman"/>
          <w:b/>
          <w:sz w:val="24"/>
          <w:szCs w:val="24"/>
        </w:rPr>
        <w:br w:type="page"/>
      </w:r>
    </w:p>
    <w:p w:rsidR="001133C2" w:rsidRDefault="001133C2" w:rsidP="001133C2">
      <w:pPr>
        <w:jc w:val="center"/>
        <w:rPr>
          <w:rFonts w:ascii="Times New Roman" w:hAnsi="Times New Roman"/>
          <w:b/>
          <w:sz w:val="24"/>
          <w:szCs w:val="24"/>
        </w:rPr>
      </w:pPr>
      <w:r w:rsidRPr="00A1155D">
        <w:rPr>
          <w:rFonts w:ascii="Times New Roman" w:hAnsi="Times New Roman"/>
          <w:b/>
          <w:sz w:val="24"/>
          <w:szCs w:val="24"/>
        </w:rPr>
        <w:lastRenderedPageBreak/>
        <w:t xml:space="preserve">Table </w:t>
      </w:r>
      <w:r>
        <w:rPr>
          <w:rFonts w:ascii="Times New Roman" w:hAnsi="Times New Roman"/>
          <w:b/>
          <w:sz w:val="24"/>
          <w:szCs w:val="24"/>
        </w:rPr>
        <w:t>VII</w:t>
      </w:r>
    </w:p>
    <w:p w:rsidR="001133C2" w:rsidRPr="00A1155D" w:rsidRDefault="001133C2" w:rsidP="001133C2">
      <w:pPr>
        <w:jc w:val="center"/>
        <w:rPr>
          <w:rFonts w:ascii="Times New Roman" w:hAnsi="Times New Roman"/>
          <w:b/>
          <w:sz w:val="24"/>
          <w:szCs w:val="24"/>
          <w:lang w:val="en-US"/>
        </w:rPr>
      </w:pPr>
      <w:r w:rsidRPr="00A1155D">
        <w:rPr>
          <w:rFonts w:ascii="Times New Roman" w:hAnsi="Times New Roman"/>
          <w:b/>
          <w:sz w:val="24"/>
          <w:szCs w:val="24"/>
          <w:lang w:val="en-US"/>
        </w:rPr>
        <w:t>Nonparametric Test</w:t>
      </w:r>
    </w:p>
    <w:p w:rsidR="001133C2" w:rsidRPr="00470E8F" w:rsidRDefault="001133C2" w:rsidP="001133C2">
      <w:pPr>
        <w:autoSpaceDE w:val="0"/>
        <w:autoSpaceDN w:val="0"/>
        <w:adjustRightInd w:val="0"/>
        <w:spacing w:after="0" w:line="240" w:lineRule="auto"/>
        <w:ind w:left="709" w:right="804"/>
        <w:jc w:val="both"/>
        <w:rPr>
          <w:rFonts w:ascii="Times New Roman" w:hAnsi="Times New Roman"/>
          <w:sz w:val="20"/>
          <w:szCs w:val="20"/>
          <w:lang w:val="en-US"/>
        </w:rPr>
      </w:pPr>
      <w:r w:rsidRPr="00470E8F">
        <w:rPr>
          <w:rFonts w:ascii="Times New Roman" w:hAnsi="Times New Roman"/>
          <w:sz w:val="20"/>
          <w:szCs w:val="20"/>
          <w:lang w:val="en-US"/>
        </w:rPr>
        <w:t xml:space="preserve">This table presents Kendall tau test results </w:t>
      </w:r>
      <w:r w:rsidR="00DF0582">
        <w:rPr>
          <w:rFonts w:ascii="Times New Roman" w:hAnsi="Times New Roman"/>
          <w:sz w:val="20"/>
          <w:szCs w:val="20"/>
          <w:lang w:val="en-US"/>
        </w:rPr>
        <w:t xml:space="preserve">based on the residual returns from an </w:t>
      </w:r>
      <w:proofErr w:type="gramStart"/>
      <w:r w:rsidR="00DF0582">
        <w:rPr>
          <w:rFonts w:ascii="Times New Roman" w:hAnsi="Times New Roman"/>
          <w:sz w:val="20"/>
          <w:szCs w:val="20"/>
          <w:lang w:val="en-US"/>
        </w:rPr>
        <w:t>ARMA(</w:t>
      </w:r>
      <w:proofErr w:type="gramEnd"/>
      <w:r w:rsidR="00DF0582">
        <w:rPr>
          <w:rFonts w:ascii="Times New Roman" w:hAnsi="Times New Roman"/>
          <w:sz w:val="20"/>
          <w:szCs w:val="20"/>
          <w:lang w:val="en-US"/>
        </w:rPr>
        <w:t xml:space="preserve">1,1) process for all the series under test </w:t>
      </w:r>
      <w:r w:rsidRPr="00470E8F">
        <w:rPr>
          <w:rFonts w:ascii="Times New Roman" w:hAnsi="Times New Roman"/>
          <w:sz w:val="20"/>
          <w:szCs w:val="20"/>
          <w:lang w:val="en-US"/>
        </w:rPr>
        <w:t xml:space="preserve">for the whole sample, in times of war and international crises. The calculations were performed only for days falling into the </w:t>
      </w:r>
      <w:r w:rsidRPr="00470E8F">
        <w:rPr>
          <w:rFonts w:ascii="Times New Roman" w:eastAsia="Calibri" w:hAnsi="Times New Roman"/>
          <w:sz w:val="20"/>
          <w:szCs w:val="20"/>
          <w:lang w:val="en-US" w:eastAsia="en-US"/>
        </w:rPr>
        <w:t>(-50</w:t>
      </w:r>
      <w:proofErr w:type="gramStart"/>
      <w:r w:rsidRPr="00470E8F">
        <w:rPr>
          <w:rFonts w:ascii="Times New Roman" w:eastAsia="Calibri" w:hAnsi="Times New Roman"/>
          <w:sz w:val="20"/>
          <w:szCs w:val="20"/>
          <w:lang w:val="en-US" w:eastAsia="en-US"/>
        </w:rPr>
        <w:t>,50</w:t>
      </w:r>
      <w:proofErr w:type="gramEnd"/>
      <w:r w:rsidRPr="00470E8F">
        <w:rPr>
          <w:rFonts w:ascii="Times New Roman" w:eastAsia="Calibri" w:hAnsi="Times New Roman"/>
          <w:sz w:val="20"/>
          <w:szCs w:val="20"/>
          <w:lang w:val="en-US" w:eastAsia="en-US"/>
        </w:rPr>
        <w:t>) event windows.</w:t>
      </w:r>
      <w:r w:rsidRPr="00470E8F">
        <w:rPr>
          <w:rFonts w:ascii="Times New Roman" w:hAnsi="Times New Roman"/>
          <w:sz w:val="20"/>
          <w:szCs w:val="20"/>
          <w:lang w:val="en-US"/>
        </w:rPr>
        <w:t xml:space="preserve"> The first column contains the names of </w:t>
      </w:r>
      <w:r w:rsidR="004F5957">
        <w:rPr>
          <w:rFonts w:ascii="Times New Roman" w:hAnsi="Times New Roman"/>
          <w:sz w:val="20"/>
          <w:szCs w:val="20"/>
          <w:lang w:val="en-US"/>
        </w:rPr>
        <w:t>the residual return series</w:t>
      </w:r>
      <w:r w:rsidR="004F5957" w:rsidRPr="00470E8F">
        <w:rPr>
          <w:rFonts w:ascii="Times New Roman" w:hAnsi="Times New Roman"/>
          <w:sz w:val="20"/>
          <w:szCs w:val="20"/>
          <w:lang w:val="en-US"/>
        </w:rPr>
        <w:t xml:space="preserve"> </w:t>
      </w:r>
      <w:r w:rsidRPr="00470E8F">
        <w:rPr>
          <w:rFonts w:ascii="Times New Roman" w:hAnsi="Times New Roman"/>
          <w:sz w:val="20"/>
          <w:szCs w:val="20"/>
          <w:lang w:val="en-US"/>
        </w:rPr>
        <w:t xml:space="preserve">for which the test was performed, while the second column reports the respective values of the Kendall tau statistic with the corresponding </w:t>
      </w:r>
      <w:r w:rsidRPr="00470E8F">
        <w:rPr>
          <w:rFonts w:ascii="Times New Roman" w:hAnsi="Times New Roman"/>
          <w:i/>
          <w:sz w:val="20"/>
          <w:szCs w:val="20"/>
          <w:lang w:val="en-US"/>
        </w:rPr>
        <w:t>p</w:t>
      </w:r>
      <w:r w:rsidRPr="00470E8F">
        <w:rPr>
          <w:rFonts w:ascii="Times New Roman" w:hAnsi="Times New Roman"/>
          <w:sz w:val="20"/>
          <w:szCs w:val="20"/>
          <w:lang w:val="en-US"/>
        </w:rPr>
        <w:t xml:space="preserve">-value in parentheses.  </w:t>
      </w:r>
    </w:p>
    <w:p w:rsidR="001133C2" w:rsidRPr="00A1155D" w:rsidRDefault="001133C2" w:rsidP="001133C2">
      <w:pPr>
        <w:autoSpaceDE w:val="0"/>
        <w:autoSpaceDN w:val="0"/>
        <w:adjustRightInd w:val="0"/>
        <w:spacing w:after="0" w:line="240" w:lineRule="auto"/>
        <w:ind w:right="-1440"/>
        <w:jc w:val="both"/>
        <w:rPr>
          <w:rFonts w:ascii="Times New Roman" w:hAnsi="Times New Roman"/>
          <w:sz w:val="20"/>
          <w:szCs w:val="20"/>
        </w:rPr>
      </w:pPr>
    </w:p>
    <w:tbl>
      <w:tblPr>
        <w:tblW w:w="7628" w:type="dxa"/>
        <w:jc w:val="center"/>
        <w:tblLook w:val="04A0" w:firstRow="1" w:lastRow="0" w:firstColumn="1" w:lastColumn="0" w:noHBand="0" w:noVBand="1"/>
      </w:tblPr>
      <w:tblGrid>
        <w:gridCol w:w="3814"/>
        <w:gridCol w:w="23"/>
        <w:gridCol w:w="3791"/>
      </w:tblGrid>
      <w:tr w:rsidR="001133C2" w:rsidRPr="00527E7D" w:rsidTr="001133C2">
        <w:trPr>
          <w:trHeight w:val="424"/>
          <w:jc w:val="center"/>
        </w:trPr>
        <w:tc>
          <w:tcPr>
            <w:tcW w:w="7628" w:type="dxa"/>
            <w:gridSpan w:val="3"/>
            <w:tcBorders>
              <w:top w:val="doub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after="0" w:line="240" w:lineRule="auto"/>
              <w:rPr>
                <w:rFonts w:ascii="Times New Roman" w:hAnsi="Times New Roman"/>
                <w:sz w:val="20"/>
                <w:szCs w:val="20"/>
              </w:rPr>
            </w:pPr>
            <w:r w:rsidRPr="00527E7D">
              <w:rPr>
                <w:rFonts w:ascii="Times New Roman" w:hAnsi="Times New Roman"/>
                <w:b/>
              </w:rPr>
              <w:t>Panel A. Kendall tau during the Instances of War</w:t>
            </w:r>
          </w:p>
        </w:tc>
      </w:tr>
      <w:tr w:rsidR="001133C2" w:rsidRPr="00527E7D" w:rsidTr="001133C2">
        <w:trPr>
          <w:jc w:val="center"/>
        </w:trPr>
        <w:tc>
          <w:tcPr>
            <w:tcW w:w="3814" w:type="dxa"/>
            <w:tcBorders>
              <w:top w:val="single" w:sz="4" w:space="0" w:color="auto"/>
            </w:tcBorders>
            <w:shd w:val="clear" w:color="auto" w:fill="auto"/>
          </w:tcPr>
          <w:p w:rsidR="001133C2" w:rsidRPr="00527E7D" w:rsidRDefault="001133C2" w:rsidP="001133C2">
            <w:pPr>
              <w:autoSpaceDE w:val="0"/>
              <w:autoSpaceDN w:val="0"/>
              <w:adjustRightInd w:val="0"/>
              <w:spacing w:after="0" w:line="240" w:lineRule="auto"/>
              <w:rPr>
                <w:rFonts w:ascii="Times New Roman" w:hAnsi="Times New Roman"/>
                <w:sz w:val="20"/>
                <w:szCs w:val="20"/>
              </w:rPr>
            </w:pPr>
          </w:p>
        </w:tc>
        <w:tc>
          <w:tcPr>
            <w:tcW w:w="3814" w:type="dxa"/>
            <w:gridSpan w:val="2"/>
            <w:tcBorders>
              <w:top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sz w:val="20"/>
                <w:szCs w:val="20"/>
              </w:rPr>
            </w:pPr>
            <w:r w:rsidRPr="00527E7D">
              <w:rPr>
                <w:rFonts w:ascii="Times New Roman" w:hAnsi="Times New Roman"/>
              </w:rPr>
              <w:t>Kendall tau</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S&amp;P 500</w:t>
            </w:r>
          </w:p>
        </w:tc>
        <w:tc>
          <w:tcPr>
            <w:tcW w:w="3791" w:type="dxa"/>
            <w:shd w:val="clear" w:color="auto" w:fill="auto"/>
          </w:tcPr>
          <w:p w:rsidR="001133C2" w:rsidRPr="00527E7D" w:rsidRDefault="00877C17" w:rsidP="001133C2">
            <w:pPr>
              <w:autoSpaceDE w:val="0"/>
              <w:autoSpaceDN w:val="0"/>
              <w:adjustRightInd w:val="0"/>
              <w:spacing w:before="60" w:after="0" w:line="240" w:lineRule="auto"/>
              <w:jc w:val="center"/>
              <w:rPr>
                <w:rFonts w:ascii="Times New Roman" w:hAnsi="Times New Roman"/>
              </w:rPr>
            </w:pPr>
            <w:r w:rsidRPr="00877C17">
              <w:rPr>
                <w:rFonts w:ascii="Times New Roman" w:hAnsi="Times New Roman"/>
              </w:rPr>
              <w:t>-0.0117</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w:t>
            </w:r>
            <w:r w:rsidR="00877C17" w:rsidRPr="00877C17">
              <w:rPr>
                <w:rFonts w:ascii="Times New Roman" w:hAnsi="Times New Roman"/>
                <w:i/>
              </w:rPr>
              <w:t>0.3450</w:t>
            </w:r>
            <w:r w:rsidRPr="00527E7D">
              <w:rPr>
                <w:rFonts w:ascii="Times New Roman" w:hAnsi="Times New Roman"/>
                <w:i/>
              </w:rPr>
              <w:t>)</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MSCI</w:t>
            </w:r>
          </w:p>
        </w:tc>
        <w:tc>
          <w:tcPr>
            <w:tcW w:w="3791" w:type="dxa"/>
            <w:shd w:val="clear" w:color="auto" w:fill="auto"/>
          </w:tcPr>
          <w:p w:rsidR="001133C2" w:rsidRPr="00527E7D" w:rsidRDefault="00877C17" w:rsidP="001133C2">
            <w:pPr>
              <w:autoSpaceDE w:val="0"/>
              <w:autoSpaceDN w:val="0"/>
              <w:adjustRightInd w:val="0"/>
              <w:spacing w:before="60" w:after="0" w:line="240" w:lineRule="auto"/>
              <w:jc w:val="center"/>
              <w:rPr>
                <w:rFonts w:ascii="Times New Roman" w:hAnsi="Times New Roman"/>
              </w:rPr>
            </w:pPr>
            <w:r w:rsidRPr="00877C17">
              <w:rPr>
                <w:rFonts w:ascii="Times New Roman" w:hAnsi="Times New Roman"/>
              </w:rPr>
              <w:t>-0.0035</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w:t>
            </w:r>
            <w:r w:rsidR="00877C17" w:rsidRPr="00877C17">
              <w:rPr>
                <w:rFonts w:ascii="Times New Roman" w:hAnsi="Times New Roman"/>
                <w:i/>
              </w:rPr>
              <w:t>0.7785</w:t>
            </w:r>
            <w:r w:rsidRPr="00527E7D">
              <w:rPr>
                <w:rFonts w:ascii="Times New Roman" w:hAnsi="Times New Roman"/>
                <w:i/>
              </w:rPr>
              <w:t>)</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MSCI World excl. U.S.</w:t>
            </w:r>
          </w:p>
        </w:tc>
        <w:tc>
          <w:tcPr>
            <w:tcW w:w="3791" w:type="dxa"/>
            <w:shd w:val="clear" w:color="auto" w:fill="auto"/>
          </w:tcPr>
          <w:p w:rsidR="001133C2" w:rsidRPr="00527E7D" w:rsidRDefault="00877C17" w:rsidP="001133C2">
            <w:pPr>
              <w:autoSpaceDE w:val="0"/>
              <w:autoSpaceDN w:val="0"/>
              <w:adjustRightInd w:val="0"/>
              <w:spacing w:before="60" w:after="0" w:line="240" w:lineRule="auto"/>
              <w:jc w:val="center"/>
              <w:rPr>
                <w:rFonts w:ascii="Times New Roman" w:hAnsi="Times New Roman"/>
              </w:rPr>
            </w:pPr>
            <w:r w:rsidRPr="00877C17">
              <w:rPr>
                <w:rFonts w:ascii="Times New Roman" w:hAnsi="Times New Roman"/>
              </w:rPr>
              <w:t>0.0087</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w:t>
            </w:r>
            <w:r w:rsidR="00877C17" w:rsidRPr="00877C17">
              <w:rPr>
                <w:rFonts w:ascii="Times New Roman" w:hAnsi="Times New Roman"/>
                <w:i/>
              </w:rPr>
              <w:t>0.4863</w:t>
            </w:r>
            <w:r w:rsidRPr="00527E7D">
              <w:rPr>
                <w:rFonts w:ascii="Times New Roman" w:hAnsi="Times New Roman"/>
                <w:i/>
              </w:rPr>
              <w:t>)</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S&amp;P 500</w:t>
            </w:r>
          </w:p>
        </w:tc>
        <w:tc>
          <w:tcPr>
            <w:tcW w:w="3791" w:type="dxa"/>
            <w:shd w:val="clear" w:color="auto" w:fill="auto"/>
          </w:tcPr>
          <w:p w:rsidR="001133C2" w:rsidRPr="00527E7D" w:rsidRDefault="00486EAA" w:rsidP="001133C2">
            <w:pPr>
              <w:autoSpaceDE w:val="0"/>
              <w:autoSpaceDN w:val="0"/>
              <w:adjustRightInd w:val="0"/>
              <w:spacing w:before="60" w:after="0" w:line="240" w:lineRule="auto"/>
              <w:jc w:val="center"/>
              <w:rPr>
                <w:rFonts w:ascii="Times New Roman" w:hAnsi="Times New Roman"/>
              </w:rPr>
            </w:pPr>
            <w:r w:rsidRPr="00486EAA">
              <w:rPr>
                <w:rFonts w:ascii="Times New Roman" w:hAnsi="Times New Roman"/>
              </w:rPr>
              <w:t>-0.0646</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(0.0001)</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MSCI</w:t>
            </w:r>
          </w:p>
        </w:tc>
        <w:tc>
          <w:tcPr>
            <w:tcW w:w="3791" w:type="dxa"/>
            <w:shd w:val="clear" w:color="auto" w:fill="auto"/>
          </w:tcPr>
          <w:p w:rsidR="001133C2" w:rsidRPr="00527E7D" w:rsidRDefault="00486EAA" w:rsidP="001133C2">
            <w:pPr>
              <w:autoSpaceDE w:val="0"/>
              <w:autoSpaceDN w:val="0"/>
              <w:adjustRightInd w:val="0"/>
              <w:spacing w:before="60" w:after="0" w:line="240" w:lineRule="auto"/>
              <w:jc w:val="center"/>
              <w:rPr>
                <w:rFonts w:ascii="Times New Roman" w:hAnsi="Times New Roman"/>
              </w:rPr>
            </w:pPr>
            <w:r w:rsidRPr="00486EAA">
              <w:rPr>
                <w:rFonts w:ascii="Times New Roman" w:hAnsi="Times New Roman"/>
              </w:rPr>
              <w:t>-0.1185</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(0.0000)</w:t>
            </w:r>
          </w:p>
        </w:tc>
      </w:tr>
      <w:tr w:rsidR="001133C2" w:rsidRPr="00527E7D" w:rsidTr="001133C2">
        <w:trPr>
          <w:jc w:val="center"/>
        </w:trPr>
        <w:tc>
          <w:tcPr>
            <w:tcW w:w="3837" w:type="dxa"/>
            <w:gridSpan w:val="2"/>
            <w:tcBorders>
              <w:bottom w:val="single" w:sz="4" w:space="0" w:color="auto"/>
            </w:tcBorders>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MSCI World excl. U.S.</w:t>
            </w:r>
          </w:p>
        </w:tc>
        <w:tc>
          <w:tcPr>
            <w:tcW w:w="3791" w:type="dxa"/>
            <w:tcBorders>
              <w:bottom w:val="single" w:sz="4" w:space="0" w:color="auto"/>
            </w:tcBorders>
            <w:shd w:val="clear" w:color="auto" w:fill="auto"/>
          </w:tcPr>
          <w:p w:rsidR="001133C2" w:rsidRPr="00527E7D" w:rsidRDefault="00486EAA" w:rsidP="001133C2">
            <w:pPr>
              <w:autoSpaceDE w:val="0"/>
              <w:autoSpaceDN w:val="0"/>
              <w:adjustRightInd w:val="0"/>
              <w:spacing w:before="60" w:after="0" w:line="240" w:lineRule="auto"/>
              <w:jc w:val="center"/>
              <w:rPr>
                <w:rFonts w:ascii="Times New Roman" w:hAnsi="Times New Roman"/>
              </w:rPr>
            </w:pPr>
            <w:r w:rsidRPr="00486EAA">
              <w:rPr>
                <w:rFonts w:ascii="Times New Roman" w:hAnsi="Times New Roman"/>
              </w:rPr>
              <w:t>-0.1602</w:t>
            </w:r>
          </w:p>
          <w:p w:rsidR="001133C2" w:rsidRPr="00527E7D" w:rsidRDefault="001133C2" w:rsidP="001133C2">
            <w:pPr>
              <w:autoSpaceDE w:val="0"/>
              <w:autoSpaceDN w:val="0"/>
              <w:adjustRightInd w:val="0"/>
              <w:spacing w:after="60" w:line="240" w:lineRule="auto"/>
              <w:jc w:val="center"/>
              <w:rPr>
                <w:rFonts w:ascii="Times New Roman" w:hAnsi="Times New Roman"/>
              </w:rPr>
            </w:pPr>
            <w:r w:rsidRPr="00527E7D">
              <w:rPr>
                <w:rFonts w:ascii="Times New Roman" w:hAnsi="Times New Roman"/>
                <w:i/>
              </w:rPr>
              <w:t>(0.0000)</w:t>
            </w:r>
          </w:p>
        </w:tc>
      </w:tr>
      <w:tr w:rsidR="001133C2" w:rsidRPr="00527E7D" w:rsidTr="001133C2">
        <w:trPr>
          <w:trHeight w:val="509"/>
          <w:jc w:val="center"/>
        </w:trPr>
        <w:tc>
          <w:tcPr>
            <w:tcW w:w="7628" w:type="dxa"/>
            <w:gridSpan w:val="3"/>
            <w:tcBorders>
              <w:top w:val="single" w:sz="4" w:space="0" w:color="auto"/>
              <w:bottom w:val="single" w:sz="4" w:space="0" w:color="auto"/>
            </w:tcBorders>
            <w:shd w:val="clear" w:color="auto" w:fill="auto"/>
            <w:vAlign w:val="center"/>
          </w:tcPr>
          <w:p w:rsidR="001133C2" w:rsidRPr="00527E7D" w:rsidRDefault="001133C2" w:rsidP="001133C2">
            <w:pPr>
              <w:autoSpaceDE w:val="0"/>
              <w:autoSpaceDN w:val="0"/>
              <w:adjustRightInd w:val="0"/>
              <w:spacing w:after="0" w:line="240" w:lineRule="auto"/>
              <w:rPr>
                <w:rFonts w:ascii="Times New Roman" w:hAnsi="Times New Roman"/>
                <w:sz w:val="20"/>
                <w:szCs w:val="20"/>
              </w:rPr>
            </w:pPr>
            <w:r w:rsidRPr="00527E7D">
              <w:rPr>
                <w:rFonts w:ascii="Times New Roman" w:hAnsi="Times New Roman"/>
                <w:b/>
              </w:rPr>
              <w:t>Panel B. Kendall tau during the Instances of International Crisis</w:t>
            </w:r>
          </w:p>
        </w:tc>
      </w:tr>
      <w:tr w:rsidR="001133C2" w:rsidRPr="00527E7D" w:rsidTr="001133C2">
        <w:trPr>
          <w:jc w:val="center"/>
        </w:trPr>
        <w:tc>
          <w:tcPr>
            <w:tcW w:w="3814" w:type="dxa"/>
            <w:tcBorders>
              <w:top w:val="single" w:sz="4" w:space="0" w:color="auto"/>
            </w:tcBorders>
            <w:shd w:val="clear" w:color="auto" w:fill="auto"/>
          </w:tcPr>
          <w:p w:rsidR="001133C2" w:rsidRPr="00527E7D" w:rsidRDefault="001133C2" w:rsidP="001133C2">
            <w:pPr>
              <w:autoSpaceDE w:val="0"/>
              <w:autoSpaceDN w:val="0"/>
              <w:adjustRightInd w:val="0"/>
              <w:spacing w:after="0" w:line="240" w:lineRule="auto"/>
              <w:rPr>
                <w:rFonts w:ascii="Times New Roman" w:hAnsi="Times New Roman"/>
                <w:sz w:val="20"/>
                <w:szCs w:val="20"/>
              </w:rPr>
            </w:pPr>
          </w:p>
        </w:tc>
        <w:tc>
          <w:tcPr>
            <w:tcW w:w="3814" w:type="dxa"/>
            <w:gridSpan w:val="2"/>
            <w:tcBorders>
              <w:top w:val="single" w:sz="4" w:space="0" w:color="auto"/>
            </w:tcBorders>
            <w:shd w:val="clear" w:color="auto" w:fill="auto"/>
          </w:tcPr>
          <w:p w:rsidR="001133C2" w:rsidRPr="00527E7D" w:rsidRDefault="001133C2" w:rsidP="001133C2">
            <w:pPr>
              <w:autoSpaceDE w:val="0"/>
              <w:autoSpaceDN w:val="0"/>
              <w:adjustRightInd w:val="0"/>
              <w:spacing w:before="60" w:after="60" w:line="240" w:lineRule="auto"/>
              <w:jc w:val="center"/>
              <w:rPr>
                <w:rFonts w:ascii="Times New Roman" w:hAnsi="Times New Roman"/>
                <w:sz w:val="20"/>
                <w:szCs w:val="20"/>
              </w:rPr>
            </w:pPr>
            <w:r w:rsidRPr="00527E7D">
              <w:rPr>
                <w:rFonts w:ascii="Times New Roman" w:hAnsi="Times New Roman"/>
              </w:rPr>
              <w:t>Kendall tau</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S&amp;P 500</w:t>
            </w:r>
          </w:p>
        </w:tc>
        <w:tc>
          <w:tcPr>
            <w:tcW w:w="3791" w:type="dxa"/>
            <w:shd w:val="clear" w:color="auto" w:fill="auto"/>
          </w:tcPr>
          <w:p w:rsidR="001133C2" w:rsidRPr="00527E7D" w:rsidRDefault="00191CCD" w:rsidP="001133C2">
            <w:pPr>
              <w:autoSpaceDE w:val="0"/>
              <w:autoSpaceDN w:val="0"/>
              <w:adjustRightInd w:val="0"/>
              <w:spacing w:before="60" w:after="0" w:line="240" w:lineRule="auto"/>
              <w:jc w:val="center"/>
              <w:rPr>
                <w:rFonts w:ascii="Times New Roman" w:hAnsi="Times New Roman"/>
              </w:rPr>
            </w:pPr>
            <w:r w:rsidRPr="00191CCD">
              <w:rPr>
                <w:rFonts w:ascii="Times New Roman" w:hAnsi="Times New Roman"/>
              </w:rPr>
              <w:t>-0.0147</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w:t>
            </w:r>
            <w:r w:rsidR="00191CCD" w:rsidRPr="00191CCD">
              <w:rPr>
                <w:rFonts w:ascii="Times New Roman" w:hAnsi="Times New Roman"/>
                <w:i/>
              </w:rPr>
              <w:t>0.2030</w:t>
            </w:r>
            <w:r w:rsidRPr="00527E7D">
              <w:rPr>
                <w:rFonts w:ascii="Times New Roman" w:hAnsi="Times New Roman"/>
                <w:i/>
              </w:rPr>
              <w:t>)</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MSCI</w:t>
            </w:r>
          </w:p>
        </w:tc>
        <w:tc>
          <w:tcPr>
            <w:tcW w:w="3791" w:type="dxa"/>
            <w:shd w:val="clear" w:color="auto" w:fill="auto"/>
          </w:tcPr>
          <w:p w:rsidR="001133C2" w:rsidRPr="00527E7D" w:rsidRDefault="00191CCD" w:rsidP="001133C2">
            <w:pPr>
              <w:autoSpaceDE w:val="0"/>
              <w:autoSpaceDN w:val="0"/>
              <w:adjustRightInd w:val="0"/>
              <w:spacing w:before="60" w:after="0" w:line="240" w:lineRule="auto"/>
              <w:jc w:val="center"/>
              <w:rPr>
                <w:rFonts w:ascii="Times New Roman" w:hAnsi="Times New Roman"/>
              </w:rPr>
            </w:pPr>
            <w:r w:rsidRPr="00191CCD">
              <w:rPr>
                <w:rFonts w:ascii="Times New Roman" w:hAnsi="Times New Roman"/>
              </w:rPr>
              <w:t>-0.0012</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w:t>
            </w:r>
            <w:r w:rsidR="00191CCD" w:rsidRPr="00191CCD">
              <w:rPr>
                <w:rFonts w:ascii="Times New Roman" w:hAnsi="Times New Roman"/>
                <w:i/>
              </w:rPr>
              <w:t>0.9187</w:t>
            </w:r>
            <w:r w:rsidRPr="00527E7D">
              <w:rPr>
                <w:rFonts w:ascii="Times New Roman" w:hAnsi="Times New Roman"/>
                <w:i/>
              </w:rPr>
              <w:t>)</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sz w:val="20"/>
                <w:szCs w:val="20"/>
              </w:rPr>
            </w:pPr>
            <w:r w:rsidRPr="00527E7D">
              <w:rPr>
                <w:rFonts w:ascii="Times New Roman" w:hAnsi="Times New Roman"/>
              </w:rPr>
              <w:t>WTI &amp; MSCI World excl. U.S.</w:t>
            </w:r>
          </w:p>
        </w:tc>
        <w:tc>
          <w:tcPr>
            <w:tcW w:w="3791" w:type="dxa"/>
            <w:shd w:val="clear" w:color="auto" w:fill="auto"/>
          </w:tcPr>
          <w:p w:rsidR="001133C2" w:rsidRPr="00527E7D" w:rsidRDefault="00191CCD" w:rsidP="001133C2">
            <w:pPr>
              <w:autoSpaceDE w:val="0"/>
              <w:autoSpaceDN w:val="0"/>
              <w:adjustRightInd w:val="0"/>
              <w:spacing w:before="60" w:after="0" w:line="240" w:lineRule="auto"/>
              <w:jc w:val="center"/>
              <w:rPr>
                <w:rFonts w:ascii="Times New Roman" w:hAnsi="Times New Roman"/>
              </w:rPr>
            </w:pPr>
            <w:r w:rsidRPr="00191CCD">
              <w:rPr>
                <w:rFonts w:ascii="Times New Roman" w:hAnsi="Times New Roman"/>
              </w:rPr>
              <w:t>0.0144</w:t>
            </w:r>
          </w:p>
          <w:p w:rsidR="001133C2" w:rsidRPr="00527E7D" w:rsidRDefault="001133C2" w:rsidP="001133C2">
            <w:pPr>
              <w:autoSpaceDE w:val="0"/>
              <w:autoSpaceDN w:val="0"/>
              <w:adjustRightInd w:val="0"/>
              <w:spacing w:after="60" w:line="240" w:lineRule="auto"/>
              <w:jc w:val="center"/>
              <w:rPr>
                <w:rFonts w:ascii="Times New Roman" w:hAnsi="Times New Roman"/>
                <w:i/>
              </w:rPr>
            </w:pPr>
            <w:r w:rsidRPr="00527E7D">
              <w:rPr>
                <w:rFonts w:ascii="Times New Roman" w:hAnsi="Times New Roman"/>
                <w:i/>
              </w:rPr>
              <w:t>(</w:t>
            </w:r>
            <w:r w:rsidR="00191CCD" w:rsidRPr="00191CCD">
              <w:rPr>
                <w:rFonts w:ascii="Times New Roman" w:hAnsi="Times New Roman"/>
                <w:i/>
              </w:rPr>
              <w:t>0.2122</w:t>
            </w:r>
            <w:r w:rsidRPr="00527E7D">
              <w:rPr>
                <w:rFonts w:ascii="Times New Roman" w:hAnsi="Times New Roman"/>
                <w:i/>
              </w:rPr>
              <w:t>)</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S&amp;P 500</w:t>
            </w:r>
          </w:p>
        </w:tc>
        <w:tc>
          <w:tcPr>
            <w:tcW w:w="3791" w:type="dxa"/>
            <w:shd w:val="clear" w:color="auto" w:fill="auto"/>
          </w:tcPr>
          <w:p w:rsidR="001133C2" w:rsidRPr="00527E7D" w:rsidRDefault="00486EAA" w:rsidP="001133C2">
            <w:pPr>
              <w:autoSpaceDE w:val="0"/>
              <w:autoSpaceDN w:val="0"/>
              <w:adjustRightInd w:val="0"/>
              <w:spacing w:before="60" w:after="0" w:line="240" w:lineRule="auto"/>
              <w:jc w:val="center"/>
              <w:rPr>
                <w:rFonts w:ascii="Times New Roman" w:hAnsi="Times New Roman"/>
              </w:rPr>
            </w:pPr>
            <w:r w:rsidRPr="00486EAA">
              <w:rPr>
                <w:rFonts w:ascii="Times New Roman" w:hAnsi="Times New Roman"/>
              </w:rPr>
              <w:t>-0.0582</w:t>
            </w:r>
          </w:p>
          <w:p w:rsidR="001133C2" w:rsidRPr="00527E7D" w:rsidRDefault="001133C2" w:rsidP="001133C2">
            <w:pPr>
              <w:autoSpaceDE w:val="0"/>
              <w:autoSpaceDN w:val="0"/>
              <w:adjustRightInd w:val="0"/>
              <w:spacing w:after="60" w:line="240" w:lineRule="auto"/>
              <w:jc w:val="center"/>
              <w:rPr>
                <w:rFonts w:ascii="Times New Roman" w:hAnsi="Times New Roman"/>
              </w:rPr>
            </w:pPr>
            <w:r w:rsidRPr="00527E7D">
              <w:rPr>
                <w:rFonts w:ascii="Times New Roman" w:hAnsi="Times New Roman"/>
              </w:rPr>
              <w:t>(</w:t>
            </w:r>
            <w:r w:rsidR="00486EAA" w:rsidRPr="00486EAA">
              <w:rPr>
                <w:rFonts w:ascii="Times New Roman" w:hAnsi="Times New Roman"/>
                <w:i/>
              </w:rPr>
              <w:t>0.0001</w:t>
            </w:r>
            <w:r w:rsidRPr="00527E7D">
              <w:rPr>
                <w:rFonts w:ascii="Times New Roman" w:hAnsi="Times New Roman"/>
              </w:rPr>
              <w:t>)</w:t>
            </w:r>
          </w:p>
        </w:tc>
      </w:tr>
      <w:tr w:rsidR="001133C2" w:rsidRPr="00527E7D" w:rsidTr="001133C2">
        <w:trPr>
          <w:jc w:val="center"/>
        </w:trPr>
        <w:tc>
          <w:tcPr>
            <w:tcW w:w="3837" w:type="dxa"/>
            <w:gridSpan w:val="2"/>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MSCI</w:t>
            </w:r>
          </w:p>
        </w:tc>
        <w:tc>
          <w:tcPr>
            <w:tcW w:w="3791" w:type="dxa"/>
            <w:shd w:val="clear" w:color="auto" w:fill="auto"/>
          </w:tcPr>
          <w:p w:rsidR="001133C2" w:rsidRPr="00527E7D" w:rsidRDefault="00486EAA" w:rsidP="001133C2">
            <w:pPr>
              <w:autoSpaceDE w:val="0"/>
              <w:autoSpaceDN w:val="0"/>
              <w:adjustRightInd w:val="0"/>
              <w:spacing w:before="60" w:after="0" w:line="240" w:lineRule="auto"/>
              <w:jc w:val="center"/>
              <w:rPr>
                <w:rFonts w:ascii="Times New Roman" w:hAnsi="Times New Roman"/>
              </w:rPr>
            </w:pPr>
            <w:r w:rsidRPr="00486EAA">
              <w:rPr>
                <w:rFonts w:ascii="Times New Roman" w:hAnsi="Times New Roman"/>
              </w:rPr>
              <w:t>-0.1125</w:t>
            </w:r>
          </w:p>
          <w:p w:rsidR="001133C2" w:rsidRPr="00527E7D" w:rsidRDefault="001133C2" w:rsidP="001133C2">
            <w:pPr>
              <w:autoSpaceDE w:val="0"/>
              <w:autoSpaceDN w:val="0"/>
              <w:adjustRightInd w:val="0"/>
              <w:spacing w:after="60" w:line="240" w:lineRule="auto"/>
              <w:jc w:val="center"/>
              <w:rPr>
                <w:rFonts w:ascii="Times New Roman" w:hAnsi="Times New Roman"/>
              </w:rPr>
            </w:pPr>
            <w:r w:rsidRPr="00527E7D">
              <w:rPr>
                <w:rFonts w:ascii="Times New Roman" w:hAnsi="Times New Roman"/>
              </w:rPr>
              <w:t>(</w:t>
            </w:r>
            <w:r w:rsidRPr="00527E7D">
              <w:rPr>
                <w:rFonts w:ascii="Times New Roman" w:hAnsi="Times New Roman"/>
                <w:i/>
              </w:rPr>
              <w:t>0.0000</w:t>
            </w:r>
            <w:r w:rsidRPr="00527E7D">
              <w:rPr>
                <w:rFonts w:ascii="Times New Roman" w:hAnsi="Times New Roman"/>
              </w:rPr>
              <w:t>)</w:t>
            </w:r>
          </w:p>
        </w:tc>
      </w:tr>
      <w:tr w:rsidR="001133C2" w:rsidRPr="00527E7D" w:rsidTr="001133C2">
        <w:trPr>
          <w:jc w:val="center"/>
        </w:trPr>
        <w:tc>
          <w:tcPr>
            <w:tcW w:w="3837" w:type="dxa"/>
            <w:gridSpan w:val="2"/>
            <w:tcBorders>
              <w:bottom w:val="double" w:sz="4" w:space="0" w:color="auto"/>
            </w:tcBorders>
            <w:shd w:val="clear" w:color="auto" w:fill="auto"/>
          </w:tcPr>
          <w:p w:rsidR="001133C2" w:rsidRPr="00527E7D" w:rsidRDefault="001133C2" w:rsidP="001133C2">
            <w:pPr>
              <w:autoSpaceDE w:val="0"/>
              <w:autoSpaceDN w:val="0"/>
              <w:adjustRightInd w:val="0"/>
              <w:spacing w:before="60" w:after="0" w:line="240" w:lineRule="auto"/>
              <w:rPr>
                <w:rFonts w:ascii="Times New Roman" w:hAnsi="Times New Roman"/>
              </w:rPr>
            </w:pPr>
            <w:r w:rsidRPr="00527E7D">
              <w:rPr>
                <w:rFonts w:ascii="Times New Roman" w:hAnsi="Times New Roman"/>
              </w:rPr>
              <w:t>BOND &amp; MSCI World excl. U.S.</w:t>
            </w:r>
          </w:p>
        </w:tc>
        <w:tc>
          <w:tcPr>
            <w:tcW w:w="3791" w:type="dxa"/>
            <w:tcBorders>
              <w:bottom w:val="double" w:sz="4" w:space="0" w:color="auto"/>
            </w:tcBorders>
            <w:shd w:val="clear" w:color="auto" w:fill="auto"/>
          </w:tcPr>
          <w:p w:rsidR="001133C2" w:rsidRPr="00527E7D" w:rsidRDefault="00486EAA" w:rsidP="001133C2">
            <w:pPr>
              <w:autoSpaceDE w:val="0"/>
              <w:autoSpaceDN w:val="0"/>
              <w:adjustRightInd w:val="0"/>
              <w:spacing w:before="60" w:after="0" w:line="240" w:lineRule="auto"/>
              <w:jc w:val="center"/>
              <w:rPr>
                <w:rFonts w:ascii="Times New Roman" w:hAnsi="Times New Roman"/>
              </w:rPr>
            </w:pPr>
            <w:r w:rsidRPr="00486EAA">
              <w:rPr>
                <w:rFonts w:ascii="Times New Roman" w:hAnsi="Times New Roman"/>
              </w:rPr>
              <w:t>-0.1509</w:t>
            </w:r>
          </w:p>
          <w:p w:rsidR="001133C2" w:rsidRPr="00527E7D" w:rsidRDefault="001133C2" w:rsidP="001133C2">
            <w:pPr>
              <w:autoSpaceDE w:val="0"/>
              <w:autoSpaceDN w:val="0"/>
              <w:adjustRightInd w:val="0"/>
              <w:spacing w:after="60" w:line="240" w:lineRule="auto"/>
              <w:jc w:val="center"/>
              <w:rPr>
                <w:rFonts w:ascii="Times New Roman" w:hAnsi="Times New Roman"/>
              </w:rPr>
            </w:pPr>
            <w:r w:rsidRPr="00527E7D">
              <w:rPr>
                <w:rFonts w:ascii="Times New Roman" w:hAnsi="Times New Roman"/>
              </w:rPr>
              <w:t>(</w:t>
            </w:r>
            <w:r w:rsidRPr="00527E7D">
              <w:rPr>
                <w:rFonts w:ascii="Times New Roman" w:hAnsi="Times New Roman"/>
                <w:i/>
              </w:rPr>
              <w:t>0.0000</w:t>
            </w:r>
            <w:r w:rsidRPr="00527E7D">
              <w:rPr>
                <w:rFonts w:ascii="Times New Roman" w:hAnsi="Times New Roman"/>
              </w:rPr>
              <w:t>)</w:t>
            </w:r>
          </w:p>
        </w:tc>
      </w:tr>
    </w:tbl>
    <w:p w:rsidR="001133C2" w:rsidRPr="00A1155D" w:rsidRDefault="001133C2" w:rsidP="001133C2">
      <w:pPr>
        <w:autoSpaceDE w:val="0"/>
        <w:autoSpaceDN w:val="0"/>
        <w:adjustRightInd w:val="0"/>
        <w:spacing w:after="0" w:line="240" w:lineRule="auto"/>
        <w:rPr>
          <w:rFonts w:ascii="Times New Roman" w:hAnsi="Times New Roman"/>
          <w:sz w:val="20"/>
          <w:szCs w:val="20"/>
        </w:rPr>
      </w:pPr>
    </w:p>
    <w:p w:rsidR="001133C2" w:rsidRDefault="001133C2" w:rsidP="001133C2">
      <w:pPr>
        <w:jc w:val="center"/>
        <w:rPr>
          <w:rFonts w:ascii="Times New Roman" w:hAnsi="Times New Roman"/>
          <w:b/>
          <w:sz w:val="24"/>
          <w:szCs w:val="24"/>
        </w:rPr>
      </w:pPr>
    </w:p>
    <w:p w:rsidR="001133C2" w:rsidRDefault="001133C2" w:rsidP="001133C2">
      <w:pPr>
        <w:rPr>
          <w:rFonts w:ascii="Times New Roman" w:hAnsi="Times New Roman"/>
          <w:sz w:val="20"/>
          <w:szCs w:val="20"/>
        </w:rPr>
      </w:pPr>
      <w:r>
        <w:rPr>
          <w:rFonts w:ascii="Times New Roman" w:hAnsi="Times New Roman"/>
          <w:sz w:val="20"/>
          <w:szCs w:val="20"/>
        </w:rPr>
        <w:br w:type="page"/>
      </w:r>
    </w:p>
    <w:p w:rsidR="001133C2" w:rsidRDefault="001133C2" w:rsidP="001133C2">
      <w:pPr>
        <w:spacing w:before="120" w:after="120" w:line="360" w:lineRule="auto"/>
        <w:ind w:left="426" w:hanging="426"/>
        <w:jc w:val="both"/>
        <w:rPr>
          <w:rFonts w:ascii="Times New Roman" w:hAnsi="Times New Roman"/>
          <w:sz w:val="20"/>
          <w:szCs w:val="20"/>
        </w:rPr>
      </w:pPr>
    </w:p>
    <w:p w:rsidR="001133C2" w:rsidRDefault="001133C2" w:rsidP="001133C2">
      <w:pPr>
        <w:jc w:val="center"/>
        <w:rPr>
          <w:rFonts w:ascii="Times New Roman" w:hAnsi="Times New Roman"/>
          <w:b/>
          <w:sz w:val="24"/>
          <w:szCs w:val="24"/>
        </w:rPr>
      </w:pPr>
      <w:r>
        <w:rPr>
          <w:rFonts w:ascii="Times New Roman" w:hAnsi="Times New Roman"/>
          <w:b/>
          <w:sz w:val="24"/>
          <w:szCs w:val="24"/>
        </w:rPr>
        <w:t>Table VIII</w:t>
      </w:r>
    </w:p>
    <w:p w:rsidR="001133C2" w:rsidRDefault="001133C2" w:rsidP="001133C2">
      <w:pPr>
        <w:jc w:val="center"/>
        <w:rPr>
          <w:rFonts w:ascii="Times New Roman" w:hAnsi="Times New Roman"/>
          <w:b/>
          <w:sz w:val="24"/>
          <w:szCs w:val="24"/>
          <w:lang w:val="en-US"/>
        </w:rPr>
      </w:pPr>
      <w:r>
        <w:rPr>
          <w:rFonts w:ascii="Times New Roman" w:hAnsi="Times New Roman"/>
          <w:b/>
          <w:sz w:val="24"/>
          <w:szCs w:val="24"/>
          <w:lang w:val="en-US"/>
        </w:rPr>
        <w:t>Modeling Bond</w:t>
      </w:r>
      <w:r w:rsidRPr="00373618">
        <w:rPr>
          <w:rFonts w:ascii="Times New Roman" w:hAnsi="Times New Roman"/>
          <w:b/>
          <w:sz w:val="24"/>
          <w:szCs w:val="24"/>
          <w:lang w:val="en-US"/>
        </w:rPr>
        <w:t xml:space="preserve"> Returns</w:t>
      </w:r>
    </w:p>
    <w:p w:rsidR="001133C2" w:rsidRPr="00470E8F" w:rsidRDefault="001133C2" w:rsidP="001133C2">
      <w:pPr>
        <w:ind w:left="-142" w:right="-188"/>
        <w:jc w:val="both"/>
        <w:rPr>
          <w:rFonts w:ascii="Times New Roman" w:hAnsi="Times New Roman"/>
          <w:b/>
          <w:sz w:val="24"/>
          <w:szCs w:val="24"/>
          <w:lang w:val="en-US"/>
        </w:rPr>
      </w:pPr>
      <w:r w:rsidRPr="00470E8F">
        <w:rPr>
          <w:rFonts w:ascii="Times New Roman" w:hAnsi="Times New Roman"/>
          <w:sz w:val="20"/>
          <w:szCs w:val="20"/>
          <w:lang w:val="en-US"/>
        </w:rPr>
        <w:t xml:space="preserve">This table presents estimation results for regressions where the daily return on World Gov. Bond Index is modeled as a function of stock market returns </w:t>
      </w:r>
      <w:proofErr w:type="spellStart"/>
      <w:r w:rsidRPr="00470E8F">
        <w:rPr>
          <w:rFonts w:ascii="Times New Roman" w:hAnsi="Times New Roman"/>
          <w:i/>
          <w:sz w:val="20"/>
          <w:szCs w:val="20"/>
          <w:lang w:val="en-US"/>
        </w:rPr>
        <w:t>r</w:t>
      </w:r>
      <w:r w:rsidRPr="00470E8F">
        <w:rPr>
          <w:rFonts w:ascii="Times New Roman" w:hAnsi="Times New Roman"/>
          <w:i/>
          <w:sz w:val="20"/>
          <w:szCs w:val="20"/>
          <w:vertAlign w:val="subscript"/>
          <w:lang w:val="en-US"/>
        </w:rPr>
        <w:t>Stock</w:t>
      </w:r>
      <w:proofErr w:type="spellEnd"/>
      <w:r w:rsidRPr="00470E8F">
        <w:rPr>
          <w:rFonts w:ascii="Times New Roman" w:hAnsi="Times New Roman"/>
          <w:sz w:val="20"/>
          <w:szCs w:val="20"/>
          <w:lang w:val="en-US"/>
        </w:rPr>
        <w:t xml:space="preserve"> and stock market returns interacted </w:t>
      </w:r>
      <w:r>
        <w:rPr>
          <w:rFonts w:ascii="Times New Roman" w:hAnsi="Times New Roman"/>
          <w:sz w:val="20"/>
          <w:szCs w:val="20"/>
          <w:lang w:val="en-US"/>
        </w:rPr>
        <w:t>with a conflict</w:t>
      </w:r>
      <w:r w:rsidRPr="00470E8F">
        <w:rPr>
          <w:rFonts w:ascii="Times New Roman" w:hAnsi="Times New Roman"/>
          <w:sz w:val="20"/>
          <w:szCs w:val="20"/>
          <w:lang w:val="en-US"/>
        </w:rPr>
        <w:t xml:space="preserve"> dummy variable. This dummy takes the value of 1 in the (-50</w:t>
      </w:r>
      <w:proofErr w:type="gramStart"/>
      <w:r w:rsidRPr="00470E8F">
        <w:rPr>
          <w:rFonts w:ascii="Times New Roman" w:hAnsi="Times New Roman"/>
          <w:sz w:val="20"/>
          <w:szCs w:val="20"/>
          <w:lang w:val="en-US"/>
        </w:rPr>
        <w:t>,50</w:t>
      </w:r>
      <w:proofErr w:type="gramEnd"/>
      <w:r w:rsidRPr="00470E8F">
        <w:rPr>
          <w:rFonts w:ascii="Times New Roman" w:hAnsi="Times New Roman"/>
          <w:sz w:val="20"/>
          <w:szCs w:val="20"/>
          <w:lang w:val="en-US"/>
        </w:rPr>
        <w:t xml:space="preserve">) event windows centered on a conflict trigger dates and 0 otherwise. The table also reports the R-square, and the corresponding </w:t>
      </w:r>
      <w:r w:rsidRPr="00470E8F">
        <w:rPr>
          <w:rFonts w:ascii="Times New Roman" w:hAnsi="Times New Roman"/>
          <w:i/>
          <w:sz w:val="20"/>
          <w:szCs w:val="20"/>
          <w:lang w:val="en-US"/>
        </w:rPr>
        <w:t>F</w:t>
      </w:r>
      <w:r w:rsidRPr="00470E8F">
        <w:rPr>
          <w:rFonts w:ascii="Times New Roman" w:hAnsi="Times New Roman"/>
          <w:sz w:val="20"/>
          <w:szCs w:val="20"/>
          <w:lang w:val="en-US"/>
        </w:rPr>
        <w:t xml:space="preserve">-statistic for the test of overall significance of the regression with the corresponding </w:t>
      </w:r>
      <w:r w:rsidRPr="00470E8F">
        <w:rPr>
          <w:rFonts w:ascii="Times New Roman" w:hAnsi="Times New Roman"/>
          <w:i/>
          <w:sz w:val="20"/>
          <w:szCs w:val="20"/>
          <w:lang w:val="en-US"/>
        </w:rPr>
        <w:t>p</w:t>
      </w:r>
      <w:r w:rsidRPr="00470E8F">
        <w:rPr>
          <w:rFonts w:ascii="Times New Roman" w:hAnsi="Times New Roman"/>
          <w:sz w:val="20"/>
          <w:szCs w:val="20"/>
          <w:lang w:val="en-US"/>
        </w:rPr>
        <w:t xml:space="preserve">-value. Moreover, the table reports the summed value of slopes and a </w:t>
      </w:r>
      <w:r w:rsidRPr="00470E8F">
        <w:rPr>
          <w:rFonts w:ascii="Times New Roman" w:hAnsi="Times New Roman"/>
          <w:i/>
          <w:sz w:val="20"/>
          <w:szCs w:val="20"/>
          <w:lang w:val="en-US"/>
        </w:rPr>
        <w:t>p</w:t>
      </w:r>
      <w:r w:rsidRPr="00470E8F">
        <w:rPr>
          <w:rFonts w:ascii="Times New Roman" w:hAnsi="Times New Roman"/>
          <w:sz w:val="20"/>
          <w:szCs w:val="20"/>
          <w:lang w:val="en-US"/>
        </w:rPr>
        <w:t xml:space="preserve">-value for the null hypothesis that bonds are a safe haven in times of war or international crisis. Parameter standard errors are given in the parentheses.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w:t>
      </w:r>
      <w:r w:rsidRPr="00470E8F">
        <w:rPr>
          <w:rFonts w:ascii="Times New Roman" w:hAnsi="Times New Roman"/>
          <w:sz w:val="20"/>
          <w:szCs w:val="20"/>
          <w:vertAlign w:val="superscript"/>
          <w:lang w:val="en-US"/>
        </w:rPr>
        <w:t>*</w:t>
      </w:r>
      <w:r w:rsidRPr="00470E8F">
        <w:rPr>
          <w:rFonts w:ascii="Times New Roman" w:hAnsi="Times New Roman"/>
          <w:sz w:val="20"/>
          <w:szCs w:val="20"/>
          <w:lang w:val="en-US"/>
        </w:rPr>
        <w:t xml:space="preserve"> denote statistical significance at 1%, 5% and 10% level, respectively.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93"/>
        <w:gridCol w:w="1542"/>
        <w:gridCol w:w="2336"/>
        <w:gridCol w:w="2336"/>
      </w:tblGrid>
      <w:tr w:rsidR="001133C2" w:rsidRPr="00527E7D" w:rsidTr="001133C2">
        <w:tc>
          <w:tcPr>
            <w:tcW w:w="9242" w:type="dxa"/>
            <w:gridSpan w:val="5"/>
            <w:tcBorders>
              <w:top w:val="double" w:sz="4" w:space="0" w:color="auto"/>
              <w:left w:val="nil"/>
              <w:bottom w:val="single" w:sz="4" w:space="0" w:color="auto"/>
              <w:right w:val="nil"/>
            </w:tcBorders>
            <w:shd w:val="clear" w:color="auto" w:fill="auto"/>
          </w:tcPr>
          <w:p w:rsidR="001133C2" w:rsidRPr="00527E7D" w:rsidRDefault="001133C2" w:rsidP="001133C2">
            <w:pPr>
              <w:spacing w:before="120" w:after="120" w:line="240" w:lineRule="auto"/>
              <w:rPr>
                <w:rFonts w:ascii="Times New Roman" w:hAnsi="Times New Roman"/>
                <w:b/>
              </w:rPr>
            </w:pPr>
            <w:r w:rsidRPr="00527E7D">
              <w:rPr>
                <w:rFonts w:ascii="Times New Roman" w:hAnsi="Times New Roman"/>
                <w:b/>
              </w:rPr>
              <w:t>Panel A. Safe Haven Regressions Based on the Instances of War</w:t>
            </w:r>
          </w:p>
        </w:tc>
      </w:tr>
      <w:tr w:rsidR="001133C2" w:rsidRPr="00527E7D" w:rsidTr="001133C2">
        <w:tc>
          <w:tcPr>
            <w:tcW w:w="3028" w:type="dxa"/>
            <w:gridSpan w:val="2"/>
            <w:tcBorders>
              <w:top w:val="single" w:sz="4" w:space="0" w:color="auto"/>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b/>
              </w:rPr>
            </w:pPr>
          </w:p>
        </w:tc>
        <w:tc>
          <w:tcPr>
            <w:tcW w:w="6214" w:type="dxa"/>
            <w:gridSpan w:val="3"/>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Proxy for market index used:</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b/>
              </w:rPr>
            </w:pPr>
          </w:p>
        </w:tc>
        <w:tc>
          <w:tcPr>
            <w:tcW w:w="2335" w:type="dxa"/>
            <w:gridSpan w:val="2"/>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S&amp;P 500</w:t>
            </w:r>
          </w:p>
        </w:tc>
        <w:tc>
          <w:tcPr>
            <w:tcW w:w="2336"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 World</w:t>
            </w:r>
          </w:p>
        </w:tc>
        <w:tc>
          <w:tcPr>
            <w:tcW w:w="2336"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 World (excl. US)</w:t>
            </w:r>
          </w:p>
        </w:tc>
      </w:tr>
      <w:tr w:rsidR="001133C2" w:rsidRPr="00527E7D" w:rsidTr="001133C2">
        <w:tc>
          <w:tcPr>
            <w:tcW w:w="2235"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p>
        </w:tc>
        <w:tc>
          <w:tcPr>
            <w:tcW w:w="2335" w:type="dxa"/>
            <w:gridSpan w:val="2"/>
            <w:tcBorders>
              <w:top w:val="nil"/>
              <w:left w:val="nil"/>
              <w:bottom w:val="single" w:sz="4" w:space="0" w:color="auto"/>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(1)</w:t>
            </w:r>
          </w:p>
        </w:tc>
        <w:tc>
          <w:tcPr>
            <w:tcW w:w="2336"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(2)</w:t>
            </w:r>
          </w:p>
        </w:tc>
        <w:tc>
          <w:tcPr>
            <w:tcW w:w="2336"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(3)</w:t>
            </w:r>
          </w:p>
        </w:tc>
      </w:tr>
      <w:tr w:rsidR="001133C2" w:rsidRPr="00527E7D" w:rsidTr="001133C2">
        <w:tc>
          <w:tcPr>
            <w:tcW w:w="2235" w:type="dxa"/>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C</w:t>
            </w:r>
          </w:p>
        </w:tc>
        <w:tc>
          <w:tcPr>
            <w:tcW w:w="2335" w:type="dxa"/>
            <w:gridSpan w:val="2"/>
            <w:tcBorders>
              <w:top w:val="single" w:sz="4" w:space="0" w:color="auto"/>
              <w:left w:val="nil"/>
              <w:bottom w:val="nil"/>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(0.0000)</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17"/>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817"/>
              </w:tabs>
              <w:spacing w:after="60" w:line="240" w:lineRule="auto"/>
              <w:rPr>
                <w:rFonts w:ascii="Times New Roman" w:hAnsi="Times New Roman"/>
                <w:i/>
              </w:rPr>
            </w:pPr>
            <w:r w:rsidRPr="00527E7D">
              <w:rPr>
                <w:rFonts w:ascii="Times New Roman" w:hAnsi="Times New Roman"/>
                <w:i/>
              </w:rPr>
              <w:t>(0.0000)</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796"/>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796"/>
              </w:tabs>
              <w:spacing w:after="60" w:line="240" w:lineRule="auto"/>
              <w:rPr>
                <w:rFonts w:ascii="Times New Roman" w:hAnsi="Times New Roman"/>
                <w:i/>
              </w:rPr>
            </w:pPr>
            <w:r w:rsidRPr="00527E7D">
              <w:rPr>
                <w:rFonts w:ascii="Times New Roman" w:hAnsi="Times New Roman"/>
                <w:i/>
              </w:rPr>
              <w:t>(0.0000)</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vertAlign w:val="subscript"/>
              </w:rPr>
            </w:pPr>
            <w:proofErr w:type="spellStart"/>
            <w:r w:rsidRPr="00527E7D">
              <w:rPr>
                <w:rFonts w:ascii="Times New Roman" w:hAnsi="Times New Roman"/>
              </w:rPr>
              <w:t>r</w:t>
            </w:r>
            <w:r w:rsidRPr="00527E7D">
              <w:rPr>
                <w:rFonts w:ascii="Times New Roman" w:hAnsi="Times New Roman"/>
                <w:vertAlign w:val="subscript"/>
              </w:rPr>
              <w:t>Stock</w:t>
            </w:r>
            <w:proofErr w:type="spellEnd"/>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-0.0461</w:t>
            </w:r>
            <w:r w:rsidRPr="00527E7D">
              <w:rPr>
                <w:rFonts w:ascii="Times New Roman" w:hAnsi="Times New Roman"/>
                <w:vertAlign w:val="superscript"/>
              </w:rPr>
              <w:t>***</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(0.0091)</w:t>
            </w:r>
          </w:p>
        </w:tc>
        <w:tc>
          <w:tcPr>
            <w:tcW w:w="2336" w:type="dxa"/>
            <w:tcBorders>
              <w:top w:val="nil"/>
              <w:left w:val="nil"/>
              <w:bottom w:val="nil"/>
              <w:right w:val="nil"/>
            </w:tcBorders>
            <w:shd w:val="clear" w:color="auto" w:fill="auto"/>
          </w:tcPr>
          <w:p w:rsidR="001133C2" w:rsidRPr="00527E7D" w:rsidRDefault="001133C2" w:rsidP="001133C2">
            <w:pPr>
              <w:tabs>
                <w:tab w:val="decimal" w:pos="817"/>
              </w:tabs>
              <w:spacing w:before="60" w:after="0" w:line="240" w:lineRule="auto"/>
              <w:rPr>
                <w:rFonts w:ascii="Times New Roman" w:hAnsi="Times New Roman"/>
              </w:rPr>
            </w:pPr>
            <w:r w:rsidRPr="00527E7D">
              <w:rPr>
                <w:rFonts w:ascii="Times New Roman" w:hAnsi="Times New Roman"/>
              </w:rPr>
              <w:t>-0.1139</w:t>
            </w:r>
            <w:r w:rsidRPr="00527E7D">
              <w:rPr>
                <w:rFonts w:ascii="Times New Roman" w:hAnsi="Times New Roman"/>
                <w:vertAlign w:val="superscript"/>
              </w:rPr>
              <w:t>***</w:t>
            </w:r>
          </w:p>
          <w:p w:rsidR="001133C2" w:rsidRPr="00527E7D" w:rsidRDefault="001133C2" w:rsidP="001133C2">
            <w:pPr>
              <w:tabs>
                <w:tab w:val="decimal" w:pos="817"/>
              </w:tabs>
              <w:spacing w:after="60" w:line="240" w:lineRule="auto"/>
              <w:rPr>
                <w:rFonts w:ascii="Times New Roman" w:hAnsi="Times New Roman"/>
                <w:i/>
              </w:rPr>
            </w:pPr>
            <w:r w:rsidRPr="00527E7D">
              <w:rPr>
                <w:rFonts w:ascii="Times New Roman" w:hAnsi="Times New Roman"/>
                <w:i/>
              </w:rPr>
              <w:t>(0.01153)</w:t>
            </w:r>
          </w:p>
        </w:tc>
        <w:tc>
          <w:tcPr>
            <w:tcW w:w="2336" w:type="dxa"/>
            <w:tcBorders>
              <w:top w:val="nil"/>
              <w:left w:val="nil"/>
              <w:bottom w:val="nil"/>
              <w:right w:val="nil"/>
            </w:tcBorders>
            <w:shd w:val="clear" w:color="auto" w:fill="auto"/>
          </w:tcPr>
          <w:p w:rsidR="001133C2" w:rsidRPr="00527E7D" w:rsidRDefault="001133C2" w:rsidP="001133C2">
            <w:pPr>
              <w:tabs>
                <w:tab w:val="decimal" w:pos="796"/>
              </w:tabs>
              <w:spacing w:before="60" w:after="0" w:line="240" w:lineRule="auto"/>
              <w:rPr>
                <w:rFonts w:ascii="Times New Roman" w:hAnsi="Times New Roman"/>
              </w:rPr>
            </w:pPr>
            <w:r w:rsidRPr="00527E7D">
              <w:rPr>
                <w:rFonts w:ascii="Times New Roman" w:hAnsi="Times New Roman"/>
              </w:rPr>
              <w:t>-0.1345</w:t>
            </w:r>
            <w:r w:rsidRPr="00527E7D">
              <w:rPr>
                <w:rFonts w:ascii="Times New Roman" w:hAnsi="Times New Roman"/>
                <w:vertAlign w:val="superscript"/>
              </w:rPr>
              <w:t>***</w:t>
            </w:r>
          </w:p>
          <w:p w:rsidR="001133C2" w:rsidRPr="00527E7D" w:rsidRDefault="001133C2" w:rsidP="001133C2">
            <w:pPr>
              <w:tabs>
                <w:tab w:val="decimal" w:pos="796"/>
              </w:tabs>
              <w:spacing w:after="60" w:line="240" w:lineRule="auto"/>
              <w:rPr>
                <w:rFonts w:ascii="Times New Roman" w:hAnsi="Times New Roman"/>
                <w:i/>
              </w:rPr>
            </w:pPr>
            <w:r w:rsidRPr="00527E7D">
              <w:rPr>
                <w:rFonts w:ascii="Times New Roman" w:hAnsi="Times New Roman"/>
                <w:i/>
              </w:rPr>
              <w:t>(0.0108)</w:t>
            </w:r>
          </w:p>
        </w:tc>
      </w:tr>
      <w:tr w:rsidR="001133C2" w:rsidRPr="00527E7D" w:rsidTr="001133C2">
        <w:tc>
          <w:tcPr>
            <w:tcW w:w="2235"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 xml:space="preserve">D </w:t>
            </w:r>
            <w:r w:rsidRPr="00527E7D">
              <w:rPr>
                <w:rFonts w:ascii="Times New Roman" w:hAnsi="Times New Roman"/>
                <w:vertAlign w:val="subscript"/>
              </w:rPr>
              <w:t>Conflict</w:t>
            </w:r>
            <w:r w:rsidRPr="00527E7D">
              <w:rPr>
                <w:rFonts w:ascii="Times New Roman" w:hAnsi="Times New Roman"/>
              </w:rPr>
              <w:sym w:font="Symbol" w:char="F0B4"/>
            </w:r>
            <w:r w:rsidRPr="00527E7D">
              <w:rPr>
                <w:rFonts w:ascii="Times New Roman" w:hAnsi="Times New Roman"/>
              </w:rPr>
              <w:t xml:space="preserve"> </w:t>
            </w:r>
            <w:proofErr w:type="spellStart"/>
            <w:r w:rsidRPr="00527E7D">
              <w:rPr>
                <w:rFonts w:ascii="Times New Roman" w:hAnsi="Times New Roman"/>
              </w:rPr>
              <w:t>r</w:t>
            </w:r>
            <w:r w:rsidRPr="00527E7D">
              <w:rPr>
                <w:rFonts w:ascii="Times New Roman" w:hAnsi="Times New Roman"/>
                <w:vertAlign w:val="subscript"/>
              </w:rPr>
              <w:t>Stock</w:t>
            </w:r>
            <w:proofErr w:type="spellEnd"/>
          </w:p>
        </w:tc>
        <w:tc>
          <w:tcPr>
            <w:tcW w:w="2335" w:type="dxa"/>
            <w:gridSpan w:val="2"/>
            <w:tcBorders>
              <w:top w:val="nil"/>
              <w:left w:val="nil"/>
              <w:bottom w:val="single" w:sz="4" w:space="0" w:color="auto"/>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-0.0099</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(0.0130)</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817"/>
              </w:tabs>
              <w:spacing w:before="60" w:after="0" w:line="240" w:lineRule="auto"/>
              <w:rPr>
                <w:rFonts w:ascii="Times New Roman" w:hAnsi="Times New Roman"/>
              </w:rPr>
            </w:pPr>
            <w:r w:rsidRPr="00527E7D">
              <w:rPr>
                <w:rFonts w:ascii="Times New Roman" w:hAnsi="Times New Roman"/>
              </w:rPr>
              <w:t>-0.0001</w:t>
            </w:r>
          </w:p>
          <w:p w:rsidR="001133C2" w:rsidRPr="00527E7D" w:rsidRDefault="001133C2" w:rsidP="001133C2">
            <w:pPr>
              <w:tabs>
                <w:tab w:val="decimal" w:pos="817"/>
              </w:tabs>
              <w:spacing w:after="60" w:line="240" w:lineRule="auto"/>
              <w:rPr>
                <w:rFonts w:ascii="Times New Roman" w:hAnsi="Times New Roman"/>
                <w:i/>
              </w:rPr>
            </w:pPr>
            <w:r w:rsidRPr="00527E7D">
              <w:rPr>
                <w:rFonts w:ascii="Times New Roman" w:hAnsi="Times New Roman"/>
                <w:i/>
              </w:rPr>
              <w:t>(0.0162)</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796"/>
              </w:tabs>
              <w:spacing w:before="60" w:after="0" w:line="240" w:lineRule="auto"/>
              <w:rPr>
                <w:rFonts w:ascii="Times New Roman" w:hAnsi="Times New Roman"/>
              </w:rPr>
            </w:pPr>
            <w:r w:rsidRPr="00527E7D">
              <w:rPr>
                <w:rFonts w:ascii="Times New Roman" w:hAnsi="Times New Roman"/>
              </w:rPr>
              <w:t>0.0110</w:t>
            </w:r>
          </w:p>
          <w:p w:rsidR="001133C2" w:rsidRPr="00527E7D" w:rsidRDefault="001133C2" w:rsidP="001133C2">
            <w:pPr>
              <w:tabs>
                <w:tab w:val="decimal" w:pos="796"/>
              </w:tabs>
              <w:spacing w:after="60" w:line="240" w:lineRule="auto"/>
              <w:rPr>
                <w:rFonts w:ascii="Times New Roman" w:hAnsi="Times New Roman"/>
                <w:i/>
              </w:rPr>
            </w:pPr>
            <w:r w:rsidRPr="00527E7D">
              <w:rPr>
                <w:rFonts w:ascii="Times New Roman" w:hAnsi="Times New Roman"/>
                <w:i/>
              </w:rPr>
              <w:t>(0.0150)</w:t>
            </w:r>
          </w:p>
        </w:tc>
      </w:tr>
      <w:tr w:rsidR="001133C2" w:rsidRPr="00527E7D" w:rsidTr="001133C2">
        <w:tc>
          <w:tcPr>
            <w:tcW w:w="2235" w:type="dxa"/>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R-square</w:t>
            </w:r>
          </w:p>
        </w:tc>
        <w:tc>
          <w:tcPr>
            <w:tcW w:w="2335" w:type="dxa"/>
            <w:gridSpan w:val="2"/>
            <w:tcBorders>
              <w:top w:val="single" w:sz="4" w:space="0" w:color="auto"/>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1.7870%</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17"/>
              </w:tabs>
              <w:spacing w:before="60" w:after="60" w:line="240" w:lineRule="auto"/>
              <w:rPr>
                <w:rFonts w:ascii="Times New Roman" w:hAnsi="Times New Roman"/>
              </w:rPr>
            </w:pPr>
            <w:r w:rsidRPr="00527E7D">
              <w:rPr>
                <w:rFonts w:ascii="Times New Roman" w:hAnsi="Times New Roman"/>
              </w:rPr>
              <w:t>5.5476%</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796"/>
              </w:tabs>
              <w:spacing w:before="60" w:after="60" w:line="240" w:lineRule="auto"/>
              <w:rPr>
                <w:rFonts w:ascii="Times New Roman" w:hAnsi="Times New Roman"/>
              </w:rPr>
            </w:pPr>
            <w:r w:rsidRPr="00527E7D">
              <w:rPr>
                <w:rFonts w:ascii="Times New Roman" w:hAnsi="Times New Roman"/>
              </w:rPr>
              <w:t>8.0370%</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F-stat regression</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30.8228</w:t>
            </w:r>
          </w:p>
        </w:tc>
        <w:tc>
          <w:tcPr>
            <w:tcW w:w="2336" w:type="dxa"/>
            <w:tcBorders>
              <w:top w:val="nil"/>
              <w:left w:val="nil"/>
              <w:bottom w:val="nil"/>
              <w:right w:val="nil"/>
            </w:tcBorders>
            <w:shd w:val="clear" w:color="auto" w:fill="auto"/>
          </w:tcPr>
          <w:p w:rsidR="001133C2" w:rsidRPr="00527E7D" w:rsidRDefault="001133C2" w:rsidP="001133C2">
            <w:pPr>
              <w:tabs>
                <w:tab w:val="decimal" w:pos="817"/>
              </w:tabs>
              <w:spacing w:before="60" w:after="60" w:line="240" w:lineRule="auto"/>
              <w:rPr>
                <w:rFonts w:ascii="Times New Roman" w:hAnsi="Times New Roman"/>
              </w:rPr>
            </w:pPr>
            <w:r w:rsidRPr="00527E7D">
              <w:rPr>
                <w:rFonts w:ascii="Times New Roman" w:hAnsi="Times New Roman"/>
              </w:rPr>
              <w:t>99.4954</w:t>
            </w:r>
          </w:p>
        </w:tc>
        <w:tc>
          <w:tcPr>
            <w:tcW w:w="2336" w:type="dxa"/>
            <w:tcBorders>
              <w:top w:val="nil"/>
              <w:left w:val="nil"/>
              <w:bottom w:val="nil"/>
              <w:right w:val="nil"/>
            </w:tcBorders>
            <w:shd w:val="clear" w:color="auto" w:fill="auto"/>
          </w:tcPr>
          <w:p w:rsidR="001133C2" w:rsidRPr="00527E7D" w:rsidRDefault="001133C2" w:rsidP="001133C2">
            <w:pPr>
              <w:tabs>
                <w:tab w:val="decimal" w:pos="796"/>
              </w:tabs>
              <w:spacing w:before="60" w:after="60" w:line="240" w:lineRule="auto"/>
              <w:rPr>
                <w:rFonts w:ascii="Times New Roman" w:hAnsi="Times New Roman"/>
              </w:rPr>
            </w:pPr>
            <w:r w:rsidRPr="00527E7D">
              <w:rPr>
                <w:rFonts w:ascii="Times New Roman" w:hAnsi="Times New Roman"/>
              </w:rPr>
              <w:t>148.0445</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i/>
              </w:rPr>
              <w:t>p</w:t>
            </w:r>
            <w:r w:rsidRPr="00527E7D">
              <w:rPr>
                <w:rFonts w:ascii="Times New Roman" w:hAnsi="Times New Roman"/>
              </w:rPr>
              <w:t>-value</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0.0000</w:t>
            </w:r>
          </w:p>
        </w:tc>
        <w:tc>
          <w:tcPr>
            <w:tcW w:w="2336" w:type="dxa"/>
            <w:tcBorders>
              <w:top w:val="nil"/>
              <w:left w:val="nil"/>
              <w:bottom w:val="nil"/>
              <w:right w:val="nil"/>
            </w:tcBorders>
            <w:shd w:val="clear" w:color="auto" w:fill="auto"/>
          </w:tcPr>
          <w:p w:rsidR="001133C2" w:rsidRPr="00527E7D" w:rsidRDefault="001133C2" w:rsidP="001133C2">
            <w:pPr>
              <w:tabs>
                <w:tab w:val="decimal" w:pos="817"/>
              </w:tabs>
              <w:spacing w:before="60" w:after="60" w:line="240" w:lineRule="auto"/>
              <w:rPr>
                <w:rFonts w:ascii="Times New Roman" w:hAnsi="Times New Roman"/>
              </w:rPr>
            </w:pPr>
            <w:r w:rsidRPr="00527E7D">
              <w:rPr>
                <w:rFonts w:ascii="Times New Roman" w:hAnsi="Times New Roman"/>
              </w:rPr>
              <w:t>0.0000</w:t>
            </w:r>
          </w:p>
        </w:tc>
        <w:tc>
          <w:tcPr>
            <w:tcW w:w="2336" w:type="dxa"/>
            <w:tcBorders>
              <w:top w:val="nil"/>
              <w:left w:val="nil"/>
              <w:bottom w:val="nil"/>
              <w:right w:val="nil"/>
            </w:tcBorders>
            <w:shd w:val="clear" w:color="auto" w:fill="auto"/>
          </w:tcPr>
          <w:p w:rsidR="001133C2" w:rsidRPr="00527E7D" w:rsidRDefault="001133C2" w:rsidP="001133C2">
            <w:pPr>
              <w:tabs>
                <w:tab w:val="decimal" w:pos="796"/>
              </w:tabs>
              <w:spacing w:before="60" w:after="60" w:line="240" w:lineRule="auto"/>
              <w:rPr>
                <w:rFonts w:ascii="Times New Roman" w:hAnsi="Times New Roman"/>
              </w:rPr>
            </w:pPr>
            <w:r w:rsidRPr="00527E7D">
              <w:rPr>
                <w:rFonts w:ascii="Times New Roman" w:hAnsi="Times New Roman"/>
              </w:rPr>
              <w:t>0.0000</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color w:val="000000"/>
                <w:lang w:val="en-US"/>
              </w:rPr>
            </w:pPr>
            <w:r w:rsidRPr="00527E7D">
              <w:rPr>
                <w:rFonts w:ascii="Times New Roman" w:hAnsi="Times New Roman"/>
                <w:color w:val="000000"/>
                <w:lang w:val="en-US"/>
              </w:rPr>
              <w:t>(</w:t>
            </w:r>
            <w:r w:rsidRPr="00527E7D">
              <w:rPr>
                <w:rFonts w:ascii="Times New Roman" w:hAnsi="Times New Roman"/>
                <w:i/>
                <w:color w:val="000000"/>
                <w:lang w:val="en-US"/>
              </w:rPr>
              <w:t>β</w:t>
            </w:r>
            <w:r w:rsidRPr="00527E7D">
              <w:rPr>
                <w:rFonts w:ascii="Times New Roman" w:hAnsi="Times New Roman"/>
                <w:i/>
                <w:color w:val="000000"/>
                <w:vertAlign w:val="subscript"/>
                <w:lang w:val="en-US"/>
              </w:rPr>
              <w:t xml:space="preserve"> 1</w:t>
            </w:r>
            <w:r w:rsidRPr="00527E7D">
              <w:rPr>
                <w:rFonts w:ascii="Times New Roman" w:hAnsi="Times New Roman"/>
                <w:i/>
                <w:color w:val="000000"/>
                <w:lang w:val="en-US"/>
              </w:rPr>
              <w:t>+ β</w:t>
            </w:r>
            <w:r w:rsidRPr="00527E7D">
              <w:rPr>
                <w:rFonts w:ascii="Times New Roman" w:hAnsi="Times New Roman"/>
                <w:i/>
                <w:color w:val="000000"/>
                <w:vertAlign w:val="subscript"/>
                <w:lang w:val="en-US"/>
              </w:rPr>
              <w:t xml:space="preserve"> 2</w:t>
            </w:r>
            <w:r w:rsidRPr="00527E7D">
              <w:rPr>
                <w:rFonts w:ascii="Times New Roman" w:hAnsi="Times New Roman"/>
                <w:color w:val="000000"/>
                <w:lang w:val="en-US"/>
              </w:rPr>
              <w:t>)</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-0.0560</w:t>
            </w:r>
          </w:p>
        </w:tc>
        <w:tc>
          <w:tcPr>
            <w:tcW w:w="2336" w:type="dxa"/>
            <w:tcBorders>
              <w:top w:val="nil"/>
              <w:left w:val="nil"/>
              <w:bottom w:val="nil"/>
              <w:right w:val="nil"/>
            </w:tcBorders>
            <w:shd w:val="clear" w:color="auto" w:fill="auto"/>
          </w:tcPr>
          <w:p w:rsidR="001133C2" w:rsidRPr="00527E7D" w:rsidRDefault="001133C2" w:rsidP="001133C2">
            <w:pPr>
              <w:tabs>
                <w:tab w:val="decimal" w:pos="817"/>
              </w:tabs>
              <w:spacing w:before="60" w:after="60" w:line="240" w:lineRule="auto"/>
              <w:rPr>
                <w:rFonts w:ascii="Times New Roman" w:hAnsi="Times New Roman"/>
              </w:rPr>
            </w:pPr>
            <w:r w:rsidRPr="00527E7D">
              <w:rPr>
                <w:rFonts w:ascii="Times New Roman" w:hAnsi="Times New Roman"/>
              </w:rPr>
              <w:t>-0.1140</w:t>
            </w:r>
          </w:p>
        </w:tc>
        <w:tc>
          <w:tcPr>
            <w:tcW w:w="2336" w:type="dxa"/>
            <w:tcBorders>
              <w:top w:val="nil"/>
              <w:left w:val="nil"/>
              <w:bottom w:val="nil"/>
              <w:right w:val="nil"/>
            </w:tcBorders>
            <w:shd w:val="clear" w:color="auto" w:fill="auto"/>
          </w:tcPr>
          <w:p w:rsidR="001133C2" w:rsidRPr="00527E7D" w:rsidRDefault="001133C2" w:rsidP="001133C2">
            <w:pPr>
              <w:tabs>
                <w:tab w:val="decimal" w:pos="796"/>
              </w:tabs>
              <w:spacing w:before="60" w:after="60" w:line="240" w:lineRule="auto"/>
              <w:rPr>
                <w:rFonts w:ascii="Times New Roman" w:hAnsi="Times New Roman"/>
              </w:rPr>
            </w:pPr>
            <w:r w:rsidRPr="00527E7D">
              <w:rPr>
                <w:rFonts w:ascii="Times New Roman" w:hAnsi="Times New Roman"/>
              </w:rPr>
              <w:t>-0.1235</w:t>
            </w:r>
          </w:p>
        </w:tc>
      </w:tr>
      <w:tr w:rsidR="001133C2" w:rsidRPr="00527E7D" w:rsidTr="001133C2">
        <w:tc>
          <w:tcPr>
            <w:tcW w:w="2235"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rPr>
                <w:rFonts w:ascii="Times New Roman" w:hAnsi="Times New Roman"/>
              </w:rPr>
            </w:pPr>
            <w:r>
              <w:rPr>
                <w:rFonts w:ascii="Times New Roman" w:hAnsi="Times New Roman"/>
              </w:rPr>
              <w:t>Safe H</w:t>
            </w:r>
            <w:r w:rsidRPr="00527E7D">
              <w:rPr>
                <w:rFonts w:ascii="Times New Roman" w:hAnsi="Times New Roman"/>
              </w:rPr>
              <w:t>aven</w:t>
            </w:r>
            <w:r w:rsidRPr="00527E7D">
              <w:rPr>
                <w:rFonts w:ascii="Times New Roman" w:hAnsi="Times New Roman"/>
                <w:i/>
              </w:rPr>
              <w:t xml:space="preserve"> p</w:t>
            </w:r>
            <w:r w:rsidRPr="00527E7D">
              <w:rPr>
                <w:rFonts w:ascii="Times New Roman" w:hAnsi="Times New Roman"/>
              </w:rPr>
              <w:t>-value</w:t>
            </w:r>
          </w:p>
        </w:tc>
        <w:tc>
          <w:tcPr>
            <w:tcW w:w="2335" w:type="dxa"/>
            <w:gridSpan w:val="2"/>
            <w:tcBorders>
              <w:top w:val="nil"/>
              <w:left w:val="nil"/>
              <w:bottom w:val="single" w:sz="4" w:space="0" w:color="auto"/>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1.0000</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817"/>
              </w:tabs>
              <w:spacing w:before="60" w:after="60" w:line="240" w:lineRule="auto"/>
              <w:rPr>
                <w:rFonts w:ascii="Times New Roman" w:hAnsi="Times New Roman"/>
              </w:rPr>
            </w:pPr>
            <w:r w:rsidRPr="00527E7D">
              <w:rPr>
                <w:rFonts w:ascii="Times New Roman" w:hAnsi="Times New Roman"/>
              </w:rPr>
              <w:t>1.0000</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796"/>
              </w:tabs>
              <w:spacing w:before="60" w:after="60" w:line="240" w:lineRule="auto"/>
              <w:rPr>
                <w:rFonts w:ascii="Times New Roman" w:hAnsi="Times New Roman"/>
              </w:rPr>
            </w:pPr>
            <w:r w:rsidRPr="00527E7D">
              <w:rPr>
                <w:rFonts w:ascii="Times New Roman" w:hAnsi="Times New Roman"/>
              </w:rPr>
              <w:t>1.0000</w:t>
            </w:r>
          </w:p>
        </w:tc>
      </w:tr>
      <w:tr w:rsidR="001133C2" w:rsidRPr="00527E7D" w:rsidTr="001133C2">
        <w:tc>
          <w:tcPr>
            <w:tcW w:w="9242" w:type="dxa"/>
            <w:gridSpan w:val="5"/>
            <w:tcBorders>
              <w:top w:val="single" w:sz="4" w:space="0" w:color="auto"/>
              <w:left w:val="nil"/>
              <w:bottom w:val="single" w:sz="4" w:space="0" w:color="auto"/>
              <w:right w:val="nil"/>
            </w:tcBorders>
            <w:shd w:val="clear" w:color="auto" w:fill="auto"/>
          </w:tcPr>
          <w:p w:rsidR="001133C2" w:rsidRPr="00527E7D" w:rsidRDefault="001133C2" w:rsidP="001133C2">
            <w:pPr>
              <w:spacing w:before="120" w:after="120" w:line="240" w:lineRule="auto"/>
              <w:rPr>
                <w:rFonts w:ascii="Times New Roman" w:hAnsi="Times New Roman"/>
              </w:rPr>
            </w:pPr>
            <w:r w:rsidRPr="00527E7D">
              <w:rPr>
                <w:rFonts w:ascii="Times New Roman" w:hAnsi="Times New Roman"/>
                <w:b/>
              </w:rPr>
              <w:t>Panel B. Safe Haven Regressions Based on the Instances of International Crisis</w:t>
            </w:r>
          </w:p>
        </w:tc>
      </w:tr>
      <w:tr w:rsidR="001133C2" w:rsidRPr="00527E7D" w:rsidTr="001133C2">
        <w:tc>
          <w:tcPr>
            <w:tcW w:w="3028" w:type="dxa"/>
            <w:gridSpan w:val="2"/>
            <w:tcBorders>
              <w:top w:val="single" w:sz="4" w:space="0" w:color="auto"/>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b/>
              </w:rPr>
            </w:pPr>
          </w:p>
        </w:tc>
        <w:tc>
          <w:tcPr>
            <w:tcW w:w="6214" w:type="dxa"/>
            <w:gridSpan w:val="3"/>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Proxy for market index used:</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b/>
              </w:rPr>
            </w:pPr>
          </w:p>
        </w:tc>
        <w:tc>
          <w:tcPr>
            <w:tcW w:w="2335" w:type="dxa"/>
            <w:gridSpan w:val="2"/>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S&amp;P 500</w:t>
            </w:r>
          </w:p>
        </w:tc>
        <w:tc>
          <w:tcPr>
            <w:tcW w:w="2336"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 World</w:t>
            </w:r>
          </w:p>
        </w:tc>
        <w:tc>
          <w:tcPr>
            <w:tcW w:w="2336" w:type="dxa"/>
            <w:tcBorders>
              <w:top w:val="nil"/>
              <w:left w:val="nil"/>
              <w:bottom w:val="nil"/>
              <w:right w:val="nil"/>
            </w:tcBorders>
            <w:shd w:val="clear" w:color="auto" w:fill="auto"/>
          </w:tcPr>
          <w:p w:rsidR="001133C2" w:rsidRPr="00527E7D" w:rsidRDefault="001133C2" w:rsidP="001133C2">
            <w:pPr>
              <w:spacing w:before="60" w:after="60" w:line="240" w:lineRule="auto"/>
              <w:jc w:val="center"/>
              <w:rPr>
                <w:rFonts w:ascii="Times New Roman" w:hAnsi="Times New Roman"/>
              </w:rPr>
            </w:pPr>
            <w:r w:rsidRPr="00527E7D">
              <w:rPr>
                <w:rFonts w:ascii="Times New Roman" w:hAnsi="Times New Roman"/>
              </w:rPr>
              <w:t>MSCI World (excl. US)</w:t>
            </w:r>
          </w:p>
        </w:tc>
      </w:tr>
      <w:tr w:rsidR="001133C2" w:rsidRPr="00527E7D" w:rsidTr="001133C2">
        <w:tc>
          <w:tcPr>
            <w:tcW w:w="2235"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rPr>
                <w:rFonts w:ascii="Times New Roman" w:hAnsi="Times New Roman"/>
              </w:rPr>
            </w:pPr>
          </w:p>
        </w:tc>
        <w:tc>
          <w:tcPr>
            <w:tcW w:w="2335" w:type="dxa"/>
            <w:gridSpan w:val="2"/>
            <w:tcBorders>
              <w:top w:val="nil"/>
              <w:left w:val="nil"/>
              <w:bottom w:val="single" w:sz="4" w:space="0" w:color="auto"/>
              <w:right w:val="nil"/>
            </w:tcBorders>
            <w:shd w:val="clear" w:color="auto" w:fill="auto"/>
          </w:tcPr>
          <w:p w:rsidR="001133C2" w:rsidRPr="00527E7D" w:rsidRDefault="001133C2" w:rsidP="001133C2">
            <w:pPr>
              <w:spacing w:before="60" w:after="0" w:line="240" w:lineRule="auto"/>
              <w:jc w:val="center"/>
              <w:rPr>
                <w:rFonts w:ascii="Times New Roman" w:hAnsi="Times New Roman"/>
              </w:rPr>
            </w:pPr>
            <w:r w:rsidRPr="00527E7D">
              <w:rPr>
                <w:rFonts w:ascii="Times New Roman" w:hAnsi="Times New Roman"/>
              </w:rPr>
              <w:t>(1)</w:t>
            </w:r>
          </w:p>
        </w:tc>
        <w:tc>
          <w:tcPr>
            <w:tcW w:w="2336" w:type="dxa"/>
            <w:tcBorders>
              <w:top w:val="nil"/>
              <w:left w:val="nil"/>
              <w:bottom w:val="single" w:sz="4" w:space="0" w:color="auto"/>
              <w:right w:val="nil"/>
            </w:tcBorders>
            <w:shd w:val="clear" w:color="auto" w:fill="auto"/>
          </w:tcPr>
          <w:p w:rsidR="001133C2" w:rsidRPr="00527E7D" w:rsidRDefault="001133C2" w:rsidP="001133C2">
            <w:pPr>
              <w:spacing w:before="60" w:after="0" w:line="240" w:lineRule="auto"/>
              <w:jc w:val="center"/>
              <w:rPr>
                <w:rFonts w:ascii="Times New Roman" w:hAnsi="Times New Roman"/>
              </w:rPr>
            </w:pPr>
            <w:r w:rsidRPr="00527E7D">
              <w:rPr>
                <w:rFonts w:ascii="Times New Roman" w:hAnsi="Times New Roman"/>
              </w:rPr>
              <w:t>(2)</w:t>
            </w:r>
          </w:p>
        </w:tc>
        <w:tc>
          <w:tcPr>
            <w:tcW w:w="2336" w:type="dxa"/>
            <w:tcBorders>
              <w:top w:val="nil"/>
              <w:left w:val="nil"/>
              <w:bottom w:val="single" w:sz="4" w:space="0" w:color="auto"/>
              <w:right w:val="nil"/>
            </w:tcBorders>
            <w:shd w:val="clear" w:color="auto" w:fill="auto"/>
          </w:tcPr>
          <w:p w:rsidR="001133C2" w:rsidRPr="00527E7D" w:rsidRDefault="001133C2" w:rsidP="001133C2">
            <w:pPr>
              <w:spacing w:before="60" w:after="0" w:line="240" w:lineRule="auto"/>
              <w:jc w:val="center"/>
              <w:rPr>
                <w:rFonts w:ascii="Times New Roman" w:hAnsi="Times New Roman"/>
              </w:rPr>
            </w:pPr>
            <w:r w:rsidRPr="00527E7D">
              <w:rPr>
                <w:rFonts w:ascii="Times New Roman" w:hAnsi="Times New Roman"/>
              </w:rPr>
              <w:t>(3)</w:t>
            </w:r>
          </w:p>
        </w:tc>
      </w:tr>
      <w:tr w:rsidR="001133C2" w:rsidRPr="00527E7D" w:rsidTr="001133C2">
        <w:tc>
          <w:tcPr>
            <w:tcW w:w="2235" w:type="dxa"/>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C</w:t>
            </w:r>
          </w:p>
        </w:tc>
        <w:tc>
          <w:tcPr>
            <w:tcW w:w="2335" w:type="dxa"/>
            <w:gridSpan w:val="2"/>
            <w:tcBorders>
              <w:top w:val="single" w:sz="4" w:space="0" w:color="auto"/>
              <w:left w:val="nil"/>
              <w:bottom w:val="nil"/>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(0.0000)</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90"/>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890"/>
              </w:tabs>
              <w:spacing w:after="60" w:line="240" w:lineRule="auto"/>
              <w:rPr>
                <w:rFonts w:ascii="Times New Roman" w:hAnsi="Times New Roman"/>
                <w:i/>
              </w:rPr>
            </w:pPr>
            <w:r w:rsidRPr="00527E7D">
              <w:rPr>
                <w:rFonts w:ascii="Times New Roman" w:hAnsi="Times New Roman"/>
                <w:i/>
              </w:rPr>
              <w:t>(0.0000)</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91"/>
              </w:tabs>
              <w:spacing w:before="60" w:after="0" w:line="240" w:lineRule="auto"/>
              <w:rPr>
                <w:rFonts w:ascii="Times New Roman" w:hAnsi="Times New Roman"/>
              </w:rPr>
            </w:pPr>
            <w:r w:rsidRPr="00527E7D">
              <w:rPr>
                <w:rFonts w:ascii="Times New Roman" w:hAnsi="Times New Roman"/>
              </w:rPr>
              <w:t>0.0003</w:t>
            </w:r>
          </w:p>
          <w:p w:rsidR="001133C2" w:rsidRPr="00527E7D" w:rsidRDefault="001133C2" w:rsidP="001133C2">
            <w:pPr>
              <w:tabs>
                <w:tab w:val="decimal" w:pos="891"/>
              </w:tabs>
              <w:spacing w:after="60" w:line="240" w:lineRule="auto"/>
              <w:rPr>
                <w:rFonts w:ascii="Times New Roman" w:hAnsi="Times New Roman"/>
                <w:i/>
              </w:rPr>
            </w:pPr>
            <w:r w:rsidRPr="00527E7D">
              <w:rPr>
                <w:rFonts w:ascii="Times New Roman" w:hAnsi="Times New Roman"/>
                <w:i/>
              </w:rPr>
              <w:t>(0.0000)</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proofErr w:type="spellStart"/>
            <w:r w:rsidRPr="00527E7D">
              <w:rPr>
                <w:rFonts w:ascii="Times New Roman" w:hAnsi="Times New Roman"/>
              </w:rPr>
              <w:t>r</w:t>
            </w:r>
            <w:r w:rsidRPr="00527E7D">
              <w:rPr>
                <w:rFonts w:ascii="Times New Roman" w:hAnsi="Times New Roman"/>
                <w:vertAlign w:val="subscript"/>
              </w:rPr>
              <w:t>Stock</w:t>
            </w:r>
            <w:proofErr w:type="spellEnd"/>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-0.0518</w:t>
            </w:r>
            <w:r w:rsidRPr="00527E7D">
              <w:rPr>
                <w:rFonts w:ascii="Times New Roman" w:hAnsi="Times New Roman"/>
                <w:vertAlign w:val="superscript"/>
              </w:rPr>
              <w:t>***</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(0.0010)</w:t>
            </w:r>
          </w:p>
        </w:tc>
        <w:tc>
          <w:tcPr>
            <w:tcW w:w="2336" w:type="dxa"/>
            <w:tcBorders>
              <w:top w:val="nil"/>
              <w:left w:val="nil"/>
              <w:bottom w:val="nil"/>
              <w:right w:val="nil"/>
            </w:tcBorders>
            <w:shd w:val="clear" w:color="auto" w:fill="auto"/>
          </w:tcPr>
          <w:p w:rsidR="001133C2" w:rsidRPr="00527E7D" w:rsidRDefault="001133C2" w:rsidP="001133C2">
            <w:pPr>
              <w:tabs>
                <w:tab w:val="decimal" w:pos="890"/>
              </w:tabs>
              <w:spacing w:before="60" w:after="0" w:line="240" w:lineRule="auto"/>
              <w:rPr>
                <w:rFonts w:ascii="Times New Roman" w:hAnsi="Times New Roman"/>
              </w:rPr>
            </w:pPr>
            <w:r w:rsidRPr="00527E7D">
              <w:rPr>
                <w:rFonts w:ascii="Times New Roman" w:hAnsi="Times New Roman"/>
              </w:rPr>
              <w:t>-0.1193</w:t>
            </w:r>
            <w:r w:rsidRPr="00527E7D">
              <w:rPr>
                <w:rFonts w:ascii="Times New Roman" w:hAnsi="Times New Roman"/>
                <w:vertAlign w:val="superscript"/>
              </w:rPr>
              <w:t>***</w:t>
            </w:r>
          </w:p>
          <w:p w:rsidR="001133C2" w:rsidRPr="00527E7D" w:rsidRDefault="001133C2" w:rsidP="001133C2">
            <w:pPr>
              <w:tabs>
                <w:tab w:val="decimal" w:pos="890"/>
              </w:tabs>
              <w:spacing w:after="60" w:line="240" w:lineRule="auto"/>
              <w:rPr>
                <w:rFonts w:ascii="Times New Roman" w:hAnsi="Times New Roman"/>
                <w:i/>
              </w:rPr>
            </w:pPr>
            <w:r w:rsidRPr="00527E7D">
              <w:rPr>
                <w:rFonts w:ascii="Times New Roman" w:hAnsi="Times New Roman"/>
                <w:i/>
              </w:rPr>
              <w:t>(0.0127)</w:t>
            </w:r>
          </w:p>
        </w:tc>
        <w:tc>
          <w:tcPr>
            <w:tcW w:w="2336" w:type="dxa"/>
            <w:tcBorders>
              <w:top w:val="nil"/>
              <w:left w:val="nil"/>
              <w:bottom w:val="nil"/>
              <w:right w:val="nil"/>
            </w:tcBorders>
            <w:shd w:val="clear" w:color="auto" w:fill="auto"/>
          </w:tcPr>
          <w:p w:rsidR="001133C2" w:rsidRPr="00527E7D" w:rsidRDefault="001133C2" w:rsidP="001133C2">
            <w:pPr>
              <w:tabs>
                <w:tab w:val="decimal" w:pos="891"/>
              </w:tabs>
              <w:spacing w:before="60" w:after="0" w:line="240" w:lineRule="auto"/>
              <w:rPr>
                <w:rFonts w:ascii="Times New Roman" w:hAnsi="Times New Roman"/>
              </w:rPr>
            </w:pPr>
            <w:r w:rsidRPr="00527E7D">
              <w:rPr>
                <w:rFonts w:ascii="Times New Roman" w:hAnsi="Times New Roman"/>
              </w:rPr>
              <w:t>-0.1473</w:t>
            </w:r>
            <w:r w:rsidRPr="00527E7D">
              <w:rPr>
                <w:rFonts w:ascii="Times New Roman" w:hAnsi="Times New Roman"/>
                <w:vertAlign w:val="superscript"/>
              </w:rPr>
              <w:t>***</w:t>
            </w:r>
          </w:p>
          <w:p w:rsidR="001133C2" w:rsidRPr="00527E7D" w:rsidRDefault="001133C2" w:rsidP="001133C2">
            <w:pPr>
              <w:tabs>
                <w:tab w:val="decimal" w:pos="891"/>
              </w:tabs>
              <w:spacing w:after="60" w:line="240" w:lineRule="auto"/>
              <w:rPr>
                <w:rFonts w:ascii="Times New Roman" w:hAnsi="Times New Roman"/>
                <w:i/>
              </w:rPr>
            </w:pPr>
            <w:r w:rsidRPr="00527E7D">
              <w:rPr>
                <w:rFonts w:ascii="Times New Roman" w:hAnsi="Times New Roman"/>
                <w:i/>
              </w:rPr>
              <w:t>(0.0124)</w:t>
            </w:r>
          </w:p>
        </w:tc>
      </w:tr>
      <w:tr w:rsidR="001133C2" w:rsidRPr="00527E7D" w:rsidTr="001133C2">
        <w:tc>
          <w:tcPr>
            <w:tcW w:w="2235" w:type="dxa"/>
            <w:tcBorders>
              <w:top w:val="nil"/>
              <w:left w:val="nil"/>
              <w:bottom w:val="single" w:sz="4" w:space="0" w:color="auto"/>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 xml:space="preserve">D </w:t>
            </w:r>
            <w:r w:rsidRPr="00527E7D">
              <w:rPr>
                <w:rFonts w:ascii="Times New Roman" w:hAnsi="Times New Roman"/>
                <w:vertAlign w:val="subscript"/>
              </w:rPr>
              <w:t>Conflict</w:t>
            </w:r>
            <w:r w:rsidRPr="00527E7D">
              <w:rPr>
                <w:rFonts w:ascii="Times New Roman" w:hAnsi="Times New Roman"/>
              </w:rPr>
              <w:sym w:font="Symbol" w:char="F0B4"/>
            </w:r>
            <w:r w:rsidRPr="00527E7D">
              <w:rPr>
                <w:rFonts w:ascii="Times New Roman" w:hAnsi="Times New Roman"/>
              </w:rPr>
              <w:t xml:space="preserve"> </w:t>
            </w:r>
            <w:proofErr w:type="spellStart"/>
            <w:r w:rsidRPr="00527E7D">
              <w:rPr>
                <w:rFonts w:ascii="Times New Roman" w:hAnsi="Times New Roman"/>
              </w:rPr>
              <w:t>r</w:t>
            </w:r>
            <w:r w:rsidRPr="00527E7D">
              <w:rPr>
                <w:rFonts w:ascii="Times New Roman" w:hAnsi="Times New Roman"/>
                <w:vertAlign w:val="subscript"/>
              </w:rPr>
              <w:t>Stock</w:t>
            </w:r>
            <w:proofErr w:type="spellEnd"/>
          </w:p>
        </w:tc>
        <w:tc>
          <w:tcPr>
            <w:tcW w:w="2335" w:type="dxa"/>
            <w:gridSpan w:val="2"/>
            <w:tcBorders>
              <w:top w:val="nil"/>
              <w:left w:val="nil"/>
              <w:bottom w:val="single" w:sz="4" w:space="0" w:color="auto"/>
              <w:right w:val="nil"/>
            </w:tcBorders>
            <w:shd w:val="clear" w:color="auto" w:fill="auto"/>
          </w:tcPr>
          <w:p w:rsidR="001133C2" w:rsidRPr="00527E7D" w:rsidRDefault="001133C2" w:rsidP="001133C2">
            <w:pPr>
              <w:tabs>
                <w:tab w:val="decimal" w:pos="884"/>
              </w:tabs>
              <w:spacing w:before="60" w:after="0" w:line="240" w:lineRule="auto"/>
              <w:rPr>
                <w:rFonts w:ascii="Times New Roman" w:hAnsi="Times New Roman"/>
              </w:rPr>
            </w:pPr>
            <w:r w:rsidRPr="00527E7D">
              <w:rPr>
                <w:rFonts w:ascii="Times New Roman" w:hAnsi="Times New Roman"/>
              </w:rPr>
              <w:t>0.0015</w:t>
            </w:r>
          </w:p>
          <w:p w:rsidR="001133C2" w:rsidRPr="00527E7D" w:rsidRDefault="001133C2" w:rsidP="001133C2">
            <w:pPr>
              <w:tabs>
                <w:tab w:val="decimal" w:pos="884"/>
              </w:tabs>
              <w:spacing w:after="60" w:line="240" w:lineRule="auto"/>
              <w:rPr>
                <w:rFonts w:ascii="Times New Roman" w:hAnsi="Times New Roman"/>
                <w:i/>
              </w:rPr>
            </w:pPr>
            <w:r w:rsidRPr="00527E7D">
              <w:rPr>
                <w:rFonts w:ascii="Times New Roman" w:hAnsi="Times New Roman"/>
                <w:i/>
              </w:rPr>
              <w:t>(0.01312)</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890"/>
              </w:tabs>
              <w:spacing w:before="60" w:after="0" w:line="240" w:lineRule="auto"/>
              <w:rPr>
                <w:rFonts w:ascii="Times New Roman" w:hAnsi="Times New Roman"/>
              </w:rPr>
            </w:pPr>
            <w:r w:rsidRPr="00527E7D">
              <w:rPr>
                <w:rFonts w:ascii="Times New Roman" w:hAnsi="Times New Roman"/>
              </w:rPr>
              <w:t>0.0084</w:t>
            </w:r>
          </w:p>
          <w:p w:rsidR="001133C2" w:rsidRPr="00527E7D" w:rsidRDefault="001133C2" w:rsidP="001133C2">
            <w:pPr>
              <w:tabs>
                <w:tab w:val="decimal" w:pos="890"/>
              </w:tabs>
              <w:spacing w:after="60" w:line="240" w:lineRule="auto"/>
              <w:rPr>
                <w:rFonts w:ascii="Times New Roman" w:hAnsi="Times New Roman"/>
                <w:i/>
              </w:rPr>
            </w:pPr>
            <w:r w:rsidRPr="00527E7D">
              <w:rPr>
                <w:rFonts w:ascii="Times New Roman" w:hAnsi="Times New Roman"/>
                <w:i/>
              </w:rPr>
              <w:t>(0.0165)</w:t>
            </w:r>
          </w:p>
        </w:tc>
        <w:tc>
          <w:tcPr>
            <w:tcW w:w="2336" w:type="dxa"/>
            <w:tcBorders>
              <w:top w:val="nil"/>
              <w:left w:val="nil"/>
              <w:bottom w:val="single" w:sz="4" w:space="0" w:color="auto"/>
              <w:right w:val="nil"/>
            </w:tcBorders>
            <w:shd w:val="clear" w:color="auto" w:fill="auto"/>
          </w:tcPr>
          <w:p w:rsidR="001133C2" w:rsidRPr="00527E7D" w:rsidRDefault="001133C2" w:rsidP="001133C2">
            <w:pPr>
              <w:tabs>
                <w:tab w:val="decimal" w:pos="891"/>
              </w:tabs>
              <w:spacing w:before="60" w:after="0" w:line="240" w:lineRule="auto"/>
              <w:rPr>
                <w:rFonts w:ascii="Times New Roman" w:hAnsi="Times New Roman"/>
              </w:rPr>
            </w:pPr>
            <w:r w:rsidRPr="00527E7D">
              <w:rPr>
                <w:rFonts w:ascii="Times New Roman" w:hAnsi="Times New Roman"/>
              </w:rPr>
              <w:t>0.0290</w:t>
            </w:r>
            <w:r w:rsidRPr="00527E7D">
              <w:rPr>
                <w:rFonts w:ascii="Times New Roman" w:hAnsi="Times New Roman"/>
                <w:vertAlign w:val="superscript"/>
              </w:rPr>
              <w:t>*</w:t>
            </w:r>
          </w:p>
          <w:p w:rsidR="001133C2" w:rsidRPr="00527E7D" w:rsidRDefault="001133C2" w:rsidP="001133C2">
            <w:pPr>
              <w:tabs>
                <w:tab w:val="decimal" w:pos="891"/>
              </w:tabs>
              <w:spacing w:after="60" w:line="240" w:lineRule="auto"/>
              <w:rPr>
                <w:rFonts w:ascii="Times New Roman" w:hAnsi="Times New Roman"/>
                <w:i/>
              </w:rPr>
            </w:pPr>
            <w:r w:rsidRPr="00527E7D">
              <w:rPr>
                <w:rFonts w:ascii="Times New Roman" w:hAnsi="Times New Roman"/>
                <w:i/>
              </w:rPr>
              <w:t>(0.0156)</w:t>
            </w:r>
          </w:p>
        </w:tc>
      </w:tr>
      <w:tr w:rsidR="001133C2" w:rsidRPr="00527E7D" w:rsidTr="001133C2">
        <w:tc>
          <w:tcPr>
            <w:tcW w:w="2235" w:type="dxa"/>
            <w:tcBorders>
              <w:top w:val="single" w:sz="4" w:space="0" w:color="auto"/>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R-square</w:t>
            </w:r>
          </w:p>
        </w:tc>
        <w:tc>
          <w:tcPr>
            <w:tcW w:w="2335" w:type="dxa"/>
            <w:gridSpan w:val="2"/>
            <w:tcBorders>
              <w:top w:val="single" w:sz="4" w:space="0" w:color="auto"/>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1.7706%</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90"/>
              </w:tabs>
              <w:spacing w:before="60" w:after="60" w:line="240" w:lineRule="auto"/>
              <w:rPr>
                <w:rFonts w:ascii="Times New Roman" w:hAnsi="Times New Roman"/>
              </w:rPr>
            </w:pPr>
            <w:r w:rsidRPr="00527E7D">
              <w:rPr>
                <w:rFonts w:ascii="Times New Roman" w:hAnsi="Times New Roman"/>
              </w:rPr>
              <w:t>5.5548%</w:t>
            </w:r>
          </w:p>
        </w:tc>
        <w:tc>
          <w:tcPr>
            <w:tcW w:w="2336" w:type="dxa"/>
            <w:tcBorders>
              <w:top w:val="single" w:sz="4" w:space="0" w:color="auto"/>
              <w:left w:val="nil"/>
              <w:bottom w:val="nil"/>
              <w:right w:val="nil"/>
            </w:tcBorders>
            <w:shd w:val="clear" w:color="auto" w:fill="auto"/>
          </w:tcPr>
          <w:p w:rsidR="001133C2" w:rsidRPr="00527E7D" w:rsidRDefault="001133C2" w:rsidP="001133C2">
            <w:pPr>
              <w:tabs>
                <w:tab w:val="decimal" w:pos="891"/>
              </w:tabs>
              <w:spacing w:before="60" w:after="60" w:line="240" w:lineRule="auto"/>
              <w:rPr>
                <w:rFonts w:ascii="Times New Roman" w:hAnsi="Times New Roman"/>
              </w:rPr>
            </w:pPr>
            <w:r w:rsidRPr="00527E7D">
              <w:rPr>
                <w:rFonts w:ascii="Times New Roman" w:hAnsi="Times New Roman"/>
              </w:rPr>
              <w:t>8.1167%</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rPr>
              <w:t>F-stat regression</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30.5344</w:t>
            </w:r>
          </w:p>
        </w:tc>
        <w:tc>
          <w:tcPr>
            <w:tcW w:w="2336" w:type="dxa"/>
            <w:tcBorders>
              <w:top w:val="nil"/>
              <w:left w:val="nil"/>
              <w:bottom w:val="nil"/>
              <w:right w:val="nil"/>
            </w:tcBorders>
            <w:shd w:val="clear" w:color="auto" w:fill="auto"/>
          </w:tcPr>
          <w:p w:rsidR="001133C2" w:rsidRPr="00527E7D" w:rsidRDefault="001133C2" w:rsidP="001133C2">
            <w:pPr>
              <w:tabs>
                <w:tab w:val="decimal" w:pos="890"/>
              </w:tabs>
              <w:spacing w:before="60" w:after="60" w:line="240" w:lineRule="auto"/>
              <w:rPr>
                <w:rFonts w:ascii="Times New Roman" w:hAnsi="Times New Roman"/>
              </w:rPr>
            </w:pPr>
            <w:r w:rsidRPr="00527E7D">
              <w:rPr>
                <w:rFonts w:ascii="Times New Roman" w:hAnsi="Times New Roman"/>
              </w:rPr>
              <w:t>99.6319</w:t>
            </w:r>
          </w:p>
        </w:tc>
        <w:tc>
          <w:tcPr>
            <w:tcW w:w="2336" w:type="dxa"/>
            <w:tcBorders>
              <w:top w:val="nil"/>
              <w:left w:val="nil"/>
              <w:bottom w:val="nil"/>
              <w:right w:val="nil"/>
            </w:tcBorders>
            <w:shd w:val="clear" w:color="auto" w:fill="auto"/>
          </w:tcPr>
          <w:p w:rsidR="001133C2" w:rsidRPr="00527E7D" w:rsidRDefault="001133C2" w:rsidP="001133C2">
            <w:pPr>
              <w:tabs>
                <w:tab w:val="decimal" w:pos="891"/>
              </w:tabs>
              <w:spacing w:before="60" w:after="60" w:line="240" w:lineRule="auto"/>
              <w:rPr>
                <w:rFonts w:ascii="Times New Roman" w:hAnsi="Times New Roman"/>
              </w:rPr>
            </w:pPr>
            <w:r w:rsidRPr="00527E7D">
              <w:rPr>
                <w:rFonts w:ascii="Times New Roman" w:hAnsi="Times New Roman"/>
              </w:rPr>
              <w:t>149.6421</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rPr>
            </w:pPr>
            <w:r w:rsidRPr="00527E7D">
              <w:rPr>
                <w:rFonts w:ascii="Times New Roman" w:hAnsi="Times New Roman"/>
                <w:i/>
              </w:rPr>
              <w:t>p</w:t>
            </w:r>
            <w:r w:rsidRPr="00527E7D">
              <w:rPr>
                <w:rFonts w:ascii="Times New Roman" w:hAnsi="Times New Roman"/>
              </w:rPr>
              <w:t>-value</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0.0000</w:t>
            </w:r>
          </w:p>
        </w:tc>
        <w:tc>
          <w:tcPr>
            <w:tcW w:w="2336" w:type="dxa"/>
            <w:tcBorders>
              <w:top w:val="nil"/>
              <w:left w:val="nil"/>
              <w:bottom w:val="nil"/>
              <w:right w:val="nil"/>
            </w:tcBorders>
            <w:shd w:val="clear" w:color="auto" w:fill="auto"/>
          </w:tcPr>
          <w:p w:rsidR="001133C2" w:rsidRPr="00527E7D" w:rsidRDefault="001133C2" w:rsidP="001133C2">
            <w:pPr>
              <w:tabs>
                <w:tab w:val="decimal" w:pos="890"/>
              </w:tabs>
              <w:spacing w:before="60" w:after="60" w:line="240" w:lineRule="auto"/>
              <w:rPr>
                <w:rFonts w:ascii="Times New Roman" w:hAnsi="Times New Roman"/>
              </w:rPr>
            </w:pPr>
            <w:r w:rsidRPr="00527E7D">
              <w:rPr>
                <w:rFonts w:ascii="Times New Roman" w:hAnsi="Times New Roman"/>
              </w:rPr>
              <w:t xml:space="preserve"> 0.0000</w:t>
            </w:r>
          </w:p>
        </w:tc>
        <w:tc>
          <w:tcPr>
            <w:tcW w:w="2336" w:type="dxa"/>
            <w:tcBorders>
              <w:top w:val="nil"/>
              <w:left w:val="nil"/>
              <w:bottom w:val="nil"/>
              <w:right w:val="nil"/>
            </w:tcBorders>
            <w:shd w:val="clear" w:color="auto" w:fill="auto"/>
          </w:tcPr>
          <w:p w:rsidR="001133C2" w:rsidRPr="00527E7D" w:rsidRDefault="001133C2" w:rsidP="001133C2">
            <w:pPr>
              <w:tabs>
                <w:tab w:val="decimal" w:pos="891"/>
              </w:tabs>
              <w:spacing w:before="60" w:after="60" w:line="240" w:lineRule="auto"/>
              <w:rPr>
                <w:rFonts w:ascii="Times New Roman" w:hAnsi="Times New Roman"/>
              </w:rPr>
            </w:pPr>
            <w:r w:rsidRPr="00527E7D">
              <w:rPr>
                <w:rFonts w:ascii="Times New Roman" w:hAnsi="Times New Roman"/>
              </w:rPr>
              <w:t xml:space="preserve">  0.0000</w:t>
            </w:r>
          </w:p>
        </w:tc>
      </w:tr>
      <w:tr w:rsidR="001133C2" w:rsidRPr="00527E7D" w:rsidTr="001133C2">
        <w:tc>
          <w:tcPr>
            <w:tcW w:w="2235" w:type="dxa"/>
            <w:tcBorders>
              <w:top w:val="nil"/>
              <w:left w:val="nil"/>
              <w:bottom w:val="nil"/>
              <w:right w:val="nil"/>
            </w:tcBorders>
            <w:shd w:val="clear" w:color="auto" w:fill="auto"/>
          </w:tcPr>
          <w:p w:rsidR="001133C2" w:rsidRPr="00527E7D" w:rsidRDefault="001133C2" w:rsidP="001133C2">
            <w:pPr>
              <w:spacing w:before="60" w:after="60" w:line="240" w:lineRule="auto"/>
              <w:rPr>
                <w:rFonts w:ascii="Times New Roman" w:hAnsi="Times New Roman"/>
                <w:color w:val="000000"/>
                <w:lang w:val="en-US"/>
              </w:rPr>
            </w:pPr>
            <w:r w:rsidRPr="00527E7D">
              <w:rPr>
                <w:rFonts w:ascii="Times New Roman" w:hAnsi="Times New Roman"/>
                <w:color w:val="000000"/>
                <w:lang w:val="en-US"/>
              </w:rPr>
              <w:t>(</w:t>
            </w:r>
            <w:r w:rsidRPr="00527E7D">
              <w:rPr>
                <w:rFonts w:ascii="Times New Roman" w:hAnsi="Times New Roman"/>
                <w:i/>
                <w:color w:val="000000"/>
                <w:lang w:val="en-US"/>
              </w:rPr>
              <w:t>β</w:t>
            </w:r>
            <w:r w:rsidRPr="00527E7D">
              <w:rPr>
                <w:rFonts w:ascii="Times New Roman" w:hAnsi="Times New Roman"/>
                <w:i/>
                <w:color w:val="000000"/>
                <w:vertAlign w:val="subscript"/>
                <w:lang w:val="en-US"/>
              </w:rPr>
              <w:t xml:space="preserve"> 1</w:t>
            </w:r>
            <w:r w:rsidRPr="00527E7D">
              <w:rPr>
                <w:rFonts w:ascii="Times New Roman" w:hAnsi="Times New Roman"/>
                <w:i/>
                <w:color w:val="000000"/>
                <w:lang w:val="en-US"/>
              </w:rPr>
              <w:t>+ β</w:t>
            </w:r>
            <w:r w:rsidRPr="00527E7D">
              <w:rPr>
                <w:rFonts w:ascii="Times New Roman" w:hAnsi="Times New Roman"/>
                <w:i/>
                <w:color w:val="000000"/>
                <w:vertAlign w:val="subscript"/>
                <w:lang w:val="en-US"/>
              </w:rPr>
              <w:t xml:space="preserve"> 2</w:t>
            </w:r>
            <w:r w:rsidRPr="00527E7D">
              <w:rPr>
                <w:rFonts w:ascii="Times New Roman" w:hAnsi="Times New Roman"/>
                <w:color w:val="000000"/>
                <w:lang w:val="en-US"/>
              </w:rPr>
              <w:t>)</w:t>
            </w:r>
          </w:p>
        </w:tc>
        <w:tc>
          <w:tcPr>
            <w:tcW w:w="2335" w:type="dxa"/>
            <w:gridSpan w:val="2"/>
            <w:tcBorders>
              <w:top w:val="nil"/>
              <w:left w:val="nil"/>
              <w:bottom w:val="nil"/>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-0.0503</w:t>
            </w:r>
          </w:p>
        </w:tc>
        <w:tc>
          <w:tcPr>
            <w:tcW w:w="2336" w:type="dxa"/>
            <w:tcBorders>
              <w:top w:val="nil"/>
              <w:left w:val="nil"/>
              <w:bottom w:val="nil"/>
              <w:right w:val="nil"/>
            </w:tcBorders>
            <w:shd w:val="clear" w:color="auto" w:fill="auto"/>
          </w:tcPr>
          <w:p w:rsidR="001133C2" w:rsidRPr="00527E7D" w:rsidRDefault="001133C2" w:rsidP="001133C2">
            <w:pPr>
              <w:tabs>
                <w:tab w:val="decimal" w:pos="890"/>
              </w:tabs>
              <w:spacing w:before="60" w:after="60" w:line="240" w:lineRule="auto"/>
              <w:rPr>
                <w:rFonts w:ascii="Times New Roman" w:hAnsi="Times New Roman"/>
              </w:rPr>
            </w:pPr>
            <w:r w:rsidRPr="00527E7D">
              <w:rPr>
                <w:rFonts w:ascii="Times New Roman" w:hAnsi="Times New Roman"/>
              </w:rPr>
              <w:t>-0.1109</w:t>
            </w:r>
          </w:p>
        </w:tc>
        <w:tc>
          <w:tcPr>
            <w:tcW w:w="2336" w:type="dxa"/>
            <w:tcBorders>
              <w:top w:val="nil"/>
              <w:left w:val="nil"/>
              <w:bottom w:val="nil"/>
              <w:right w:val="nil"/>
            </w:tcBorders>
            <w:shd w:val="clear" w:color="auto" w:fill="auto"/>
          </w:tcPr>
          <w:p w:rsidR="001133C2" w:rsidRPr="00527E7D" w:rsidRDefault="001133C2" w:rsidP="001133C2">
            <w:pPr>
              <w:tabs>
                <w:tab w:val="decimal" w:pos="891"/>
              </w:tabs>
              <w:spacing w:before="60" w:after="60" w:line="240" w:lineRule="auto"/>
              <w:rPr>
                <w:rFonts w:ascii="Times New Roman" w:hAnsi="Times New Roman"/>
              </w:rPr>
            </w:pPr>
            <w:r w:rsidRPr="00527E7D">
              <w:rPr>
                <w:rFonts w:ascii="Times New Roman" w:hAnsi="Times New Roman"/>
              </w:rPr>
              <w:t>- 0.1183</w:t>
            </w:r>
          </w:p>
        </w:tc>
      </w:tr>
      <w:tr w:rsidR="001133C2" w:rsidRPr="00527E7D" w:rsidTr="001133C2">
        <w:tc>
          <w:tcPr>
            <w:tcW w:w="2235" w:type="dxa"/>
            <w:tcBorders>
              <w:top w:val="nil"/>
              <w:left w:val="nil"/>
              <w:bottom w:val="double" w:sz="4" w:space="0" w:color="auto"/>
              <w:right w:val="nil"/>
            </w:tcBorders>
            <w:shd w:val="clear" w:color="auto" w:fill="auto"/>
          </w:tcPr>
          <w:p w:rsidR="001133C2" w:rsidRPr="00527E7D" w:rsidRDefault="001133C2" w:rsidP="001133C2">
            <w:pPr>
              <w:spacing w:before="60" w:after="60" w:line="240" w:lineRule="auto"/>
              <w:rPr>
                <w:rFonts w:ascii="Times New Roman" w:hAnsi="Times New Roman"/>
              </w:rPr>
            </w:pPr>
            <w:r>
              <w:rPr>
                <w:rFonts w:ascii="Times New Roman" w:hAnsi="Times New Roman"/>
              </w:rPr>
              <w:t>Safe H</w:t>
            </w:r>
            <w:r w:rsidRPr="00527E7D">
              <w:rPr>
                <w:rFonts w:ascii="Times New Roman" w:hAnsi="Times New Roman"/>
              </w:rPr>
              <w:t>aven</w:t>
            </w:r>
            <w:r w:rsidRPr="00527E7D">
              <w:rPr>
                <w:rFonts w:ascii="Times New Roman" w:hAnsi="Times New Roman"/>
                <w:i/>
              </w:rPr>
              <w:t xml:space="preserve"> p</w:t>
            </w:r>
            <w:r w:rsidRPr="00527E7D">
              <w:rPr>
                <w:rFonts w:ascii="Times New Roman" w:hAnsi="Times New Roman"/>
              </w:rPr>
              <w:t>-value</w:t>
            </w:r>
          </w:p>
        </w:tc>
        <w:tc>
          <w:tcPr>
            <w:tcW w:w="2335" w:type="dxa"/>
            <w:gridSpan w:val="2"/>
            <w:tcBorders>
              <w:top w:val="nil"/>
              <w:left w:val="nil"/>
              <w:bottom w:val="double" w:sz="4" w:space="0" w:color="auto"/>
              <w:right w:val="nil"/>
            </w:tcBorders>
            <w:shd w:val="clear" w:color="auto" w:fill="auto"/>
          </w:tcPr>
          <w:p w:rsidR="001133C2" w:rsidRPr="00527E7D" w:rsidRDefault="001133C2" w:rsidP="001133C2">
            <w:pPr>
              <w:tabs>
                <w:tab w:val="decimal" w:pos="884"/>
              </w:tabs>
              <w:spacing w:before="60" w:after="60" w:line="240" w:lineRule="auto"/>
              <w:rPr>
                <w:rFonts w:ascii="Times New Roman" w:hAnsi="Times New Roman"/>
              </w:rPr>
            </w:pPr>
            <w:r w:rsidRPr="00527E7D">
              <w:rPr>
                <w:rFonts w:ascii="Times New Roman" w:hAnsi="Times New Roman"/>
              </w:rPr>
              <w:t>1.0000</w:t>
            </w:r>
          </w:p>
        </w:tc>
        <w:tc>
          <w:tcPr>
            <w:tcW w:w="2336" w:type="dxa"/>
            <w:tcBorders>
              <w:top w:val="nil"/>
              <w:left w:val="nil"/>
              <w:bottom w:val="double" w:sz="4" w:space="0" w:color="auto"/>
              <w:right w:val="nil"/>
            </w:tcBorders>
            <w:shd w:val="clear" w:color="auto" w:fill="auto"/>
          </w:tcPr>
          <w:p w:rsidR="001133C2" w:rsidRPr="00527E7D" w:rsidRDefault="001133C2" w:rsidP="001133C2">
            <w:pPr>
              <w:tabs>
                <w:tab w:val="decimal" w:pos="890"/>
              </w:tabs>
              <w:spacing w:before="60" w:after="60" w:line="240" w:lineRule="auto"/>
              <w:rPr>
                <w:rFonts w:ascii="Times New Roman" w:hAnsi="Times New Roman"/>
              </w:rPr>
            </w:pPr>
            <w:r w:rsidRPr="00527E7D">
              <w:rPr>
                <w:rFonts w:ascii="Times New Roman" w:hAnsi="Times New Roman"/>
              </w:rPr>
              <w:t xml:space="preserve">   1.0000</w:t>
            </w:r>
          </w:p>
        </w:tc>
        <w:tc>
          <w:tcPr>
            <w:tcW w:w="2336" w:type="dxa"/>
            <w:tcBorders>
              <w:top w:val="nil"/>
              <w:left w:val="nil"/>
              <w:bottom w:val="double" w:sz="4" w:space="0" w:color="auto"/>
              <w:right w:val="nil"/>
            </w:tcBorders>
            <w:shd w:val="clear" w:color="auto" w:fill="auto"/>
          </w:tcPr>
          <w:p w:rsidR="001133C2" w:rsidRPr="00527E7D" w:rsidRDefault="001133C2" w:rsidP="001133C2">
            <w:pPr>
              <w:tabs>
                <w:tab w:val="decimal" w:pos="891"/>
              </w:tabs>
              <w:spacing w:before="60" w:after="60" w:line="240" w:lineRule="auto"/>
              <w:rPr>
                <w:rFonts w:ascii="Times New Roman" w:hAnsi="Times New Roman"/>
              </w:rPr>
            </w:pPr>
            <w:r w:rsidRPr="00527E7D">
              <w:rPr>
                <w:rFonts w:ascii="Times New Roman" w:hAnsi="Times New Roman"/>
              </w:rPr>
              <w:t xml:space="preserve">   1.0000</w:t>
            </w:r>
          </w:p>
        </w:tc>
      </w:tr>
    </w:tbl>
    <w:p w:rsidR="001133C2" w:rsidRDefault="001133C2" w:rsidP="001133C2">
      <w:pPr>
        <w:rPr>
          <w:rFonts w:ascii="Times New Roman" w:hAnsi="Times New Roman"/>
          <w:sz w:val="20"/>
          <w:szCs w:val="20"/>
        </w:rPr>
      </w:pPr>
    </w:p>
    <w:p w:rsidR="001133C2" w:rsidRPr="005C25CE" w:rsidRDefault="001133C2" w:rsidP="001133C2">
      <w:pPr>
        <w:rPr>
          <w:rFonts w:ascii="Times New Roman" w:hAnsi="Times New Roman"/>
          <w:b/>
          <w:sz w:val="24"/>
          <w:szCs w:val="24"/>
        </w:rPr>
        <w:sectPr w:rsidR="001133C2" w:rsidRPr="005C25CE" w:rsidSect="00C14197">
          <w:pgSz w:w="11906" w:h="16838" w:code="9"/>
          <w:pgMar w:top="907" w:right="1440" w:bottom="907" w:left="1440" w:header="709" w:footer="709" w:gutter="0"/>
          <w:cols w:space="708"/>
          <w:docGrid w:linePitch="360"/>
        </w:sectPr>
      </w:pPr>
    </w:p>
    <w:p w:rsidR="001133C2" w:rsidRDefault="001133C2" w:rsidP="001133C2">
      <w:pPr>
        <w:jc w:val="center"/>
        <w:rPr>
          <w:rFonts w:ascii="Times New Roman" w:eastAsia="Calibri" w:hAnsi="Times New Roman"/>
          <w:b/>
          <w:sz w:val="24"/>
          <w:szCs w:val="24"/>
          <w:lang w:eastAsia="en-US"/>
        </w:rPr>
      </w:pPr>
      <w:r>
        <w:rPr>
          <w:rFonts w:ascii="Times New Roman" w:eastAsia="Calibri" w:hAnsi="Times New Roman"/>
          <w:b/>
          <w:sz w:val="24"/>
          <w:szCs w:val="24"/>
          <w:lang w:eastAsia="en-US"/>
        </w:rPr>
        <w:lastRenderedPageBreak/>
        <w:t>Table IX</w:t>
      </w:r>
    </w:p>
    <w:p w:rsidR="001133C2" w:rsidRDefault="001133C2" w:rsidP="001133C2">
      <w:pPr>
        <w:jc w:val="center"/>
        <w:rPr>
          <w:rFonts w:ascii="Times New Roman" w:hAnsi="Times New Roman"/>
          <w:b/>
          <w:sz w:val="24"/>
          <w:szCs w:val="24"/>
        </w:rPr>
      </w:pPr>
      <w:r w:rsidRPr="008F17AE">
        <w:rPr>
          <w:rFonts w:ascii="Times New Roman" w:hAnsi="Times New Roman"/>
          <w:b/>
          <w:sz w:val="24"/>
          <w:szCs w:val="24"/>
        </w:rPr>
        <w:t>Optimal Portfolio Weights</w:t>
      </w:r>
    </w:p>
    <w:p w:rsidR="001133C2" w:rsidRPr="00470E8F" w:rsidRDefault="001133C2" w:rsidP="00B95BAC">
      <w:pPr>
        <w:spacing w:after="0"/>
        <w:ind w:left="284" w:right="284"/>
        <w:jc w:val="both"/>
        <w:rPr>
          <w:rFonts w:ascii="Times New Roman" w:hAnsi="Times New Roman"/>
          <w:sz w:val="20"/>
          <w:szCs w:val="20"/>
          <w:lang w:val="en-US"/>
        </w:rPr>
      </w:pPr>
      <w:r w:rsidRPr="00470E8F">
        <w:rPr>
          <w:rFonts w:ascii="Times New Roman" w:hAnsi="Times New Roman"/>
          <w:sz w:val="20"/>
          <w:szCs w:val="20"/>
          <w:lang w:val="en-US"/>
        </w:rPr>
        <w:t>This table reports the optimal weights for mean-variance efficient portfolios invested in</w:t>
      </w:r>
      <w:r w:rsidRPr="00470E8F">
        <w:rPr>
          <w:rFonts w:ascii="Times New Roman" w:hAnsi="Times New Roman"/>
          <w:sz w:val="20"/>
          <w:szCs w:val="20"/>
          <w:vertAlign w:val="superscript"/>
          <w:lang w:val="en-US"/>
        </w:rPr>
        <w:t xml:space="preserve"> </w:t>
      </w:r>
      <w:r w:rsidRPr="00470E8F">
        <w:rPr>
          <w:rFonts w:ascii="Times New Roman" w:hAnsi="Times New Roman"/>
          <w:sz w:val="20"/>
          <w:szCs w:val="20"/>
          <w:lang w:val="en-US"/>
        </w:rPr>
        <w:t xml:space="preserve">crude oil, world equities and world real estate investment trusts. The minimum variance portfolio is identified by minimizing the standard deviation of a portfolio subject to the constraint that the sum of all weights is equal to one. For all other portfolios we minimize the portfolio risk subject to a given level of portfolio return and subject to the sum of portfolio weights being equal to one. The optimal portfolio on this efficient frontier is the one with the highest Sharpe ratio. All calculations are made without imposing short-selling restrictions, however since all portfolio weights are positive the short-selling restriction is not binding. </w:t>
      </w:r>
      <w:r>
        <w:rPr>
          <w:rFonts w:ascii="Times New Roman" w:hAnsi="Times New Roman"/>
          <w:sz w:val="20"/>
          <w:szCs w:val="20"/>
          <w:lang w:val="en-US"/>
        </w:rPr>
        <w:t>The figures for portfolio mean and standard deviations were computed based on daily data</w:t>
      </w:r>
    </w:p>
    <w:tbl>
      <w:tblPr>
        <w:tblpPr w:leftFromText="180" w:rightFromText="180" w:vertAnchor="text" w:horzAnchor="margin" w:tblpXSpec="center" w:tblpY="423"/>
        <w:tblW w:w="14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4"/>
        <w:gridCol w:w="1095"/>
        <w:gridCol w:w="1115"/>
        <w:gridCol w:w="1115"/>
        <w:gridCol w:w="1115"/>
        <w:gridCol w:w="1135"/>
        <w:gridCol w:w="1136"/>
        <w:gridCol w:w="1136"/>
        <w:gridCol w:w="1151"/>
        <w:gridCol w:w="1115"/>
        <w:gridCol w:w="1115"/>
      </w:tblGrid>
      <w:tr w:rsidR="00B95BAC" w:rsidRPr="00527E7D" w:rsidTr="000B0C84">
        <w:trPr>
          <w:trHeight w:val="392"/>
        </w:trPr>
        <w:tc>
          <w:tcPr>
            <w:tcW w:w="3324" w:type="dxa"/>
            <w:tcBorders>
              <w:top w:val="double" w:sz="4" w:space="0" w:color="auto"/>
              <w:left w:val="nil"/>
              <w:bottom w:val="single" w:sz="4" w:space="0" w:color="auto"/>
              <w:right w:val="nil"/>
            </w:tcBorders>
            <w:shd w:val="clear" w:color="auto" w:fill="auto"/>
            <w:vAlign w:val="center"/>
          </w:tcPr>
          <w:p w:rsidR="00B95BAC" w:rsidRPr="00527E7D" w:rsidRDefault="00B95BAC" w:rsidP="00B95BAC">
            <w:pPr>
              <w:spacing w:after="0" w:line="240" w:lineRule="auto"/>
              <w:rPr>
                <w:rFonts w:ascii="Times New Roman" w:eastAsia="Calibri" w:hAnsi="Times New Roman"/>
                <w:b/>
                <w:lang w:eastAsia="en-US"/>
              </w:rPr>
            </w:pPr>
            <w:r w:rsidRPr="00527E7D">
              <w:rPr>
                <w:rFonts w:ascii="Times New Roman" w:eastAsia="Calibri" w:hAnsi="Times New Roman"/>
                <w:b/>
                <w:lang w:eastAsia="en-US"/>
              </w:rPr>
              <w:t>Portfolio</w:t>
            </w:r>
          </w:p>
        </w:tc>
        <w:tc>
          <w:tcPr>
            <w:tcW w:w="1095" w:type="dxa"/>
            <w:tcBorders>
              <w:top w:val="double" w:sz="4" w:space="0" w:color="auto"/>
              <w:left w:val="nil"/>
              <w:bottom w:val="single" w:sz="4" w:space="0" w:color="auto"/>
              <w:right w:val="nil"/>
            </w:tcBorders>
            <w:shd w:val="clear" w:color="auto" w:fill="auto"/>
            <w:vAlign w:val="center"/>
          </w:tcPr>
          <w:p w:rsidR="00B95BAC" w:rsidRPr="00527E7D" w:rsidRDefault="00B95BAC" w:rsidP="00B95BAC">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(1)</w:t>
            </w:r>
            <w:r w:rsidRPr="00527E7D">
              <w:rPr>
                <w:rFonts w:ascii="Times New Roman" w:eastAsia="Calibri" w:hAnsi="Times New Roman"/>
                <w:vertAlign w:val="superscript"/>
                <w:lang w:eastAsia="en-US"/>
              </w:rPr>
              <w:t>a</w:t>
            </w:r>
          </w:p>
        </w:tc>
        <w:tc>
          <w:tcPr>
            <w:tcW w:w="1115" w:type="dxa"/>
            <w:tcBorders>
              <w:top w:val="double" w:sz="4" w:space="0" w:color="auto"/>
              <w:left w:val="nil"/>
              <w:bottom w:val="single" w:sz="4" w:space="0" w:color="auto"/>
              <w:right w:val="nil"/>
            </w:tcBorders>
            <w:shd w:val="clear" w:color="auto" w:fill="auto"/>
            <w:vAlign w:val="center"/>
          </w:tcPr>
          <w:p w:rsidR="00B95BAC" w:rsidRPr="00527E7D" w:rsidRDefault="00B95BAC" w:rsidP="00B95BAC">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(2)</w:t>
            </w:r>
          </w:p>
        </w:tc>
        <w:tc>
          <w:tcPr>
            <w:tcW w:w="1115" w:type="dxa"/>
            <w:tcBorders>
              <w:top w:val="double" w:sz="4" w:space="0" w:color="auto"/>
              <w:left w:val="nil"/>
              <w:bottom w:val="single" w:sz="4" w:space="0" w:color="auto"/>
              <w:right w:val="nil"/>
            </w:tcBorders>
            <w:shd w:val="clear" w:color="auto" w:fill="auto"/>
            <w:vAlign w:val="center"/>
          </w:tcPr>
          <w:p w:rsidR="00B95BAC" w:rsidRPr="00527E7D" w:rsidRDefault="00B95BAC" w:rsidP="00B95BAC">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(3)</w:t>
            </w:r>
          </w:p>
        </w:tc>
        <w:tc>
          <w:tcPr>
            <w:tcW w:w="1115" w:type="dxa"/>
            <w:tcBorders>
              <w:top w:val="double" w:sz="4" w:space="0" w:color="auto"/>
              <w:left w:val="nil"/>
              <w:bottom w:val="single" w:sz="4" w:space="0" w:color="auto"/>
              <w:right w:val="nil"/>
            </w:tcBorders>
            <w:shd w:val="clear" w:color="auto" w:fill="auto"/>
            <w:vAlign w:val="center"/>
          </w:tcPr>
          <w:p w:rsidR="00B95BAC" w:rsidRPr="00527E7D" w:rsidRDefault="00B95BAC" w:rsidP="00B95BAC">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(4)</w:t>
            </w:r>
          </w:p>
        </w:tc>
        <w:tc>
          <w:tcPr>
            <w:tcW w:w="1135" w:type="dxa"/>
            <w:tcBorders>
              <w:top w:val="double" w:sz="4" w:space="0" w:color="auto"/>
              <w:left w:val="nil"/>
              <w:bottom w:val="single" w:sz="4" w:space="0" w:color="auto"/>
              <w:right w:val="nil"/>
            </w:tcBorders>
            <w:shd w:val="clear" w:color="auto" w:fill="auto"/>
            <w:vAlign w:val="center"/>
          </w:tcPr>
          <w:p w:rsidR="00B95BAC" w:rsidRPr="00527E7D" w:rsidRDefault="00B95BAC" w:rsidP="00B95BAC">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(5)</w:t>
            </w:r>
          </w:p>
        </w:tc>
        <w:tc>
          <w:tcPr>
            <w:tcW w:w="1136" w:type="dxa"/>
            <w:tcBorders>
              <w:top w:val="double" w:sz="4" w:space="0" w:color="auto"/>
              <w:left w:val="nil"/>
              <w:bottom w:val="single" w:sz="4" w:space="0" w:color="auto"/>
              <w:right w:val="nil"/>
            </w:tcBorders>
            <w:shd w:val="clear" w:color="auto" w:fill="auto"/>
            <w:vAlign w:val="center"/>
          </w:tcPr>
          <w:p w:rsidR="00B95BAC" w:rsidRPr="00527E7D" w:rsidRDefault="00B95BAC" w:rsidP="00B95BAC">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(6)</w:t>
            </w:r>
          </w:p>
        </w:tc>
        <w:tc>
          <w:tcPr>
            <w:tcW w:w="1136" w:type="dxa"/>
            <w:tcBorders>
              <w:top w:val="double" w:sz="4" w:space="0" w:color="auto"/>
              <w:left w:val="nil"/>
              <w:bottom w:val="single" w:sz="4" w:space="0" w:color="auto"/>
              <w:right w:val="nil"/>
            </w:tcBorders>
            <w:shd w:val="clear" w:color="auto" w:fill="auto"/>
            <w:vAlign w:val="center"/>
          </w:tcPr>
          <w:p w:rsidR="00B95BAC" w:rsidRPr="00527E7D" w:rsidRDefault="00B95BAC" w:rsidP="00B95BAC">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(7)</w:t>
            </w:r>
          </w:p>
        </w:tc>
        <w:tc>
          <w:tcPr>
            <w:tcW w:w="1151" w:type="dxa"/>
            <w:tcBorders>
              <w:top w:val="double" w:sz="4" w:space="0" w:color="auto"/>
              <w:left w:val="nil"/>
              <w:bottom w:val="single" w:sz="4" w:space="0" w:color="auto"/>
              <w:right w:val="nil"/>
            </w:tcBorders>
            <w:shd w:val="clear" w:color="auto" w:fill="auto"/>
            <w:vAlign w:val="center"/>
          </w:tcPr>
          <w:p w:rsidR="00B95BAC" w:rsidRPr="00527E7D" w:rsidRDefault="00B95BAC" w:rsidP="00B95BAC">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(8)</w:t>
            </w:r>
            <w:r w:rsidRPr="00527E7D">
              <w:rPr>
                <w:rFonts w:ascii="Times New Roman" w:eastAsia="Calibri" w:hAnsi="Times New Roman"/>
                <w:vertAlign w:val="superscript"/>
                <w:lang w:eastAsia="en-US"/>
              </w:rPr>
              <w:t>b</w:t>
            </w:r>
          </w:p>
        </w:tc>
        <w:tc>
          <w:tcPr>
            <w:tcW w:w="1115" w:type="dxa"/>
            <w:tcBorders>
              <w:top w:val="double" w:sz="4" w:space="0" w:color="auto"/>
              <w:left w:val="nil"/>
              <w:bottom w:val="single" w:sz="4" w:space="0" w:color="auto"/>
              <w:right w:val="nil"/>
            </w:tcBorders>
            <w:shd w:val="clear" w:color="auto" w:fill="auto"/>
            <w:vAlign w:val="center"/>
          </w:tcPr>
          <w:p w:rsidR="00B95BAC" w:rsidRPr="00527E7D" w:rsidRDefault="00B95BAC" w:rsidP="00B95BAC">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(9)</w:t>
            </w:r>
          </w:p>
        </w:tc>
        <w:tc>
          <w:tcPr>
            <w:tcW w:w="1115" w:type="dxa"/>
            <w:tcBorders>
              <w:top w:val="double" w:sz="4" w:space="0" w:color="auto"/>
              <w:left w:val="nil"/>
              <w:bottom w:val="single" w:sz="4" w:space="0" w:color="auto"/>
              <w:right w:val="nil"/>
            </w:tcBorders>
            <w:shd w:val="clear" w:color="auto" w:fill="auto"/>
            <w:vAlign w:val="center"/>
          </w:tcPr>
          <w:p w:rsidR="00B95BAC" w:rsidRPr="00527E7D" w:rsidRDefault="00B95BAC" w:rsidP="00B95BAC">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(10)</w:t>
            </w:r>
          </w:p>
        </w:tc>
      </w:tr>
      <w:tr w:rsidR="00B95BAC" w:rsidRPr="00527E7D" w:rsidTr="000B0C84">
        <w:tc>
          <w:tcPr>
            <w:tcW w:w="3324" w:type="dxa"/>
            <w:tcBorders>
              <w:top w:val="single" w:sz="4" w:space="0" w:color="auto"/>
              <w:left w:val="nil"/>
              <w:bottom w:val="nil"/>
              <w:right w:val="nil"/>
            </w:tcBorders>
            <w:shd w:val="clear" w:color="auto" w:fill="auto"/>
          </w:tcPr>
          <w:p w:rsidR="00B95BAC" w:rsidRPr="00527E7D" w:rsidRDefault="00B95BAC" w:rsidP="00B95BAC">
            <w:pPr>
              <w:spacing w:after="0" w:line="240" w:lineRule="auto"/>
              <w:rPr>
                <w:rFonts w:ascii="Times New Roman" w:eastAsia="Calibri" w:hAnsi="Times New Roman"/>
                <w:b/>
                <w:lang w:eastAsia="en-US"/>
              </w:rPr>
            </w:pPr>
          </w:p>
        </w:tc>
        <w:tc>
          <w:tcPr>
            <w:tcW w:w="1095" w:type="dxa"/>
            <w:tcBorders>
              <w:top w:val="single" w:sz="4" w:space="0" w:color="auto"/>
              <w:left w:val="nil"/>
              <w:bottom w:val="nil"/>
              <w:right w:val="nil"/>
            </w:tcBorders>
            <w:shd w:val="clear" w:color="auto" w:fill="auto"/>
          </w:tcPr>
          <w:p w:rsidR="00B95BAC" w:rsidRPr="00527E7D" w:rsidRDefault="00B95BAC" w:rsidP="00B95BAC">
            <w:pPr>
              <w:spacing w:after="0" w:line="240" w:lineRule="auto"/>
              <w:jc w:val="center"/>
              <w:rPr>
                <w:rFonts w:ascii="Times New Roman" w:eastAsia="Calibri" w:hAnsi="Times New Roman"/>
                <w:lang w:eastAsia="en-US"/>
              </w:rPr>
            </w:pPr>
          </w:p>
        </w:tc>
        <w:tc>
          <w:tcPr>
            <w:tcW w:w="1115" w:type="dxa"/>
            <w:tcBorders>
              <w:top w:val="single" w:sz="4" w:space="0" w:color="auto"/>
              <w:left w:val="nil"/>
              <w:bottom w:val="nil"/>
              <w:right w:val="nil"/>
            </w:tcBorders>
            <w:shd w:val="clear" w:color="auto" w:fill="auto"/>
          </w:tcPr>
          <w:p w:rsidR="00B95BAC" w:rsidRPr="00527E7D" w:rsidRDefault="00B95BAC" w:rsidP="00B95BAC">
            <w:pPr>
              <w:spacing w:after="0" w:line="240" w:lineRule="auto"/>
              <w:jc w:val="center"/>
              <w:rPr>
                <w:rFonts w:ascii="Times New Roman" w:eastAsia="Calibri" w:hAnsi="Times New Roman"/>
                <w:lang w:eastAsia="en-US"/>
              </w:rPr>
            </w:pPr>
          </w:p>
        </w:tc>
        <w:tc>
          <w:tcPr>
            <w:tcW w:w="1115" w:type="dxa"/>
            <w:tcBorders>
              <w:top w:val="single" w:sz="4" w:space="0" w:color="auto"/>
              <w:left w:val="nil"/>
              <w:bottom w:val="nil"/>
              <w:right w:val="nil"/>
            </w:tcBorders>
            <w:shd w:val="clear" w:color="auto" w:fill="auto"/>
          </w:tcPr>
          <w:p w:rsidR="00B95BAC" w:rsidRPr="00527E7D" w:rsidRDefault="00B95BAC" w:rsidP="00B95BAC">
            <w:pPr>
              <w:spacing w:after="0" w:line="240" w:lineRule="auto"/>
              <w:jc w:val="center"/>
              <w:rPr>
                <w:rFonts w:ascii="Times New Roman" w:eastAsia="Calibri" w:hAnsi="Times New Roman"/>
                <w:lang w:eastAsia="en-US"/>
              </w:rPr>
            </w:pPr>
          </w:p>
        </w:tc>
        <w:tc>
          <w:tcPr>
            <w:tcW w:w="1115" w:type="dxa"/>
            <w:tcBorders>
              <w:top w:val="single" w:sz="4" w:space="0" w:color="auto"/>
              <w:left w:val="nil"/>
              <w:bottom w:val="nil"/>
              <w:right w:val="nil"/>
            </w:tcBorders>
            <w:shd w:val="clear" w:color="auto" w:fill="auto"/>
          </w:tcPr>
          <w:p w:rsidR="00B95BAC" w:rsidRPr="00527E7D" w:rsidRDefault="00B95BAC" w:rsidP="00B95BAC">
            <w:pPr>
              <w:spacing w:after="0" w:line="240" w:lineRule="auto"/>
              <w:jc w:val="center"/>
              <w:rPr>
                <w:rFonts w:ascii="Times New Roman" w:eastAsia="Calibri" w:hAnsi="Times New Roman"/>
                <w:lang w:eastAsia="en-US"/>
              </w:rPr>
            </w:pPr>
          </w:p>
        </w:tc>
        <w:tc>
          <w:tcPr>
            <w:tcW w:w="1135" w:type="dxa"/>
            <w:tcBorders>
              <w:top w:val="single" w:sz="4" w:space="0" w:color="auto"/>
              <w:left w:val="nil"/>
              <w:bottom w:val="nil"/>
              <w:right w:val="nil"/>
            </w:tcBorders>
            <w:shd w:val="clear" w:color="auto" w:fill="auto"/>
          </w:tcPr>
          <w:p w:rsidR="00B95BAC" w:rsidRPr="00527E7D" w:rsidRDefault="00B95BAC" w:rsidP="00B95BAC">
            <w:pPr>
              <w:spacing w:after="0" w:line="240" w:lineRule="auto"/>
              <w:jc w:val="center"/>
              <w:rPr>
                <w:rFonts w:ascii="Times New Roman" w:eastAsia="Calibri" w:hAnsi="Times New Roman"/>
                <w:lang w:eastAsia="en-US"/>
              </w:rPr>
            </w:pPr>
          </w:p>
        </w:tc>
        <w:tc>
          <w:tcPr>
            <w:tcW w:w="1136" w:type="dxa"/>
            <w:tcBorders>
              <w:top w:val="single" w:sz="4" w:space="0" w:color="auto"/>
              <w:left w:val="nil"/>
              <w:bottom w:val="nil"/>
              <w:right w:val="nil"/>
            </w:tcBorders>
            <w:shd w:val="clear" w:color="auto" w:fill="auto"/>
          </w:tcPr>
          <w:p w:rsidR="00B95BAC" w:rsidRPr="00527E7D" w:rsidRDefault="00B95BAC" w:rsidP="00B95BAC">
            <w:pPr>
              <w:spacing w:after="0" w:line="240" w:lineRule="auto"/>
              <w:jc w:val="center"/>
              <w:rPr>
                <w:rFonts w:ascii="Times New Roman" w:eastAsia="Calibri" w:hAnsi="Times New Roman"/>
                <w:lang w:eastAsia="en-US"/>
              </w:rPr>
            </w:pPr>
          </w:p>
        </w:tc>
        <w:tc>
          <w:tcPr>
            <w:tcW w:w="1136" w:type="dxa"/>
            <w:tcBorders>
              <w:top w:val="single" w:sz="4" w:space="0" w:color="auto"/>
              <w:left w:val="nil"/>
              <w:bottom w:val="nil"/>
              <w:right w:val="nil"/>
            </w:tcBorders>
            <w:shd w:val="clear" w:color="auto" w:fill="auto"/>
          </w:tcPr>
          <w:p w:rsidR="00B95BAC" w:rsidRPr="00527E7D" w:rsidRDefault="00B95BAC" w:rsidP="00B95BAC">
            <w:pPr>
              <w:spacing w:after="0" w:line="240" w:lineRule="auto"/>
              <w:jc w:val="center"/>
              <w:rPr>
                <w:rFonts w:ascii="Times New Roman" w:eastAsia="Calibri" w:hAnsi="Times New Roman"/>
                <w:lang w:eastAsia="en-US"/>
              </w:rPr>
            </w:pPr>
          </w:p>
        </w:tc>
        <w:tc>
          <w:tcPr>
            <w:tcW w:w="1151" w:type="dxa"/>
            <w:tcBorders>
              <w:top w:val="single" w:sz="4" w:space="0" w:color="auto"/>
              <w:left w:val="nil"/>
              <w:bottom w:val="nil"/>
              <w:right w:val="nil"/>
            </w:tcBorders>
            <w:shd w:val="clear" w:color="auto" w:fill="auto"/>
          </w:tcPr>
          <w:p w:rsidR="00B95BAC" w:rsidRPr="00527E7D" w:rsidRDefault="00B95BAC" w:rsidP="00B95BAC">
            <w:pPr>
              <w:spacing w:after="0" w:line="240" w:lineRule="auto"/>
              <w:jc w:val="center"/>
              <w:rPr>
                <w:rFonts w:ascii="Times New Roman" w:eastAsia="Calibri" w:hAnsi="Times New Roman"/>
                <w:lang w:eastAsia="en-US"/>
              </w:rPr>
            </w:pPr>
          </w:p>
        </w:tc>
        <w:tc>
          <w:tcPr>
            <w:tcW w:w="1115" w:type="dxa"/>
            <w:tcBorders>
              <w:top w:val="single" w:sz="4" w:space="0" w:color="auto"/>
              <w:left w:val="nil"/>
              <w:bottom w:val="nil"/>
              <w:right w:val="nil"/>
            </w:tcBorders>
            <w:shd w:val="clear" w:color="auto" w:fill="auto"/>
          </w:tcPr>
          <w:p w:rsidR="00B95BAC" w:rsidRPr="00527E7D" w:rsidRDefault="00B95BAC" w:rsidP="00B95BAC">
            <w:pPr>
              <w:spacing w:after="0" w:line="240" w:lineRule="auto"/>
              <w:jc w:val="center"/>
              <w:rPr>
                <w:rFonts w:ascii="Times New Roman" w:eastAsia="Calibri" w:hAnsi="Times New Roman"/>
                <w:lang w:eastAsia="en-US"/>
              </w:rPr>
            </w:pPr>
          </w:p>
        </w:tc>
        <w:tc>
          <w:tcPr>
            <w:tcW w:w="1115" w:type="dxa"/>
            <w:tcBorders>
              <w:top w:val="single" w:sz="4" w:space="0" w:color="auto"/>
              <w:left w:val="nil"/>
              <w:bottom w:val="nil"/>
              <w:right w:val="nil"/>
            </w:tcBorders>
            <w:shd w:val="clear" w:color="auto" w:fill="auto"/>
          </w:tcPr>
          <w:p w:rsidR="00B95BAC" w:rsidRPr="00527E7D" w:rsidRDefault="00B95BAC" w:rsidP="00B95BAC">
            <w:pPr>
              <w:spacing w:after="0" w:line="240" w:lineRule="auto"/>
              <w:jc w:val="center"/>
              <w:rPr>
                <w:rFonts w:ascii="Times New Roman" w:eastAsia="Calibri" w:hAnsi="Times New Roman"/>
                <w:lang w:eastAsia="en-US"/>
              </w:rPr>
            </w:pPr>
          </w:p>
        </w:tc>
      </w:tr>
      <w:tr w:rsidR="00B95BAC" w:rsidRPr="00527E7D" w:rsidTr="000B0C84">
        <w:tc>
          <w:tcPr>
            <w:tcW w:w="3324" w:type="dxa"/>
            <w:tcBorders>
              <w:top w:val="nil"/>
              <w:left w:val="nil"/>
              <w:bottom w:val="nil"/>
              <w:right w:val="nil"/>
            </w:tcBorders>
            <w:shd w:val="clear" w:color="auto" w:fill="auto"/>
          </w:tcPr>
          <w:p w:rsidR="00B95BAC" w:rsidRPr="00527E7D" w:rsidRDefault="00B95BAC" w:rsidP="00B95BAC">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WTI Crude Oil</w:t>
            </w:r>
          </w:p>
        </w:tc>
        <w:tc>
          <w:tcPr>
            <w:tcW w:w="1095" w:type="dxa"/>
            <w:tcBorders>
              <w:top w:val="nil"/>
              <w:left w:val="nil"/>
              <w:bottom w:val="nil"/>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10.39%</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11.3703%</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12.3468%</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13.3233%</w:t>
            </w:r>
          </w:p>
        </w:tc>
        <w:tc>
          <w:tcPr>
            <w:tcW w:w="113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14.2998%</w:t>
            </w: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15.2764%</w:t>
            </w: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16.2529%</w:t>
            </w:r>
          </w:p>
        </w:tc>
        <w:tc>
          <w:tcPr>
            <w:tcW w:w="1151"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b/>
                <w:color w:val="000000"/>
                <w:lang w:eastAsia="en-US"/>
              </w:rPr>
            </w:pPr>
            <w:r w:rsidRPr="00527E7D">
              <w:rPr>
                <w:rFonts w:ascii="Times New Roman" w:eastAsia="Calibri" w:hAnsi="Times New Roman"/>
                <w:b/>
                <w:color w:val="000000"/>
                <w:lang w:eastAsia="en-US"/>
              </w:rPr>
              <w:t>16.5310%</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17.2294%</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0.1222%</w:t>
            </w:r>
          </w:p>
        </w:tc>
      </w:tr>
      <w:tr w:rsidR="00B95BAC" w:rsidRPr="00527E7D" w:rsidTr="000B0C84">
        <w:tc>
          <w:tcPr>
            <w:tcW w:w="3324" w:type="dxa"/>
            <w:tcBorders>
              <w:top w:val="nil"/>
              <w:left w:val="nil"/>
              <w:bottom w:val="nil"/>
              <w:right w:val="nil"/>
            </w:tcBorders>
            <w:shd w:val="clear" w:color="auto" w:fill="auto"/>
          </w:tcPr>
          <w:p w:rsidR="00B95BAC" w:rsidRPr="00527E7D" w:rsidRDefault="00B95BAC" w:rsidP="00B95BAC">
            <w:pPr>
              <w:spacing w:after="0" w:line="240" w:lineRule="auto"/>
              <w:jc w:val="both"/>
              <w:rPr>
                <w:rFonts w:ascii="Times New Roman" w:eastAsia="Calibri" w:hAnsi="Times New Roman"/>
                <w:lang w:eastAsia="en-US"/>
              </w:rPr>
            </w:pPr>
          </w:p>
        </w:tc>
        <w:tc>
          <w:tcPr>
            <w:tcW w:w="1095" w:type="dxa"/>
            <w:tcBorders>
              <w:top w:val="nil"/>
              <w:left w:val="nil"/>
              <w:bottom w:val="nil"/>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bCs/>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51"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b/>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r>
      <w:tr w:rsidR="00B95BAC" w:rsidRPr="00527E7D" w:rsidTr="000B0C84">
        <w:tc>
          <w:tcPr>
            <w:tcW w:w="3324" w:type="dxa"/>
            <w:tcBorders>
              <w:top w:val="nil"/>
              <w:left w:val="nil"/>
              <w:bottom w:val="nil"/>
              <w:right w:val="nil"/>
            </w:tcBorders>
            <w:shd w:val="clear" w:color="auto" w:fill="auto"/>
          </w:tcPr>
          <w:p w:rsidR="00B95BAC" w:rsidRPr="00527E7D" w:rsidRDefault="00B95BAC" w:rsidP="00B95BAC">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MSCI World Index</w:t>
            </w:r>
          </w:p>
        </w:tc>
        <w:tc>
          <w:tcPr>
            <w:tcW w:w="1095" w:type="dxa"/>
            <w:tcBorders>
              <w:top w:val="nil"/>
              <w:left w:val="nil"/>
              <w:bottom w:val="nil"/>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74.36%</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65.5815%</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56.7993%</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48.0172%</w:t>
            </w:r>
          </w:p>
        </w:tc>
        <w:tc>
          <w:tcPr>
            <w:tcW w:w="113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39.2351%</w:t>
            </w: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30.4529%</w:t>
            </w: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21.6707%</w:t>
            </w:r>
          </w:p>
        </w:tc>
        <w:tc>
          <w:tcPr>
            <w:tcW w:w="1151"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b/>
                <w:color w:val="000000"/>
                <w:lang w:eastAsia="en-US"/>
              </w:rPr>
            </w:pPr>
            <w:r w:rsidRPr="00527E7D">
              <w:rPr>
                <w:rFonts w:ascii="Times New Roman" w:eastAsia="Calibri" w:hAnsi="Times New Roman"/>
                <w:b/>
                <w:color w:val="000000"/>
                <w:lang w:eastAsia="en-US"/>
              </w:rPr>
              <w:t>19.1700%</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12.8885%</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0.0000%</w:t>
            </w:r>
          </w:p>
        </w:tc>
      </w:tr>
      <w:tr w:rsidR="00B95BAC" w:rsidRPr="00527E7D" w:rsidTr="000B0C84">
        <w:tc>
          <w:tcPr>
            <w:tcW w:w="3324" w:type="dxa"/>
            <w:tcBorders>
              <w:top w:val="nil"/>
              <w:left w:val="nil"/>
              <w:bottom w:val="nil"/>
              <w:right w:val="nil"/>
            </w:tcBorders>
            <w:shd w:val="clear" w:color="auto" w:fill="auto"/>
          </w:tcPr>
          <w:p w:rsidR="00B95BAC" w:rsidRPr="00527E7D" w:rsidRDefault="00B95BAC" w:rsidP="00B95BAC">
            <w:pPr>
              <w:spacing w:after="0" w:line="240" w:lineRule="auto"/>
              <w:jc w:val="both"/>
              <w:rPr>
                <w:rFonts w:ascii="Times New Roman" w:eastAsia="Calibri" w:hAnsi="Times New Roman"/>
                <w:lang w:eastAsia="en-US"/>
              </w:rPr>
            </w:pPr>
          </w:p>
        </w:tc>
        <w:tc>
          <w:tcPr>
            <w:tcW w:w="1095" w:type="dxa"/>
            <w:tcBorders>
              <w:top w:val="nil"/>
              <w:left w:val="nil"/>
              <w:bottom w:val="nil"/>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bCs/>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51"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b/>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r>
      <w:tr w:rsidR="00B95BAC" w:rsidRPr="00527E7D" w:rsidTr="000B0C84">
        <w:tc>
          <w:tcPr>
            <w:tcW w:w="3324" w:type="dxa"/>
            <w:tcBorders>
              <w:top w:val="nil"/>
              <w:left w:val="nil"/>
              <w:bottom w:val="nil"/>
              <w:right w:val="nil"/>
            </w:tcBorders>
            <w:shd w:val="clear" w:color="auto" w:fill="auto"/>
          </w:tcPr>
          <w:p w:rsidR="00B95BAC" w:rsidRPr="00527E7D" w:rsidRDefault="00B95BAC" w:rsidP="00B95BAC">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 xml:space="preserve">REITs World </w:t>
            </w:r>
          </w:p>
        </w:tc>
        <w:tc>
          <w:tcPr>
            <w:tcW w:w="1095" w:type="dxa"/>
            <w:tcBorders>
              <w:top w:val="nil"/>
              <w:left w:val="nil"/>
              <w:bottom w:val="nil"/>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15.24%</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23.0482%</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30.8539%</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38.6594%</w:t>
            </w:r>
          </w:p>
        </w:tc>
        <w:tc>
          <w:tcPr>
            <w:tcW w:w="113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46.4651%</w:t>
            </w: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54.2707%</w:t>
            </w: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62.0764%</w:t>
            </w:r>
          </w:p>
        </w:tc>
        <w:tc>
          <w:tcPr>
            <w:tcW w:w="1151"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b/>
                <w:color w:val="000000"/>
                <w:lang w:eastAsia="en-US"/>
              </w:rPr>
            </w:pPr>
            <w:r w:rsidRPr="00527E7D">
              <w:rPr>
                <w:rFonts w:ascii="Times New Roman" w:eastAsia="Calibri" w:hAnsi="Times New Roman"/>
                <w:b/>
                <w:color w:val="000000"/>
                <w:lang w:eastAsia="en-US"/>
              </w:rPr>
              <w:t>64.2990%</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69.8820%</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99.8778%</w:t>
            </w:r>
          </w:p>
        </w:tc>
      </w:tr>
      <w:tr w:rsidR="00B95BAC" w:rsidRPr="00527E7D" w:rsidTr="000B0C84">
        <w:tc>
          <w:tcPr>
            <w:tcW w:w="3324" w:type="dxa"/>
            <w:tcBorders>
              <w:top w:val="nil"/>
              <w:left w:val="nil"/>
              <w:bottom w:val="nil"/>
              <w:right w:val="nil"/>
            </w:tcBorders>
            <w:shd w:val="clear" w:color="auto" w:fill="auto"/>
          </w:tcPr>
          <w:p w:rsidR="00B95BAC" w:rsidRPr="00527E7D" w:rsidRDefault="00B95BAC" w:rsidP="00B95BAC">
            <w:pPr>
              <w:spacing w:after="0" w:line="240" w:lineRule="auto"/>
              <w:jc w:val="both"/>
              <w:rPr>
                <w:rFonts w:ascii="Times New Roman" w:eastAsia="Calibri" w:hAnsi="Times New Roman"/>
                <w:lang w:eastAsia="en-US"/>
              </w:rPr>
            </w:pPr>
          </w:p>
        </w:tc>
        <w:tc>
          <w:tcPr>
            <w:tcW w:w="1095" w:type="dxa"/>
            <w:tcBorders>
              <w:top w:val="nil"/>
              <w:left w:val="nil"/>
              <w:bottom w:val="nil"/>
              <w:right w:val="nil"/>
            </w:tcBorders>
            <w:shd w:val="clear" w:color="auto" w:fill="auto"/>
          </w:tcPr>
          <w:p w:rsidR="00B95BAC" w:rsidRPr="00527E7D" w:rsidRDefault="00B95BAC" w:rsidP="00B95BAC">
            <w:pPr>
              <w:spacing w:after="0" w:line="240" w:lineRule="auto"/>
              <w:rPr>
                <w:rFonts w:ascii="Times New Roman" w:eastAsia="Calibri" w:hAnsi="Times New Roman"/>
                <w:lang w:eastAsia="en-US"/>
              </w:rPr>
            </w:pPr>
          </w:p>
        </w:tc>
        <w:tc>
          <w:tcPr>
            <w:tcW w:w="1115" w:type="dxa"/>
            <w:tcBorders>
              <w:top w:val="nil"/>
              <w:left w:val="nil"/>
              <w:bottom w:val="nil"/>
              <w:right w:val="nil"/>
            </w:tcBorders>
            <w:shd w:val="clear" w:color="auto" w:fill="auto"/>
          </w:tcPr>
          <w:p w:rsidR="00B95BAC" w:rsidRPr="00527E7D" w:rsidRDefault="00B95BAC" w:rsidP="00B95BAC">
            <w:pPr>
              <w:spacing w:after="0" w:line="240" w:lineRule="auto"/>
              <w:rPr>
                <w:rFonts w:ascii="Times New Roman" w:eastAsia="Calibri" w:hAnsi="Times New Roman"/>
                <w:lang w:eastAsia="en-US"/>
              </w:rPr>
            </w:pPr>
          </w:p>
        </w:tc>
        <w:tc>
          <w:tcPr>
            <w:tcW w:w="1115" w:type="dxa"/>
            <w:tcBorders>
              <w:top w:val="nil"/>
              <w:left w:val="nil"/>
              <w:bottom w:val="nil"/>
              <w:right w:val="nil"/>
            </w:tcBorders>
            <w:shd w:val="clear" w:color="auto" w:fill="auto"/>
          </w:tcPr>
          <w:p w:rsidR="00B95BAC" w:rsidRPr="00527E7D" w:rsidRDefault="00B95BAC" w:rsidP="00B95BAC">
            <w:pPr>
              <w:spacing w:after="0" w:line="240" w:lineRule="auto"/>
              <w:rPr>
                <w:rFonts w:ascii="Times New Roman" w:eastAsia="Calibri" w:hAnsi="Times New Roman"/>
                <w:lang w:eastAsia="en-US"/>
              </w:rPr>
            </w:pPr>
          </w:p>
        </w:tc>
        <w:tc>
          <w:tcPr>
            <w:tcW w:w="1115" w:type="dxa"/>
            <w:tcBorders>
              <w:top w:val="nil"/>
              <w:left w:val="nil"/>
              <w:bottom w:val="nil"/>
              <w:right w:val="nil"/>
            </w:tcBorders>
            <w:shd w:val="clear" w:color="auto" w:fill="auto"/>
          </w:tcPr>
          <w:p w:rsidR="00B95BAC" w:rsidRPr="00527E7D" w:rsidRDefault="00B95BAC" w:rsidP="00B95BAC">
            <w:pPr>
              <w:spacing w:after="0" w:line="240" w:lineRule="auto"/>
              <w:rPr>
                <w:rFonts w:ascii="Times New Roman" w:eastAsia="Calibri" w:hAnsi="Times New Roman"/>
                <w:lang w:eastAsia="en-US"/>
              </w:rPr>
            </w:pPr>
          </w:p>
        </w:tc>
        <w:tc>
          <w:tcPr>
            <w:tcW w:w="1135" w:type="dxa"/>
            <w:tcBorders>
              <w:top w:val="nil"/>
              <w:left w:val="nil"/>
              <w:bottom w:val="nil"/>
              <w:right w:val="nil"/>
            </w:tcBorders>
            <w:shd w:val="clear" w:color="auto" w:fill="auto"/>
          </w:tcPr>
          <w:p w:rsidR="00B95BAC" w:rsidRPr="00527E7D" w:rsidRDefault="00B95BAC" w:rsidP="00B95BAC">
            <w:pPr>
              <w:spacing w:after="0" w:line="240" w:lineRule="auto"/>
              <w:rPr>
                <w:rFonts w:ascii="Times New Roman" w:eastAsia="Calibri" w:hAnsi="Times New Roman"/>
                <w:lang w:eastAsia="en-US"/>
              </w:rPr>
            </w:pPr>
          </w:p>
        </w:tc>
        <w:tc>
          <w:tcPr>
            <w:tcW w:w="1136" w:type="dxa"/>
            <w:tcBorders>
              <w:top w:val="nil"/>
              <w:left w:val="nil"/>
              <w:bottom w:val="nil"/>
              <w:right w:val="nil"/>
            </w:tcBorders>
            <w:shd w:val="clear" w:color="auto" w:fill="auto"/>
          </w:tcPr>
          <w:p w:rsidR="00B95BAC" w:rsidRPr="00527E7D" w:rsidRDefault="00B95BAC" w:rsidP="00B95BAC">
            <w:pPr>
              <w:spacing w:after="0" w:line="240" w:lineRule="auto"/>
              <w:rPr>
                <w:rFonts w:ascii="Times New Roman" w:eastAsia="Calibri" w:hAnsi="Times New Roman"/>
                <w:lang w:eastAsia="en-US"/>
              </w:rPr>
            </w:pPr>
          </w:p>
        </w:tc>
        <w:tc>
          <w:tcPr>
            <w:tcW w:w="1136" w:type="dxa"/>
            <w:tcBorders>
              <w:top w:val="nil"/>
              <w:left w:val="nil"/>
              <w:bottom w:val="nil"/>
              <w:right w:val="nil"/>
            </w:tcBorders>
            <w:shd w:val="clear" w:color="auto" w:fill="auto"/>
          </w:tcPr>
          <w:p w:rsidR="00B95BAC" w:rsidRPr="00527E7D" w:rsidRDefault="00B95BAC" w:rsidP="00B95BAC">
            <w:pPr>
              <w:spacing w:after="0" w:line="240" w:lineRule="auto"/>
              <w:rPr>
                <w:rFonts w:ascii="Times New Roman" w:eastAsia="Calibri" w:hAnsi="Times New Roman"/>
                <w:lang w:eastAsia="en-US"/>
              </w:rPr>
            </w:pPr>
          </w:p>
        </w:tc>
        <w:tc>
          <w:tcPr>
            <w:tcW w:w="1151" w:type="dxa"/>
            <w:tcBorders>
              <w:top w:val="nil"/>
              <w:left w:val="nil"/>
              <w:bottom w:val="nil"/>
              <w:right w:val="nil"/>
            </w:tcBorders>
            <w:shd w:val="clear" w:color="auto" w:fill="auto"/>
          </w:tcPr>
          <w:p w:rsidR="00B95BAC" w:rsidRPr="00527E7D" w:rsidRDefault="00B95BAC" w:rsidP="00B95BAC">
            <w:pPr>
              <w:spacing w:after="0" w:line="240" w:lineRule="auto"/>
              <w:rPr>
                <w:rFonts w:ascii="Times New Roman" w:eastAsia="Calibri" w:hAnsi="Times New Roman"/>
                <w:lang w:eastAsia="en-US"/>
              </w:rPr>
            </w:pPr>
          </w:p>
        </w:tc>
        <w:tc>
          <w:tcPr>
            <w:tcW w:w="1115" w:type="dxa"/>
            <w:tcBorders>
              <w:top w:val="nil"/>
              <w:left w:val="nil"/>
              <w:bottom w:val="nil"/>
              <w:right w:val="nil"/>
            </w:tcBorders>
            <w:shd w:val="clear" w:color="auto" w:fill="auto"/>
          </w:tcPr>
          <w:p w:rsidR="00B95BAC" w:rsidRPr="00527E7D" w:rsidRDefault="00B95BAC" w:rsidP="00B95BAC">
            <w:pPr>
              <w:spacing w:after="0" w:line="240" w:lineRule="auto"/>
              <w:rPr>
                <w:rFonts w:ascii="Times New Roman" w:eastAsia="Calibri" w:hAnsi="Times New Roman"/>
                <w:lang w:eastAsia="en-US"/>
              </w:rPr>
            </w:pPr>
          </w:p>
        </w:tc>
        <w:tc>
          <w:tcPr>
            <w:tcW w:w="1115" w:type="dxa"/>
            <w:tcBorders>
              <w:top w:val="nil"/>
              <w:left w:val="nil"/>
              <w:bottom w:val="nil"/>
              <w:right w:val="nil"/>
            </w:tcBorders>
            <w:shd w:val="clear" w:color="auto" w:fill="auto"/>
          </w:tcPr>
          <w:p w:rsidR="00B95BAC" w:rsidRPr="00527E7D" w:rsidRDefault="00B95BAC" w:rsidP="00B95BAC">
            <w:pPr>
              <w:spacing w:after="0" w:line="240" w:lineRule="auto"/>
              <w:rPr>
                <w:rFonts w:ascii="Times New Roman" w:eastAsia="Calibri" w:hAnsi="Times New Roman"/>
                <w:lang w:eastAsia="en-US"/>
              </w:rPr>
            </w:pPr>
          </w:p>
        </w:tc>
      </w:tr>
      <w:tr w:rsidR="00B95BAC" w:rsidRPr="00527E7D" w:rsidTr="000B0C84">
        <w:tc>
          <w:tcPr>
            <w:tcW w:w="3324" w:type="dxa"/>
            <w:tcBorders>
              <w:top w:val="single" w:sz="4" w:space="0" w:color="auto"/>
              <w:left w:val="nil"/>
              <w:bottom w:val="nil"/>
              <w:right w:val="nil"/>
            </w:tcBorders>
            <w:shd w:val="clear" w:color="auto" w:fill="auto"/>
          </w:tcPr>
          <w:p w:rsidR="00B95BAC" w:rsidRPr="00527E7D" w:rsidRDefault="00B95BAC" w:rsidP="00B95BAC">
            <w:pPr>
              <w:pBdr>
                <w:between w:val="single" w:sz="4" w:space="1" w:color="auto"/>
              </w:pBd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Portfolio Sharpe Ratio</w:t>
            </w:r>
          </w:p>
        </w:tc>
        <w:tc>
          <w:tcPr>
            <w:tcW w:w="1095" w:type="dxa"/>
            <w:tcBorders>
              <w:top w:val="single" w:sz="4" w:space="0" w:color="auto"/>
              <w:left w:val="nil"/>
              <w:bottom w:val="nil"/>
              <w:right w:val="nil"/>
            </w:tcBorders>
            <w:shd w:val="clear" w:color="auto" w:fill="auto"/>
            <w:vAlign w:val="bottom"/>
          </w:tcPr>
          <w:p w:rsidR="00B95BAC" w:rsidRPr="00527E7D" w:rsidRDefault="00B95BAC" w:rsidP="00B95BAC">
            <w:pPr>
              <w:pBdr>
                <w:between w:val="single" w:sz="4" w:space="1" w:color="auto"/>
              </w:pBd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1.1304%</w:t>
            </w:r>
          </w:p>
        </w:tc>
        <w:tc>
          <w:tcPr>
            <w:tcW w:w="1115" w:type="dxa"/>
            <w:tcBorders>
              <w:top w:val="single" w:sz="4" w:space="0" w:color="auto"/>
              <w:left w:val="nil"/>
              <w:bottom w:val="nil"/>
              <w:right w:val="nil"/>
            </w:tcBorders>
            <w:shd w:val="clear" w:color="auto" w:fill="auto"/>
            <w:vAlign w:val="bottom"/>
          </w:tcPr>
          <w:p w:rsidR="00B95BAC" w:rsidRPr="00527E7D" w:rsidRDefault="00B95BAC" w:rsidP="00B95BAC">
            <w:pPr>
              <w:pBdr>
                <w:between w:val="single" w:sz="4" w:space="1" w:color="auto"/>
              </w:pBd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1.2299%</w:t>
            </w:r>
          </w:p>
        </w:tc>
        <w:tc>
          <w:tcPr>
            <w:tcW w:w="1115" w:type="dxa"/>
            <w:tcBorders>
              <w:top w:val="single" w:sz="4" w:space="0" w:color="auto"/>
              <w:left w:val="nil"/>
              <w:bottom w:val="nil"/>
              <w:right w:val="nil"/>
            </w:tcBorders>
            <w:shd w:val="clear" w:color="auto" w:fill="auto"/>
            <w:vAlign w:val="bottom"/>
          </w:tcPr>
          <w:p w:rsidR="00B95BAC" w:rsidRPr="00527E7D" w:rsidRDefault="00B95BAC" w:rsidP="00B95BAC">
            <w:pPr>
              <w:pBdr>
                <w:between w:val="single" w:sz="4" w:space="1" w:color="auto"/>
              </w:pBd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1.3087%</w:t>
            </w:r>
          </w:p>
        </w:tc>
        <w:tc>
          <w:tcPr>
            <w:tcW w:w="1115" w:type="dxa"/>
            <w:tcBorders>
              <w:top w:val="single" w:sz="4" w:space="0" w:color="auto"/>
              <w:left w:val="nil"/>
              <w:bottom w:val="nil"/>
              <w:right w:val="nil"/>
            </w:tcBorders>
            <w:shd w:val="clear" w:color="auto" w:fill="auto"/>
            <w:vAlign w:val="bottom"/>
          </w:tcPr>
          <w:p w:rsidR="00B95BAC" w:rsidRPr="00527E7D" w:rsidRDefault="00B95BAC" w:rsidP="00B95BAC">
            <w:pPr>
              <w:pBdr>
                <w:between w:val="single" w:sz="4" w:space="1" w:color="auto"/>
              </w:pBd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1.3659%</w:t>
            </w:r>
          </w:p>
        </w:tc>
        <w:tc>
          <w:tcPr>
            <w:tcW w:w="1135" w:type="dxa"/>
            <w:tcBorders>
              <w:top w:val="single" w:sz="4" w:space="0" w:color="auto"/>
              <w:left w:val="nil"/>
              <w:bottom w:val="nil"/>
              <w:right w:val="nil"/>
            </w:tcBorders>
            <w:shd w:val="clear" w:color="auto" w:fill="auto"/>
            <w:vAlign w:val="bottom"/>
          </w:tcPr>
          <w:p w:rsidR="00B95BAC" w:rsidRPr="00527E7D" w:rsidRDefault="00B95BAC" w:rsidP="00B95BAC">
            <w:pPr>
              <w:pBdr>
                <w:between w:val="single" w:sz="4" w:space="1" w:color="auto"/>
              </w:pBd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1.4034%</w:t>
            </w:r>
          </w:p>
        </w:tc>
        <w:tc>
          <w:tcPr>
            <w:tcW w:w="1136" w:type="dxa"/>
            <w:tcBorders>
              <w:top w:val="single" w:sz="4" w:space="0" w:color="auto"/>
              <w:left w:val="nil"/>
              <w:bottom w:val="nil"/>
              <w:right w:val="nil"/>
            </w:tcBorders>
            <w:shd w:val="clear" w:color="auto" w:fill="auto"/>
            <w:vAlign w:val="bottom"/>
          </w:tcPr>
          <w:p w:rsidR="00B95BAC" w:rsidRPr="00527E7D" w:rsidRDefault="00B95BAC" w:rsidP="00B95BAC">
            <w:pPr>
              <w:pBdr>
                <w:between w:val="single" w:sz="4" w:space="1" w:color="auto"/>
              </w:pBd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1.4241%</w:t>
            </w:r>
          </w:p>
        </w:tc>
        <w:tc>
          <w:tcPr>
            <w:tcW w:w="1136" w:type="dxa"/>
            <w:tcBorders>
              <w:top w:val="single" w:sz="4" w:space="0" w:color="auto"/>
              <w:left w:val="nil"/>
              <w:bottom w:val="nil"/>
              <w:right w:val="nil"/>
            </w:tcBorders>
            <w:shd w:val="clear" w:color="auto" w:fill="auto"/>
            <w:vAlign w:val="bottom"/>
          </w:tcPr>
          <w:p w:rsidR="00B95BAC" w:rsidRPr="00527E7D" w:rsidRDefault="00B95BAC" w:rsidP="00B95BAC">
            <w:pPr>
              <w:pBdr>
                <w:between w:val="single" w:sz="4" w:space="1" w:color="auto"/>
              </w:pBd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1.4320%</w:t>
            </w:r>
          </w:p>
        </w:tc>
        <w:tc>
          <w:tcPr>
            <w:tcW w:w="1151" w:type="dxa"/>
            <w:tcBorders>
              <w:top w:val="single" w:sz="4" w:space="0" w:color="auto"/>
              <w:left w:val="nil"/>
              <w:bottom w:val="nil"/>
              <w:right w:val="nil"/>
            </w:tcBorders>
            <w:shd w:val="clear" w:color="auto" w:fill="auto"/>
            <w:vAlign w:val="bottom"/>
          </w:tcPr>
          <w:p w:rsidR="00B95BAC" w:rsidRPr="00527E7D" w:rsidRDefault="00B95BAC" w:rsidP="00B95BAC">
            <w:pPr>
              <w:pBdr>
                <w:between w:val="single" w:sz="4" w:space="1" w:color="auto"/>
              </w:pBdr>
              <w:spacing w:after="0" w:line="240" w:lineRule="auto"/>
              <w:jc w:val="right"/>
              <w:rPr>
                <w:rFonts w:ascii="Times New Roman" w:eastAsia="Calibri" w:hAnsi="Times New Roman"/>
                <w:b/>
                <w:color w:val="000000"/>
                <w:lang w:eastAsia="en-US"/>
              </w:rPr>
            </w:pPr>
            <w:r w:rsidRPr="00527E7D">
              <w:rPr>
                <w:rFonts w:ascii="Times New Roman" w:eastAsia="Calibri" w:hAnsi="Times New Roman"/>
                <w:b/>
                <w:color w:val="000000"/>
                <w:lang w:eastAsia="en-US"/>
              </w:rPr>
              <w:t>1.4323%</w:t>
            </w:r>
          </w:p>
        </w:tc>
        <w:tc>
          <w:tcPr>
            <w:tcW w:w="1115" w:type="dxa"/>
            <w:tcBorders>
              <w:top w:val="single" w:sz="4" w:space="0" w:color="auto"/>
              <w:left w:val="nil"/>
              <w:bottom w:val="nil"/>
              <w:right w:val="nil"/>
            </w:tcBorders>
            <w:shd w:val="clear" w:color="auto" w:fill="auto"/>
            <w:vAlign w:val="bottom"/>
          </w:tcPr>
          <w:p w:rsidR="00B95BAC" w:rsidRPr="00527E7D" w:rsidRDefault="00B95BAC" w:rsidP="00B95BAC">
            <w:pPr>
              <w:pBdr>
                <w:between w:val="single" w:sz="4" w:space="1" w:color="auto"/>
              </w:pBd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1.4303%</w:t>
            </w:r>
          </w:p>
        </w:tc>
        <w:tc>
          <w:tcPr>
            <w:tcW w:w="1115" w:type="dxa"/>
            <w:tcBorders>
              <w:top w:val="single" w:sz="4" w:space="0" w:color="auto"/>
              <w:left w:val="nil"/>
              <w:bottom w:val="nil"/>
              <w:right w:val="nil"/>
            </w:tcBorders>
            <w:shd w:val="clear" w:color="auto" w:fill="auto"/>
            <w:vAlign w:val="bottom"/>
          </w:tcPr>
          <w:p w:rsidR="00B95BAC" w:rsidRPr="00527E7D" w:rsidRDefault="00B95BAC" w:rsidP="00B95BAC">
            <w:pPr>
              <w:pBdr>
                <w:between w:val="single" w:sz="4" w:space="1" w:color="auto"/>
              </w:pBd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1.2724%</w:t>
            </w:r>
          </w:p>
        </w:tc>
      </w:tr>
      <w:tr w:rsidR="00B95BAC" w:rsidRPr="00527E7D" w:rsidTr="000B0C84">
        <w:tc>
          <w:tcPr>
            <w:tcW w:w="3324" w:type="dxa"/>
            <w:tcBorders>
              <w:top w:val="nil"/>
              <w:left w:val="nil"/>
              <w:bottom w:val="nil"/>
              <w:right w:val="nil"/>
            </w:tcBorders>
            <w:shd w:val="clear" w:color="auto" w:fill="auto"/>
          </w:tcPr>
          <w:p w:rsidR="00B95BAC" w:rsidRPr="00527E7D" w:rsidRDefault="00B95BAC" w:rsidP="00B95BAC">
            <w:pPr>
              <w:spacing w:after="0" w:line="240" w:lineRule="auto"/>
              <w:jc w:val="both"/>
              <w:rPr>
                <w:rFonts w:ascii="Times New Roman" w:eastAsia="Calibri" w:hAnsi="Times New Roman"/>
                <w:lang w:eastAsia="en-US"/>
              </w:rPr>
            </w:pPr>
          </w:p>
        </w:tc>
        <w:tc>
          <w:tcPr>
            <w:tcW w:w="1095" w:type="dxa"/>
            <w:tcBorders>
              <w:top w:val="nil"/>
              <w:left w:val="nil"/>
              <w:bottom w:val="nil"/>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bCs/>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51"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b/>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r>
      <w:tr w:rsidR="00B95BAC" w:rsidRPr="00527E7D" w:rsidTr="000B0C84">
        <w:tc>
          <w:tcPr>
            <w:tcW w:w="3324" w:type="dxa"/>
            <w:tcBorders>
              <w:top w:val="nil"/>
              <w:left w:val="nil"/>
              <w:bottom w:val="nil"/>
              <w:right w:val="nil"/>
            </w:tcBorders>
            <w:shd w:val="clear" w:color="auto" w:fill="auto"/>
          </w:tcPr>
          <w:p w:rsidR="00B95BAC" w:rsidRPr="00527E7D" w:rsidRDefault="00B95BAC" w:rsidP="00B95BAC">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Portfolio Mean</w:t>
            </w:r>
          </w:p>
        </w:tc>
        <w:tc>
          <w:tcPr>
            <w:tcW w:w="1095" w:type="dxa"/>
            <w:tcBorders>
              <w:top w:val="nil"/>
              <w:left w:val="nil"/>
              <w:bottom w:val="nil"/>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0.0083%</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0.0091%</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0.0099%</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0.0107%</w:t>
            </w:r>
          </w:p>
        </w:tc>
        <w:tc>
          <w:tcPr>
            <w:tcW w:w="113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0.0115%</w:t>
            </w: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0.0123%</w:t>
            </w: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0.0131%</w:t>
            </w:r>
          </w:p>
        </w:tc>
        <w:tc>
          <w:tcPr>
            <w:tcW w:w="1151"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b/>
                <w:color w:val="000000"/>
                <w:lang w:eastAsia="en-US"/>
              </w:rPr>
            </w:pPr>
            <w:r w:rsidRPr="00527E7D">
              <w:rPr>
                <w:rFonts w:ascii="Times New Roman" w:eastAsia="Calibri" w:hAnsi="Times New Roman"/>
                <w:b/>
                <w:color w:val="000000"/>
                <w:lang w:eastAsia="en-US"/>
              </w:rPr>
              <w:t>0.0133%</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0.0139%</w:t>
            </w: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0.0155%</w:t>
            </w:r>
          </w:p>
        </w:tc>
      </w:tr>
      <w:tr w:rsidR="00B95BAC" w:rsidRPr="00527E7D" w:rsidTr="00B95BAC">
        <w:tc>
          <w:tcPr>
            <w:tcW w:w="3324" w:type="dxa"/>
            <w:tcBorders>
              <w:top w:val="nil"/>
              <w:left w:val="nil"/>
              <w:bottom w:val="nil"/>
              <w:right w:val="nil"/>
            </w:tcBorders>
            <w:shd w:val="clear" w:color="auto" w:fill="auto"/>
          </w:tcPr>
          <w:p w:rsidR="00B95BAC" w:rsidRPr="00527E7D" w:rsidRDefault="00B95BAC" w:rsidP="00B95BAC">
            <w:pPr>
              <w:spacing w:after="0" w:line="240" w:lineRule="auto"/>
              <w:jc w:val="both"/>
              <w:rPr>
                <w:rFonts w:ascii="Times New Roman" w:eastAsia="Calibri" w:hAnsi="Times New Roman"/>
                <w:lang w:eastAsia="en-US"/>
              </w:rPr>
            </w:pPr>
          </w:p>
        </w:tc>
        <w:tc>
          <w:tcPr>
            <w:tcW w:w="1095" w:type="dxa"/>
            <w:tcBorders>
              <w:top w:val="nil"/>
              <w:left w:val="nil"/>
              <w:bottom w:val="nil"/>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bCs/>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6"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51"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b/>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r>
      <w:tr w:rsidR="00B95BAC" w:rsidRPr="00527E7D" w:rsidTr="00B95BAC">
        <w:tc>
          <w:tcPr>
            <w:tcW w:w="3324" w:type="dxa"/>
            <w:tcBorders>
              <w:top w:val="nil"/>
              <w:left w:val="nil"/>
              <w:bottom w:val="double" w:sz="4" w:space="0" w:color="auto"/>
              <w:right w:val="nil"/>
            </w:tcBorders>
            <w:shd w:val="clear" w:color="auto" w:fill="auto"/>
          </w:tcPr>
          <w:p w:rsidR="00B95BAC" w:rsidRPr="00527E7D" w:rsidRDefault="00B95BAC" w:rsidP="00B95BAC">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Portfolio Standard Deviation</w:t>
            </w:r>
          </w:p>
        </w:tc>
        <w:tc>
          <w:tcPr>
            <w:tcW w:w="1095" w:type="dxa"/>
            <w:tcBorders>
              <w:top w:val="nil"/>
              <w:left w:val="nil"/>
              <w:bottom w:val="double" w:sz="4" w:space="0" w:color="auto"/>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0.7346%</w:t>
            </w:r>
          </w:p>
        </w:tc>
        <w:tc>
          <w:tcPr>
            <w:tcW w:w="1115" w:type="dxa"/>
            <w:tcBorders>
              <w:top w:val="nil"/>
              <w:left w:val="nil"/>
              <w:bottom w:val="double" w:sz="4" w:space="0" w:color="auto"/>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0.7402%</w:t>
            </w:r>
          </w:p>
        </w:tc>
        <w:tc>
          <w:tcPr>
            <w:tcW w:w="1115" w:type="dxa"/>
            <w:tcBorders>
              <w:top w:val="nil"/>
              <w:left w:val="nil"/>
              <w:bottom w:val="double" w:sz="4" w:space="0" w:color="auto"/>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0.7568%</w:t>
            </w:r>
          </w:p>
        </w:tc>
        <w:tc>
          <w:tcPr>
            <w:tcW w:w="1115" w:type="dxa"/>
            <w:tcBorders>
              <w:top w:val="nil"/>
              <w:left w:val="nil"/>
              <w:bottom w:val="double" w:sz="4" w:space="0" w:color="auto"/>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0.7836%</w:t>
            </w:r>
          </w:p>
        </w:tc>
        <w:tc>
          <w:tcPr>
            <w:tcW w:w="1135" w:type="dxa"/>
            <w:tcBorders>
              <w:top w:val="nil"/>
              <w:left w:val="nil"/>
              <w:bottom w:val="double" w:sz="4" w:space="0" w:color="auto"/>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0.8197%</w:t>
            </w:r>
          </w:p>
        </w:tc>
        <w:tc>
          <w:tcPr>
            <w:tcW w:w="1136" w:type="dxa"/>
            <w:tcBorders>
              <w:top w:val="nil"/>
              <w:left w:val="nil"/>
              <w:bottom w:val="double" w:sz="4" w:space="0" w:color="auto"/>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0.8640%</w:t>
            </w:r>
          </w:p>
        </w:tc>
        <w:tc>
          <w:tcPr>
            <w:tcW w:w="1136" w:type="dxa"/>
            <w:tcBorders>
              <w:top w:val="nil"/>
              <w:left w:val="nil"/>
              <w:bottom w:val="double" w:sz="4" w:space="0" w:color="auto"/>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0.9151%</w:t>
            </w:r>
          </w:p>
        </w:tc>
        <w:tc>
          <w:tcPr>
            <w:tcW w:w="1151" w:type="dxa"/>
            <w:tcBorders>
              <w:top w:val="nil"/>
              <w:left w:val="nil"/>
              <w:bottom w:val="double" w:sz="4" w:space="0" w:color="auto"/>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b/>
                <w:color w:val="000000"/>
                <w:lang w:eastAsia="en-US"/>
              </w:rPr>
            </w:pPr>
            <w:r w:rsidRPr="00527E7D">
              <w:rPr>
                <w:rFonts w:ascii="Times New Roman" w:eastAsia="Calibri" w:hAnsi="Times New Roman"/>
                <w:b/>
                <w:color w:val="000000"/>
                <w:lang w:eastAsia="en-US"/>
              </w:rPr>
              <w:t>0.9308%</w:t>
            </w:r>
          </w:p>
        </w:tc>
        <w:tc>
          <w:tcPr>
            <w:tcW w:w="1115" w:type="dxa"/>
            <w:tcBorders>
              <w:top w:val="nil"/>
              <w:left w:val="nil"/>
              <w:bottom w:val="double" w:sz="4" w:space="0" w:color="auto"/>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0.9721%</w:t>
            </w:r>
          </w:p>
        </w:tc>
        <w:tc>
          <w:tcPr>
            <w:tcW w:w="1115" w:type="dxa"/>
            <w:tcBorders>
              <w:top w:val="nil"/>
              <w:left w:val="nil"/>
              <w:bottom w:val="double" w:sz="4" w:space="0" w:color="auto"/>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1.2184%</w:t>
            </w:r>
          </w:p>
        </w:tc>
      </w:tr>
      <w:tr w:rsidR="00B95BAC" w:rsidRPr="00527E7D" w:rsidTr="00B95BAC">
        <w:tc>
          <w:tcPr>
            <w:tcW w:w="3324" w:type="dxa"/>
            <w:tcBorders>
              <w:top w:val="double" w:sz="4" w:space="0" w:color="auto"/>
              <w:left w:val="nil"/>
              <w:bottom w:val="nil"/>
              <w:right w:val="nil"/>
            </w:tcBorders>
            <w:shd w:val="clear" w:color="auto" w:fill="auto"/>
          </w:tcPr>
          <w:p w:rsidR="00B95BAC" w:rsidRPr="00527E7D" w:rsidRDefault="00B95BAC" w:rsidP="00B95BAC">
            <w:pPr>
              <w:spacing w:after="0" w:line="240" w:lineRule="auto"/>
              <w:jc w:val="both"/>
              <w:rPr>
                <w:rFonts w:ascii="Times New Roman" w:eastAsia="Calibri" w:hAnsi="Times New Roman"/>
                <w:lang w:eastAsia="en-US"/>
              </w:rPr>
            </w:pPr>
          </w:p>
        </w:tc>
        <w:tc>
          <w:tcPr>
            <w:tcW w:w="1095" w:type="dxa"/>
            <w:tcBorders>
              <w:top w:val="double" w:sz="4" w:space="0" w:color="auto"/>
              <w:left w:val="nil"/>
              <w:bottom w:val="nil"/>
              <w:right w:val="nil"/>
            </w:tcBorders>
            <w:shd w:val="clear" w:color="auto" w:fill="auto"/>
            <w:vAlign w:val="bottom"/>
          </w:tcPr>
          <w:p w:rsidR="00B95BAC" w:rsidRPr="00527E7D" w:rsidRDefault="00B95BAC" w:rsidP="00B95BAC">
            <w:pPr>
              <w:spacing w:after="0" w:line="240" w:lineRule="auto"/>
              <w:jc w:val="center"/>
              <w:rPr>
                <w:rFonts w:ascii="Times New Roman" w:eastAsia="Calibri" w:hAnsi="Times New Roman"/>
                <w:bCs/>
                <w:color w:val="000000"/>
                <w:lang w:eastAsia="en-US"/>
              </w:rPr>
            </w:pPr>
          </w:p>
        </w:tc>
        <w:tc>
          <w:tcPr>
            <w:tcW w:w="1115" w:type="dxa"/>
            <w:tcBorders>
              <w:top w:val="double" w:sz="4" w:space="0" w:color="auto"/>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double" w:sz="4" w:space="0" w:color="auto"/>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double" w:sz="4" w:space="0" w:color="auto"/>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5" w:type="dxa"/>
            <w:tcBorders>
              <w:top w:val="double" w:sz="4" w:space="0" w:color="auto"/>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6" w:type="dxa"/>
            <w:tcBorders>
              <w:top w:val="double" w:sz="4" w:space="0" w:color="auto"/>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36" w:type="dxa"/>
            <w:tcBorders>
              <w:top w:val="double" w:sz="4" w:space="0" w:color="auto"/>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51" w:type="dxa"/>
            <w:tcBorders>
              <w:top w:val="double" w:sz="4" w:space="0" w:color="auto"/>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b/>
                <w:color w:val="000000"/>
                <w:lang w:eastAsia="en-US"/>
              </w:rPr>
            </w:pPr>
          </w:p>
        </w:tc>
        <w:tc>
          <w:tcPr>
            <w:tcW w:w="1115" w:type="dxa"/>
            <w:tcBorders>
              <w:top w:val="double" w:sz="4" w:space="0" w:color="auto"/>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c>
          <w:tcPr>
            <w:tcW w:w="1115" w:type="dxa"/>
            <w:tcBorders>
              <w:top w:val="double" w:sz="4" w:space="0" w:color="auto"/>
              <w:left w:val="nil"/>
              <w:bottom w:val="nil"/>
              <w:right w:val="nil"/>
            </w:tcBorders>
            <w:shd w:val="clear" w:color="auto" w:fill="auto"/>
            <w:vAlign w:val="bottom"/>
          </w:tcPr>
          <w:p w:rsidR="00B95BAC" w:rsidRPr="00527E7D" w:rsidRDefault="00B95BAC" w:rsidP="00B95BAC">
            <w:pPr>
              <w:spacing w:after="0" w:line="240" w:lineRule="auto"/>
              <w:jc w:val="right"/>
              <w:rPr>
                <w:rFonts w:ascii="Times New Roman" w:eastAsia="Calibri" w:hAnsi="Times New Roman"/>
                <w:color w:val="000000"/>
                <w:lang w:eastAsia="en-US"/>
              </w:rPr>
            </w:pPr>
          </w:p>
        </w:tc>
      </w:tr>
    </w:tbl>
    <w:p w:rsidR="00B95BAC" w:rsidRDefault="00B95BAC" w:rsidP="00B95BAC">
      <w:pPr>
        <w:spacing w:after="0" w:line="240" w:lineRule="auto"/>
        <w:ind w:left="284"/>
        <w:jc w:val="both"/>
        <w:rPr>
          <w:rFonts w:ascii="Times New Roman" w:eastAsia="Calibri" w:hAnsi="Times New Roman"/>
          <w:sz w:val="24"/>
          <w:szCs w:val="24"/>
          <w:vertAlign w:val="superscript"/>
          <w:lang w:eastAsia="en-US"/>
        </w:rPr>
      </w:pPr>
    </w:p>
    <w:p w:rsidR="00B95BAC" w:rsidRDefault="00B95BAC" w:rsidP="00B95BAC">
      <w:pPr>
        <w:spacing w:after="0" w:line="240" w:lineRule="auto"/>
        <w:ind w:left="284"/>
        <w:jc w:val="both"/>
        <w:rPr>
          <w:rFonts w:ascii="Times New Roman" w:eastAsia="Calibri" w:hAnsi="Times New Roman"/>
          <w:sz w:val="20"/>
          <w:szCs w:val="20"/>
          <w:lang w:eastAsia="en-US"/>
        </w:rPr>
      </w:pPr>
      <w:proofErr w:type="gramStart"/>
      <w:r w:rsidRPr="00527E7D">
        <w:rPr>
          <w:rFonts w:ascii="Times New Roman" w:eastAsia="Calibri" w:hAnsi="Times New Roman"/>
          <w:sz w:val="24"/>
          <w:szCs w:val="24"/>
          <w:vertAlign w:val="superscript"/>
          <w:lang w:eastAsia="en-US"/>
        </w:rPr>
        <w:t>a</w:t>
      </w:r>
      <w:proofErr w:type="gramEnd"/>
      <w:r w:rsidRPr="00527E7D">
        <w:rPr>
          <w:rFonts w:ascii="Times New Roman" w:eastAsia="Calibri" w:hAnsi="Times New Roman"/>
          <w:b/>
          <w:sz w:val="24"/>
          <w:szCs w:val="24"/>
          <w:lang w:eastAsia="en-US"/>
        </w:rPr>
        <w:t xml:space="preserve"> </w:t>
      </w:r>
      <w:r w:rsidRPr="00527E7D">
        <w:rPr>
          <w:rFonts w:ascii="Times New Roman" w:eastAsia="Calibri" w:hAnsi="Times New Roman"/>
          <w:sz w:val="20"/>
          <w:szCs w:val="20"/>
          <w:lang w:eastAsia="en-US"/>
        </w:rPr>
        <w:t xml:space="preserve">Minimum variance portfolio </w:t>
      </w:r>
    </w:p>
    <w:p w:rsidR="00B95BAC" w:rsidRPr="00527E7D" w:rsidRDefault="00B95BAC" w:rsidP="00B95BAC">
      <w:pPr>
        <w:spacing w:after="0" w:line="240" w:lineRule="auto"/>
        <w:ind w:left="284"/>
        <w:jc w:val="both"/>
        <w:rPr>
          <w:rFonts w:ascii="Times New Roman" w:eastAsia="Calibri" w:hAnsi="Times New Roman"/>
          <w:sz w:val="20"/>
          <w:szCs w:val="20"/>
          <w:lang w:eastAsia="en-US"/>
        </w:rPr>
      </w:pPr>
      <w:proofErr w:type="gramStart"/>
      <w:r w:rsidRPr="00527E7D">
        <w:rPr>
          <w:rFonts w:ascii="Times New Roman" w:eastAsia="Calibri" w:hAnsi="Times New Roman"/>
          <w:sz w:val="20"/>
          <w:szCs w:val="20"/>
          <w:vertAlign w:val="superscript"/>
          <w:lang w:eastAsia="en-US"/>
        </w:rPr>
        <w:t>b</w:t>
      </w:r>
      <w:proofErr w:type="gramEnd"/>
      <w:r w:rsidRPr="00527E7D">
        <w:rPr>
          <w:rFonts w:ascii="Times New Roman" w:eastAsia="Calibri" w:hAnsi="Times New Roman"/>
          <w:sz w:val="20"/>
          <w:szCs w:val="20"/>
          <w:lang w:eastAsia="en-US"/>
        </w:rPr>
        <w:t xml:space="preserve"> Optimal risky portfolio</w:t>
      </w:r>
    </w:p>
    <w:p w:rsidR="001133C2" w:rsidRDefault="001133C2" w:rsidP="001133C2">
      <w:pPr>
        <w:rPr>
          <w:rFonts w:ascii="Times New Roman" w:hAnsi="Times New Roman"/>
          <w:sz w:val="20"/>
          <w:szCs w:val="20"/>
        </w:rPr>
      </w:pPr>
    </w:p>
    <w:p w:rsidR="001133C2" w:rsidRDefault="001133C2" w:rsidP="001133C2">
      <w:pPr>
        <w:rPr>
          <w:rFonts w:ascii="Times New Roman" w:hAnsi="Times New Roman"/>
          <w:sz w:val="20"/>
          <w:szCs w:val="20"/>
        </w:rPr>
      </w:pPr>
      <w:r>
        <w:rPr>
          <w:rFonts w:ascii="Times New Roman" w:hAnsi="Times New Roman"/>
          <w:sz w:val="20"/>
          <w:szCs w:val="20"/>
        </w:rPr>
        <w:br w:type="page"/>
      </w:r>
    </w:p>
    <w:p w:rsidR="001133C2" w:rsidRDefault="001133C2" w:rsidP="001133C2">
      <w:pPr>
        <w:jc w:val="center"/>
        <w:rPr>
          <w:rFonts w:ascii="Times New Roman" w:eastAsia="Calibri" w:hAnsi="Times New Roman"/>
          <w:b/>
          <w:sz w:val="24"/>
          <w:szCs w:val="24"/>
          <w:lang w:eastAsia="en-US"/>
        </w:rPr>
      </w:pPr>
      <w:r w:rsidRPr="00ED7BA0">
        <w:rPr>
          <w:rFonts w:ascii="Times New Roman" w:eastAsia="Calibri" w:hAnsi="Times New Roman"/>
          <w:b/>
          <w:sz w:val="24"/>
          <w:szCs w:val="24"/>
          <w:lang w:eastAsia="en-US"/>
        </w:rPr>
        <w:lastRenderedPageBreak/>
        <w:t xml:space="preserve">Table </w:t>
      </w:r>
      <w:r>
        <w:rPr>
          <w:rFonts w:ascii="Times New Roman" w:eastAsia="Calibri" w:hAnsi="Times New Roman"/>
          <w:b/>
          <w:sz w:val="24"/>
          <w:szCs w:val="24"/>
          <w:lang w:eastAsia="en-US"/>
        </w:rPr>
        <w:t>X</w:t>
      </w:r>
    </w:p>
    <w:p w:rsidR="001133C2" w:rsidRDefault="001133C2" w:rsidP="001133C2">
      <w:pPr>
        <w:tabs>
          <w:tab w:val="left" w:pos="285"/>
          <w:tab w:val="center" w:pos="6979"/>
        </w:tabs>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sidRPr="008F17AE">
        <w:rPr>
          <w:rFonts w:ascii="Times New Roman" w:hAnsi="Times New Roman"/>
          <w:b/>
          <w:sz w:val="24"/>
          <w:szCs w:val="24"/>
        </w:rPr>
        <w:t>Optimal Portfolio Weights</w:t>
      </w:r>
    </w:p>
    <w:p w:rsidR="001133C2" w:rsidRPr="00470E8F" w:rsidRDefault="001133C2" w:rsidP="001133C2">
      <w:pPr>
        <w:ind w:right="282"/>
        <w:jc w:val="both"/>
        <w:rPr>
          <w:rFonts w:ascii="Times New Roman" w:hAnsi="Times New Roman"/>
          <w:sz w:val="20"/>
          <w:szCs w:val="20"/>
          <w:lang w:val="en-US"/>
        </w:rPr>
      </w:pPr>
      <w:r w:rsidRPr="00470E8F">
        <w:rPr>
          <w:rFonts w:ascii="Times New Roman" w:hAnsi="Times New Roman"/>
          <w:sz w:val="20"/>
          <w:szCs w:val="20"/>
          <w:lang w:val="en-US"/>
        </w:rPr>
        <w:t>This table reports the optimal weights for mean-variance efficient portfolios invested in</w:t>
      </w:r>
      <w:r w:rsidRPr="00470E8F">
        <w:rPr>
          <w:rFonts w:ascii="Times New Roman" w:hAnsi="Times New Roman"/>
          <w:sz w:val="20"/>
          <w:szCs w:val="20"/>
          <w:vertAlign w:val="superscript"/>
          <w:lang w:val="en-US"/>
        </w:rPr>
        <w:t xml:space="preserve"> </w:t>
      </w:r>
      <w:r w:rsidRPr="00470E8F">
        <w:rPr>
          <w:rFonts w:ascii="Times New Roman" w:hAnsi="Times New Roman"/>
          <w:sz w:val="20"/>
          <w:szCs w:val="20"/>
          <w:lang w:val="en-US"/>
        </w:rPr>
        <w:t>crude oil, world government bonds, world equities and world real estate investment trusts. The minimum variance portfolio is identified by minimizing the standard deviation of a portfolio subject to the constraint that the summed weights are equal to one. For all other portfolios we minimize the portfolio risk subject to a given level of portfolio return and subject to the sum of portfolio weights being equal to one. The optimal portfolio on this efficient frontier is the one with the highest Sharpe ratio.  All calculations are made without imposing short selling restrictions.</w:t>
      </w:r>
      <w:r>
        <w:rPr>
          <w:rFonts w:ascii="Times New Roman" w:hAnsi="Times New Roman"/>
          <w:sz w:val="20"/>
          <w:szCs w:val="20"/>
          <w:lang w:val="en-US"/>
        </w:rPr>
        <w:t xml:space="preserve"> The figures for portfolio mean and standard deviations were computed based on daily data. The data series used for the optimization is shorter than those used in Table IX, due to the fact that the world government bond index starts in January 1995.</w:t>
      </w:r>
    </w:p>
    <w:tbl>
      <w:tblPr>
        <w:tblpPr w:leftFromText="180" w:rightFromText="180" w:vertAnchor="text" w:horzAnchor="margin" w:tblpY="113"/>
        <w:tblW w:w="14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1189"/>
        <w:gridCol w:w="1115"/>
        <w:gridCol w:w="1115"/>
        <w:gridCol w:w="1115"/>
        <w:gridCol w:w="1129"/>
        <w:gridCol w:w="1130"/>
        <w:gridCol w:w="1130"/>
        <w:gridCol w:w="1151"/>
        <w:gridCol w:w="1151"/>
        <w:gridCol w:w="1225"/>
      </w:tblGrid>
      <w:tr w:rsidR="001133C2" w:rsidRPr="00527E7D" w:rsidTr="001133C2">
        <w:tc>
          <w:tcPr>
            <w:tcW w:w="14749" w:type="dxa"/>
            <w:gridSpan w:val="11"/>
            <w:tcBorders>
              <w:top w:val="nil"/>
              <w:left w:val="nil"/>
              <w:bottom w:val="double" w:sz="4" w:space="0" w:color="auto"/>
              <w:right w:val="nil"/>
            </w:tcBorders>
            <w:shd w:val="clear" w:color="auto" w:fill="auto"/>
          </w:tcPr>
          <w:p w:rsidR="001133C2" w:rsidRPr="00527E7D" w:rsidRDefault="001133C2" w:rsidP="001133C2">
            <w:pPr>
              <w:spacing w:after="0" w:line="240" w:lineRule="auto"/>
              <w:jc w:val="both"/>
              <w:rPr>
                <w:rFonts w:ascii="Times New Roman" w:eastAsia="Calibri" w:hAnsi="Times New Roman"/>
                <w:b/>
                <w:sz w:val="24"/>
                <w:szCs w:val="24"/>
                <w:lang w:eastAsia="en-US"/>
              </w:rPr>
            </w:pPr>
          </w:p>
        </w:tc>
      </w:tr>
      <w:tr w:rsidR="001133C2" w:rsidRPr="00527E7D" w:rsidTr="001133C2">
        <w:trPr>
          <w:trHeight w:val="389"/>
        </w:trPr>
        <w:tc>
          <w:tcPr>
            <w:tcW w:w="3299" w:type="dxa"/>
            <w:tcBorders>
              <w:top w:val="nil"/>
              <w:left w:val="nil"/>
              <w:bottom w:val="single" w:sz="4" w:space="0" w:color="auto"/>
              <w:right w:val="nil"/>
            </w:tcBorders>
            <w:shd w:val="clear" w:color="auto" w:fill="auto"/>
            <w:vAlign w:val="center"/>
          </w:tcPr>
          <w:p w:rsidR="001133C2" w:rsidRPr="00527E7D" w:rsidRDefault="001133C2" w:rsidP="001133C2">
            <w:pPr>
              <w:spacing w:after="0" w:line="240" w:lineRule="auto"/>
              <w:rPr>
                <w:rFonts w:ascii="Times New Roman" w:eastAsia="Calibri" w:hAnsi="Times New Roman"/>
                <w:b/>
                <w:lang w:eastAsia="en-US"/>
              </w:rPr>
            </w:pPr>
            <w:r w:rsidRPr="00527E7D">
              <w:rPr>
                <w:rFonts w:ascii="Times New Roman" w:eastAsia="Calibri" w:hAnsi="Times New Roman"/>
                <w:b/>
                <w:lang w:eastAsia="en-US"/>
              </w:rPr>
              <w:t>Portfolio</w:t>
            </w:r>
          </w:p>
        </w:tc>
        <w:tc>
          <w:tcPr>
            <w:tcW w:w="1189" w:type="dxa"/>
            <w:tcBorders>
              <w:top w:val="nil"/>
              <w:left w:val="nil"/>
              <w:bottom w:val="single" w:sz="4" w:space="0" w:color="auto"/>
              <w:right w:val="nil"/>
            </w:tcBorders>
            <w:shd w:val="clear" w:color="auto" w:fill="auto"/>
            <w:vAlign w:val="center"/>
          </w:tcPr>
          <w:p w:rsidR="001133C2" w:rsidRPr="00527E7D" w:rsidRDefault="001133C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(1)</w:t>
            </w:r>
            <w:r w:rsidRPr="00527E7D">
              <w:rPr>
                <w:rFonts w:ascii="Times New Roman" w:eastAsia="Calibri" w:hAnsi="Times New Roman"/>
                <w:vertAlign w:val="superscript"/>
                <w:lang w:eastAsia="en-US"/>
              </w:rPr>
              <w:t>a</w:t>
            </w:r>
          </w:p>
        </w:tc>
        <w:tc>
          <w:tcPr>
            <w:tcW w:w="1115" w:type="dxa"/>
            <w:tcBorders>
              <w:top w:val="nil"/>
              <w:left w:val="nil"/>
              <w:bottom w:val="single" w:sz="4" w:space="0" w:color="auto"/>
              <w:right w:val="nil"/>
            </w:tcBorders>
            <w:shd w:val="clear" w:color="auto" w:fill="auto"/>
            <w:vAlign w:val="center"/>
          </w:tcPr>
          <w:p w:rsidR="001133C2" w:rsidRPr="00527E7D" w:rsidRDefault="001133C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(2)</w:t>
            </w:r>
          </w:p>
        </w:tc>
        <w:tc>
          <w:tcPr>
            <w:tcW w:w="1115" w:type="dxa"/>
            <w:tcBorders>
              <w:top w:val="nil"/>
              <w:left w:val="nil"/>
              <w:bottom w:val="single" w:sz="4" w:space="0" w:color="auto"/>
              <w:right w:val="nil"/>
            </w:tcBorders>
            <w:shd w:val="clear" w:color="auto" w:fill="auto"/>
            <w:vAlign w:val="center"/>
          </w:tcPr>
          <w:p w:rsidR="001133C2" w:rsidRPr="00527E7D" w:rsidRDefault="001133C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(3)</w:t>
            </w:r>
          </w:p>
        </w:tc>
        <w:tc>
          <w:tcPr>
            <w:tcW w:w="1115" w:type="dxa"/>
            <w:tcBorders>
              <w:top w:val="nil"/>
              <w:left w:val="nil"/>
              <w:bottom w:val="single" w:sz="4" w:space="0" w:color="auto"/>
              <w:right w:val="nil"/>
            </w:tcBorders>
            <w:shd w:val="clear" w:color="auto" w:fill="auto"/>
            <w:vAlign w:val="center"/>
          </w:tcPr>
          <w:p w:rsidR="001133C2" w:rsidRPr="00527E7D" w:rsidRDefault="001133C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(4)</w:t>
            </w:r>
          </w:p>
        </w:tc>
        <w:tc>
          <w:tcPr>
            <w:tcW w:w="1129" w:type="dxa"/>
            <w:tcBorders>
              <w:top w:val="nil"/>
              <w:left w:val="nil"/>
              <w:bottom w:val="single" w:sz="4" w:space="0" w:color="auto"/>
              <w:right w:val="nil"/>
            </w:tcBorders>
            <w:shd w:val="clear" w:color="auto" w:fill="auto"/>
            <w:vAlign w:val="center"/>
          </w:tcPr>
          <w:p w:rsidR="001133C2" w:rsidRPr="00527E7D" w:rsidRDefault="001133C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(5)</w:t>
            </w:r>
          </w:p>
        </w:tc>
        <w:tc>
          <w:tcPr>
            <w:tcW w:w="1130" w:type="dxa"/>
            <w:tcBorders>
              <w:top w:val="nil"/>
              <w:left w:val="nil"/>
              <w:bottom w:val="single" w:sz="4" w:space="0" w:color="auto"/>
              <w:right w:val="nil"/>
            </w:tcBorders>
            <w:shd w:val="clear" w:color="auto" w:fill="auto"/>
            <w:vAlign w:val="center"/>
          </w:tcPr>
          <w:p w:rsidR="001133C2" w:rsidRPr="00527E7D" w:rsidRDefault="001133C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(6)</w:t>
            </w:r>
          </w:p>
        </w:tc>
        <w:tc>
          <w:tcPr>
            <w:tcW w:w="1130" w:type="dxa"/>
            <w:tcBorders>
              <w:top w:val="nil"/>
              <w:left w:val="nil"/>
              <w:bottom w:val="single" w:sz="4" w:space="0" w:color="auto"/>
              <w:right w:val="nil"/>
            </w:tcBorders>
            <w:shd w:val="clear" w:color="auto" w:fill="auto"/>
            <w:vAlign w:val="center"/>
          </w:tcPr>
          <w:p w:rsidR="001133C2" w:rsidRPr="00527E7D" w:rsidRDefault="001133C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(7)</w:t>
            </w:r>
          </w:p>
        </w:tc>
        <w:tc>
          <w:tcPr>
            <w:tcW w:w="1151" w:type="dxa"/>
            <w:tcBorders>
              <w:top w:val="nil"/>
              <w:left w:val="nil"/>
              <w:bottom w:val="single" w:sz="4" w:space="0" w:color="auto"/>
              <w:right w:val="nil"/>
            </w:tcBorders>
            <w:shd w:val="clear" w:color="auto" w:fill="auto"/>
            <w:vAlign w:val="center"/>
          </w:tcPr>
          <w:p w:rsidR="001133C2" w:rsidRPr="00527E7D" w:rsidRDefault="001133C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(8)</w:t>
            </w:r>
            <w:r w:rsidRPr="00527E7D">
              <w:rPr>
                <w:rFonts w:ascii="Times New Roman" w:eastAsia="Calibri" w:hAnsi="Times New Roman"/>
                <w:vertAlign w:val="superscript"/>
                <w:lang w:eastAsia="en-US"/>
              </w:rPr>
              <w:t>b</w:t>
            </w:r>
          </w:p>
        </w:tc>
        <w:tc>
          <w:tcPr>
            <w:tcW w:w="1151" w:type="dxa"/>
            <w:tcBorders>
              <w:top w:val="nil"/>
              <w:left w:val="nil"/>
              <w:bottom w:val="single" w:sz="4" w:space="0" w:color="auto"/>
              <w:right w:val="nil"/>
            </w:tcBorders>
            <w:shd w:val="clear" w:color="auto" w:fill="auto"/>
            <w:vAlign w:val="center"/>
          </w:tcPr>
          <w:p w:rsidR="001133C2" w:rsidRPr="00527E7D" w:rsidRDefault="001133C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(9)</w:t>
            </w:r>
          </w:p>
        </w:tc>
        <w:tc>
          <w:tcPr>
            <w:tcW w:w="1225" w:type="dxa"/>
            <w:tcBorders>
              <w:top w:val="nil"/>
              <w:left w:val="nil"/>
              <w:bottom w:val="single" w:sz="4" w:space="0" w:color="auto"/>
              <w:right w:val="nil"/>
            </w:tcBorders>
            <w:shd w:val="clear" w:color="auto" w:fill="auto"/>
            <w:vAlign w:val="center"/>
          </w:tcPr>
          <w:p w:rsidR="001133C2" w:rsidRPr="00527E7D" w:rsidRDefault="001133C2" w:rsidP="001133C2">
            <w:pPr>
              <w:spacing w:after="0" w:line="240" w:lineRule="auto"/>
              <w:jc w:val="center"/>
              <w:rPr>
                <w:rFonts w:ascii="Times New Roman" w:eastAsia="Calibri" w:hAnsi="Times New Roman"/>
                <w:lang w:eastAsia="en-US"/>
              </w:rPr>
            </w:pPr>
            <w:r w:rsidRPr="00527E7D">
              <w:rPr>
                <w:rFonts w:ascii="Times New Roman" w:eastAsia="Calibri" w:hAnsi="Times New Roman"/>
                <w:lang w:eastAsia="en-US"/>
              </w:rPr>
              <w:t>(10)</w:t>
            </w:r>
          </w:p>
        </w:tc>
      </w:tr>
      <w:tr w:rsidR="001133C2" w:rsidRPr="00527E7D" w:rsidTr="001133C2">
        <w:tc>
          <w:tcPr>
            <w:tcW w:w="3299" w:type="dxa"/>
            <w:tcBorders>
              <w:top w:val="single" w:sz="4" w:space="0" w:color="auto"/>
              <w:left w:val="nil"/>
              <w:bottom w:val="nil"/>
              <w:right w:val="nil"/>
            </w:tcBorders>
            <w:shd w:val="clear" w:color="auto" w:fill="auto"/>
          </w:tcPr>
          <w:p w:rsidR="001133C2" w:rsidRPr="00527E7D" w:rsidRDefault="001133C2" w:rsidP="001133C2">
            <w:pPr>
              <w:spacing w:after="0" w:line="240" w:lineRule="auto"/>
              <w:rPr>
                <w:rFonts w:ascii="Times New Roman" w:eastAsia="Calibri" w:hAnsi="Times New Roman"/>
                <w:b/>
                <w:sz w:val="24"/>
                <w:szCs w:val="24"/>
                <w:lang w:eastAsia="en-US"/>
              </w:rPr>
            </w:pPr>
          </w:p>
        </w:tc>
        <w:tc>
          <w:tcPr>
            <w:tcW w:w="1189"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center"/>
              <w:rPr>
                <w:rFonts w:eastAsia="Calibri"/>
                <w:b/>
                <w:bCs/>
                <w:color w:val="000000"/>
                <w:lang w:eastAsia="en-US"/>
              </w:rPr>
            </w:pPr>
          </w:p>
        </w:tc>
        <w:tc>
          <w:tcPr>
            <w:tcW w:w="1115"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eastAsia="Calibri"/>
                <w:color w:val="000000"/>
                <w:lang w:eastAsia="en-US"/>
              </w:rPr>
            </w:pPr>
          </w:p>
        </w:tc>
        <w:tc>
          <w:tcPr>
            <w:tcW w:w="1115"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eastAsia="Calibri"/>
                <w:color w:val="000000"/>
                <w:lang w:eastAsia="en-US"/>
              </w:rPr>
            </w:pPr>
          </w:p>
        </w:tc>
        <w:tc>
          <w:tcPr>
            <w:tcW w:w="1115"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eastAsia="Calibri"/>
                <w:color w:val="000000"/>
                <w:lang w:eastAsia="en-US"/>
              </w:rPr>
            </w:pPr>
          </w:p>
        </w:tc>
        <w:tc>
          <w:tcPr>
            <w:tcW w:w="1129"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eastAsia="Calibri"/>
                <w:color w:val="000000"/>
                <w:lang w:eastAsia="en-US"/>
              </w:rPr>
            </w:pPr>
          </w:p>
        </w:tc>
        <w:tc>
          <w:tcPr>
            <w:tcW w:w="1130"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eastAsia="Calibri"/>
                <w:color w:val="000000"/>
                <w:lang w:eastAsia="en-US"/>
              </w:rPr>
            </w:pPr>
          </w:p>
        </w:tc>
        <w:tc>
          <w:tcPr>
            <w:tcW w:w="1130"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eastAsia="Calibri"/>
                <w:color w:val="000000"/>
                <w:lang w:eastAsia="en-US"/>
              </w:rPr>
            </w:pPr>
          </w:p>
        </w:tc>
        <w:tc>
          <w:tcPr>
            <w:tcW w:w="1151"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eastAsia="Calibri"/>
                <w:b/>
                <w:bCs/>
                <w:color w:val="000000"/>
                <w:lang w:eastAsia="en-US"/>
              </w:rPr>
            </w:pPr>
          </w:p>
        </w:tc>
        <w:tc>
          <w:tcPr>
            <w:tcW w:w="1151"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center"/>
              <w:rPr>
                <w:rFonts w:eastAsia="Calibri"/>
                <w:b/>
                <w:bCs/>
                <w:color w:val="000000"/>
                <w:lang w:eastAsia="en-US"/>
              </w:rPr>
            </w:pPr>
          </w:p>
        </w:tc>
        <w:tc>
          <w:tcPr>
            <w:tcW w:w="1225" w:type="dxa"/>
            <w:tcBorders>
              <w:top w:val="single" w:sz="4" w:space="0" w:color="auto"/>
              <w:left w:val="nil"/>
              <w:bottom w:val="nil"/>
              <w:right w:val="nil"/>
            </w:tcBorders>
            <w:shd w:val="clear" w:color="auto" w:fill="auto"/>
          </w:tcPr>
          <w:p w:rsidR="001133C2" w:rsidRPr="00527E7D" w:rsidRDefault="001133C2" w:rsidP="001133C2">
            <w:pPr>
              <w:spacing w:after="0" w:line="240" w:lineRule="auto"/>
              <w:jc w:val="center"/>
              <w:rPr>
                <w:rFonts w:ascii="Times New Roman" w:eastAsia="Calibri" w:hAnsi="Times New Roman"/>
                <w:sz w:val="24"/>
                <w:szCs w:val="24"/>
                <w:lang w:eastAsia="en-US"/>
              </w:rPr>
            </w:pP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WTI Crude Oil</w:t>
            </w: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1.4768%</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2.1978%</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2.9189%</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3.6399%</w:t>
            </w: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4.3610%</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5.0820%</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5.8031%</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bCs/>
                <w:color w:val="000000"/>
                <w:lang w:eastAsia="en-US"/>
              </w:rPr>
            </w:pPr>
            <w:r w:rsidRPr="00527E7D">
              <w:rPr>
                <w:rFonts w:ascii="Times New Roman" w:eastAsia="Calibri" w:hAnsi="Times New Roman"/>
                <w:b/>
                <w:bCs/>
                <w:color w:val="000000"/>
                <w:lang w:eastAsia="en-US"/>
              </w:rPr>
              <w:t>6.1564%</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6.5241%</w:t>
            </w: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100.0000%</w:t>
            </w: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bCs/>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World Gov. Bonds Index</w:t>
            </w: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73.7695%</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71.6714%</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69.5733%</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67.4752%</w:t>
            </w: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65.3772%</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63.2791%</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61.1811%</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bCs/>
                <w:color w:val="000000"/>
                <w:lang w:eastAsia="en-US"/>
              </w:rPr>
            </w:pPr>
            <w:r w:rsidRPr="00527E7D">
              <w:rPr>
                <w:rFonts w:ascii="Times New Roman" w:eastAsia="Calibri" w:hAnsi="Times New Roman"/>
                <w:b/>
                <w:bCs/>
                <w:color w:val="000000"/>
                <w:lang w:eastAsia="en-US"/>
              </w:rPr>
              <w:t>60.1529%</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59.0830%</w:t>
            </w: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-0.0001%</w:t>
            </w: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
                <w:bCs/>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MSCI World Index</w:t>
            </w: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21.8949%</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20.4154%</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18.9360%</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17.4565%</w:t>
            </w: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15.9771%</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14.4977%</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13.0182%</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bCs/>
                <w:color w:val="000000"/>
                <w:lang w:eastAsia="en-US"/>
              </w:rPr>
            </w:pPr>
            <w:r w:rsidRPr="00527E7D">
              <w:rPr>
                <w:rFonts w:ascii="Times New Roman" w:eastAsia="Calibri" w:hAnsi="Times New Roman"/>
                <w:b/>
                <w:bCs/>
                <w:color w:val="000000"/>
                <w:lang w:eastAsia="en-US"/>
              </w:rPr>
              <w:t>12.2932%</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11.5388%</w:t>
            </w: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0.0000%</w:t>
            </w: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bCs/>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 xml:space="preserve">REITs World </w:t>
            </w: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2.8589%</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5.7153%</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8.5718%</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11.4283%</w:t>
            </w: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14.2847%</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17.1412%</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19.9977%</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bCs/>
                <w:color w:val="000000"/>
                <w:lang w:eastAsia="en-US"/>
              </w:rPr>
            </w:pPr>
            <w:r w:rsidRPr="00527E7D">
              <w:rPr>
                <w:rFonts w:ascii="Times New Roman" w:eastAsia="Calibri" w:hAnsi="Times New Roman"/>
                <w:b/>
                <w:bCs/>
                <w:color w:val="000000"/>
                <w:lang w:eastAsia="en-US"/>
              </w:rPr>
              <w:t>21.3975%</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22.8541%</w:t>
            </w: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r w:rsidRPr="00527E7D">
              <w:rPr>
                <w:rFonts w:ascii="Times New Roman" w:eastAsia="Calibri" w:hAnsi="Times New Roman"/>
                <w:color w:val="000000"/>
                <w:lang w:eastAsia="en-US"/>
              </w:rPr>
              <w:t>0.0001%</w:t>
            </w: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
                <w:bCs/>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color w:val="000000"/>
                <w:lang w:eastAsia="en-US"/>
              </w:rPr>
            </w:pPr>
          </w:p>
        </w:tc>
      </w:tr>
      <w:tr w:rsidR="001133C2" w:rsidRPr="00527E7D" w:rsidTr="001133C2">
        <w:tc>
          <w:tcPr>
            <w:tcW w:w="3299" w:type="dxa"/>
            <w:tcBorders>
              <w:top w:val="single" w:sz="4" w:space="0" w:color="auto"/>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Portfolio Sharpe Ratio</w:t>
            </w:r>
          </w:p>
        </w:tc>
        <w:tc>
          <w:tcPr>
            <w:tcW w:w="1189"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3.2677%</w:t>
            </w:r>
          </w:p>
        </w:tc>
        <w:tc>
          <w:tcPr>
            <w:tcW w:w="1115"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3.4105%</w:t>
            </w:r>
          </w:p>
        </w:tc>
        <w:tc>
          <w:tcPr>
            <w:tcW w:w="1115"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3.5270%</w:t>
            </w:r>
          </w:p>
        </w:tc>
        <w:tc>
          <w:tcPr>
            <w:tcW w:w="1115"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3.6163%</w:t>
            </w:r>
          </w:p>
        </w:tc>
        <w:tc>
          <w:tcPr>
            <w:tcW w:w="1129"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3.6793%</w:t>
            </w:r>
          </w:p>
        </w:tc>
        <w:tc>
          <w:tcPr>
            <w:tcW w:w="1130"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3.7181%</w:t>
            </w:r>
          </w:p>
        </w:tc>
        <w:tc>
          <w:tcPr>
            <w:tcW w:w="1130"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lang w:eastAsia="en-US"/>
              </w:rPr>
            </w:pPr>
            <w:r w:rsidRPr="00527E7D">
              <w:rPr>
                <w:rFonts w:ascii="Times New Roman" w:eastAsia="Calibri" w:hAnsi="Times New Roman"/>
                <w:lang w:eastAsia="en-US"/>
              </w:rPr>
              <w:t>3.7358%</w:t>
            </w:r>
          </w:p>
        </w:tc>
        <w:tc>
          <w:tcPr>
            <w:tcW w:w="1151"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bCs/>
                <w:color w:val="000000"/>
                <w:lang w:eastAsia="en-US"/>
              </w:rPr>
            </w:pPr>
            <w:r w:rsidRPr="00527E7D">
              <w:rPr>
                <w:rFonts w:ascii="Times New Roman" w:eastAsia="Calibri" w:hAnsi="Times New Roman"/>
                <w:b/>
                <w:bCs/>
                <w:color w:val="000000"/>
                <w:lang w:eastAsia="en-US"/>
              </w:rPr>
              <w:t>3.7378%</w:t>
            </w:r>
          </w:p>
        </w:tc>
        <w:tc>
          <w:tcPr>
            <w:tcW w:w="1151"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3.7358%</w:t>
            </w:r>
          </w:p>
        </w:tc>
        <w:tc>
          <w:tcPr>
            <w:tcW w:w="1225" w:type="dxa"/>
            <w:tcBorders>
              <w:top w:val="single" w:sz="4" w:space="0" w:color="auto"/>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1.5154%</w:t>
            </w: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Portfolio Mean</w:t>
            </w: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0.0105%</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0.0110%</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0.0115%</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0.0120%</w:t>
            </w: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0.0125%</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0.0130%</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0.0135%</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bCs/>
                <w:color w:val="000000"/>
                <w:lang w:eastAsia="en-US"/>
              </w:rPr>
            </w:pPr>
            <w:r w:rsidRPr="00527E7D">
              <w:rPr>
                <w:rFonts w:ascii="Times New Roman" w:eastAsia="Calibri" w:hAnsi="Times New Roman"/>
                <w:b/>
                <w:bCs/>
                <w:color w:val="000000"/>
                <w:lang w:eastAsia="en-US"/>
              </w:rPr>
              <w:t>0.0138%</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0.0140%</w:t>
            </w: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0.0352%</w:t>
            </w: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color w:val="000000"/>
                <w:lang w:eastAsia="en-US"/>
              </w:rPr>
            </w:pP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p>
        </w:tc>
      </w:tr>
      <w:tr w:rsidR="001133C2" w:rsidRPr="00527E7D" w:rsidTr="001133C2">
        <w:tc>
          <w:tcPr>
            <w:tcW w:w="3299" w:type="dxa"/>
            <w:tcBorders>
              <w:top w:val="nil"/>
              <w:left w:val="nil"/>
              <w:bottom w:val="nil"/>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r w:rsidRPr="00527E7D">
              <w:rPr>
                <w:rFonts w:ascii="Times New Roman" w:eastAsia="Calibri" w:hAnsi="Times New Roman"/>
                <w:lang w:eastAsia="en-US"/>
              </w:rPr>
              <w:t>Portfolio Standard Deviation</w:t>
            </w:r>
          </w:p>
        </w:tc>
        <w:tc>
          <w:tcPr>
            <w:tcW w:w="1189"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0.3220%</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0.3232%</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0.3267%</w:t>
            </w:r>
          </w:p>
        </w:tc>
        <w:tc>
          <w:tcPr>
            <w:tcW w:w="111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0.3324%</w:t>
            </w:r>
          </w:p>
        </w:tc>
        <w:tc>
          <w:tcPr>
            <w:tcW w:w="1129"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0.3403%</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0.3502%</w:t>
            </w:r>
          </w:p>
        </w:tc>
        <w:tc>
          <w:tcPr>
            <w:tcW w:w="1130"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0.3619%</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bCs/>
                <w:color w:val="000000"/>
                <w:lang w:eastAsia="en-US"/>
              </w:rPr>
            </w:pPr>
            <w:r w:rsidRPr="00527E7D">
              <w:rPr>
                <w:rFonts w:ascii="Times New Roman" w:eastAsia="Calibri" w:hAnsi="Times New Roman"/>
                <w:b/>
                <w:bCs/>
                <w:color w:val="000000"/>
                <w:lang w:eastAsia="en-US"/>
              </w:rPr>
              <w:t>0.3683%</w:t>
            </w:r>
          </w:p>
        </w:tc>
        <w:tc>
          <w:tcPr>
            <w:tcW w:w="1151" w:type="dxa"/>
            <w:tcBorders>
              <w:top w:val="nil"/>
              <w:left w:val="nil"/>
              <w:bottom w:val="nil"/>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lang w:eastAsia="en-US"/>
              </w:rPr>
            </w:pPr>
            <w:r w:rsidRPr="00527E7D">
              <w:rPr>
                <w:rFonts w:ascii="Times New Roman" w:eastAsia="Calibri" w:hAnsi="Times New Roman"/>
                <w:bCs/>
                <w:color w:val="000000"/>
                <w:lang w:eastAsia="en-US"/>
              </w:rPr>
              <w:t>0.3753%</w:t>
            </w:r>
          </w:p>
        </w:tc>
        <w:tc>
          <w:tcPr>
            <w:tcW w:w="1225" w:type="dxa"/>
            <w:tcBorders>
              <w:top w:val="nil"/>
              <w:left w:val="nil"/>
              <w:bottom w:val="nil"/>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lang w:eastAsia="en-US"/>
              </w:rPr>
            </w:pPr>
            <w:r w:rsidRPr="00527E7D">
              <w:rPr>
                <w:rFonts w:ascii="Times New Roman" w:eastAsia="Calibri" w:hAnsi="Times New Roman"/>
                <w:color w:val="000000"/>
                <w:lang w:eastAsia="en-US"/>
              </w:rPr>
              <w:t>2.3255%</w:t>
            </w:r>
          </w:p>
        </w:tc>
      </w:tr>
      <w:tr w:rsidR="001133C2" w:rsidRPr="00527E7D" w:rsidTr="001133C2">
        <w:tc>
          <w:tcPr>
            <w:tcW w:w="3299" w:type="dxa"/>
            <w:tcBorders>
              <w:top w:val="nil"/>
              <w:left w:val="nil"/>
              <w:bottom w:val="double" w:sz="4" w:space="0" w:color="auto"/>
              <w:right w:val="nil"/>
            </w:tcBorders>
            <w:shd w:val="clear" w:color="auto" w:fill="auto"/>
          </w:tcPr>
          <w:p w:rsidR="001133C2" w:rsidRPr="00527E7D" w:rsidRDefault="001133C2" w:rsidP="001133C2">
            <w:pPr>
              <w:spacing w:after="0" w:line="240" w:lineRule="auto"/>
              <w:jc w:val="both"/>
              <w:rPr>
                <w:rFonts w:ascii="Times New Roman" w:eastAsia="Calibri" w:hAnsi="Times New Roman"/>
                <w:lang w:eastAsia="en-US"/>
              </w:rPr>
            </w:pPr>
          </w:p>
        </w:tc>
        <w:tc>
          <w:tcPr>
            <w:tcW w:w="1189" w:type="dxa"/>
            <w:tcBorders>
              <w:top w:val="nil"/>
              <w:left w:val="nil"/>
              <w:bottom w:val="double" w:sz="4" w:space="0" w:color="auto"/>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sz w:val="24"/>
                <w:szCs w:val="24"/>
                <w:lang w:eastAsia="en-US"/>
              </w:rPr>
            </w:pPr>
          </w:p>
        </w:tc>
        <w:tc>
          <w:tcPr>
            <w:tcW w:w="1115" w:type="dxa"/>
            <w:tcBorders>
              <w:top w:val="nil"/>
              <w:left w:val="nil"/>
              <w:bottom w:val="double" w:sz="4" w:space="0" w:color="auto"/>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sz w:val="24"/>
                <w:szCs w:val="24"/>
                <w:lang w:eastAsia="en-US"/>
              </w:rPr>
            </w:pPr>
          </w:p>
        </w:tc>
        <w:tc>
          <w:tcPr>
            <w:tcW w:w="1115" w:type="dxa"/>
            <w:tcBorders>
              <w:top w:val="nil"/>
              <w:left w:val="nil"/>
              <w:bottom w:val="double" w:sz="4" w:space="0" w:color="auto"/>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sz w:val="24"/>
                <w:szCs w:val="24"/>
                <w:lang w:eastAsia="en-US"/>
              </w:rPr>
            </w:pPr>
          </w:p>
        </w:tc>
        <w:tc>
          <w:tcPr>
            <w:tcW w:w="1115" w:type="dxa"/>
            <w:tcBorders>
              <w:top w:val="nil"/>
              <w:left w:val="nil"/>
              <w:bottom w:val="double" w:sz="4" w:space="0" w:color="auto"/>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sz w:val="24"/>
                <w:szCs w:val="24"/>
                <w:lang w:eastAsia="en-US"/>
              </w:rPr>
            </w:pPr>
          </w:p>
        </w:tc>
        <w:tc>
          <w:tcPr>
            <w:tcW w:w="1129" w:type="dxa"/>
            <w:tcBorders>
              <w:top w:val="nil"/>
              <w:left w:val="nil"/>
              <w:bottom w:val="double" w:sz="4" w:space="0" w:color="auto"/>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sz w:val="24"/>
                <w:szCs w:val="24"/>
                <w:lang w:eastAsia="en-US"/>
              </w:rPr>
            </w:pPr>
          </w:p>
        </w:tc>
        <w:tc>
          <w:tcPr>
            <w:tcW w:w="1130" w:type="dxa"/>
            <w:tcBorders>
              <w:top w:val="nil"/>
              <w:left w:val="nil"/>
              <w:bottom w:val="double" w:sz="4" w:space="0" w:color="auto"/>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sz w:val="24"/>
                <w:szCs w:val="24"/>
                <w:lang w:eastAsia="en-US"/>
              </w:rPr>
            </w:pPr>
          </w:p>
        </w:tc>
        <w:tc>
          <w:tcPr>
            <w:tcW w:w="1130" w:type="dxa"/>
            <w:tcBorders>
              <w:top w:val="nil"/>
              <w:left w:val="nil"/>
              <w:bottom w:val="double" w:sz="4" w:space="0" w:color="auto"/>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sz w:val="24"/>
                <w:szCs w:val="24"/>
                <w:lang w:eastAsia="en-US"/>
              </w:rPr>
            </w:pPr>
          </w:p>
        </w:tc>
        <w:tc>
          <w:tcPr>
            <w:tcW w:w="1151" w:type="dxa"/>
            <w:tcBorders>
              <w:top w:val="nil"/>
              <w:left w:val="nil"/>
              <w:bottom w:val="double" w:sz="4" w:space="0" w:color="auto"/>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b/>
                <w:bCs/>
                <w:color w:val="000000"/>
                <w:sz w:val="24"/>
                <w:szCs w:val="24"/>
                <w:lang w:eastAsia="en-US"/>
              </w:rPr>
            </w:pPr>
          </w:p>
        </w:tc>
        <w:tc>
          <w:tcPr>
            <w:tcW w:w="1151" w:type="dxa"/>
            <w:tcBorders>
              <w:top w:val="nil"/>
              <w:left w:val="nil"/>
              <w:bottom w:val="double" w:sz="4" w:space="0" w:color="auto"/>
              <w:right w:val="nil"/>
            </w:tcBorders>
            <w:shd w:val="clear" w:color="auto" w:fill="auto"/>
            <w:vAlign w:val="bottom"/>
          </w:tcPr>
          <w:p w:rsidR="001133C2" w:rsidRPr="00527E7D" w:rsidRDefault="001133C2" w:rsidP="001133C2">
            <w:pPr>
              <w:spacing w:after="0" w:line="240" w:lineRule="auto"/>
              <w:jc w:val="center"/>
              <w:rPr>
                <w:rFonts w:ascii="Times New Roman" w:eastAsia="Calibri" w:hAnsi="Times New Roman"/>
                <w:bCs/>
                <w:color w:val="000000"/>
                <w:sz w:val="24"/>
                <w:szCs w:val="24"/>
                <w:lang w:eastAsia="en-US"/>
              </w:rPr>
            </w:pPr>
          </w:p>
        </w:tc>
        <w:tc>
          <w:tcPr>
            <w:tcW w:w="1225" w:type="dxa"/>
            <w:tcBorders>
              <w:top w:val="nil"/>
              <w:left w:val="nil"/>
              <w:bottom w:val="double" w:sz="4" w:space="0" w:color="auto"/>
              <w:right w:val="nil"/>
            </w:tcBorders>
            <w:shd w:val="clear" w:color="auto" w:fill="auto"/>
            <w:vAlign w:val="bottom"/>
          </w:tcPr>
          <w:p w:rsidR="001133C2" w:rsidRPr="00527E7D" w:rsidRDefault="001133C2" w:rsidP="001133C2">
            <w:pPr>
              <w:spacing w:after="0" w:line="240" w:lineRule="auto"/>
              <w:jc w:val="right"/>
              <w:rPr>
                <w:rFonts w:ascii="Times New Roman" w:eastAsia="Calibri" w:hAnsi="Times New Roman"/>
                <w:color w:val="000000"/>
                <w:sz w:val="24"/>
                <w:szCs w:val="24"/>
                <w:lang w:eastAsia="en-US"/>
              </w:rPr>
            </w:pPr>
          </w:p>
        </w:tc>
      </w:tr>
    </w:tbl>
    <w:p w:rsidR="00B95BAC" w:rsidRDefault="00B95BAC" w:rsidP="00B95BAC">
      <w:pPr>
        <w:spacing w:after="0" w:line="240" w:lineRule="auto"/>
        <w:jc w:val="both"/>
        <w:rPr>
          <w:rFonts w:ascii="Times New Roman" w:eastAsia="Calibri" w:hAnsi="Times New Roman"/>
          <w:color w:val="000000"/>
          <w:sz w:val="20"/>
          <w:szCs w:val="20"/>
          <w:lang w:eastAsia="en-US"/>
        </w:rPr>
      </w:pPr>
      <w:proofErr w:type="gramStart"/>
      <w:r w:rsidRPr="00527E7D">
        <w:rPr>
          <w:rFonts w:ascii="Times New Roman" w:eastAsia="Calibri" w:hAnsi="Times New Roman"/>
          <w:color w:val="000000"/>
          <w:sz w:val="20"/>
          <w:szCs w:val="20"/>
          <w:vertAlign w:val="superscript"/>
          <w:lang w:eastAsia="en-US"/>
        </w:rPr>
        <w:t>a</w:t>
      </w:r>
      <w:proofErr w:type="gramEnd"/>
      <w:r w:rsidRPr="00527E7D">
        <w:rPr>
          <w:rFonts w:ascii="Times New Roman" w:eastAsia="Calibri" w:hAnsi="Times New Roman"/>
          <w:color w:val="000000"/>
          <w:sz w:val="20"/>
          <w:szCs w:val="20"/>
          <w:vertAlign w:val="superscript"/>
          <w:lang w:eastAsia="en-US"/>
        </w:rPr>
        <w:t xml:space="preserve"> </w:t>
      </w:r>
      <w:r w:rsidRPr="00527E7D">
        <w:rPr>
          <w:rFonts w:ascii="Times New Roman" w:eastAsia="Calibri" w:hAnsi="Times New Roman"/>
          <w:color w:val="000000"/>
          <w:sz w:val="20"/>
          <w:szCs w:val="20"/>
          <w:lang w:eastAsia="en-US"/>
        </w:rPr>
        <w:t xml:space="preserve">Minimum variance </w:t>
      </w:r>
      <w:r>
        <w:rPr>
          <w:rFonts w:ascii="Times New Roman" w:eastAsia="Calibri" w:hAnsi="Times New Roman"/>
          <w:color w:val="000000"/>
          <w:sz w:val="20"/>
          <w:szCs w:val="20"/>
          <w:lang w:eastAsia="en-US"/>
        </w:rPr>
        <w:t>portfolio</w:t>
      </w:r>
    </w:p>
    <w:p w:rsidR="00021189" w:rsidRPr="00527E7D" w:rsidRDefault="00021189" w:rsidP="00021189">
      <w:pPr>
        <w:spacing w:after="0" w:line="240" w:lineRule="auto"/>
        <w:jc w:val="both"/>
        <w:rPr>
          <w:rFonts w:ascii="Times New Roman" w:eastAsia="Calibri" w:hAnsi="Times New Roman"/>
          <w:color w:val="000000"/>
          <w:sz w:val="20"/>
          <w:szCs w:val="20"/>
          <w:lang w:eastAsia="en-US"/>
        </w:rPr>
      </w:pPr>
      <w:proofErr w:type="gramStart"/>
      <w:r w:rsidRPr="00527E7D">
        <w:rPr>
          <w:rFonts w:ascii="Times New Roman" w:eastAsia="Calibri" w:hAnsi="Times New Roman"/>
          <w:color w:val="000000"/>
          <w:sz w:val="20"/>
          <w:szCs w:val="20"/>
          <w:vertAlign w:val="superscript"/>
          <w:lang w:eastAsia="en-US"/>
        </w:rPr>
        <w:t>b</w:t>
      </w:r>
      <w:proofErr w:type="gramEnd"/>
      <w:r w:rsidRPr="00527E7D">
        <w:rPr>
          <w:rFonts w:ascii="Times New Roman" w:eastAsia="Calibri" w:hAnsi="Times New Roman"/>
          <w:color w:val="000000"/>
          <w:sz w:val="20"/>
          <w:szCs w:val="20"/>
          <w:vertAlign w:val="superscript"/>
          <w:lang w:eastAsia="en-US"/>
        </w:rPr>
        <w:t xml:space="preserve"> </w:t>
      </w:r>
      <w:r w:rsidRPr="00527E7D">
        <w:rPr>
          <w:rFonts w:ascii="Times New Roman" w:eastAsia="Calibri" w:hAnsi="Times New Roman"/>
          <w:color w:val="000000"/>
          <w:sz w:val="20"/>
          <w:szCs w:val="20"/>
          <w:lang w:eastAsia="en-US"/>
        </w:rPr>
        <w:t xml:space="preserve">Optimal risky portfolio </w:t>
      </w:r>
    </w:p>
    <w:p w:rsidR="001133C2" w:rsidRDefault="001133C2" w:rsidP="001133C2">
      <w:pPr>
        <w:rPr>
          <w:rFonts w:ascii="Times New Roman" w:hAnsi="Times New Roman"/>
          <w:b/>
          <w:sz w:val="24"/>
          <w:szCs w:val="24"/>
        </w:rPr>
      </w:pPr>
    </w:p>
    <w:p w:rsidR="00D30D62" w:rsidRPr="00470E8F" w:rsidRDefault="00D30D62" w:rsidP="001133C2">
      <w:pPr>
        <w:jc w:val="center"/>
        <w:rPr>
          <w:rFonts w:ascii="Times New Roman" w:eastAsia="Calibri" w:hAnsi="Times New Roman" w:cs="Times New Roman"/>
          <w:sz w:val="24"/>
          <w:szCs w:val="24"/>
          <w:lang w:val="en-US" w:eastAsia="en-US"/>
        </w:rPr>
      </w:pPr>
    </w:p>
    <w:sectPr w:rsidR="00D30D62" w:rsidRPr="00470E8F" w:rsidSect="001133C2">
      <w:pgSz w:w="16838" w:h="11906" w:orient="landscape" w:code="9"/>
      <w:pgMar w:top="1440" w:right="907" w:bottom="1440"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C3B" w:rsidRDefault="009A0C3B" w:rsidP="006C6AF5">
      <w:pPr>
        <w:spacing w:after="0" w:line="240" w:lineRule="auto"/>
      </w:pPr>
      <w:r>
        <w:separator/>
      </w:r>
    </w:p>
  </w:endnote>
  <w:endnote w:type="continuationSeparator" w:id="0">
    <w:p w:rsidR="009A0C3B" w:rsidRDefault="009A0C3B" w:rsidP="006C6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MR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C3B" w:rsidRDefault="009A0C3B">
    <w:pPr>
      <w:pStyle w:val="Footer"/>
      <w:jc w:val="right"/>
    </w:pPr>
    <w:r>
      <w:fldChar w:fldCharType="begin"/>
    </w:r>
    <w:r>
      <w:instrText xml:space="preserve"> PAGE   \* MERGEFORMAT </w:instrText>
    </w:r>
    <w:r>
      <w:fldChar w:fldCharType="separate"/>
    </w:r>
    <w:r w:rsidR="00D60BA5">
      <w:rPr>
        <w:noProof/>
      </w:rPr>
      <w:t>12</w:t>
    </w:r>
    <w:r>
      <w:rPr>
        <w:noProof/>
      </w:rPr>
      <w:fldChar w:fldCharType="end"/>
    </w:r>
  </w:p>
  <w:p w:rsidR="009A0C3B" w:rsidRDefault="009A0C3B" w:rsidP="00371574">
    <w:pPr>
      <w:pStyle w:val="Footer"/>
      <w:tabs>
        <w:tab w:val="clear" w:pos="4513"/>
        <w:tab w:val="clear" w:pos="9026"/>
        <w:tab w:val="left" w:pos="147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C3B" w:rsidRDefault="009A0C3B" w:rsidP="006C6AF5">
      <w:pPr>
        <w:spacing w:after="0" w:line="240" w:lineRule="auto"/>
      </w:pPr>
      <w:r>
        <w:separator/>
      </w:r>
    </w:p>
  </w:footnote>
  <w:footnote w:type="continuationSeparator" w:id="0">
    <w:p w:rsidR="009A0C3B" w:rsidRDefault="009A0C3B" w:rsidP="006C6AF5">
      <w:pPr>
        <w:spacing w:after="0" w:line="240" w:lineRule="auto"/>
      </w:pPr>
      <w:r>
        <w:continuationSeparator/>
      </w:r>
    </w:p>
  </w:footnote>
  <w:footnote w:id="1">
    <w:p w:rsidR="009A0C3B" w:rsidRPr="00BE206F" w:rsidRDefault="009A0C3B" w:rsidP="00337CA6">
      <w:pPr>
        <w:pStyle w:val="FootnoteText"/>
        <w:rPr>
          <w:rFonts w:ascii="Times New Roman" w:hAnsi="Times New Roman"/>
        </w:rPr>
      </w:pPr>
      <w:r w:rsidRPr="00BE206F">
        <w:rPr>
          <w:rStyle w:val="FootnoteReference"/>
          <w:rFonts w:ascii="Times New Roman" w:hAnsi="Times New Roman"/>
        </w:rPr>
        <w:footnoteRef/>
      </w:r>
      <w:r w:rsidRPr="00BE206F">
        <w:rPr>
          <w:rFonts w:ascii="Times New Roman" w:hAnsi="Times New Roman"/>
        </w:rPr>
        <w:t xml:space="preserve"> </w:t>
      </w:r>
      <w:proofErr w:type="gramStart"/>
      <w:r w:rsidRPr="00BE206F">
        <w:rPr>
          <w:rFonts w:ascii="Times New Roman" w:hAnsi="Times New Roman"/>
        </w:rPr>
        <w:t>Corresponding author.</w:t>
      </w:r>
      <w:proofErr w:type="gramEnd"/>
    </w:p>
  </w:footnote>
  <w:footnote w:id="2">
    <w:p w:rsidR="009A0C3B" w:rsidRPr="00CB335B" w:rsidRDefault="009A0C3B" w:rsidP="00337CA6">
      <w:pPr>
        <w:pStyle w:val="FootnoteText"/>
        <w:jc w:val="both"/>
        <w:rPr>
          <w:rFonts w:ascii="Times New Roman" w:hAnsi="Times New Roman"/>
        </w:rPr>
      </w:pPr>
      <w:r w:rsidRPr="00CB335B">
        <w:rPr>
          <w:rStyle w:val="FootnoteReference"/>
          <w:rFonts w:ascii="Times New Roman" w:hAnsi="Times New Roman"/>
        </w:rPr>
        <w:footnoteRef/>
      </w:r>
      <w:r w:rsidRPr="00CB335B">
        <w:rPr>
          <w:rFonts w:ascii="Times New Roman" w:hAnsi="Times New Roman"/>
        </w:rPr>
        <w:t xml:space="preserve"> Smith (2009: 158) notes that the correlation between the West Texas Intermediate crude oil price and the nearest–dated futures price is 0.9999 when measured in levels</w:t>
      </w:r>
      <w:r>
        <w:rPr>
          <w:rFonts w:ascii="Times New Roman" w:hAnsi="Times New Roman"/>
        </w:rPr>
        <w:t>,</w:t>
      </w:r>
      <w:r w:rsidRPr="00CB335B">
        <w:rPr>
          <w:rFonts w:ascii="Times New Roman" w:hAnsi="Times New Roman"/>
        </w:rPr>
        <w:t xml:space="preserve"> and 0.9357 when measured in daily price changes. </w:t>
      </w:r>
    </w:p>
  </w:footnote>
  <w:footnote w:id="3">
    <w:p w:rsidR="009A0C3B" w:rsidRPr="00E85205" w:rsidRDefault="009A0C3B" w:rsidP="00337CA6">
      <w:pPr>
        <w:pStyle w:val="FootnoteText"/>
        <w:rPr>
          <w:rFonts w:ascii="Times New Roman" w:hAnsi="Times New Roman"/>
        </w:rPr>
      </w:pPr>
      <w:r w:rsidRPr="00E85205">
        <w:rPr>
          <w:rStyle w:val="FootnoteReference"/>
          <w:rFonts w:ascii="Times New Roman" w:hAnsi="Times New Roman"/>
        </w:rPr>
        <w:footnoteRef/>
      </w:r>
      <w:r w:rsidRPr="00E85205">
        <w:rPr>
          <w:rFonts w:ascii="Times New Roman" w:hAnsi="Times New Roman"/>
        </w:rPr>
        <w:t xml:space="preserve"> The data collection is available at http://www.cidcm.umd.edu/icb/.</w:t>
      </w:r>
    </w:p>
  </w:footnote>
  <w:footnote w:id="4">
    <w:p w:rsidR="009A0C3B" w:rsidRPr="00E85205" w:rsidRDefault="009A0C3B" w:rsidP="00337CA6">
      <w:pPr>
        <w:pStyle w:val="FootnoteText"/>
        <w:jc w:val="both"/>
        <w:rPr>
          <w:rFonts w:ascii="Times New Roman" w:hAnsi="Times New Roman"/>
        </w:rPr>
      </w:pPr>
      <w:r w:rsidRPr="00E85205">
        <w:rPr>
          <w:rStyle w:val="FootnoteReference"/>
          <w:rFonts w:ascii="Times New Roman" w:hAnsi="Times New Roman"/>
        </w:rPr>
        <w:footnoteRef/>
      </w:r>
      <w:r w:rsidRPr="00E85205">
        <w:rPr>
          <w:rFonts w:ascii="Times New Roman" w:hAnsi="Times New Roman"/>
        </w:rPr>
        <w:t xml:space="preserve"> The trigger reason scale is denoted in the ICB codebook as TRIGGR, while the trigger date is coded as SYSDATE. We used the actor-level data and in instances when the conflict erupted in several countries simultaneously we treated it as one event. </w:t>
      </w:r>
    </w:p>
  </w:footnote>
  <w:footnote w:id="5">
    <w:p w:rsidR="009A0C3B" w:rsidRPr="00CB335B" w:rsidRDefault="009A0C3B" w:rsidP="00337CA6">
      <w:pPr>
        <w:pStyle w:val="FootnoteText"/>
        <w:jc w:val="both"/>
        <w:rPr>
          <w:rFonts w:ascii="Times New Roman" w:hAnsi="Times New Roman"/>
        </w:rPr>
      </w:pPr>
      <w:r w:rsidRPr="00CB335B">
        <w:rPr>
          <w:rStyle w:val="FootnoteReference"/>
          <w:rFonts w:ascii="Times New Roman" w:hAnsi="Times New Roman"/>
        </w:rPr>
        <w:footnoteRef/>
      </w:r>
      <w:r w:rsidRPr="00CB335B">
        <w:rPr>
          <w:rFonts w:ascii="Times New Roman" w:hAnsi="Times New Roman"/>
        </w:rPr>
        <w:t xml:space="preserve"> Thus, for the models including the bond index the sample period is shortened. It covers 3</w:t>
      </w:r>
      <w:r>
        <w:rPr>
          <w:rFonts w:ascii="Times New Roman" w:hAnsi="Times New Roman"/>
        </w:rPr>
        <w:t>2</w:t>
      </w:r>
      <w:r w:rsidRPr="00CB335B">
        <w:rPr>
          <w:rFonts w:ascii="Times New Roman" w:hAnsi="Times New Roman"/>
        </w:rPr>
        <w:t xml:space="preserve"> instances of severe international conflicts, </w:t>
      </w:r>
      <w:r>
        <w:rPr>
          <w:rFonts w:ascii="Times New Roman" w:hAnsi="Times New Roman"/>
        </w:rPr>
        <w:t xml:space="preserve">of </w:t>
      </w:r>
      <w:r w:rsidRPr="00CB335B">
        <w:rPr>
          <w:rFonts w:ascii="Times New Roman" w:hAnsi="Times New Roman"/>
        </w:rPr>
        <w:t>which 21 are crises triggered by direct act</w:t>
      </w:r>
      <w:r>
        <w:rPr>
          <w:rFonts w:ascii="Times New Roman" w:hAnsi="Times New Roman"/>
        </w:rPr>
        <w:t>s</w:t>
      </w:r>
      <w:r w:rsidRPr="00CB335B">
        <w:rPr>
          <w:rFonts w:ascii="Times New Roman" w:hAnsi="Times New Roman"/>
        </w:rPr>
        <w:t xml:space="preserve"> of violence.</w:t>
      </w:r>
    </w:p>
  </w:footnote>
  <w:footnote w:id="6">
    <w:p w:rsidR="009A0C3B" w:rsidRPr="00CB335B" w:rsidRDefault="009A0C3B" w:rsidP="00337CA6">
      <w:pPr>
        <w:pStyle w:val="FootnoteText"/>
        <w:jc w:val="both"/>
        <w:rPr>
          <w:rFonts w:ascii="Times New Roman" w:hAnsi="Times New Roman"/>
        </w:rPr>
      </w:pPr>
      <w:r w:rsidRPr="00CB335B">
        <w:rPr>
          <w:rStyle w:val="FootnoteReference"/>
          <w:rFonts w:ascii="Times New Roman" w:hAnsi="Times New Roman"/>
        </w:rPr>
        <w:footnoteRef/>
      </w:r>
      <w:r w:rsidRPr="00CB335B">
        <w:rPr>
          <w:rFonts w:ascii="Times New Roman" w:hAnsi="Times New Roman"/>
        </w:rPr>
        <w:t xml:space="preserve"> The MSCI World Index aggregates stock market fluctuations in 24 developed countries and is free float-adjusted market capitalization weighted. The price movements in each of these individual markets are denominated in local currency, so the analysis focuses primarily on stock price movements, rather than the foreign exchange risk.</w:t>
      </w:r>
    </w:p>
  </w:footnote>
  <w:footnote w:id="7">
    <w:p w:rsidR="009A0C3B" w:rsidRPr="009E5F56" w:rsidRDefault="009A0C3B" w:rsidP="00337CA6">
      <w:pPr>
        <w:pStyle w:val="FootnoteText"/>
        <w:jc w:val="both"/>
        <w:rPr>
          <w:rFonts w:ascii="Times New Roman" w:hAnsi="Times New Roman"/>
        </w:rPr>
      </w:pPr>
      <w:r w:rsidRPr="009E5F56">
        <w:rPr>
          <w:rStyle w:val="FootnoteReference"/>
          <w:rFonts w:ascii="Times New Roman" w:hAnsi="Times New Roman"/>
        </w:rPr>
        <w:footnoteRef/>
      </w:r>
      <w:r w:rsidRPr="009E5F56">
        <w:rPr>
          <w:rFonts w:ascii="Times New Roman" w:hAnsi="Times New Roman"/>
        </w:rPr>
        <w:t xml:space="preserve"> Energy Information Administration:</w:t>
      </w:r>
      <w:r>
        <w:rPr>
          <w:rFonts w:ascii="Times New Roman" w:hAnsi="Times New Roman"/>
        </w:rPr>
        <w:t xml:space="preserve"> Petroleum Chronology of Events</w:t>
      </w:r>
      <w:r w:rsidRPr="009E5F56">
        <w:rPr>
          <w:rFonts w:ascii="Times New Roman" w:hAnsi="Times New Roman"/>
        </w:rPr>
        <w:t xml:space="preserve"> 1970-2000, available online at http://www.eia.gov</w:t>
      </w:r>
    </w:p>
  </w:footnote>
  <w:footnote w:id="8">
    <w:p w:rsidR="009A0C3B" w:rsidRPr="002E4F21" w:rsidRDefault="009A0C3B" w:rsidP="002D6D63">
      <w:pPr>
        <w:pStyle w:val="FootnoteText"/>
        <w:rPr>
          <w:rFonts w:ascii="Times New Roman" w:hAnsi="Times New Roman"/>
        </w:rPr>
      </w:pPr>
      <w:r w:rsidRPr="002E4F21">
        <w:rPr>
          <w:rStyle w:val="FootnoteReference"/>
          <w:rFonts w:ascii="Times New Roman" w:hAnsi="Times New Roman"/>
        </w:rPr>
        <w:footnoteRef/>
      </w:r>
      <w:r w:rsidRPr="002E4F21">
        <w:rPr>
          <w:rFonts w:ascii="Times New Roman" w:hAnsi="Times New Roman"/>
        </w:rPr>
        <w:t xml:space="preserve"> </w:t>
      </w:r>
      <w:r w:rsidRPr="002E4F21">
        <w:rPr>
          <w:rFonts w:ascii="Times New Roman" w:hAnsi="Times New Roman"/>
          <w:lang w:eastAsia="en-US"/>
        </w:rPr>
        <w:t xml:space="preserve">The detailed formula for the variance of </w:t>
      </w:r>
      <m:oMath>
        <m:d>
          <m:dPr>
            <m:ctrlPr>
              <w:rPr>
                <w:rFonts w:ascii="Cambria Math" w:hAnsi="Cambria Math"/>
                <w:i/>
                <w:lang w:eastAsia="en-US"/>
              </w:rPr>
            </m:ctrlPr>
          </m:dPr>
          <m:e>
            <m:sSub>
              <m:sSubPr>
                <m:ctrlPr>
                  <w:rPr>
                    <w:rFonts w:ascii="Cambria Math" w:hAnsi="Cambria Math"/>
                    <w:i/>
                    <w:lang w:eastAsia="en-US"/>
                  </w:rPr>
                </m:ctrlPr>
              </m:sSubPr>
              <m:e>
                <m:r>
                  <w:rPr>
                    <w:rFonts w:ascii="Cambria Math" w:hAnsi="Cambria Math"/>
                    <w:lang w:eastAsia="en-US"/>
                  </w:rPr>
                  <m:t>n</m:t>
                </m:r>
              </m:e>
              <m:sub>
                <m:r>
                  <w:rPr>
                    <w:rFonts w:ascii="Cambria Math" w:hAnsi="Cambria Math"/>
                    <w:lang w:eastAsia="en-US"/>
                  </w:rPr>
                  <m:t>c</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n</m:t>
                </m:r>
              </m:e>
              <m:sub>
                <m:r>
                  <w:rPr>
                    <w:rFonts w:ascii="Cambria Math" w:hAnsi="Cambria Math"/>
                    <w:lang w:eastAsia="en-US"/>
                  </w:rPr>
                  <m:t>d</m:t>
                </m:r>
              </m:sub>
            </m:sSub>
          </m:e>
        </m:d>
      </m:oMath>
      <w:r w:rsidRPr="002E4F21">
        <w:rPr>
          <w:rFonts w:ascii="Times New Roman" w:hAnsi="Times New Roman"/>
          <w:lang w:eastAsia="en-US"/>
        </w:rPr>
        <w:t>can be found in Kendall &amp; Gibbons (1990)</w:t>
      </w:r>
      <w:r>
        <w:rPr>
          <w:rFonts w:ascii="Times New Roman" w:hAnsi="Times New Roman"/>
          <w:lang w:eastAsia="en-US"/>
        </w:rPr>
        <w:t>.</w:t>
      </w:r>
    </w:p>
  </w:footnote>
  <w:footnote w:id="9">
    <w:p w:rsidR="009A0C3B" w:rsidRDefault="009A0C3B">
      <w:pPr>
        <w:pStyle w:val="FootnoteText"/>
      </w:pPr>
      <w:r>
        <w:rPr>
          <w:rStyle w:val="FootnoteReference"/>
        </w:rPr>
        <w:footnoteRef/>
      </w:r>
      <w:r>
        <w:t xml:space="preserve"> We would like to thank the referee for pointing this problem out.</w:t>
      </w:r>
    </w:p>
  </w:footnote>
  <w:footnote w:id="10">
    <w:p w:rsidR="009A0C3B" w:rsidRPr="00BD6AA0" w:rsidRDefault="009A0C3B" w:rsidP="002D6D63">
      <w:pPr>
        <w:pStyle w:val="FootnoteText"/>
        <w:rPr>
          <w:rFonts w:ascii="Times New Roman" w:hAnsi="Times New Roman"/>
        </w:rPr>
      </w:pPr>
      <w:r w:rsidRPr="00BD6AA0">
        <w:rPr>
          <w:rStyle w:val="FootnoteReference"/>
          <w:rFonts w:ascii="Times New Roman" w:hAnsi="Times New Roman"/>
        </w:rPr>
        <w:footnoteRef/>
      </w:r>
      <w:r w:rsidRPr="00BD6AA0">
        <w:rPr>
          <w:rFonts w:ascii="Times New Roman" w:hAnsi="Times New Roman"/>
        </w:rPr>
        <w:t xml:space="preserve"> Detailed results can be obtained from authors upon request. </w:t>
      </w:r>
    </w:p>
  </w:footnote>
  <w:footnote w:id="11">
    <w:p w:rsidR="009A0C3B" w:rsidRPr="00164337" w:rsidRDefault="009A0C3B" w:rsidP="002D6D63">
      <w:pPr>
        <w:pStyle w:val="FootnoteText"/>
        <w:rPr>
          <w:rFonts w:ascii="Times New Roman" w:hAnsi="Times New Roman"/>
        </w:rPr>
      </w:pPr>
      <w:r w:rsidRPr="005C6703">
        <w:rPr>
          <w:rStyle w:val="FootnoteReference"/>
          <w:rFonts w:ascii="Times New Roman" w:hAnsi="Times New Roman"/>
        </w:rPr>
        <w:footnoteRef/>
      </w:r>
      <w:r w:rsidRPr="005C6703">
        <w:rPr>
          <w:rFonts w:ascii="Times New Roman" w:hAnsi="Times New Roman"/>
        </w:rPr>
        <w:t xml:space="preserve"> </w:t>
      </w:r>
      <w:proofErr w:type="spellStart"/>
      <w:r w:rsidRPr="005C6703">
        <w:rPr>
          <w:rFonts w:ascii="Times New Roman" w:hAnsi="Times New Roman"/>
        </w:rPr>
        <w:t>Driesprong</w:t>
      </w:r>
      <w:proofErr w:type="spellEnd"/>
      <w:r w:rsidRPr="005C6703">
        <w:rPr>
          <w:rFonts w:ascii="Times New Roman" w:hAnsi="Times New Roman"/>
        </w:rPr>
        <w:t xml:space="preserve"> </w:t>
      </w:r>
      <w:r w:rsidRPr="005C6703">
        <w:rPr>
          <w:rFonts w:ascii="Times New Roman" w:hAnsi="Times New Roman"/>
          <w:i/>
        </w:rPr>
        <w:t>et al.</w:t>
      </w:r>
      <w:r w:rsidRPr="005C6703">
        <w:rPr>
          <w:rFonts w:ascii="Times New Roman" w:hAnsi="Times New Roman"/>
        </w:rPr>
        <w:t>, (2008)</w:t>
      </w:r>
      <w:r w:rsidRPr="005C6703">
        <w:rPr>
          <w:rFonts w:ascii="Times New Roman" w:hAnsi="Times New Roman"/>
          <w:sz w:val="24"/>
          <w:szCs w:val="24"/>
          <w:lang w:val="en-US"/>
        </w:rPr>
        <w:t xml:space="preserve"> </w:t>
      </w:r>
      <w:r w:rsidRPr="005C6703">
        <w:rPr>
          <w:rFonts w:ascii="Times New Roman" w:hAnsi="Times New Roman"/>
          <w:lang w:val="en-US"/>
        </w:rPr>
        <w:t>arrive at similar conclusion when examining the effect of an oil price shock on both stock markets of oil-importing countries and the MSCI world equity index.</w:t>
      </w:r>
      <w:r w:rsidRPr="005C6703">
        <w:rPr>
          <w:rFonts w:ascii="Times New Roman" w:hAnsi="Times New Roman"/>
        </w:rPr>
        <w:t xml:space="preserve"> For the effect of oil price shocks on the </w:t>
      </w:r>
      <w:proofErr w:type="spellStart"/>
      <w:r w:rsidRPr="005C6703">
        <w:rPr>
          <w:rFonts w:ascii="Times New Roman" w:hAnsi="Times New Roman"/>
        </w:rPr>
        <w:t>behavior</w:t>
      </w:r>
      <w:proofErr w:type="spellEnd"/>
      <w:r w:rsidRPr="005C6703">
        <w:rPr>
          <w:rFonts w:ascii="Times New Roman" w:hAnsi="Times New Roman"/>
        </w:rPr>
        <w:t xml:space="preserve"> of the US dollar real exchange rate please see Amano and van </w:t>
      </w:r>
      <w:proofErr w:type="spellStart"/>
      <w:r w:rsidRPr="005C6703">
        <w:rPr>
          <w:rFonts w:ascii="Times New Roman" w:hAnsi="Times New Roman"/>
        </w:rPr>
        <w:t>Norden</w:t>
      </w:r>
      <w:proofErr w:type="spellEnd"/>
      <w:r w:rsidRPr="005C6703">
        <w:rPr>
          <w:rFonts w:ascii="Times New Roman" w:hAnsi="Times New Roman"/>
        </w:rPr>
        <w:t xml:space="preserve"> (1998).</w:t>
      </w:r>
      <w:r>
        <w:rPr>
          <w:rFonts w:ascii="Times New Roman" w:hAnsi="Times New Roman"/>
        </w:rPr>
        <w:t xml:space="preserve">  </w:t>
      </w:r>
    </w:p>
  </w:footnote>
  <w:footnote w:id="12">
    <w:p w:rsidR="005B450F" w:rsidRPr="005B450F" w:rsidRDefault="005B450F">
      <w:pPr>
        <w:pStyle w:val="FootnoteText"/>
        <w:rPr>
          <w:rFonts w:ascii="Times New Roman" w:hAnsi="Times New Roman"/>
        </w:rPr>
      </w:pPr>
      <w:r w:rsidRPr="005B450F">
        <w:rPr>
          <w:rStyle w:val="FootnoteReference"/>
          <w:rFonts w:ascii="Times New Roman" w:hAnsi="Times New Roman"/>
        </w:rPr>
        <w:footnoteRef/>
      </w:r>
      <w:r w:rsidRPr="005B450F">
        <w:rPr>
          <w:rFonts w:ascii="Times New Roman" w:hAnsi="Times New Roman"/>
        </w:rPr>
        <w:t xml:space="preserve"> In order to conserve space</w:t>
      </w:r>
      <w:r>
        <w:rPr>
          <w:rFonts w:ascii="Times New Roman" w:hAnsi="Times New Roman"/>
        </w:rPr>
        <w:t xml:space="preserve">, the results in this section are summarized. More detailed tables are available from the authors upon request. </w:t>
      </w:r>
    </w:p>
  </w:footnote>
  <w:footnote w:id="13">
    <w:p w:rsidR="009A0C3B" w:rsidRPr="00C21705" w:rsidRDefault="009A0C3B" w:rsidP="00D30D62">
      <w:pPr>
        <w:pStyle w:val="FootnoteText"/>
      </w:pPr>
      <w:r>
        <w:rPr>
          <w:rStyle w:val="FootnoteReference"/>
        </w:rPr>
        <w:footnoteRef/>
      </w:r>
      <w:r>
        <w:t xml:space="preserve"> </w:t>
      </w:r>
      <w:r w:rsidRPr="0066554B">
        <w:rPr>
          <w:rFonts w:ascii="Times New Roman" w:hAnsi="Times New Roman"/>
        </w:rPr>
        <w:t xml:space="preserve">Regrettably, the unemployment time series </w:t>
      </w:r>
      <w:r w:rsidR="00C67550">
        <w:rPr>
          <w:rFonts w:ascii="Times New Roman" w:hAnsi="Times New Roman"/>
        </w:rPr>
        <w:t xml:space="preserve">only </w:t>
      </w:r>
      <w:r w:rsidRPr="0066554B">
        <w:rPr>
          <w:rFonts w:ascii="Times New Roman" w:hAnsi="Times New Roman"/>
        </w:rPr>
        <w:t>starts in 1991, which limited the number of observations in the models utilizing this variable.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E8C"/>
    <w:multiLevelType w:val="hybridMultilevel"/>
    <w:tmpl w:val="31BEC1C8"/>
    <w:lvl w:ilvl="0" w:tplc="03FADCF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711E5A"/>
    <w:multiLevelType w:val="hybridMultilevel"/>
    <w:tmpl w:val="1988F758"/>
    <w:lvl w:ilvl="0" w:tplc="A9EA1FE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E5604DE"/>
    <w:multiLevelType w:val="hybridMultilevel"/>
    <w:tmpl w:val="CE08BCC8"/>
    <w:lvl w:ilvl="0" w:tplc="4724A558">
      <w:numFmt w:val="bullet"/>
      <w:lvlText w:val=""/>
      <w:lvlJc w:val="left"/>
      <w:pPr>
        <w:ind w:left="1494" w:hanging="360"/>
      </w:pPr>
      <w:rPr>
        <w:rFonts w:ascii="Symbol" w:eastAsiaTheme="minorEastAsia" w:hAnsi="Symbol" w:cs="Times New Roman" w:hint="default"/>
        <w:b w:val="0"/>
        <w:sz w:val="20"/>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
    <w:nsid w:val="34112CC7"/>
    <w:multiLevelType w:val="hybridMultilevel"/>
    <w:tmpl w:val="C7D01490"/>
    <w:lvl w:ilvl="0" w:tplc="889894E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81F4C31"/>
    <w:multiLevelType w:val="hybridMultilevel"/>
    <w:tmpl w:val="45263408"/>
    <w:lvl w:ilvl="0" w:tplc="51104A2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0634E36"/>
    <w:multiLevelType w:val="hybridMultilevel"/>
    <w:tmpl w:val="DDBAD3AE"/>
    <w:lvl w:ilvl="0" w:tplc="14B8515E">
      <w:numFmt w:val="bullet"/>
      <w:lvlText w:val=""/>
      <w:lvlJc w:val="left"/>
      <w:pPr>
        <w:ind w:left="1494" w:hanging="360"/>
      </w:pPr>
      <w:rPr>
        <w:rFonts w:ascii="Symbol" w:eastAsiaTheme="minorEastAsia"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6">
    <w:nsid w:val="5A037045"/>
    <w:multiLevelType w:val="hybridMultilevel"/>
    <w:tmpl w:val="18443D18"/>
    <w:lvl w:ilvl="0" w:tplc="C1823E0E">
      <w:numFmt w:val="bullet"/>
      <w:lvlText w:val=""/>
      <w:lvlJc w:val="left"/>
      <w:pPr>
        <w:ind w:left="1494" w:hanging="360"/>
      </w:pPr>
      <w:rPr>
        <w:rFonts w:ascii="Symbol" w:eastAsiaTheme="minorEastAsia"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7">
    <w:nsid w:val="5F9F2291"/>
    <w:multiLevelType w:val="hybridMultilevel"/>
    <w:tmpl w:val="C58413FA"/>
    <w:lvl w:ilvl="0" w:tplc="41BAED8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51B7783"/>
    <w:multiLevelType w:val="hybridMultilevel"/>
    <w:tmpl w:val="9E00E9AA"/>
    <w:lvl w:ilvl="0" w:tplc="D79AAB7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6"/>
  </w:num>
  <w:num w:numId="5">
    <w:abstractNumId w:val="4"/>
  </w:num>
  <w:num w:numId="6">
    <w:abstractNumId w:val="1"/>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44F"/>
    <w:rsid w:val="00002124"/>
    <w:rsid w:val="00005A7B"/>
    <w:rsid w:val="00006BA8"/>
    <w:rsid w:val="00007C11"/>
    <w:rsid w:val="00007D55"/>
    <w:rsid w:val="00010681"/>
    <w:rsid w:val="00011E33"/>
    <w:rsid w:val="000122A9"/>
    <w:rsid w:val="00012FF4"/>
    <w:rsid w:val="00014427"/>
    <w:rsid w:val="000179EA"/>
    <w:rsid w:val="000202B2"/>
    <w:rsid w:val="00021189"/>
    <w:rsid w:val="000218AA"/>
    <w:rsid w:val="0002544F"/>
    <w:rsid w:val="00026E9A"/>
    <w:rsid w:val="0003003C"/>
    <w:rsid w:val="00030A9C"/>
    <w:rsid w:val="00033577"/>
    <w:rsid w:val="00033E63"/>
    <w:rsid w:val="00034107"/>
    <w:rsid w:val="0003746D"/>
    <w:rsid w:val="00045467"/>
    <w:rsid w:val="000464C8"/>
    <w:rsid w:val="000465B1"/>
    <w:rsid w:val="000524AA"/>
    <w:rsid w:val="0006482E"/>
    <w:rsid w:val="0006664A"/>
    <w:rsid w:val="00072FE5"/>
    <w:rsid w:val="000920FD"/>
    <w:rsid w:val="0009216F"/>
    <w:rsid w:val="00094F34"/>
    <w:rsid w:val="000978ED"/>
    <w:rsid w:val="00097D19"/>
    <w:rsid w:val="000A1907"/>
    <w:rsid w:val="000A2D3D"/>
    <w:rsid w:val="000A34C9"/>
    <w:rsid w:val="000A3748"/>
    <w:rsid w:val="000A403A"/>
    <w:rsid w:val="000A46F9"/>
    <w:rsid w:val="000A4C2B"/>
    <w:rsid w:val="000A5142"/>
    <w:rsid w:val="000B0C84"/>
    <w:rsid w:val="000B4A80"/>
    <w:rsid w:val="000B6D17"/>
    <w:rsid w:val="000B74F1"/>
    <w:rsid w:val="000B7BC2"/>
    <w:rsid w:val="000C04A3"/>
    <w:rsid w:val="000C135C"/>
    <w:rsid w:val="000C4214"/>
    <w:rsid w:val="000C4F13"/>
    <w:rsid w:val="000D068F"/>
    <w:rsid w:val="000D509B"/>
    <w:rsid w:val="000D52A5"/>
    <w:rsid w:val="000D5AFD"/>
    <w:rsid w:val="000D6116"/>
    <w:rsid w:val="000D6531"/>
    <w:rsid w:val="000E28FC"/>
    <w:rsid w:val="000F23E2"/>
    <w:rsid w:val="000F2451"/>
    <w:rsid w:val="000F32D7"/>
    <w:rsid w:val="000F3B1A"/>
    <w:rsid w:val="000F439E"/>
    <w:rsid w:val="000F480F"/>
    <w:rsid w:val="000F4C42"/>
    <w:rsid w:val="000F504A"/>
    <w:rsid w:val="000F6C08"/>
    <w:rsid w:val="000F6D0B"/>
    <w:rsid w:val="001027BE"/>
    <w:rsid w:val="0010294C"/>
    <w:rsid w:val="00103DDB"/>
    <w:rsid w:val="00104039"/>
    <w:rsid w:val="001043C7"/>
    <w:rsid w:val="0010768F"/>
    <w:rsid w:val="001078A6"/>
    <w:rsid w:val="001116A9"/>
    <w:rsid w:val="00111E65"/>
    <w:rsid w:val="001133C2"/>
    <w:rsid w:val="00114DA2"/>
    <w:rsid w:val="001151E1"/>
    <w:rsid w:val="00123861"/>
    <w:rsid w:val="00124927"/>
    <w:rsid w:val="00125CF9"/>
    <w:rsid w:val="00126343"/>
    <w:rsid w:val="00127DB2"/>
    <w:rsid w:val="00133BFF"/>
    <w:rsid w:val="001353D2"/>
    <w:rsid w:val="00136590"/>
    <w:rsid w:val="001437B1"/>
    <w:rsid w:val="0014530A"/>
    <w:rsid w:val="00146DCB"/>
    <w:rsid w:val="001472EA"/>
    <w:rsid w:val="00147475"/>
    <w:rsid w:val="00152640"/>
    <w:rsid w:val="001531FB"/>
    <w:rsid w:val="00156426"/>
    <w:rsid w:val="00156E8C"/>
    <w:rsid w:val="00160D96"/>
    <w:rsid w:val="00162637"/>
    <w:rsid w:val="00163E32"/>
    <w:rsid w:val="00164337"/>
    <w:rsid w:val="00166BBF"/>
    <w:rsid w:val="00172FE1"/>
    <w:rsid w:val="00173579"/>
    <w:rsid w:val="00175FE1"/>
    <w:rsid w:val="0018231A"/>
    <w:rsid w:val="0018440F"/>
    <w:rsid w:val="00184B37"/>
    <w:rsid w:val="00186A57"/>
    <w:rsid w:val="00191CCD"/>
    <w:rsid w:val="001937C4"/>
    <w:rsid w:val="00194989"/>
    <w:rsid w:val="00194FDA"/>
    <w:rsid w:val="00195203"/>
    <w:rsid w:val="001968B1"/>
    <w:rsid w:val="00197185"/>
    <w:rsid w:val="0019774C"/>
    <w:rsid w:val="001A2999"/>
    <w:rsid w:val="001A4587"/>
    <w:rsid w:val="001A4959"/>
    <w:rsid w:val="001A4AF1"/>
    <w:rsid w:val="001A7DC3"/>
    <w:rsid w:val="001B0670"/>
    <w:rsid w:val="001B2B07"/>
    <w:rsid w:val="001C0D36"/>
    <w:rsid w:val="001C2260"/>
    <w:rsid w:val="001C4C33"/>
    <w:rsid w:val="001C4F61"/>
    <w:rsid w:val="001D022C"/>
    <w:rsid w:val="001D0412"/>
    <w:rsid w:val="001D1954"/>
    <w:rsid w:val="001D2970"/>
    <w:rsid w:val="001D4CCC"/>
    <w:rsid w:val="001D53C1"/>
    <w:rsid w:val="001F0350"/>
    <w:rsid w:val="001F09DC"/>
    <w:rsid w:val="001F5575"/>
    <w:rsid w:val="001F5B61"/>
    <w:rsid w:val="001F708E"/>
    <w:rsid w:val="001F7EFA"/>
    <w:rsid w:val="00203BF9"/>
    <w:rsid w:val="00205335"/>
    <w:rsid w:val="002054CA"/>
    <w:rsid w:val="00205C11"/>
    <w:rsid w:val="002063C0"/>
    <w:rsid w:val="00210457"/>
    <w:rsid w:val="00212298"/>
    <w:rsid w:val="002136DF"/>
    <w:rsid w:val="00214693"/>
    <w:rsid w:val="002157E5"/>
    <w:rsid w:val="00215B58"/>
    <w:rsid w:val="002172BC"/>
    <w:rsid w:val="00220A55"/>
    <w:rsid w:val="00221B31"/>
    <w:rsid w:val="002224F3"/>
    <w:rsid w:val="00222BCB"/>
    <w:rsid w:val="00222C86"/>
    <w:rsid w:val="00223234"/>
    <w:rsid w:val="002241DA"/>
    <w:rsid w:val="002247AA"/>
    <w:rsid w:val="002249DE"/>
    <w:rsid w:val="00224E76"/>
    <w:rsid w:val="00227AC5"/>
    <w:rsid w:val="00232160"/>
    <w:rsid w:val="002342A3"/>
    <w:rsid w:val="00240040"/>
    <w:rsid w:val="00241C3C"/>
    <w:rsid w:val="00244B3A"/>
    <w:rsid w:val="00246875"/>
    <w:rsid w:val="00247D7A"/>
    <w:rsid w:val="0025016B"/>
    <w:rsid w:val="00250271"/>
    <w:rsid w:val="00254512"/>
    <w:rsid w:val="00255202"/>
    <w:rsid w:val="00262848"/>
    <w:rsid w:val="0026453D"/>
    <w:rsid w:val="00265F91"/>
    <w:rsid w:val="00270345"/>
    <w:rsid w:val="00271A5E"/>
    <w:rsid w:val="0027413A"/>
    <w:rsid w:val="00275031"/>
    <w:rsid w:val="00275287"/>
    <w:rsid w:val="002817D8"/>
    <w:rsid w:val="00286428"/>
    <w:rsid w:val="0028778D"/>
    <w:rsid w:val="002920B9"/>
    <w:rsid w:val="00295B86"/>
    <w:rsid w:val="00297A45"/>
    <w:rsid w:val="002A24D2"/>
    <w:rsid w:val="002A3225"/>
    <w:rsid w:val="002A51DD"/>
    <w:rsid w:val="002A5901"/>
    <w:rsid w:val="002A66F5"/>
    <w:rsid w:val="002B03EA"/>
    <w:rsid w:val="002B18C0"/>
    <w:rsid w:val="002B211B"/>
    <w:rsid w:val="002B4B67"/>
    <w:rsid w:val="002B4BF5"/>
    <w:rsid w:val="002B65A4"/>
    <w:rsid w:val="002B6D51"/>
    <w:rsid w:val="002C12E9"/>
    <w:rsid w:val="002C1AAE"/>
    <w:rsid w:val="002C3B26"/>
    <w:rsid w:val="002C76B0"/>
    <w:rsid w:val="002C7AD9"/>
    <w:rsid w:val="002C7C1E"/>
    <w:rsid w:val="002D5900"/>
    <w:rsid w:val="002D6D63"/>
    <w:rsid w:val="002E078D"/>
    <w:rsid w:val="002E12D3"/>
    <w:rsid w:val="002E399F"/>
    <w:rsid w:val="002E4033"/>
    <w:rsid w:val="002E437A"/>
    <w:rsid w:val="002E4F21"/>
    <w:rsid w:val="002E5DD0"/>
    <w:rsid w:val="002F079B"/>
    <w:rsid w:val="002F178C"/>
    <w:rsid w:val="002F1F36"/>
    <w:rsid w:val="002F67C3"/>
    <w:rsid w:val="00301E06"/>
    <w:rsid w:val="003029DD"/>
    <w:rsid w:val="00303AB7"/>
    <w:rsid w:val="00305741"/>
    <w:rsid w:val="003058D7"/>
    <w:rsid w:val="00315452"/>
    <w:rsid w:val="00315DF2"/>
    <w:rsid w:val="00315F41"/>
    <w:rsid w:val="00321398"/>
    <w:rsid w:val="003222E6"/>
    <w:rsid w:val="003239BE"/>
    <w:rsid w:val="00325335"/>
    <w:rsid w:val="00325EDA"/>
    <w:rsid w:val="0033159D"/>
    <w:rsid w:val="00331C77"/>
    <w:rsid w:val="00332290"/>
    <w:rsid w:val="0033573F"/>
    <w:rsid w:val="00337CA6"/>
    <w:rsid w:val="003456F3"/>
    <w:rsid w:val="00345793"/>
    <w:rsid w:val="003461CA"/>
    <w:rsid w:val="00346C6E"/>
    <w:rsid w:val="00346FE4"/>
    <w:rsid w:val="00352DE4"/>
    <w:rsid w:val="00355129"/>
    <w:rsid w:val="0035659D"/>
    <w:rsid w:val="00356EF5"/>
    <w:rsid w:val="00357DD4"/>
    <w:rsid w:val="0036154B"/>
    <w:rsid w:val="0036259A"/>
    <w:rsid w:val="00364655"/>
    <w:rsid w:val="003652C7"/>
    <w:rsid w:val="00366728"/>
    <w:rsid w:val="003678E7"/>
    <w:rsid w:val="00370AB9"/>
    <w:rsid w:val="00371574"/>
    <w:rsid w:val="00373618"/>
    <w:rsid w:val="003745CA"/>
    <w:rsid w:val="0037685A"/>
    <w:rsid w:val="00377317"/>
    <w:rsid w:val="00382BFD"/>
    <w:rsid w:val="0038331F"/>
    <w:rsid w:val="00385C63"/>
    <w:rsid w:val="003876E8"/>
    <w:rsid w:val="00387F1D"/>
    <w:rsid w:val="00395EB8"/>
    <w:rsid w:val="003A1CA8"/>
    <w:rsid w:val="003A3D43"/>
    <w:rsid w:val="003A48F1"/>
    <w:rsid w:val="003A7589"/>
    <w:rsid w:val="003B1CA1"/>
    <w:rsid w:val="003B2C30"/>
    <w:rsid w:val="003B4F40"/>
    <w:rsid w:val="003C1ABA"/>
    <w:rsid w:val="003C27C4"/>
    <w:rsid w:val="003C3C12"/>
    <w:rsid w:val="003C4B82"/>
    <w:rsid w:val="003C5DA3"/>
    <w:rsid w:val="003D70D6"/>
    <w:rsid w:val="003D757B"/>
    <w:rsid w:val="003E09C3"/>
    <w:rsid w:val="003E0A70"/>
    <w:rsid w:val="003E2730"/>
    <w:rsid w:val="003E447C"/>
    <w:rsid w:val="003E5002"/>
    <w:rsid w:val="003E5B86"/>
    <w:rsid w:val="003E5EF4"/>
    <w:rsid w:val="003E7D58"/>
    <w:rsid w:val="003F07A7"/>
    <w:rsid w:val="003F1592"/>
    <w:rsid w:val="003F1DFF"/>
    <w:rsid w:val="003F5B88"/>
    <w:rsid w:val="003F600C"/>
    <w:rsid w:val="003F7EAD"/>
    <w:rsid w:val="0040016A"/>
    <w:rsid w:val="0040053B"/>
    <w:rsid w:val="00400CB4"/>
    <w:rsid w:val="00401001"/>
    <w:rsid w:val="00401B69"/>
    <w:rsid w:val="0040253B"/>
    <w:rsid w:val="00403CEE"/>
    <w:rsid w:val="004050AC"/>
    <w:rsid w:val="004053FD"/>
    <w:rsid w:val="00405C41"/>
    <w:rsid w:val="00410091"/>
    <w:rsid w:val="004102F4"/>
    <w:rsid w:val="0041050E"/>
    <w:rsid w:val="00415996"/>
    <w:rsid w:val="0042112C"/>
    <w:rsid w:val="00424383"/>
    <w:rsid w:val="00424DAC"/>
    <w:rsid w:val="00425D7F"/>
    <w:rsid w:val="00431B0D"/>
    <w:rsid w:val="00432417"/>
    <w:rsid w:val="004355F1"/>
    <w:rsid w:val="00436E11"/>
    <w:rsid w:val="004411F0"/>
    <w:rsid w:val="004432E6"/>
    <w:rsid w:val="00444171"/>
    <w:rsid w:val="00446991"/>
    <w:rsid w:val="0044741F"/>
    <w:rsid w:val="00447EE7"/>
    <w:rsid w:val="00450FEE"/>
    <w:rsid w:val="004533EC"/>
    <w:rsid w:val="004542A2"/>
    <w:rsid w:val="0045458D"/>
    <w:rsid w:val="004562C4"/>
    <w:rsid w:val="00456658"/>
    <w:rsid w:val="00461A46"/>
    <w:rsid w:val="00470E8F"/>
    <w:rsid w:val="0047124A"/>
    <w:rsid w:val="004713D8"/>
    <w:rsid w:val="004720E5"/>
    <w:rsid w:val="004743F6"/>
    <w:rsid w:val="00476A2C"/>
    <w:rsid w:val="00476A81"/>
    <w:rsid w:val="00477A6F"/>
    <w:rsid w:val="00481754"/>
    <w:rsid w:val="00482E3E"/>
    <w:rsid w:val="004836ED"/>
    <w:rsid w:val="0048376D"/>
    <w:rsid w:val="00486EAA"/>
    <w:rsid w:val="0048707C"/>
    <w:rsid w:val="0048762B"/>
    <w:rsid w:val="0049352A"/>
    <w:rsid w:val="00493FB0"/>
    <w:rsid w:val="004972E3"/>
    <w:rsid w:val="004A010B"/>
    <w:rsid w:val="004A0D56"/>
    <w:rsid w:val="004A1FA3"/>
    <w:rsid w:val="004A47F8"/>
    <w:rsid w:val="004A51A3"/>
    <w:rsid w:val="004A6757"/>
    <w:rsid w:val="004A7DF1"/>
    <w:rsid w:val="004C0074"/>
    <w:rsid w:val="004C0C72"/>
    <w:rsid w:val="004C4787"/>
    <w:rsid w:val="004C50A1"/>
    <w:rsid w:val="004C5B60"/>
    <w:rsid w:val="004D0458"/>
    <w:rsid w:val="004D3567"/>
    <w:rsid w:val="004D4622"/>
    <w:rsid w:val="004D4A5F"/>
    <w:rsid w:val="004E25A2"/>
    <w:rsid w:val="004E2660"/>
    <w:rsid w:val="004E3F73"/>
    <w:rsid w:val="004E6A2D"/>
    <w:rsid w:val="004E6CD9"/>
    <w:rsid w:val="004F098F"/>
    <w:rsid w:val="004F283C"/>
    <w:rsid w:val="004F4418"/>
    <w:rsid w:val="004F5957"/>
    <w:rsid w:val="004F65C0"/>
    <w:rsid w:val="005041A2"/>
    <w:rsid w:val="00504A94"/>
    <w:rsid w:val="0050650E"/>
    <w:rsid w:val="00512815"/>
    <w:rsid w:val="005129E4"/>
    <w:rsid w:val="00513813"/>
    <w:rsid w:val="005265E8"/>
    <w:rsid w:val="00527C0F"/>
    <w:rsid w:val="00530714"/>
    <w:rsid w:val="0053136A"/>
    <w:rsid w:val="00536F75"/>
    <w:rsid w:val="00541706"/>
    <w:rsid w:val="0054346E"/>
    <w:rsid w:val="00543EDC"/>
    <w:rsid w:val="00545B3D"/>
    <w:rsid w:val="00546190"/>
    <w:rsid w:val="00546BCC"/>
    <w:rsid w:val="00552880"/>
    <w:rsid w:val="005529F2"/>
    <w:rsid w:val="00552D77"/>
    <w:rsid w:val="00553E0D"/>
    <w:rsid w:val="00554643"/>
    <w:rsid w:val="00554F5B"/>
    <w:rsid w:val="0055502F"/>
    <w:rsid w:val="005569B8"/>
    <w:rsid w:val="00557F05"/>
    <w:rsid w:val="00560791"/>
    <w:rsid w:val="00566E3D"/>
    <w:rsid w:val="00570F9A"/>
    <w:rsid w:val="00572200"/>
    <w:rsid w:val="00577DDD"/>
    <w:rsid w:val="005807AA"/>
    <w:rsid w:val="00584BE5"/>
    <w:rsid w:val="00586716"/>
    <w:rsid w:val="00586D90"/>
    <w:rsid w:val="0058754D"/>
    <w:rsid w:val="00587F73"/>
    <w:rsid w:val="0059477F"/>
    <w:rsid w:val="005960AC"/>
    <w:rsid w:val="005A2476"/>
    <w:rsid w:val="005A38DE"/>
    <w:rsid w:val="005A755C"/>
    <w:rsid w:val="005A7654"/>
    <w:rsid w:val="005B063D"/>
    <w:rsid w:val="005B3DC0"/>
    <w:rsid w:val="005B450F"/>
    <w:rsid w:val="005B66B9"/>
    <w:rsid w:val="005C0D4E"/>
    <w:rsid w:val="005C14EE"/>
    <w:rsid w:val="005C3D4F"/>
    <w:rsid w:val="005C7B3B"/>
    <w:rsid w:val="005D6683"/>
    <w:rsid w:val="005D6799"/>
    <w:rsid w:val="005D6F4A"/>
    <w:rsid w:val="005E048C"/>
    <w:rsid w:val="005E0D09"/>
    <w:rsid w:val="005E18FE"/>
    <w:rsid w:val="005F15EE"/>
    <w:rsid w:val="005F1CAE"/>
    <w:rsid w:val="005F4BEE"/>
    <w:rsid w:val="005F62BC"/>
    <w:rsid w:val="005F62C6"/>
    <w:rsid w:val="00607AA6"/>
    <w:rsid w:val="00613EF4"/>
    <w:rsid w:val="00621ACC"/>
    <w:rsid w:val="006221C0"/>
    <w:rsid w:val="00624D1F"/>
    <w:rsid w:val="00625760"/>
    <w:rsid w:val="00626818"/>
    <w:rsid w:val="00626C0B"/>
    <w:rsid w:val="00631F74"/>
    <w:rsid w:val="00642351"/>
    <w:rsid w:val="0064526F"/>
    <w:rsid w:val="00647E5A"/>
    <w:rsid w:val="00647F11"/>
    <w:rsid w:val="00650005"/>
    <w:rsid w:val="006500EB"/>
    <w:rsid w:val="006539DE"/>
    <w:rsid w:val="00655794"/>
    <w:rsid w:val="00657A13"/>
    <w:rsid w:val="00660FD6"/>
    <w:rsid w:val="00663C43"/>
    <w:rsid w:val="00664B85"/>
    <w:rsid w:val="00664C50"/>
    <w:rsid w:val="00673440"/>
    <w:rsid w:val="00673DF8"/>
    <w:rsid w:val="00674A58"/>
    <w:rsid w:val="0067568D"/>
    <w:rsid w:val="0067640C"/>
    <w:rsid w:val="00684EC0"/>
    <w:rsid w:val="006850DD"/>
    <w:rsid w:val="0068626C"/>
    <w:rsid w:val="006869DA"/>
    <w:rsid w:val="00686D03"/>
    <w:rsid w:val="00691802"/>
    <w:rsid w:val="00692490"/>
    <w:rsid w:val="00693CCD"/>
    <w:rsid w:val="0069522E"/>
    <w:rsid w:val="00696C47"/>
    <w:rsid w:val="00696E5E"/>
    <w:rsid w:val="006A069F"/>
    <w:rsid w:val="006A0BB7"/>
    <w:rsid w:val="006A11AA"/>
    <w:rsid w:val="006A18A8"/>
    <w:rsid w:val="006A1ABC"/>
    <w:rsid w:val="006A1FA8"/>
    <w:rsid w:val="006A2076"/>
    <w:rsid w:val="006A5C81"/>
    <w:rsid w:val="006A5E73"/>
    <w:rsid w:val="006A6A05"/>
    <w:rsid w:val="006A6D55"/>
    <w:rsid w:val="006B2C03"/>
    <w:rsid w:val="006B6141"/>
    <w:rsid w:val="006B6AA4"/>
    <w:rsid w:val="006C1517"/>
    <w:rsid w:val="006C6AF5"/>
    <w:rsid w:val="006C70CF"/>
    <w:rsid w:val="006D2D71"/>
    <w:rsid w:val="006D516E"/>
    <w:rsid w:val="006D5E9C"/>
    <w:rsid w:val="006E5BA5"/>
    <w:rsid w:val="006F265F"/>
    <w:rsid w:val="006F4297"/>
    <w:rsid w:val="006F5B72"/>
    <w:rsid w:val="006F5BDA"/>
    <w:rsid w:val="006F5C9D"/>
    <w:rsid w:val="006F6646"/>
    <w:rsid w:val="007007DB"/>
    <w:rsid w:val="00701B2A"/>
    <w:rsid w:val="00702A2C"/>
    <w:rsid w:val="007035EE"/>
    <w:rsid w:val="007136A7"/>
    <w:rsid w:val="00717498"/>
    <w:rsid w:val="00721E69"/>
    <w:rsid w:val="007224D9"/>
    <w:rsid w:val="00727A85"/>
    <w:rsid w:val="00731692"/>
    <w:rsid w:val="0073453D"/>
    <w:rsid w:val="00740D76"/>
    <w:rsid w:val="00741498"/>
    <w:rsid w:val="00742ECD"/>
    <w:rsid w:val="00745E2F"/>
    <w:rsid w:val="007461EB"/>
    <w:rsid w:val="00746AD8"/>
    <w:rsid w:val="00747A38"/>
    <w:rsid w:val="0075097E"/>
    <w:rsid w:val="00751687"/>
    <w:rsid w:val="00753D1D"/>
    <w:rsid w:val="00754CCB"/>
    <w:rsid w:val="0076168C"/>
    <w:rsid w:val="00772CFD"/>
    <w:rsid w:val="007771E2"/>
    <w:rsid w:val="00781557"/>
    <w:rsid w:val="007837FD"/>
    <w:rsid w:val="007A24C8"/>
    <w:rsid w:val="007A552B"/>
    <w:rsid w:val="007A7B0C"/>
    <w:rsid w:val="007B00C1"/>
    <w:rsid w:val="007B0A6A"/>
    <w:rsid w:val="007B0E5D"/>
    <w:rsid w:val="007B34D0"/>
    <w:rsid w:val="007B68A5"/>
    <w:rsid w:val="007C3860"/>
    <w:rsid w:val="007C424F"/>
    <w:rsid w:val="007C6EC8"/>
    <w:rsid w:val="007C773D"/>
    <w:rsid w:val="007D08F1"/>
    <w:rsid w:val="007D08F8"/>
    <w:rsid w:val="007D127C"/>
    <w:rsid w:val="007D1D1F"/>
    <w:rsid w:val="007D4DB7"/>
    <w:rsid w:val="007D6978"/>
    <w:rsid w:val="007D78A0"/>
    <w:rsid w:val="007E1924"/>
    <w:rsid w:val="007E4ADB"/>
    <w:rsid w:val="007E7BD2"/>
    <w:rsid w:val="007E7CB0"/>
    <w:rsid w:val="007F08F4"/>
    <w:rsid w:val="007F3552"/>
    <w:rsid w:val="007F42DF"/>
    <w:rsid w:val="007F5E29"/>
    <w:rsid w:val="007F6D55"/>
    <w:rsid w:val="0080005B"/>
    <w:rsid w:val="00804418"/>
    <w:rsid w:val="00805D9A"/>
    <w:rsid w:val="00806FF6"/>
    <w:rsid w:val="0081052D"/>
    <w:rsid w:val="008112DB"/>
    <w:rsid w:val="0081487C"/>
    <w:rsid w:val="00816E9F"/>
    <w:rsid w:val="008177D2"/>
    <w:rsid w:val="00817BED"/>
    <w:rsid w:val="00820F9F"/>
    <w:rsid w:val="008211C6"/>
    <w:rsid w:val="00821514"/>
    <w:rsid w:val="00827DBC"/>
    <w:rsid w:val="00830F4C"/>
    <w:rsid w:val="00831FBA"/>
    <w:rsid w:val="008331D9"/>
    <w:rsid w:val="00841965"/>
    <w:rsid w:val="0084440D"/>
    <w:rsid w:val="00851414"/>
    <w:rsid w:val="008545D2"/>
    <w:rsid w:val="008637D6"/>
    <w:rsid w:val="008638AE"/>
    <w:rsid w:val="00871D01"/>
    <w:rsid w:val="00877C17"/>
    <w:rsid w:val="008803B8"/>
    <w:rsid w:val="008804D8"/>
    <w:rsid w:val="0088241A"/>
    <w:rsid w:val="00885149"/>
    <w:rsid w:val="00885F80"/>
    <w:rsid w:val="0088601D"/>
    <w:rsid w:val="008874CE"/>
    <w:rsid w:val="0089210F"/>
    <w:rsid w:val="00893A35"/>
    <w:rsid w:val="00895108"/>
    <w:rsid w:val="00895A37"/>
    <w:rsid w:val="008A071A"/>
    <w:rsid w:val="008A0CF6"/>
    <w:rsid w:val="008A0FA8"/>
    <w:rsid w:val="008A635F"/>
    <w:rsid w:val="008B1876"/>
    <w:rsid w:val="008B2B7A"/>
    <w:rsid w:val="008B6073"/>
    <w:rsid w:val="008B643A"/>
    <w:rsid w:val="008B68FC"/>
    <w:rsid w:val="008B6926"/>
    <w:rsid w:val="008C0657"/>
    <w:rsid w:val="008C55D4"/>
    <w:rsid w:val="008C6126"/>
    <w:rsid w:val="008D1C9A"/>
    <w:rsid w:val="008D207D"/>
    <w:rsid w:val="008D2B45"/>
    <w:rsid w:val="008D2B78"/>
    <w:rsid w:val="008D4603"/>
    <w:rsid w:val="008D7B20"/>
    <w:rsid w:val="008E0144"/>
    <w:rsid w:val="008E0D5A"/>
    <w:rsid w:val="008E138F"/>
    <w:rsid w:val="008E3EFB"/>
    <w:rsid w:val="008F1477"/>
    <w:rsid w:val="008F17AE"/>
    <w:rsid w:val="008F1B04"/>
    <w:rsid w:val="008F348C"/>
    <w:rsid w:val="008F5630"/>
    <w:rsid w:val="00901C4F"/>
    <w:rsid w:val="009039E9"/>
    <w:rsid w:val="0090596B"/>
    <w:rsid w:val="0090738D"/>
    <w:rsid w:val="00914533"/>
    <w:rsid w:val="0091490B"/>
    <w:rsid w:val="0091672B"/>
    <w:rsid w:val="00920283"/>
    <w:rsid w:val="009226D0"/>
    <w:rsid w:val="0092451E"/>
    <w:rsid w:val="0092502E"/>
    <w:rsid w:val="0092714B"/>
    <w:rsid w:val="00932626"/>
    <w:rsid w:val="00933194"/>
    <w:rsid w:val="009374A6"/>
    <w:rsid w:val="0094084C"/>
    <w:rsid w:val="00941925"/>
    <w:rsid w:val="00944964"/>
    <w:rsid w:val="00947DA6"/>
    <w:rsid w:val="00950376"/>
    <w:rsid w:val="00956690"/>
    <w:rsid w:val="009603EA"/>
    <w:rsid w:val="009619AF"/>
    <w:rsid w:val="00961D6E"/>
    <w:rsid w:val="009632A9"/>
    <w:rsid w:val="00964B05"/>
    <w:rsid w:val="00966D0E"/>
    <w:rsid w:val="00966F6F"/>
    <w:rsid w:val="00966F89"/>
    <w:rsid w:val="00967812"/>
    <w:rsid w:val="009745D0"/>
    <w:rsid w:val="00980F51"/>
    <w:rsid w:val="0098549F"/>
    <w:rsid w:val="00986371"/>
    <w:rsid w:val="00990D4C"/>
    <w:rsid w:val="00990FC1"/>
    <w:rsid w:val="00992DB7"/>
    <w:rsid w:val="009957EC"/>
    <w:rsid w:val="009A0706"/>
    <w:rsid w:val="009A0C3B"/>
    <w:rsid w:val="009A31DD"/>
    <w:rsid w:val="009A6F8F"/>
    <w:rsid w:val="009B3D16"/>
    <w:rsid w:val="009B43E7"/>
    <w:rsid w:val="009C1BFF"/>
    <w:rsid w:val="009C34F2"/>
    <w:rsid w:val="009C4CB5"/>
    <w:rsid w:val="009C5001"/>
    <w:rsid w:val="009D1545"/>
    <w:rsid w:val="009D23B4"/>
    <w:rsid w:val="009D5219"/>
    <w:rsid w:val="009D74FE"/>
    <w:rsid w:val="009D7CCA"/>
    <w:rsid w:val="009D7EE2"/>
    <w:rsid w:val="009E3DC8"/>
    <w:rsid w:val="009E4FA4"/>
    <w:rsid w:val="009E5EC6"/>
    <w:rsid w:val="009E5F56"/>
    <w:rsid w:val="009E7CB1"/>
    <w:rsid w:val="009F47E2"/>
    <w:rsid w:val="009F7012"/>
    <w:rsid w:val="00A0163A"/>
    <w:rsid w:val="00A054B0"/>
    <w:rsid w:val="00A07A37"/>
    <w:rsid w:val="00A1155D"/>
    <w:rsid w:val="00A125B4"/>
    <w:rsid w:val="00A12AEB"/>
    <w:rsid w:val="00A135EF"/>
    <w:rsid w:val="00A14610"/>
    <w:rsid w:val="00A14B57"/>
    <w:rsid w:val="00A1614E"/>
    <w:rsid w:val="00A16893"/>
    <w:rsid w:val="00A1700C"/>
    <w:rsid w:val="00A177E3"/>
    <w:rsid w:val="00A206C0"/>
    <w:rsid w:val="00A239D6"/>
    <w:rsid w:val="00A24314"/>
    <w:rsid w:val="00A24C06"/>
    <w:rsid w:val="00A24CB0"/>
    <w:rsid w:val="00A264E0"/>
    <w:rsid w:val="00A26971"/>
    <w:rsid w:val="00A301C7"/>
    <w:rsid w:val="00A34EB0"/>
    <w:rsid w:val="00A364E2"/>
    <w:rsid w:val="00A364E4"/>
    <w:rsid w:val="00A36A74"/>
    <w:rsid w:val="00A37DAD"/>
    <w:rsid w:val="00A37E06"/>
    <w:rsid w:val="00A47F51"/>
    <w:rsid w:val="00A5056F"/>
    <w:rsid w:val="00A506B3"/>
    <w:rsid w:val="00A50C5E"/>
    <w:rsid w:val="00A522BD"/>
    <w:rsid w:val="00A545EF"/>
    <w:rsid w:val="00A560EE"/>
    <w:rsid w:val="00A6531E"/>
    <w:rsid w:val="00A661AF"/>
    <w:rsid w:val="00A66A24"/>
    <w:rsid w:val="00A71528"/>
    <w:rsid w:val="00A716BB"/>
    <w:rsid w:val="00A72B16"/>
    <w:rsid w:val="00A72F92"/>
    <w:rsid w:val="00A74EFA"/>
    <w:rsid w:val="00A81D42"/>
    <w:rsid w:val="00A8214C"/>
    <w:rsid w:val="00A828C3"/>
    <w:rsid w:val="00A84D84"/>
    <w:rsid w:val="00A90FCB"/>
    <w:rsid w:val="00A95D68"/>
    <w:rsid w:val="00AA1520"/>
    <w:rsid w:val="00AA3706"/>
    <w:rsid w:val="00AA3932"/>
    <w:rsid w:val="00AA5159"/>
    <w:rsid w:val="00AA5F00"/>
    <w:rsid w:val="00AA6726"/>
    <w:rsid w:val="00AB0060"/>
    <w:rsid w:val="00AB1D0D"/>
    <w:rsid w:val="00AB55B1"/>
    <w:rsid w:val="00AC2F61"/>
    <w:rsid w:val="00AC2F6E"/>
    <w:rsid w:val="00AC3C28"/>
    <w:rsid w:val="00AD1395"/>
    <w:rsid w:val="00AD5118"/>
    <w:rsid w:val="00AD5300"/>
    <w:rsid w:val="00AD5D48"/>
    <w:rsid w:val="00AE341E"/>
    <w:rsid w:val="00AE5559"/>
    <w:rsid w:val="00AE5923"/>
    <w:rsid w:val="00AE718B"/>
    <w:rsid w:val="00AF0172"/>
    <w:rsid w:val="00AF099B"/>
    <w:rsid w:val="00AF2D70"/>
    <w:rsid w:val="00AF4BFD"/>
    <w:rsid w:val="00AF79EF"/>
    <w:rsid w:val="00B003A4"/>
    <w:rsid w:val="00B00F26"/>
    <w:rsid w:val="00B0390C"/>
    <w:rsid w:val="00B0423E"/>
    <w:rsid w:val="00B04A59"/>
    <w:rsid w:val="00B050C2"/>
    <w:rsid w:val="00B05D7D"/>
    <w:rsid w:val="00B10E0B"/>
    <w:rsid w:val="00B10FE3"/>
    <w:rsid w:val="00B138C6"/>
    <w:rsid w:val="00B1739E"/>
    <w:rsid w:val="00B17FFE"/>
    <w:rsid w:val="00B21802"/>
    <w:rsid w:val="00B22E27"/>
    <w:rsid w:val="00B2583F"/>
    <w:rsid w:val="00B26679"/>
    <w:rsid w:val="00B422A2"/>
    <w:rsid w:val="00B423D5"/>
    <w:rsid w:val="00B435DE"/>
    <w:rsid w:val="00B43689"/>
    <w:rsid w:val="00B44812"/>
    <w:rsid w:val="00B4501A"/>
    <w:rsid w:val="00B45404"/>
    <w:rsid w:val="00B4602B"/>
    <w:rsid w:val="00B60252"/>
    <w:rsid w:val="00B61866"/>
    <w:rsid w:val="00B62C54"/>
    <w:rsid w:val="00B67E30"/>
    <w:rsid w:val="00B67EBA"/>
    <w:rsid w:val="00B73428"/>
    <w:rsid w:val="00B74811"/>
    <w:rsid w:val="00B74CB3"/>
    <w:rsid w:val="00B75AE3"/>
    <w:rsid w:val="00B75B5C"/>
    <w:rsid w:val="00B75EDA"/>
    <w:rsid w:val="00B81948"/>
    <w:rsid w:val="00B843B3"/>
    <w:rsid w:val="00B85BBC"/>
    <w:rsid w:val="00B91059"/>
    <w:rsid w:val="00B91848"/>
    <w:rsid w:val="00B91B7F"/>
    <w:rsid w:val="00B93438"/>
    <w:rsid w:val="00B95BAC"/>
    <w:rsid w:val="00BA2371"/>
    <w:rsid w:val="00BA2DE5"/>
    <w:rsid w:val="00BA441E"/>
    <w:rsid w:val="00BA71ED"/>
    <w:rsid w:val="00BB011E"/>
    <w:rsid w:val="00BB28C8"/>
    <w:rsid w:val="00BB62F7"/>
    <w:rsid w:val="00BB75CF"/>
    <w:rsid w:val="00BB7AE9"/>
    <w:rsid w:val="00BB7FB3"/>
    <w:rsid w:val="00BC0AE6"/>
    <w:rsid w:val="00BC168F"/>
    <w:rsid w:val="00BC4772"/>
    <w:rsid w:val="00BC584D"/>
    <w:rsid w:val="00BD199F"/>
    <w:rsid w:val="00BD224D"/>
    <w:rsid w:val="00BD5E3A"/>
    <w:rsid w:val="00BD6539"/>
    <w:rsid w:val="00BE0D4B"/>
    <w:rsid w:val="00BE1340"/>
    <w:rsid w:val="00BE206F"/>
    <w:rsid w:val="00BE3A59"/>
    <w:rsid w:val="00BE6AD4"/>
    <w:rsid w:val="00BE720B"/>
    <w:rsid w:val="00BE7933"/>
    <w:rsid w:val="00BF0314"/>
    <w:rsid w:val="00BF0866"/>
    <w:rsid w:val="00BF2BBF"/>
    <w:rsid w:val="00BF3414"/>
    <w:rsid w:val="00BF3F77"/>
    <w:rsid w:val="00BF4199"/>
    <w:rsid w:val="00BF463B"/>
    <w:rsid w:val="00BF5DF6"/>
    <w:rsid w:val="00BF758C"/>
    <w:rsid w:val="00BF76B7"/>
    <w:rsid w:val="00BF7E0D"/>
    <w:rsid w:val="00C00F2A"/>
    <w:rsid w:val="00C01E6C"/>
    <w:rsid w:val="00C02815"/>
    <w:rsid w:val="00C032AC"/>
    <w:rsid w:val="00C05A6A"/>
    <w:rsid w:val="00C07568"/>
    <w:rsid w:val="00C14197"/>
    <w:rsid w:val="00C14C10"/>
    <w:rsid w:val="00C150E3"/>
    <w:rsid w:val="00C17666"/>
    <w:rsid w:val="00C210A4"/>
    <w:rsid w:val="00C21D0A"/>
    <w:rsid w:val="00C22887"/>
    <w:rsid w:val="00C22AFD"/>
    <w:rsid w:val="00C23EB8"/>
    <w:rsid w:val="00C24C8C"/>
    <w:rsid w:val="00C24CBE"/>
    <w:rsid w:val="00C26721"/>
    <w:rsid w:val="00C26BCE"/>
    <w:rsid w:val="00C3098B"/>
    <w:rsid w:val="00C31081"/>
    <w:rsid w:val="00C32283"/>
    <w:rsid w:val="00C33620"/>
    <w:rsid w:val="00C3655A"/>
    <w:rsid w:val="00C37194"/>
    <w:rsid w:val="00C45BBC"/>
    <w:rsid w:val="00C46B50"/>
    <w:rsid w:val="00C53E8C"/>
    <w:rsid w:val="00C55323"/>
    <w:rsid w:val="00C560BC"/>
    <w:rsid w:val="00C57228"/>
    <w:rsid w:val="00C67550"/>
    <w:rsid w:val="00C72999"/>
    <w:rsid w:val="00C72B89"/>
    <w:rsid w:val="00C75684"/>
    <w:rsid w:val="00C76E93"/>
    <w:rsid w:val="00C80FE0"/>
    <w:rsid w:val="00C82D5B"/>
    <w:rsid w:val="00C82E0B"/>
    <w:rsid w:val="00C84340"/>
    <w:rsid w:val="00C84FA7"/>
    <w:rsid w:val="00C85E84"/>
    <w:rsid w:val="00C9493C"/>
    <w:rsid w:val="00C94EE5"/>
    <w:rsid w:val="00CA14D3"/>
    <w:rsid w:val="00CA42AF"/>
    <w:rsid w:val="00CA4F40"/>
    <w:rsid w:val="00CA751C"/>
    <w:rsid w:val="00CA7B60"/>
    <w:rsid w:val="00CB0728"/>
    <w:rsid w:val="00CB0B5D"/>
    <w:rsid w:val="00CB2C07"/>
    <w:rsid w:val="00CB335B"/>
    <w:rsid w:val="00CB40FD"/>
    <w:rsid w:val="00CC06C5"/>
    <w:rsid w:val="00CC4BD7"/>
    <w:rsid w:val="00CC5D09"/>
    <w:rsid w:val="00CC6AAB"/>
    <w:rsid w:val="00CC7688"/>
    <w:rsid w:val="00CD4DB6"/>
    <w:rsid w:val="00CE28DA"/>
    <w:rsid w:val="00CE317B"/>
    <w:rsid w:val="00CE6867"/>
    <w:rsid w:val="00CF0393"/>
    <w:rsid w:val="00CF0A9D"/>
    <w:rsid w:val="00CF435F"/>
    <w:rsid w:val="00CF4D64"/>
    <w:rsid w:val="00D0175B"/>
    <w:rsid w:val="00D05884"/>
    <w:rsid w:val="00D05F0A"/>
    <w:rsid w:val="00D07E8F"/>
    <w:rsid w:val="00D112AA"/>
    <w:rsid w:val="00D12787"/>
    <w:rsid w:val="00D13B28"/>
    <w:rsid w:val="00D13CA2"/>
    <w:rsid w:val="00D2568A"/>
    <w:rsid w:val="00D25798"/>
    <w:rsid w:val="00D25AC8"/>
    <w:rsid w:val="00D309D4"/>
    <w:rsid w:val="00D309E2"/>
    <w:rsid w:val="00D30D62"/>
    <w:rsid w:val="00D32DB5"/>
    <w:rsid w:val="00D353A1"/>
    <w:rsid w:val="00D35667"/>
    <w:rsid w:val="00D36E25"/>
    <w:rsid w:val="00D400AB"/>
    <w:rsid w:val="00D40DCB"/>
    <w:rsid w:val="00D428C5"/>
    <w:rsid w:val="00D43CA1"/>
    <w:rsid w:val="00D46092"/>
    <w:rsid w:val="00D47D77"/>
    <w:rsid w:val="00D5016A"/>
    <w:rsid w:val="00D558CE"/>
    <w:rsid w:val="00D573FF"/>
    <w:rsid w:val="00D57842"/>
    <w:rsid w:val="00D60524"/>
    <w:rsid w:val="00D60BA5"/>
    <w:rsid w:val="00D62254"/>
    <w:rsid w:val="00D62664"/>
    <w:rsid w:val="00D64A2F"/>
    <w:rsid w:val="00D67512"/>
    <w:rsid w:val="00D711B2"/>
    <w:rsid w:val="00D73DB0"/>
    <w:rsid w:val="00D841D3"/>
    <w:rsid w:val="00D86947"/>
    <w:rsid w:val="00D86B8D"/>
    <w:rsid w:val="00D94AF3"/>
    <w:rsid w:val="00DA05BB"/>
    <w:rsid w:val="00DA077C"/>
    <w:rsid w:val="00DA0BB2"/>
    <w:rsid w:val="00DA4A29"/>
    <w:rsid w:val="00DA4F27"/>
    <w:rsid w:val="00DB0118"/>
    <w:rsid w:val="00DB023B"/>
    <w:rsid w:val="00DB0376"/>
    <w:rsid w:val="00DB089B"/>
    <w:rsid w:val="00DC0ABD"/>
    <w:rsid w:val="00DC12DF"/>
    <w:rsid w:val="00DC3358"/>
    <w:rsid w:val="00DC4880"/>
    <w:rsid w:val="00DC6A94"/>
    <w:rsid w:val="00DC74DD"/>
    <w:rsid w:val="00DC79F7"/>
    <w:rsid w:val="00DD2C6D"/>
    <w:rsid w:val="00DD3636"/>
    <w:rsid w:val="00DD52C7"/>
    <w:rsid w:val="00DE0EDC"/>
    <w:rsid w:val="00DE1AE9"/>
    <w:rsid w:val="00DE4EA2"/>
    <w:rsid w:val="00DF0582"/>
    <w:rsid w:val="00DF1B6A"/>
    <w:rsid w:val="00DF577B"/>
    <w:rsid w:val="00E00AED"/>
    <w:rsid w:val="00E00E54"/>
    <w:rsid w:val="00E01BCD"/>
    <w:rsid w:val="00E01F7C"/>
    <w:rsid w:val="00E078E6"/>
    <w:rsid w:val="00E11ABC"/>
    <w:rsid w:val="00E11B26"/>
    <w:rsid w:val="00E13232"/>
    <w:rsid w:val="00E16C76"/>
    <w:rsid w:val="00E20EB5"/>
    <w:rsid w:val="00E21A0F"/>
    <w:rsid w:val="00E22607"/>
    <w:rsid w:val="00E23DC5"/>
    <w:rsid w:val="00E24D4A"/>
    <w:rsid w:val="00E31EE3"/>
    <w:rsid w:val="00E34B7B"/>
    <w:rsid w:val="00E34F6A"/>
    <w:rsid w:val="00E35225"/>
    <w:rsid w:val="00E35793"/>
    <w:rsid w:val="00E36F87"/>
    <w:rsid w:val="00E377B3"/>
    <w:rsid w:val="00E41576"/>
    <w:rsid w:val="00E44289"/>
    <w:rsid w:val="00E448A4"/>
    <w:rsid w:val="00E46F74"/>
    <w:rsid w:val="00E501EE"/>
    <w:rsid w:val="00E50981"/>
    <w:rsid w:val="00E50D9C"/>
    <w:rsid w:val="00E51801"/>
    <w:rsid w:val="00E52F8F"/>
    <w:rsid w:val="00E561D7"/>
    <w:rsid w:val="00E61B16"/>
    <w:rsid w:val="00E648C1"/>
    <w:rsid w:val="00E64BED"/>
    <w:rsid w:val="00E677EC"/>
    <w:rsid w:val="00E715E6"/>
    <w:rsid w:val="00E73C72"/>
    <w:rsid w:val="00E73F1A"/>
    <w:rsid w:val="00E743A0"/>
    <w:rsid w:val="00E758C0"/>
    <w:rsid w:val="00E76449"/>
    <w:rsid w:val="00E769EE"/>
    <w:rsid w:val="00E77729"/>
    <w:rsid w:val="00E77EBC"/>
    <w:rsid w:val="00E80E20"/>
    <w:rsid w:val="00E83FAB"/>
    <w:rsid w:val="00E84693"/>
    <w:rsid w:val="00E85205"/>
    <w:rsid w:val="00E86D7C"/>
    <w:rsid w:val="00E87262"/>
    <w:rsid w:val="00E90797"/>
    <w:rsid w:val="00E91535"/>
    <w:rsid w:val="00E9225B"/>
    <w:rsid w:val="00E93BD5"/>
    <w:rsid w:val="00E97342"/>
    <w:rsid w:val="00EA1FA4"/>
    <w:rsid w:val="00EA4285"/>
    <w:rsid w:val="00EB0591"/>
    <w:rsid w:val="00EB2615"/>
    <w:rsid w:val="00EB7946"/>
    <w:rsid w:val="00EC458D"/>
    <w:rsid w:val="00EC5D5D"/>
    <w:rsid w:val="00EC664C"/>
    <w:rsid w:val="00EC68B9"/>
    <w:rsid w:val="00EC6EAA"/>
    <w:rsid w:val="00ED0FE3"/>
    <w:rsid w:val="00ED3496"/>
    <w:rsid w:val="00ED38B7"/>
    <w:rsid w:val="00ED55DE"/>
    <w:rsid w:val="00ED569E"/>
    <w:rsid w:val="00ED7BA0"/>
    <w:rsid w:val="00EE517C"/>
    <w:rsid w:val="00EE573D"/>
    <w:rsid w:val="00EF1D9C"/>
    <w:rsid w:val="00EF3EE7"/>
    <w:rsid w:val="00EF43DA"/>
    <w:rsid w:val="00F000EF"/>
    <w:rsid w:val="00F02527"/>
    <w:rsid w:val="00F02E7A"/>
    <w:rsid w:val="00F05B54"/>
    <w:rsid w:val="00F06002"/>
    <w:rsid w:val="00F064E8"/>
    <w:rsid w:val="00F11042"/>
    <w:rsid w:val="00F15587"/>
    <w:rsid w:val="00F16B88"/>
    <w:rsid w:val="00F232C2"/>
    <w:rsid w:val="00F2418F"/>
    <w:rsid w:val="00F26026"/>
    <w:rsid w:val="00F31671"/>
    <w:rsid w:val="00F31B02"/>
    <w:rsid w:val="00F333DE"/>
    <w:rsid w:val="00F36BC8"/>
    <w:rsid w:val="00F4246A"/>
    <w:rsid w:val="00F42EFF"/>
    <w:rsid w:val="00F434F7"/>
    <w:rsid w:val="00F44F36"/>
    <w:rsid w:val="00F45CD0"/>
    <w:rsid w:val="00F45D05"/>
    <w:rsid w:val="00F461B4"/>
    <w:rsid w:val="00F50153"/>
    <w:rsid w:val="00F50C34"/>
    <w:rsid w:val="00F52127"/>
    <w:rsid w:val="00F534D1"/>
    <w:rsid w:val="00F540D0"/>
    <w:rsid w:val="00F564C7"/>
    <w:rsid w:val="00F6024F"/>
    <w:rsid w:val="00F604E6"/>
    <w:rsid w:val="00F64244"/>
    <w:rsid w:val="00F64432"/>
    <w:rsid w:val="00F66DDC"/>
    <w:rsid w:val="00F671EE"/>
    <w:rsid w:val="00F677F2"/>
    <w:rsid w:val="00F67E98"/>
    <w:rsid w:val="00F72D3C"/>
    <w:rsid w:val="00F73E7F"/>
    <w:rsid w:val="00F74641"/>
    <w:rsid w:val="00F77DCD"/>
    <w:rsid w:val="00F82824"/>
    <w:rsid w:val="00F873E4"/>
    <w:rsid w:val="00F91116"/>
    <w:rsid w:val="00F91139"/>
    <w:rsid w:val="00FA0FA0"/>
    <w:rsid w:val="00FA1916"/>
    <w:rsid w:val="00FA1ED6"/>
    <w:rsid w:val="00FA28D5"/>
    <w:rsid w:val="00FA38C2"/>
    <w:rsid w:val="00FA3996"/>
    <w:rsid w:val="00FA3CD0"/>
    <w:rsid w:val="00FA651A"/>
    <w:rsid w:val="00FA7126"/>
    <w:rsid w:val="00FA758B"/>
    <w:rsid w:val="00FB6A4F"/>
    <w:rsid w:val="00FB75EF"/>
    <w:rsid w:val="00FB7609"/>
    <w:rsid w:val="00FC0CEC"/>
    <w:rsid w:val="00FC3A10"/>
    <w:rsid w:val="00FC40B0"/>
    <w:rsid w:val="00FC644B"/>
    <w:rsid w:val="00FD1E46"/>
    <w:rsid w:val="00FD2961"/>
    <w:rsid w:val="00FD34E4"/>
    <w:rsid w:val="00FD6480"/>
    <w:rsid w:val="00FD6F58"/>
    <w:rsid w:val="00FE6B1D"/>
    <w:rsid w:val="00FF0C76"/>
    <w:rsid w:val="00FF3D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5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254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44F"/>
    <w:rPr>
      <w:rFonts w:ascii="Tahoma" w:hAnsi="Tahoma" w:cs="Tahoma"/>
      <w:sz w:val="16"/>
      <w:szCs w:val="16"/>
    </w:rPr>
  </w:style>
  <w:style w:type="paragraph" w:styleId="FootnoteText">
    <w:name w:val="footnote text"/>
    <w:basedOn w:val="Normal"/>
    <w:link w:val="FootnoteTextChar"/>
    <w:uiPriority w:val="99"/>
    <w:semiHidden/>
    <w:unhideWhenUsed/>
    <w:rsid w:val="006C6AF5"/>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6C6AF5"/>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6C6AF5"/>
    <w:rPr>
      <w:vertAlign w:val="superscript"/>
    </w:rPr>
  </w:style>
  <w:style w:type="paragraph" w:styleId="Header">
    <w:name w:val="header"/>
    <w:basedOn w:val="Normal"/>
    <w:link w:val="HeaderChar"/>
    <w:uiPriority w:val="99"/>
    <w:unhideWhenUsed/>
    <w:rsid w:val="003C1A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1ABA"/>
  </w:style>
  <w:style w:type="paragraph" w:styleId="Footer">
    <w:name w:val="footer"/>
    <w:basedOn w:val="Normal"/>
    <w:link w:val="FooterChar"/>
    <w:uiPriority w:val="99"/>
    <w:unhideWhenUsed/>
    <w:rsid w:val="003C1A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1ABA"/>
  </w:style>
  <w:style w:type="character" w:styleId="Hyperlink">
    <w:name w:val="Hyperlink"/>
    <w:basedOn w:val="DefaultParagraphFont"/>
    <w:uiPriority w:val="99"/>
    <w:unhideWhenUsed/>
    <w:rsid w:val="00A364E2"/>
    <w:rPr>
      <w:color w:val="0000FF" w:themeColor="hyperlink"/>
      <w:u w:val="single"/>
    </w:rPr>
  </w:style>
  <w:style w:type="character" w:styleId="CommentReference">
    <w:name w:val="annotation reference"/>
    <w:basedOn w:val="DefaultParagraphFont"/>
    <w:uiPriority w:val="99"/>
    <w:semiHidden/>
    <w:unhideWhenUsed/>
    <w:rsid w:val="009D74FE"/>
    <w:rPr>
      <w:sz w:val="16"/>
      <w:szCs w:val="16"/>
    </w:rPr>
  </w:style>
  <w:style w:type="paragraph" w:styleId="CommentText">
    <w:name w:val="annotation text"/>
    <w:basedOn w:val="Normal"/>
    <w:link w:val="CommentTextChar"/>
    <w:uiPriority w:val="99"/>
    <w:semiHidden/>
    <w:unhideWhenUsed/>
    <w:rsid w:val="009D74FE"/>
    <w:pPr>
      <w:spacing w:line="240" w:lineRule="auto"/>
    </w:pPr>
    <w:rPr>
      <w:sz w:val="20"/>
      <w:szCs w:val="20"/>
    </w:rPr>
  </w:style>
  <w:style w:type="character" w:customStyle="1" w:styleId="CommentTextChar">
    <w:name w:val="Comment Text Char"/>
    <w:basedOn w:val="DefaultParagraphFont"/>
    <w:link w:val="CommentText"/>
    <w:uiPriority w:val="99"/>
    <w:semiHidden/>
    <w:rsid w:val="009D74FE"/>
    <w:rPr>
      <w:sz w:val="20"/>
      <w:szCs w:val="20"/>
    </w:rPr>
  </w:style>
  <w:style w:type="paragraph" w:styleId="CommentSubject">
    <w:name w:val="annotation subject"/>
    <w:basedOn w:val="CommentText"/>
    <w:next w:val="CommentText"/>
    <w:link w:val="CommentSubjectChar"/>
    <w:uiPriority w:val="99"/>
    <w:semiHidden/>
    <w:unhideWhenUsed/>
    <w:rsid w:val="009D74FE"/>
    <w:rPr>
      <w:b/>
      <w:bCs/>
    </w:rPr>
  </w:style>
  <w:style w:type="character" w:customStyle="1" w:styleId="CommentSubjectChar">
    <w:name w:val="Comment Subject Char"/>
    <w:basedOn w:val="CommentTextChar"/>
    <w:link w:val="CommentSubject"/>
    <w:uiPriority w:val="99"/>
    <w:semiHidden/>
    <w:rsid w:val="009D74FE"/>
    <w:rPr>
      <w:b/>
      <w:bCs/>
      <w:sz w:val="20"/>
      <w:szCs w:val="20"/>
    </w:rPr>
  </w:style>
  <w:style w:type="paragraph" w:styleId="ListParagraph">
    <w:name w:val="List Paragraph"/>
    <w:basedOn w:val="Normal"/>
    <w:uiPriority w:val="34"/>
    <w:qFormat/>
    <w:rsid w:val="004D3567"/>
    <w:pPr>
      <w:ind w:left="720"/>
      <w:contextualSpacing/>
    </w:pPr>
  </w:style>
  <w:style w:type="table" w:customStyle="1" w:styleId="TableGrid1">
    <w:name w:val="Table Grid1"/>
    <w:basedOn w:val="TableNormal"/>
    <w:next w:val="TableGrid"/>
    <w:uiPriority w:val="59"/>
    <w:rsid w:val="008F17A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F17A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F17A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F17A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8F17A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F76B7"/>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AA152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8194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8194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8194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9B43E7"/>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542A2"/>
    <w:rPr>
      <w:color w:val="808080"/>
    </w:rPr>
  </w:style>
  <w:style w:type="table" w:customStyle="1" w:styleId="TableGrid12">
    <w:name w:val="Table Grid12"/>
    <w:basedOn w:val="TableNormal"/>
    <w:next w:val="TableGrid"/>
    <w:uiPriority w:val="59"/>
    <w:rsid w:val="00A11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11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A11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2B211B"/>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37157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37157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3678E7"/>
  </w:style>
  <w:style w:type="paragraph" w:styleId="EndnoteText">
    <w:name w:val="endnote text"/>
    <w:basedOn w:val="Normal"/>
    <w:link w:val="EndnoteTextChar"/>
    <w:uiPriority w:val="99"/>
    <w:semiHidden/>
    <w:unhideWhenUsed/>
    <w:rsid w:val="00221B3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21B31"/>
    <w:rPr>
      <w:sz w:val="20"/>
      <w:szCs w:val="20"/>
    </w:rPr>
  </w:style>
  <w:style w:type="character" w:styleId="EndnoteReference">
    <w:name w:val="endnote reference"/>
    <w:basedOn w:val="DefaultParagraphFont"/>
    <w:uiPriority w:val="99"/>
    <w:semiHidden/>
    <w:unhideWhenUsed/>
    <w:rsid w:val="00221B3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5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254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44F"/>
    <w:rPr>
      <w:rFonts w:ascii="Tahoma" w:hAnsi="Tahoma" w:cs="Tahoma"/>
      <w:sz w:val="16"/>
      <w:szCs w:val="16"/>
    </w:rPr>
  </w:style>
  <w:style w:type="paragraph" w:styleId="FootnoteText">
    <w:name w:val="footnote text"/>
    <w:basedOn w:val="Normal"/>
    <w:link w:val="FootnoteTextChar"/>
    <w:uiPriority w:val="99"/>
    <w:semiHidden/>
    <w:unhideWhenUsed/>
    <w:rsid w:val="006C6AF5"/>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6C6AF5"/>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6C6AF5"/>
    <w:rPr>
      <w:vertAlign w:val="superscript"/>
    </w:rPr>
  </w:style>
  <w:style w:type="paragraph" w:styleId="Header">
    <w:name w:val="header"/>
    <w:basedOn w:val="Normal"/>
    <w:link w:val="HeaderChar"/>
    <w:uiPriority w:val="99"/>
    <w:unhideWhenUsed/>
    <w:rsid w:val="003C1A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1ABA"/>
  </w:style>
  <w:style w:type="paragraph" w:styleId="Footer">
    <w:name w:val="footer"/>
    <w:basedOn w:val="Normal"/>
    <w:link w:val="FooterChar"/>
    <w:uiPriority w:val="99"/>
    <w:unhideWhenUsed/>
    <w:rsid w:val="003C1A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1ABA"/>
  </w:style>
  <w:style w:type="character" w:styleId="Hyperlink">
    <w:name w:val="Hyperlink"/>
    <w:basedOn w:val="DefaultParagraphFont"/>
    <w:uiPriority w:val="99"/>
    <w:unhideWhenUsed/>
    <w:rsid w:val="00A364E2"/>
    <w:rPr>
      <w:color w:val="0000FF" w:themeColor="hyperlink"/>
      <w:u w:val="single"/>
    </w:rPr>
  </w:style>
  <w:style w:type="character" w:styleId="CommentReference">
    <w:name w:val="annotation reference"/>
    <w:basedOn w:val="DefaultParagraphFont"/>
    <w:uiPriority w:val="99"/>
    <w:semiHidden/>
    <w:unhideWhenUsed/>
    <w:rsid w:val="009D74FE"/>
    <w:rPr>
      <w:sz w:val="16"/>
      <w:szCs w:val="16"/>
    </w:rPr>
  </w:style>
  <w:style w:type="paragraph" w:styleId="CommentText">
    <w:name w:val="annotation text"/>
    <w:basedOn w:val="Normal"/>
    <w:link w:val="CommentTextChar"/>
    <w:uiPriority w:val="99"/>
    <w:semiHidden/>
    <w:unhideWhenUsed/>
    <w:rsid w:val="009D74FE"/>
    <w:pPr>
      <w:spacing w:line="240" w:lineRule="auto"/>
    </w:pPr>
    <w:rPr>
      <w:sz w:val="20"/>
      <w:szCs w:val="20"/>
    </w:rPr>
  </w:style>
  <w:style w:type="character" w:customStyle="1" w:styleId="CommentTextChar">
    <w:name w:val="Comment Text Char"/>
    <w:basedOn w:val="DefaultParagraphFont"/>
    <w:link w:val="CommentText"/>
    <w:uiPriority w:val="99"/>
    <w:semiHidden/>
    <w:rsid w:val="009D74FE"/>
    <w:rPr>
      <w:sz w:val="20"/>
      <w:szCs w:val="20"/>
    </w:rPr>
  </w:style>
  <w:style w:type="paragraph" w:styleId="CommentSubject">
    <w:name w:val="annotation subject"/>
    <w:basedOn w:val="CommentText"/>
    <w:next w:val="CommentText"/>
    <w:link w:val="CommentSubjectChar"/>
    <w:uiPriority w:val="99"/>
    <w:semiHidden/>
    <w:unhideWhenUsed/>
    <w:rsid w:val="009D74FE"/>
    <w:rPr>
      <w:b/>
      <w:bCs/>
    </w:rPr>
  </w:style>
  <w:style w:type="character" w:customStyle="1" w:styleId="CommentSubjectChar">
    <w:name w:val="Comment Subject Char"/>
    <w:basedOn w:val="CommentTextChar"/>
    <w:link w:val="CommentSubject"/>
    <w:uiPriority w:val="99"/>
    <w:semiHidden/>
    <w:rsid w:val="009D74FE"/>
    <w:rPr>
      <w:b/>
      <w:bCs/>
      <w:sz w:val="20"/>
      <w:szCs w:val="20"/>
    </w:rPr>
  </w:style>
  <w:style w:type="paragraph" w:styleId="ListParagraph">
    <w:name w:val="List Paragraph"/>
    <w:basedOn w:val="Normal"/>
    <w:uiPriority w:val="34"/>
    <w:qFormat/>
    <w:rsid w:val="004D3567"/>
    <w:pPr>
      <w:ind w:left="720"/>
      <w:contextualSpacing/>
    </w:pPr>
  </w:style>
  <w:style w:type="table" w:customStyle="1" w:styleId="TableGrid1">
    <w:name w:val="Table Grid1"/>
    <w:basedOn w:val="TableNormal"/>
    <w:next w:val="TableGrid"/>
    <w:uiPriority w:val="59"/>
    <w:rsid w:val="008F17A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F17A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F17A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F17A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8F17A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F76B7"/>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AA152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8194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8194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8194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9B43E7"/>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542A2"/>
    <w:rPr>
      <w:color w:val="808080"/>
    </w:rPr>
  </w:style>
  <w:style w:type="table" w:customStyle="1" w:styleId="TableGrid12">
    <w:name w:val="Table Grid12"/>
    <w:basedOn w:val="TableNormal"/>
    <w:next w:val="TableGrid"/>
    <w:uiPriority w:val="59"/>
    <w:rsid w:val="00A11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11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A11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2B211B"/>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37157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37157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3678E7"/>
  </w:style>
  <w:style w:type="paragraph" w:styleId="EndnoteText">
    <w:name w:val="endnote text"/>
    <w:basedOn w:val="Normal"/>
    <w:link w:val="EndnoteTextChar"/>
    <w:uiPriority w:val="99"/>
    <w:semiHidden/>
    <w:unhideWhenUsed/>
    <w:rsid w:val="00221B3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21B31"/>
    <w:rPr>
      <w:sz w:val="20"/>
      <w:szCs w:val="20"/>
    </w:rPr>
  </w:style>
  <w:style w:type="character" w:styleId="EndnoteReference">
    <w:name w:val="endnote reference"/>
    <w:basedOn w:val="DefaultParagraphFont"/>
    <w:uiPriority w:val="99"/>
    <w:semiHidden/>
    <w:unhideWhenUsed/>
    <w:rsid w:val="00221B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84449">
      <w:bodyDiv w:val="1"/>
      <w:marLeft w:val="0"/>
      <w:marRight w:val="0"/>
      <w:marTop w:val="0"/>
      <w:marBottom w:val="0"/>
      <w:divBdr>
        <w:top w:val="none" w:sz="0" w:space="0" w:color="auto"/>
        <w:left w:val="none" w:sz="0" w:space="0" w:color="auto"/>
        <w:bottom w:val="none" w:sz="0" w:space="0" w:color="auto"/>
        <w:right w:val="none" w:sz="0" w:space="0" w:color="auto"/>
      </w:divBdr>
    </w:div>
    <w:div w:id="295379121">
      <w:bodyDiv w:val="1"/>
      <w:marLeft w:val="0"/>
      <w:marRight w:val="0"/>
      <w:marTop w:val="0"/>
      <w:marBottom w:val="0"/>
      <w:divBdr>
        <w:top w:val="none" w:sz="0" w:space="0" w:color="auto"/>
        <w:left w:val="none" w:sz="0" w:space="0" w:color="auto"/>
        <w:bottom w:val="none" w:sz="0" w:space="0" w:color="auto"/>
        <w:right w:val="none" w:sz="0" w:space="0" w:color="auto"/>
      </w:divBdr>
    </w:div>
    <w:div w:id="303123477">
      <w:bodyDiv w:val="1"/>
      <w:marLeft w:val="0"/>
      <w:marRight w:val="0"/>
      <w:marTop w:val="0"/>
      <w:marBottom w:val="0"/>
      <w:divBdr>
        <w:top w:val="none" w:sz="0" w:space="0" w:color="auto"/>
        <w:left w:val="none" w:sz="0" w:space="0" w:color="auto"/>
        <w:bottom w:val="none" w:sz="0" w:space="0" w:color="auto"/>
        <w:right w:val="none" w:sz="0" w:space="0" w:color="auto"/>
      </w:divBdr>
    </w:div>
    <w:div w:id="652484920">
      <w:bodyDiv w:val="1"/>
      <w:marLeft w:val="0"/>
      <w:marRight w:val="0"/>
      <w:marTop w:val="0"/>
      <w:marBottom w:val="0"/>
      <w:divBdr>
        <w:top w:val="none" w:sz="0" w:space="0" w:color="auto"/>
        <w:left w:val="none" w:sz="0" w:space="0" w:color="auto"/>
        <w:bottom w:val="none" w:sz="0" w:space="0" w:color="auto"/>
        <w:right w:val="none" w:sz="0" w:space="0" w:color="auto"/>
      </w:divBdr>
    </w:div>
    <w:div w:id="677271066">
      <w:bodyDiv w:val="1"/>
      <w:marLeft w:val="0"/>
      <w:marRight w:val="0"/>
      <w:marTop w:val="0"/>
      <w:marBottom w:val="0"/>
      <w:divBdr>
        <w:top w:val="none" w:sz="0" w:space="0" w:color="auto"/>
        <w:left w:val="none" w:sz="0" w:space="0" w:color="auto"/>
        <w:bottom w:val="none" w:sz="0" w:space="0" w:color="auto"/>
        <w:right w:val="none" w:sz="0" w:space="0" w:color="auto"/>
      </w:divBdr>
    </w:div>
    <w:div w:id="794518255">
      <w:bodyDiv w:val="1"/>
      <w:marLeft w:val="0"/>
      <w:marRight w:val="0"/>
      <w:marTop w:val="0"/>
      <w:marBottom w:val="0"/>
      <w:divBdr>
        <w:top w:val="none" w:sz="0" w:space="0" w:color="auto"/>
        <w:left w:val="none" w:sz="0" w:space="0" w:color="auto"/>
        <w:bottom w:val="none" w:sz="0" w:space="0" w:color="auto"/>
        <w:right w:val="none" w:sz="0" w:space="0" w:color="auto"/>
      </w:divBdr>
    </w:div>
    <w:div w:id="818033784">
      <w:bodyDiv w:val="1"/>
      <w:marLeft w:val="0"/>
      <w:marRight w:val="0"/>
      <w:marTop w:val="0"/>
      <w:marBottom w:val="0"/>
      <w:divBdr>
        <w:top w:val="none" w:sz="0" w:space="0" w:color="auto"/>
        <w:left w:val="none" w:sz="0" w:space="0" w:color="auto"/>
        <w:bottom w:val="none" w:sz="0" w:space="0" w:color="auto"/>
        <w:right w:val="none" w:sz="0" w:space="0" w:color="auto"/>
      </w:divBdr>
    </w:div>
    <w:div w:id="927694442">
      <w:bodyDiv w:val="1"/>
      <w:marLeft w:val="0"/>
      <w:marRight w:val="0"/>
      <w:marTop w:val="0"/>
      <w:marBottom w:val="0"/>
      <w:divBdr>
        <w:top w:val="none" w:sz="0" w:space="0" w:color="auto"/>
        <w:left w:val="none" w:sz="0" w:space="0" w:color="auto"/>
        <w:bottom w:val="none" w:sz="0" w:space="0" w:color="auto"/>
        <w:right w:val="none" w:sz="0" w:space="0" w:color="auto"/>
      </w:divBdr>
    </w:div>
    <w:div w:id="1017929871">
      <w:bodyDiv w:val="1"/>
      <w:marLeft w:val="0"/>
      <w:marRight w:val="0"/>
      <w:marTop w:val="0"/>
      <w:marBottom w:val="0"/>
      <w:divBdr>
        <w:top w:val="none" w:sz="0" w:space="0" w:color="auto"/>
        <w:left w:val="none" w:sz="0" w:space="0" w:color="auto"/>
        <w:bottom w:val="none" w:sz="0" w:space="0" w:color="auto"/>
        <w:right w:val="none" w:sz="0" w:space="0" w:color="auto"/>
      </w:divBdr>
    </w:div>
    <w:div w:id="1022316644">
      <w:bodyDiv w:val="1"/>
      <w:marLeft w:val="0"/>
      <w:marRight w:val="0"/>
      <w:marTop w:val="0"/>
      <w:marBottom w:val="0"/>
      <w:divBdr>
        <w:top w:val="none" w:sz="0" w:space="0" w:color="auto"/>
        <w:left w:val="none" w:sz="0" w:space="0" w:color="auto"/>
        <w:bottom w:val="none" w:sz="0" w:space="0" w:color="auto"/>
        <w:right w:val="none" w:sz="0" w:space="0" w:color="auto"/>
      </w:divBdr>
    </w:div>
    <w:div w:id="1037972744">
      <w:bodyDiv w:val="1"/>
      <w:marLeft w:val="0"/>
      <w:marRight w:val="0"/>
      <w:marTop w:val="0"/>
      <w:marBottom w:val="0"/>
      <w:divBdr>
        <w:top w:val="none" w:sz="0" w:space="0" w:color="auto"/>
        <w:left w:val="none" w:sz="0" w:space="0" w:color="auto"/>
        <w:bottom w:val="none" w:sz="0" w:space="0" w:color="auto"/>
        <w:right w:val="none" w:sz="0" w:space="0" w:color="auto"/>
      </w:divBdr>
    </w:div>
    <w:div w:id="1079908438">
      <w:bodyDiv w:val="1"/>
      <w:marLeft w:val="0"/>
      <w:marRight w:val="0"/>
      <w:marTop w:val="0"/>
      <w:marBottom w:val="0"/>
      <w:divBdr>
        <w:top w:val="none" w:sz="0" w:space="0" w:color="auto"/>
        <w:left w:val="none" w:sz="0" w:space="0" w:color="auto"/>
        <w:bottom w:val="none" w:sz="0" w:space="0" w:color="auto"/>
        <w:right w:val="none" w:sz="0" w:space="0" w:color="auto"/>
      </w:divBdr>
    </w:div>
    <w:div w:id="1115905717">
      <w:bodyDiv w:val="1"/>
      <w:marLeft w:val="0"/>
      <w:marRight w:val="0"/>
      <w:marTop w:val="0"/>
      <w:marBottom w:val="0"/>
      <w:divBdr>
        <w:top w:val="none" w:sz="0" w:space="0" w:color="auto"/>
        <w:left w:val="none" w:sz="0" w:space="0" w:color="auto"/>
        <w:bottom w:val="none" w:sz="0" w:space="0" w:color="auto"/>
        <w:right w:val="none" w:sz="0" w:space="0" w:color="auto"/>
      </w:divBdr>
    </w:div>
    <w:div w:id="1205485151">
      <w:bodyDiv w:val="1"/>
      <w:marLeft w:val="0"/>
      <w:marRight w:val="0"/>
      <w:marTop w:val="0"/>
      <w:marBottom w:val="0"/>
      <w:divBdr>
        <w:top w:val="none" w:sz="0" w:space="0" w:color="auto"/>
        <w:left w:val="none" w:sz="0" w:space="0" w:color="auto"/>
        <w:bottom w:val="none" w:sz="0" w:space="0" w:color="auto"/>
        <w:right w:val="none" w:sz="0" w:space="0" w:color="auto"/>
      </w:divBdr>
    </w:div>
    <w:div w:id="1265764221">
      <w:bodyDiv w:val="1"/>
      <w:marLeft w:val="0"/>
      <w:marRight w:val="0"/>
      <w:marTop w:val="0"/>
      <w:marBottom w:val="0"/>
      <w:divBdr>
        <w:top w:val="none" w:sz="0" w:space="0" w:color="auto"/>
        <w:left w:val="none" w:sz="0" w:space="0" w:color="auto"/>
        <w:bottom w:val="none" w:sz="0" w:space="0" w:color="auto"/>
        <w:right w:val="none" w:sz="0" w:space="0" w:color="auto"/>
      </w:divBdr>
    </w:div>
    <w:div w:id="1282221224">
      <w:bodyDiv w:val="1"/>
      <w:marLeft w:val="0"/>
      <w:marRight w:val="0"/>
      <w:marTop w:val="0"/>
      <w:marBottom w:val="0"/>
      <w:divBdr>
        <w:top w:val="none" w:sz="0" w:space="0" w:color="auto"/>
        <w:left w:val="none" w:sz="0" w:space="0" w:color="auto"/>
        <w:bottom w:val="none" w:sz="0" w:space="0" w:color="auto"/>
        <w:right w:val="none" w:sz="0" w:space="0" w:color="auto"/>
      </w:divBdr>
    </w:div>
    <w:div w:id="1391658706">
      <w:bodyDiv w:val="1"/>
      <w:marLeft w:val="0"/>
      <w:marRight w:val="0"/>
      <w:marTop w:val="0"/>
      <w:marBottom w:val="0"/>
      <w:divBdr>
        <w:top w:val="none" w:sz="0" w:space="0" w:color="auto"/>
        <w:left w:val="none" w:sz="0" w:space="0" w:color="auto"/>
        <w:bottom w:val="none" w:sz="0" w:space="0" w:color="auto"/>
        <w:right w:val="none" w:sz="0" w:space="0" w:color="auto"/>
      </w:divBdr>
    </w:div>
    <w:div w:id="1477454795">
      <w:bodyDiv w:val="1"/>
      <w:marLeft w:val="0"/>
      <w:marRight w:val="0"/>
      <w:marTop w:val="0"/>
      <w:marBottom w:val="0"/>
      <w:divBdr>
        <w:top w:val="none" w:sz="0" w:space="0" w:color="auto"/>
        <w:left w:val="none" w:sz="0" w:space="0" w:color="auto"/>
        <w:bottom w:val="none" w:sz="0" w:space="0" w:color="auto"/>
        <w:right w:val="none" w:sz="0" w:space="0" w:color="auto"/>
      </w:divBdr>
    </w:div>
    <w:div w:id="1535145013">
      <w:bodyDiv w:val="1"/>
      <w:marLeft w:val="0"/>
      <w:marRight w:val="0"/>
      <w:marTop w:val="0"/>
      <w:marBottom w:val="0"/>
      <w:divBdr>
        <w:top w:val="none" w:sz="0" w:space="0" w:color="auto"/>
        <w:left w:val="none" w:sz="0" w:space="0" w:color="auto"/>
        <w:bottom w:val="none" w:sz="0" w:space="0" w:color="auto"/>
        <w:right w:val="none" w:sz="0" w:space="0" w:color="auto"/>
      </w:divBdr>
    </w:div>
    <w:div w:id="1538740818">
      <w:bodyDiv w:val="1"/>
      <w:marLeft w:val="0"/>
      <w:marRight w:val="0"/>
      <w:marTop w:val="0"/>
      <w:marBottom w:val="0"/>
      <w:divBdr>
        <w:top w:val="none" w:sz="0" w:space="0" w:color="auto"/>
        <w:left w:val="none" w:sz="0" w:space="0" w:color="auto"/>
        <w:bottom w:val="none" w:sz="0" w:space="0" w:color="auto"/>
        <w:right w:val="none" w:sz="0" w:space="0" w:color="auto"/>
      </w:divBdr>
    </w:div>
    <w:div w:id="1613124764">
      <w:bodyDiv w:val="1"/>
      <w:marLeft w:val="0"/>
      <w:marRight w:val="0"/>
      <w:marTop w:val="0"/>
      <w:marBottom w:val="0"/>
      <w:divBdr>
        <w:top w:val="none" w:sz="0" w:space="0" w:color="auto"/>
        <w:left w:val="none" w:sz="0" w:space="0" w:color="auto"/>
        <w:bottom w:val="none" w:sz="0" w:space="0" w:color="auto"/>
        <w:right w:val="none" w:sz="0" w:space="0" w:color="auto"/>
      </w:divBdr>
    </w:div>
    <w:div w:id="1690639618">
      <w:bodyDiv w:val="1"/>
      <w:marLeft w:val="0"/>
      <w:marRight w:val="0"/>
      <w:marTop w:val="0"/>
      <w:marBottom w:val="0"/>
      <w:divBdr>
        <w:top w:val="none" w:sz="0" w:space="0" w:color="auto"/>
        <w:left w:val="none" w:sz="0" w:space="0" w:color="auto"/>
        <w:bottom w:val="none" w:sz="0" w:space="0" w:color="auto"/>
        <w:right w:val="none" w:sz="0" w:space="0" w:color="auto"/>
      </w:divBdr>
    </w:div>
    <w:div w:id="1699966966">
      <w:bodyDiv w:val="1"/>
      <w:marLeft w:val="0"/>
      <w:marRight w:val="0"/>
      <w:marTop w:val="0"/>
      <w:marBottom w:val="0"/>
      <w:divBdr>
        <w:top w:val="none" w:sz="0" w:space="0" w:color="auto"/>
        <w:left w:val="none" w:sz="0" w:space="0" w:color="auto"/>
        <w:bottom w:val="none" w:sz="0" w:space="0" w:color="auto"/>
        <w:right w:val="none" w:sz="0" w:space="0" w:color="auto"/>
      </w:divBdr>
    </w:div>
    <w:div w:id="1812869036">
      <w:bodyDiv w:val="1"/>
      <w:marLeft w:val="0"/>
      <w:marRight w:val="0"/>
      <w:marTop w:val="0"/>
      <w:marBottom w:val="0"/>
      <w:divBdr>
        <w:top w:val="none" w:sz="0" w:space="0" w:color="auto"/>
        <w:left w:val="none" w:sz="0" w:space="0" w:color="auto"/>
        <w:bottom w:val="none" w:sz="0" w:space="0" w:color="auto"/>
        <w:right w:val="none" w:sz="0" w:space="0" w:color="auto"/>
      </w:divBdr>
    </w:div>
    <w:div w:id="1967735561">
      <w:bodyDiv w:val="1"/>
      <w:marLeft w:val="0"/>
      <w:marRight w:val="0"/>
      <w:marTop w:val="0"/>
      <w:marBottom w:val="0"/>
      <w:divBdr>
        <w:top w:val="none" w:sz="0" w:space="0" w:color="auto"/>
        <w:left w:val="none" w:sz="0" w:space="0" w:color="auto"/>
        <w:bottom w:val="none" w:sz="0" w:space="0" w:color="auto"/>
        <w:right w:val="none" w:sz="0" w:space="0" w:color="auto"/>
      </w:divBdr>
    </w:div>
    <w:div w:id="1999385021">
      <w:bodyDiv w:val="1"/>
      <w:marLeft w:val="0"/>
      <w:marRight w:val="0"/>
      <w:marTop w:val="0"/>
      <w:marBottom w:val="0"/>
      <w:divBdr>
        <w:top w:val="none" w:sz="0" w:space="0" w:color="auto"/>
        <w:left w:val="none" w:sz="0" w:space="0" w:color="auto"/>
        <w:bottom w:val="none" w:sz="0" w:space="0" w:color="auto"/>
        <w:right w:val="none" w:sz="0" w:space="0" w:color="auto"/>
      </w:divBdr>
    </w:div>
    <w:div w:id="208105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hart" Target="charts/chart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ckinsey.com" TargetMode="External"/><Relationship Id="rId24" Type="http://schemas.openxmlformats.org/officeDocument/2006/relationships/chart" Target="charts/chart6.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chart" Target="charts/chart5.xml"/><Relationship Id="rId28" Type="http://schemas.openxmlformats.org/officeDocument/2006/relationships/chart" Target="charts/chart10.xml"/><Relationship Id="rId10" Type="http://schemas.openxmlformats.org/officeDocument/2006/relationships/hyperlink" Target="http://www.mckinsey.com"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http://www.deloitte.com" TargetMode="External"/><Relationship Id="rId14" Type="http://schemas.openxmlformats.org/officeDocument/2006/relationships/image" Target="media/image2.png"/><Relationship Id="rId22" Type="http://schemas.openxmlformats.org/officeDocument/2006/relationships/chart" Target="charts/chart4.xml"/><Relationship Id="rId27" Type="http://schemas.openxmlformats.org/officeDocument/2006/relationships/chart" Target="charts/chart9.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embeddings/oleObject8.bin"/><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E:\MY%20FUTURE_FINAL_ANALYSIS\CROSS_CHECK_SSRN_DATA\events%20bonds\event_study_wbonds.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E:\MY%20FUTURE_FINAL_ANALYSIS\CROSS_CHECK_SSRN_DATA\events%20bonds\event_study_wbonds.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embeddings/oleObject7.bin"/><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7071739828945209E-2"/>
          <c:y val="6.0582481531968213E-2"/>
          <c:w val="0.78803135165188265"/>
          <c:h val="0.81471727402968064"/>
        </c:manualLayout>
      </c:layout>
      <c:lineChart>
        <c:grouping val="standard"/>
        <c:varyColors val="0"/>
        <c:ser>
          <c:idx val="0"/>
          <c:order val="0"/>
          <c:tx>
            <c:strRef>
              <c:f>WTI_TRIGGER_SUB_SAMPLE!$BQ$515</c:f>
              <c:strCache>
                <c:ptCount val="1"/>
                <c:pt idx="0">
                  <c:v>CAR-9</c:v>
                </c:pt>
              </c:strCache>
            </c:strRef>
          </c:tx>
          <c:spPr>
            <a:ln>
              <a:solidFill>
                <a:schemeClr val="tx1"/>
              </a:solidFill>
            </a:ln>
          </c:spPr>
          <c:marker>
            <c:symbol val="none"/>
          </c:marker>
          <c:cat>
            <c:numRef>
              <c:f>WTI_TRIGGER_SUB_SAMPLE!$BO$516:$BO$616</c:f>
              <c:numCache>
                <c:formatCode>General</c:formatCode>
                <c:ptCount val="101"/>
                <c:pt idx="0">
                  <c:v>-50</c:v>
                </c:pt>
                <c:pt idx="1">
                  <c:v>-49</c:v>
                </c:pt>
                <c:pt idx="2">
                  <c:v>-48</c:v>
                </c:pt>
                <c:pt idx="3">
                  <c:v>-47</c:v>
                </c:pt>
                <c:pt idx="4">
                  <c:v>-46</c:v>
                </c:pt>
                <c:pt idx="5">
                  <c:v>-45</c:v>
                </c:pt>
                <c:pt idx="6">
                  <c:v>-44</c:v>
                </c:pt>
                <c:pt idx="7">
                  <c:v>-43</c:v>
                </c:pt>
                <c:pt idx="8">
                  <c:v>-42</c:v>
                </c:pt>
                <c:pt idx="9">
                  <c:v>-41</c:v>
                </c:pt>
                <c:pt idx="10">
                  <c:v>-40</c:v>
                </c:pt>
                <c:pt idx="11">
                  <c:v>-39</c:v>
                </c:pt>
                <c:pt idx="12">
                  <c:v>-38</c:v>
                </c:pt>
                <c:pt idx="13">
                  <c:v>-37</c:v>
                </c:pt>
                <c:pt idx="14">
                  <c:v>-36</c:v>
                </c:pt>
                <c:pt idx="15">
                  <c:v>-35</c:v>
                </c:pt>
                <c:pt idx="16">
                  <c:v>-34</c:v>
                </c:pt>
                <c:pt idx="17">
                  <c:v>-33</c:v>
                </c:pt>
                <c:pt idx="18">
                  <c:v>-32</c:v>
                </c:pt>
                <c:pt idx="19">
                  <c:v>-31</c:v>
                </c:pt>
                <c:pt idx="20">
                  <c:v>-30</c:v>
                </c:pt>
                <c:pt idx="21">
                  <c:v>-29</c:v>
                </c:pt>
                <c:pt idx="22">
                  <c:v>-28</c:v>
                </c:pt>
                <c:pt idx="23">
                  <c:v>-27</c:v>
                </c:pt>
                <c:pt idx="24">
                  <c:v>-26</c:v>
                </c:pt>
                <c:pt idx="25">
                  <c:v>-25</c:v>
                </c:pt>
                <c:pt idx="26">
                  <c:v>-24</c:v>
                </c:pt>
                <c:pt idx="27">
                  <c:v>-23</c:v>
                </c:pt>
                <c:pt idx="28">
                  <c:v>-22</c:v>
                </c:pt>
                <c:pt idx="29">
                  <c:v>-21</c:v>
                </c:pt>
                <c:pt idx="30">
                  <c:v>-20</c:v>
                </c:pt>
                <c:pt idx="31">
                  <c:v>-19</c:v>
                </c:pt>
                <c:pt idx="32">
                  <c:v>-18</c:v>
                </c:pt>
                <c:pt idx="33">
                  <c:v>-17</c:v>
                </c:pt>
                <c:pt idx="34">
                  <c:v>-16</c:v>
                </c:pt>
                <c:pt idx="35">
                  <c:v>-15</c:v>
                </c:pt>
                <c:pt idx="36">
                  <c:v>-14</c:v>
                </c:pt>
                <c:pt idx="37">
                  <c:v>-13</c:v>
                </c:pt>
                <c:pt idx="38">
                  <c:v>-12</c:v>
                </c:pt>
                <c:pt idx="39">
                  <c:v>-11</c:v>
                </c:pt>
                <c:pt idx="40">
                  <c:v>-10</c:v>
                </c:pt>
                <c:pt idx="41">
                  <c:v>-9</c:v>
                </c:pt>
                <c:pt idx="42">
                  <c:v>-8</c:v>
                </c:pt>
                <c:pt idx="43">
                  <c:v>-7</c:v>
                </c:pt>
                <c:pt idx="44">
                  <c:v>-6</c:v>
                </c:pt>
                <c:pt idx="45">
                  <c:v>-5</c:v>
                </c:pt>
                <c:pt idx="46">
                  <c:v>-4</c:v>
                </c:pt>
                <c:pt idx="47">
                  <c:v>-3</c:v>
                </c:pt>
                <c:pt idx="48">
                  <c:v>-2</c:v>
                </c:pt>
                <c:pt idx="49">
                  <c:v>-1</c:v>
                </c:pt>
                <c:pt idx="50">
                  <c:v>0</c:v>
                </c:pt>
                <c:pt idx="51">
                  <c:v>1</c:v>
                </c:pt>
                <c:pt idx="52">
                  <c:v>2</c:v>
                </c:pt>
                <c:pt idx="53">
                  <c:v>3</c:v>
                </c:pt>
                <c:pt idx="54">
                  <c:v>4</c:v>
                </c:pt>
                <c:pt idx="55">
                  <c:v>5</c:v>
                </c:pt>
                <c:pt idx="56">
                  <c:v>6</c:v>
                </c:pt>
                <c:pt idx="57">
                  <c:v>7</c:v>
                </c:pt>
                <c:pt idx="58">
                  <c:v>8</c:v>
                </c:pt>
                <c:pt idx="59">
                  <c:v>9</c:v>
                </c:pt>
                <c:pt idx="60">
                  <c:v>10</c:v>
                </c:pt>
                <c:pt idx="61">
                  <c:v>11</c:v>
                </c:pt>
                <c:pt idx="62">
                  <c:v>12</c:v>
                </c:pt>
                <c:pt idx="63">
                  <c:v>13</c:v>
                </c:pt>
                <c:pt idx="64">
                  <c:v>14</c:v>
                </c:pt>
                <c:pt idx="65">
                  <c:v>15</c:v>
                </c:pt>
                <c:pt idx="66">
                  <c:v>16</c:v>
                </c:pt>
                <c:pt idx="67">
                  <c:v>17</c:v>
                </c:pt>
                <c:pt idx="68">
                  <c:v>18</c:v>
                </c:pt>
                <c:pt idx="69">
                  <c:v>19</c:v>
                </c:pt>
                <c:pt idx="70">
                  <c:v>20</c:v>
                </c:pt>
                <c:pt idx="71">
                  <c:v>21</c:v>
                </c:pt>
                <c:pt idx="72">
                  <c:v>22</c:v>
                </c:pt>
                <c:pt idx="73">
                  <c:v>23</c:v>
                </c:pt>
                <c:pt idx="74">
                  <c:v>24</c:v>
                </c:pt>
                <c:pt idx="75">
                  <c:v>25</c:v>
                </c:pt>
                <c:pt idx="76">
                  <c:v>26</c:v>
                </c:pt>
                <c:pt idx="77">
                  <c:v>27</c:v>
                </c:pt>
                <c:pt idx="78">
                  <c:v>28</c:v>
                </c:pt>
                <c:pt idx="79">
                  <c:v>29</c:v>
                </c:pt>
                <c:pt idx="80">
                  <c:v>30</c:v>
                </c:pt>
                <c:pt idx="81">
                  <c:v>31</c:v>
                </c:pt>
                <c:pt idx="82">
                  <c:v>32</c:v>
                </c:pt>
                <c:pt idx="83">
                  <c:v>33</c:v>
                </c:pt>
                <c:pt idx="84">
                  <c:v>34</c:v>
                </c:pt>
                <c:pt idx="85">
                  <c:v>35</c:v>
                </c:pt>
                <c:pt idx="86">
                  <c:v>36</c:v>
                </c:pt>
                <c:pt idx="87">
                  <c:v>37</c:v>
                </c:pt>
                <c:pt idx="88">
                  <c:v>38</c:v>
                </c:pt>
                <c:pt idx="89">
                  <c:v>39</c:v>
                </c:pt>
                <c:pt idx="90">
                  <c:v>40</c:v>
                </c:pt>
                <c:pt idx="91">
                  <c:v>41</c:v>
                </c:pt>
                <c:pt idx="92">
                  <c:v>42</c:v>
                </c:pt>
                <c:pt idx="93">
                  <c:v>43</c:v>
                </c:pt>
                <c:pt idx="94">
                  <c:v>44</c:v>
                </c:pt>
                <c:pt idx="95">
                  <c:v>45</c:v>
                </c:pt>
                <c:pt idx="96">
                  <c:v>46</c:v>
                </c:pt>
                <c:pt idx="97">
                  <c:v>47</c:v>
                </c:pt>
                <c:pt idx="98">
                  <c:v>48</c:v>
                </c:pt>
                <c:pt idx="99">
                  <c:v>49</c:v>
                </c:pt>
                <c:pt idx="100">
                  <c:v>50</c:v>
                </c:pt>
              </c:numCache>
            </c:numRef>
          </c:cat>
          <c:val>
            <c:numRef>
              <c:f>WTI_TRIGGER_SUB_SAMPLE!$BQ$516:$BQ$616</c:f>
              <c:numCache>
                <c:formatCode>0.00%</c:formatCode>
                <c:ptCount val="101"/>
                <c:pt idx="0">
                  <c:v>6.5523314170940865E-3</c:v>
                </c:pt>
                <c:pt idx="1">
                  <c:v>1.1750426129230381E-2</c:v>
                </c:pt>
                <c:pt idx="2">
                  <c:v>1.784698040484289E-2</c:v>
                </c:pt>
                <c:pt idx="3">
                  <c:v>8.5939945795317722E-3</c:v>
                </c:pt>
                <c:pt idx="4">
                  <c:v>8.2861747983530524E-3</c:v>
                </c:pt>
                <c:pt idx="5">
                  <c:v>1.8201398126270377E-2</c:v>
                </c:pt>
                <c:pt idx="6">
                  <c:v>2.2195116981130955E-2</c:v>
                </c:pt>
                <c:pt idx="7">
                  <c:v>2.1848358850196845E-2</c:v>
                </c:pt>
                <c:pt idx="8">
                  <c:v>1.7260248739097987E-2</c:v>
                </c:pt>
                <c:pt idx="9">
                  <c:v>1.6124614201550185E-2</c:v>
                </c:pt>
                <c:pt idx="10">
                  <c:v>1.7604437961669321E-2</c:v>
                </c:pt>
                <c:pt idx="11">
                  <c:v>1.7810552431617173E-2</c:v>
                </c:pt>
                <c:pt idx="12">
                  <c:v>1.2759648565316166E-2</c:v>
                </c:pt>
                <c:pt idx="13">
                  <c:v>1.7343500626218353E-2</c:v>
                </c:pt>
                <c:pt idx="14">
                  <c:v>2.324822850454179E-2</c:v>
                </c:pt>
                <c:pt idx="15">
                  <c:v>2.2782909691056636E-2</c:v>
                </c:pt>
                <c:pt idx="16">
                  <c:v>2.5216966485575296E-2</c:v>
                </c:pt>
                <c:pt idx="17">
                  <c:v>3.0609962243829392E-2</c:v>
                </c:pt>
                <c:pt idx="18">
                  <c:v>3.3687808315118091E-2</c:v>
                </c:pt>
                <c:pt idx="19">
                  <c:v>3.2868572327715811E-2</c:v>
                </c:pt>
                <c:pt idx="20">
                  <c:v>3.5422788332609902E-2</c:v>
                </c:pt>
                <c:pt idx="21">
                  <c:v>3.4795163355602156E-2</c:v>
                </c:pt>
                <c:pt idx="22">
                  <c:v>3.7570418677592692E-2</c:v>
                </c:pt>
                <c:pt idx="23">
                  <c:v>4.3937921192825857E-2</c:v>
                </c:pt>
                <c:pt idx="24">
                  <c:v>4.2215494628099912E-2</c:v>
                </c:pt>
                <c:pt idx="25">
                  <c:v>4.1631147655000457E-2</c:v>
                </c:pt>
                <c:pt idx="26">
                  <c:v>3.8323314023124812E-2</c:v>
                </c:pt>
                <c:pt idx="27">
                  <c:v>3.7545142906001604E-2</c:v>
                </c:pt>
                <c:pt idx="28">
                  <c:v>3.7313246002320083E-2</c:v>
                </c:pt>
                <c:pt idx="29">
                  <c:v>3.6548138157331982E-2</c:v>
                </c:pt>
                <c:pt idx="30">
                  <c:v>3.9722228620359401E-2</c:v>
                </c:pt>
                <c:pt idx="31">
                  <c:v>4.1683562607587682E-2</c:v>
                </c:pt>
                <c:pt idx="32">
                  <c:v>4.2891095488168773E-2</c:v>
                </c:pt>
                <c:pt idx="33">
                  <c:v>4.9919333874168109E-2</c:v>
                </c:pt>
                <c:pt idx="34">
                  <c:v>4.6337037295518496E-2</c:v>
                </c:pt>
                <c:pt idx="35">
                  <c:v>5.2521600757164187E-2</c:v>
                </c:pt>
                <c:pt idx="36">
                  <c:v>5.1276946089844663E-2</c:v>
                </c:pt>
                <c:pt idx="37">
                  <c:v>5.2415535576412063E-2</c:v>
                </c:pt>
                <c:pt idx="38">
                  <c:v>5.4842905132872904E-2</c:v>
                </c:pt>
                <c:pt idx="39">
                  <c:v>5.5008617929883444E-2</c:v>
                </c:pt>
                <c:pt idx="40">
                  <c:v>5.7095773728270571E-2</c:v>
                </c:pt>
                <c:pt idx="41">
                  <c:v>5.6460540422345502E-2</c:v>
                </c:pt>
                <c:pt idx="42">
                  <c:v>5.7096459689683833E-2</c:v>
                </c:pt>
                <c:pt idx="43">
                  <c:v>6.3386559201502782E-2</c:v>
                </c:pt>
                <c:pt idx="44">
                  <c:v>6.6860703120139184E-2</c:v>
                </c:pt>
                <c:pt idx="45">
                  <c:v>7.0502406737343454E-2</c:v>
                </c:pt>
                <c:pt idx="46">
                  <c:v>6.7982860299555928E-2</c:v>
                </c:pt>
                <c:pt idx="47">
                  <c:v>7.362226925844613E-2</c:v>
                </c:pt>
                <c:pt idx="48">
                  <c:v>7.6448751075107624E-2</c:v>
                </c:pt>
                <c:pt idx="49">
                  <c:v>7.4313952055451424E-2</c:v>
                </c:pt>
                <c:pt idx="50">
                  <c:v>7.5666905894732808E-2</c:v>
                </c:pt>
                <c:pt idx="51">
                  <c:v>7.8522637020906547E-2</c:v>
                </c:pt>
                <c:pt idx="52">
                  <c:v>8.2642606838107174E-2</c:v>
                </c:pt>
                <c:pt idx="53">
                  <c:v>8.3024715149406236E-2</c:v>
                </c:pt>
                <c:pt idx="54">
                  <c:v>8.4439625032004501E-2</c:v>
                </c:pt>
                <c:pt idx="55">
                  <c:v>8.0151802010011708E-2</c:v>
                </c:pt>
                <c:pt idx="56">
                  <c:v>8.5049562362953232E-2</c:v>
                </c:pt>
                <c:pt idx="57">
                  <c:v>8.6550508085222605E-2</c:v>
                </c:pt>
                <c:pt idx="58">
                  <c:v>8.6341001193701153E-2</c:v>
                </c:pt>
                <c:pt idx="59">
                  <c:v>8.1715528575276974E-2</c:v>
                </c:pt>
                <c:pt idx="60">
                  <c:v>8.042312972335508E-2</c:v>
                </c:pt>
                <c:pt idx="61">
                  <c:v>8.6145486523908688E-2</c:v>
                </c:pt>
                <c:pt idx="62">
                  <c:v>9.1391520827607903E-2</c:v>
                </c:pt>
                <c:pt idx="63">
                  <c:v>9.3317701060586164E-2</c:v>
                </c:pt>
                <c:pt idx="64">
                  <c:v>9.7466628936364097E-2</c:v>
                </c:pt>
                <c:pt idx="65">
                  <c:v>9.2764221160598528E-2</c:v>
                </c:pt>
                <c:pt idx="66">
                  <c:v>9.0823083044366523E-2</c:v>
                </c:pt>
                <c:pt idx="67">
                  <c:v>9.2227781717664284E-2</c:v>
                </c:pt>
                <c:pt idx="68">
                  <c:v>9.4250569828281658E-2</c:v>
                </c:pt>
                <c:pt idx="69">
                  <c:v>9.4812343345778705E-2</c:v>
                </c:pt>
                <c:pt idx="70">
                  <c:v>9.6376892681198548E-2</c:v>
                </c:pt>
                <c:pt idx="71">
                  <c:v>9.5282133202189451E-2</c:v>
                </c:pt>
                <c:pt idx="72">
                  <c:v>9.554345176338376E-2</c:v>
                </c:pt>
                <c:pt idx="73">
                  <c:v>9.6317471784741454E-2</c:v>
                </c:pt>
                <c:pt idx="74">
                  <c:v>9.8113403303757396E-2</c:v>
                </c:pt>
                <c:pt idx="75">
                  <c:v>9.8294696348953783E-2</c:v>
                </c:pt>
                <c:pt idx="76">
                  <c:v>9.6642232037682865E-2</c:v>
                </c:pt>
                <c:pt idx="77">
                  <c:v>9.6947472844058732E-2</c:v>
                </c:pt>
                <c:pt idx="78">
                  <c:v>9.6797627961094174E-2</c:v>
                </c:pt>
                <c:pt idx="79">
                  <c:v>0.10077092320352986</c:v>
                </c:pt>
                <c:pt idx="80">
                  <c:v>9.9565906979435584E-2</c:v>
                </c:pt>
                <c:pt idx="81">
                  <c:v>0.10134412937952192</c:v>
                </c:pt>
                <c:pt idx="82">
                  <c:v>9.891639192510987E-2</c:v>
                </c:pt>
                <c:pt idx="83">
                  <c:v>0.10171064467279575</c:v>
                </c:pt>
                <c:pt idx="84">
                  <c:v>0.10446559020769892</c:v>
                </c:pt>
                <c:pt idx="85">
                  <c:v>0.1035246247070065</c:v>
                </c:pt>
                <c:pt idx="86">
                  <c:v>0.10334464618344899</c:v>
                </c:pt>
                <c:pt idx="87">
                  <c:v>0.1020646611810897</c:v>
                </c:pt>
                <c:pt idx="88">
                  <c:v>0.1012711675994189</c:v>
                </c:pt>
                <c:pt idx="89">
                  <c:v>0.10739610398294208</c:v>
                </c:pt>
                <c:pt idx="90">
                  <c:v>0.10938268923244608</c:v>
                </c:pt>
                <c:pt idx="91">
                  <c:v>0.11105694224015203</c:v>
                </c:pt>
                <c:pt idx="92">
                  <c:v>0.10991688558720608</c:v>
                </c:pt>
                <c:pt idx="93">
                  <c:v>0.1136802173346079</c:v>
                </c:pt>
                <c:pt idx="94">
                  <c:v>0.11671973151665312</c:v>
                </c:pt>
                <c:pt idx="95">
                  <c:v>0.11334004608503519</c:v>
                </c:pt>
                <c:pt idx="96">
                  <c:v>0.11033094051481883</c:v>
                </c:pt>
                <c:pt idx="97">
                  <c:v>0.10852645677742868</c:v>
                </c:pt>
                <c:pt idx="98">
                  <c:v>0.1109273114183779</c:v>
                </c:pt>
                <c:pt idx="99">
                  <c:v>0.11910302093685216</c:v>
                </c:pt>
                <c:pt idx="100">
                  <c:v>0.12084773057834701</c:v>
                </c:pt>
              </c:numCache>
            </c:numRef>
          </c:val>
          <c:smooth val="0"/>
        </c:ser>
        <c:dLbls>
          <c:showLegendKey val="0"/>
          <c:showVal val="0"/>
          <c:showCatName val="0"/>
          <c:showSerName val="0"/>
          <c:showPercent val="0"/>
          <c:showBubbleSize val="0"/>
        </c:dLbls>
        <c:marker val="1"/>
        <c:smooth val="0"/>
        <c:axId val="121641216"/>
        <c:axId val="121982976"/>
      </c:lineChart>
      <c:catAx>
        <c:axId val="121641216"/>
        <c:scaling>
          <c:orientation val="minMax"/>
        </c:scaling>
        <c:delete val="0"/>
        <c:axPos val="b"/>
        <c:numFmt formatCode="General" sourceLinked="1"/>
        <c:majorTickMark val="out"/>
        <c:minorTickMark val="none"/>
        <c:tickLblPos val="nextTo"/>
        <c:txPr>
          <a:bodyPr/>
          <a:lstStyle/>
          <a:p>
            <a:pPr>
              <a:defRPr sz="800"/>
            </a:pPr>
            <a:endParaRPr lang="en-US"/>
          </a:p>
        </c:txPr>
        <c:crossAx val="121982976"/>
        <c:crosses val="autoZero"/>
        <c:auto val="1"/>
        <c:lblAlgn val="ctr"/>
        <c:lblOffset val="100"/>
        <c:tickLblSkip val="10"/>
        <c:tickMarkSkip val="10"/>
        <c:noMultiLvlLbl val="0"/>
      </c:catAx>
      <c:valAx>
        <c:axId val="121982976"/>
        <c:scaling>
          <c:orientation val="minMax"/>
        </c:scaling>
        <c:delete val="0"/>
        <c:axPos val="l"/>
        <c:majorGridlines/>
        <c:numFmt formatCode="0.00%" sourceLinked="1"/>
        <c:majorTickMark val="out"/>
        <c:minorTickMark val="none"/>
        <c:tickLblPos val="nextTo"/>
        <c:txPr>
          <a:bodyPr/>
          <a:lstStyle/>
          <a:p>
            <a:pPr>
              <a:defRPr sz="800"/>
            </a:pPr>
            <a:endParaRPr lang="en-US"/>
          </a:p>
        </c:txPr>
        <c:crossAx val="121641216"/>
        <c:crosses val="autoZero"/>
        <c:crossBetween val="between"/>
      </c:valAx>
    </c:plotArea>
    <c:plotVisOnly val="1"/>
    <c:dispBlanksAs val="gap"/>
    <c:showDLblsOverMax val="0"/>
  </c:chart>
  <c:spPr>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Sheet2!$BP$515</c:f>
              <c:strCache>
                <c:ptCount val="1"/>
                <c:pt idx="0">
                  <c:v>CAR</c:v>
                </c:pt>
              </c:strCache>
            </c:strRef>
          </c:tx>
          <c:spPr>
            <a:ln>
              <a:solidFill>
                <a:prstClr val="black"/>
              </a:solidFill>
            </a:ln>
          </c:spPr>
          <c:marker>
            <c:symbol val="none"/>
          </c:marker>
          <c:cat>
            <c:numRef>
              <c:f>Sheet2!$A$516:$A$616</c:f>
              <c:numCache>
                <c:formatCode>0</c:formatCode>
                <c:ptCount val="101"/>
                <c:pt idx="0">
                  <c:v>-50</c:v>
                </c:pt>
                <c:pt idx="1">
                  <c:v>-49</c:v>
                </c:pt>
                <c:pt idx="2">
                  <c:v>-48</c:v>
                </c:pt>
                <c:pt idx="3">
                  <c:v>-47</c:v>
                </c:pt>
                <c:pt idx="4">
                  <c:v>-46</c:v>
                </c:pt>
                <c:pt idx="5">
                  <c:v>-45</c:v>
                </c:pt>
                <c:pt idx="6">
                  <c:v>-44</c:v>
                </c:pt>
                <c:pt idx="7">
                  <c:v>-43</c:v>
                </c:pt>
                <c:pt idx="8">
                  <c:v>-42</c:v>
                </c:pt>
                <c:pt idx="9">
                  <c:v>-41</c:v>
                </c:pt>
                <c:pt idx="10">
                  <c:v>-40</c:v>
                </c:pt>
                <c:pt idx="11">
                  <c:v>-39</c:v>
                </c:pt>
                <c:pt idx="12">
                  <c:v>-38</c:v>
                </c:pt>
                <c:pt idx="13">
                  <c:v>-37</c:v>
                </c:pt>
                <c:pt idx="14">
                  <c:v>-36</c:v>
                </c:pt>
                <c:pt idx="15">
                  <c:v>-35</c:v>
                </c:pt>
                <c:pt idx="16">
                  <c:v>-34</c:v>
                </c:pt>
                <c:pt idx="17">
                  <c:v>-33</c:v>
                </c:pt>
                <c:pt idx="18">
                  <c:v>-32</c:v>
                </c:pt>
                <c:pt idx="19">
                  <c:v>-31</c:v>
                </c:pt>
                <c:pt idx="20">
                  <c:v>-30</c:v>
                </c:pt>
                <c:pt idx="21">
                  <c:v>-29</c:v>
                </c:pt>
                <c:pt idx="22">
                  <c:v>-28</c:v>
                </c:pt>
                <c:pt idx="23">
                  <c:v>-27</c:v>
                </c:pt>
                <c:pt idx="24">
                  <c:v>-26</c:v>
                </c:pt>
                <c:pt idx="25">
                  <c:v>-25</c:v>
                </c:pt>
                <c:pt idx="26">
                  <c:v>-24</c:v>
                </c:pt>
                <c:pt idx="27">
                  <c:v>-23</c:v>
                </c:pt>
                <c:pt idx="28">
                  <c:v>-22</c:v>
                </c:pt>
                <c:pt idx="29">
                  <c:v>-21</c:v>
                </c:pt>
                <c:pt idx="30">
                  <c:v>-20</c:v>
                </c:pt>
                <c:pt idx="31">
                  <c:v>-19</c:v>
                </c:pt>
                <c:pt idx="32">
                  <c:v>-18</c:v>
                </c:pt>
                <c:pt idx="33">
                  <c:v>-17</c:v>
                </c:pt>
                <c:pt idx="34">
                  <c:v>-16</c:v>
                </c:pt>
                <c:pt idx="35">
                  <c:v>-15</c:v>
                </c:pt>
                <c:pt idx="36">
                  <c:v>-14</c:v>
                </c:pt>
                <c:pt idx="37">
                  <c:v>-13</c:v>
                </c:pt>
                <c:pt idx="38">
                  <c:v>-12</c:v>
                </c:pt>
                <c:pt idx="39">
                  <c:v>-11</c:v>
                </c:pt>
                <c:pt idx="40">
                  <c:v>-10</c:v>
                </c:pt>
                <c:pt idx="41">
                  <c:v>-9</c:v>
                </c:pt>
                <c:pt idx="42">
                  <c:v>-8</c:v>
                </c:pt>
                <c:pt idx="43">
                  <c:v>-7</c:v>
                </c:pt>
                <c:pt idx="44">
                  <c:v>-6</c:v>
                </c:pt>
                <c:pt idx="45">
                  <c:v>-5</c:v>
                </c:pt>
                <c:pt idx="46">
                  <c:v>-4</c:v>
                </c:pt>
                <c:pt idx="47">
                  <c:v>-3</c:v>
                </c:pt>
                <c:pt idx="48">
                  <c:v>-2</c:v>
                </c:pt>
                <c:pt idx="49">
                  <c:v>-1</c:v>
                </c:pt>
                <c:pt idx="50">
                  <c:v>0</c:v>
                </c:pt>
                <c:pt idx="51">
                  <c:v>1</c:v>
                </c:pt>
                <c:pt idx="52">
                  <c:v>2</c:v>
                </c:pt>
                <c:pt idx="53">
                  <c:v>3</c:v>
                </c:pt>
                <c:pt idx="54">
                  <c:v>4</c:v>
                </c:pt>
                <c:pt idx="55">
                  <c:v>5</c:v>
                </c:pt>
                <c:pt idx="56">
                  <c:v>6</c:v>
                </c:pt>
                <c:pt idx="57">
                  <c:v>7</c:v>
                </c:pt>
                <c:pt idx="58">
                  <c:v>8</c:v>
                </c:pt>
                <c:pt idx="59">
                  <c:v>9</c:v>
                </c:pt>
                <c:pt idx="60">
                  <c:v>10</c:v>
                </c:pt>
                <c:pt idx="61">
                  <c:v>11</c:v>
                </c:pt>
                <c:pt idx="62">
                  <c:v>12</c:v>
                </c:pt>
                <c:pt idx="63">
                  <c:v>13</c:v>
                </c:pt>
                <c:pt idx="64">
                  <c:v>14</c:v>
                </c:pt>
                <c:pt idx="65">
                  <c:v>15</c:v>
                </c:pt>
                <c:pt idx="66">
                  <c:v>16</c:v>
                </c:pt>
                <c:pt idx="67">
                  <c:v>17</c:v>
                </c:pt>
                <c:pt idx="68">
                  <c:v>18</c:v>
                </c:pt>
                <c:pt idx="69">
                  <c:v>19</c:v>
                </c:pt>
                <c:pt idx="70">
                  <c:v>20</c:v>
                </c:pt>
                <c:pt idx="71">
                  <c:v>21</c:v>
                </c:pt>
                <c:pt idx="72">
                  <c:v>22</c:v>
                </c:pt>
                <c:pt idx="73">
                  <c:v>23</c:v>
                </c:pt>
                <c:pt idx="74">
                  <c:v>24</c:v>
                </c:pt>
                <c:pt idx="75">
                  <c:v>25</c:v>
                </c:pt>
                <c:pt idx="76">
                  <c:v>26</c:v>
                </c:pt>
                <c:pt idx="77">
                  <c:v>27</c:v>
                </c:pt>
                <c:pt idx="78">
                  <c:v>28</c:v>
                </c:pt>
                <c:pt idx="79">
                  <c:v>29</c:v>
                </c:pt>
                <c:pt idx="80">
                  <c:v>30</c:v>
                </c:pt>
                <c:pt idx="81">
                  <c:v>31</c:v>
                </c:pt>
                <c:pt idx="82">
                  <c:v>32</c:v>
                </c:pt>
                <c:pt idx="83">
                  <c:v>33</c:v>
                </c:pt>
                <c:pt idx="84">
                  <c:v>34</c:v>
                </c:pt>
                <c:pt idx="85">
                  <c:v>35</c:v>
                </c:pt>
                <c:pt idx="86">
                  <c:v>36</c:v>
                </c:pt>
                <c:pt idx="87">
                  <c:v>37</c:v>
                </c:pt>
                <c:pt idx="88">
                  <c:v>38</c:v>
                </c:pt>
                <c:pt idx="89">
                  <c:v>39</c:v>
                </c:pt>
                <c:pt idx="90">
                  <c:v>40</c:v>
                </c:pt>
                <c:pt idx="91">
                  <c:v>41</c:v>
                </c:pt>
                <c:pt idx="92">
                  <c:v>42</c:v>
                </c:pt>
                <c:pt idx="93">
                  <c:v>43</c:v>
                </c:pt>
                <c:pt idx="94">
                  <c:v>44</c:v>
                </c:pt>
                <c:pt idx="95">
                  <c:v>45</c:v>
                </c:pt>
                <c:pt idx="96">
                  <c:v>46</c:v>
                </c:pt>
                <c:pt idx="97">
                  <c:v>47</c:v>
                </c:pt>
                <c:pt idx="98">
                  <c:v>48</c:v>
                </c:pt>
                <c:pt idx="99">
                  <c:v>49</c:v>
                </c:pt>
                <c:pt idx="100">
                  <c:v>50</c:v>
                </c:pt>
              </c:numCache>
            </c:numRef>
          </c:cat>
          <c:val>
            <c:numRef>
              <c:f>Sheet2!$BP$516:$BP$616</c:f>
              <c:numCache>
                <c:formatCode>0.00%</c:formatCode>
                <c:ptCount val="101"/>
                <c:pt idx="0">
                  <c:v>5.6575874770791197E-5</c:v>
                </c:pt>
                <c:pt idx="1">
                  <c:v>9.1230174244106947E-4</c:v>
                </c:pt>
                <c:pt idx="2">
                  <c:v>2.5778816741626642E-3</c:v>
                </c:pt>
                <c:pt idx="3">
                  <c:v>2.6951166471002857E-3</c:v>
                </c:pt>
                <c:pt idx="4">
                  <c:v>2.5228169987763101E-3</c:v>
                </c:pt>
                <c:pt idx="5">
                  <c:v>2.3554233526522899E-3</c:v>
                </c:pt>
                <c:pt idx="6">
                  <c:v>2.1440811711113746E-3</c:v>
                </c:pt>
                <c:pt idx="7">
                  <c:v>2.654613942506379E-3</c:v>
                </c:pt>
                <c:pt idx="8">
                  <c:v>3.2983262921513073E-3</c:v>
                </c:pt>
                <c:pt idx="9">
                  <c:v>3.8665194944502478E-3</c:v>
                </c:pt>
                <c:pt idx="10">
                  <c:v>1.5342260736165353E-3</c:v>
                </c:pt>
                <c:pt idx="11">
                  <c:v>-1.7742577297087103E-3</c:v>
                </c:pt>
                <c:pt idx="12">
                  <c:v>7.919413601849151E-4</c:v>
                </c:pt>
                <c:pt idx="13">
                  <c:v>1.7989321596643379E-4</c:v>
                </c:pt>
                <c:pt idx="14">
                  <c:v>5.0863695671966977E-5</c:v>
                </c:pt>
                <c:pt idx="15">
                  <c:v>-1.4915989011696847E-3</c:v>
                </c:pt>
                <c:pt idx="16">
                  <c:v>-1.0063471189657917E-3</c:v>
                </c:pt>
                <c:pt idx="17">
                  <c:v>-4.9635747159759084E-4</c:v>
                </c:pt>
                <c:pt idx="18">
                  <c:v>-1.1478292409673628E-3</c:v>
                </c:pt>
                <c:pt idx="19">
                  <c:v>-9.502917943465237E-4</c:v>
                </c:pt>
                <c:pt idx="20">
                  <c:v>6.3044461737922193E-4</c:v>
                </c:pt>
                <c:pt idx="21">
                  <c:v>6.2178382564708411E-4</c:v>
                </c:pt>
                <c:pt idx="22">
                  <c:v>1.4829001957651939E-4</c:v>
                </c:pt>
                <c:pt idx="23">
                  <c:v>-9.9943717988918118E-4</c:v>
                </c:pt>
                <c:pt idx="24">
                  <c:v>4.246295128607679E-4</c:v>
                </c:pt>
                <c:pt idx="25">
                  <c:v>-8.6416639076895144E-5</c:v>
                </c:pt>
                <c:pt idx="26">
                  <c:v>-1.7538346746927881E-3</c:v>
                </c:pt>
                <c:pt idx="27">
                  <c:v>-1.8369892221961521E-3</c:v>
                </c:pt>
                <c:pt idx="28">
                  <c:v>-2.1771387879434344E-4</c:v>
                </c:pt>
                <c:pt idx="29">
                  <c:v>1.3169303680469338E-4</c:v>
                </c:pt>
                <c:pt idx="30">
                  <c:v>4.2705641306004666E-4</c:v>
                </c:pt>
                <c:pt idx="31">
                  <c:v>1.4764378067798949E-4</c:v>
                </c:pt>
                <c:pt idx="32">
                  <c:v>1.158082501253817E-3</c:v>
                </c:pt>
                <c:pt idx="33">
                  <c:v>9.1761527317787094E-4</c:v>
                </c:pt>
                <c:pt idx="34">
                  <c:v>1.6806570373817098E-3</c:v>
                </c:pt>
                <c:pt idx="35">
                  <c:v>3.1933179752963925E-3</c:v>
                </c:pt>
                <c:pt idx="36">
                  <c:v>3.5862202066655399E-3</c:v>
                </c:pt>
                <c:pt idx="37">
                  <c:v>2.7348157662811031E-3</c:v>
                </c:pt>
                <c:pt idx="38">
                  <c:v>1.8393705865984745E-3</c:v>
                </c:pt>
                <c:pt idx="39">
                  <c:v>8.3235379898166531E-4</c:v>
                </c:pt>
                <c:pt idx="40">
                  <c:v>-2.4318288157002101E-3</c:v>
                </c:pt>
                <c:pt idx="41">
                  <c:v>-1.6547754715908005E-3</c:v>
                </c:pt>
                <c:pt idx="42">
                  <c:v>-1.9462114469360819E-3</c:v>
                </c:pt>
                <c:pt idx="43">
                  <c:v>-3.8082948383766878E-3</c:v>
                </c:pt>
                <c:pt idx="44">
                  <c:v>-3.8907184533756981E-3</c:v>
                </c:pt>
                <c:pt idx="45">
                  <c:v>-4.8461657945637251E-3</c:v>
                </c:pt>
                <c:pt idx="46">
                  <c:v>-6.1478317714378384E-3</c:v>
                </c:pt>
                <c:pt idx="47">
                  <c:v>-7.6183707419209537E-3</c:v>
                </c:pt>
                <c:pt idx="48">
                  <c:v>-7.4903651860156939E-3</c:v>
                </c:pt>
                <c:pt idx="49">
                  <c:v>-9.051596115722536E-3</c:v>
                </c:pt>
                <c:pt idx="50">
                  <c:v>-1.0307096297612896E-2</c:v>
                </c:pt>
                <c:pt idx="51">
                  <c:v>-9.9068733227323357E-3</c:v>
                </c:pt>
                <c:pt idx="52">
                  <c:v>-1.0758061469093555E-2</c:v>
                </c:pt>
                <c:pt idx="53">
                  <c:v>-1.0679172008063401E-2</c:v>
                </c:pt>
                <c:pt idx="54">
                  <c:v>-1.0261432665841771E-2</c:v>
                </c:pt>
                <c:pt idx="55">
                  <c:v>-1.0336817829493101E-2</c:v>
                </c:pt>
                <c:pt idx="56">
                  <c:v>-1.1014813078829216E-2</c:v>
                </c:pt>
                <c:pt idx="57">
                  <c:v>-1.1735042382871817E-2</c:v>
                </c:pt>
                <c:pt idx="58">
                  <c:v>-1.1931142543888967E-2</c:v>
                </c:pt>
                <c:pt idx="59">
                  <c:v>-1.1407429563949464E-2</c:v>
                </c:pt>
                <c:pt idx="60">
                  <c:v>-1.2642759407047989E-2</c:v>
                </c:pt>
                <c:pt idx="61">
                  <c:v>-1.4955443347470744E-2</c:v>
                </c:pt>
                <c:pt idx="62">
                  <c:v>-1.3517169241046905E-2</c:v>
                </c:pt>
                <c:pt idx="63">
                  <c:v>-1.3870139455842102E-2</c:v>
                </c:pt>
                <c:pt idx="64">
                  <c:v>-1.4797919334384952E-2</c:v>
                </c:pt>
                <c:pt idx="65">
                  <c:v>-1.639342188994148E-2</c:v>
                </c:pt>
                <c:pt idx="66">
                  <c:v>-1.6475046093023971E-2</c:v>
                </c:pt>
                <c:pt idx="67">
                  <c:v>-1.6597345907118768E-2</c:v>
                </c:pt>
                <c:pt idx="68">
                  <c:v>-1.7431781200984743E-2</c:v>
                </c:pt>
                <c:pt idx="69">
                  <c:v>-1.7350927423598346E-2</c:v>
                </c:pt>
                <c:pt idx="70">
                  <c:v>-1.7474570817305784E-2</c:v>
                </c:pt>
                <c:pt idx="71">
                  <c:v>-1.7529698902302212E-2</c:v>
                </c:pt>
                <c:pt idx="72">
                  <c:v>-1.9242058754624605E-2</c:v>
                </c:pt>
                <c:pt idx="73">
                  <c:v>-2.0105544700956476E-2</c:v>
                </c:pt>
                <c:pt idx="74">
                  <c:v>-2.0716094976225088E-2</c:v>
                </c:pt>
                <c:pt idx="75">
                  <c:v>-2.1611747172152983E-2</c:v>
                </c:pt>
                <c:pt idx="76">
                  <c:v>-2.3585243984883413E-2</c:v>
                </c:pt>
                <c:pt idx="77">
                  <c:v>-2.3727241226370859E-2</c:v>
                </c:pt>
                <c:pt idx="78">
                  <c:v>-2.2692773117234808E-2</c:v>
                </c:pt>
                <c:pt idx="79">
                  <c:v>-2.3486631910279551E-2</c:v>
                </c:pt>
                <c:pt idx="80">
                  <c:v>-2.3775024876199712E-2</c:v>
                </c:pt>
                <c:pt idx="81">
                  <c:v>-2.3245526915226414E-2</c:v>
                </c:pt>
                <c:pt idx="82">
                  <c:v>-2.3101768062239882E-2</c:v>
                </c:pt>
                <c:pt idx="83">
                  <c:v>-2.4208598344486462E-2</c:v>
                </c:pt>
                <c:pt idx="84">
                  <c:v>-2.4805381501947058E-2</c:v>
                </c:pt>
                <c:pt idx="85">
                  <c:v>-2.5053275499626528E-2</c:v>
                </c:pt>
                <c:pt idx="86">
                  <c:v>-2.3015866488559383E-2</c:v>
                </c:pt>
                <c:pt idx="87">
                  <c:v>-2.363639691889725E-2</c:v>
                </c:pt>
                <c:pt idx="88">
                  <c:v>-2.4711842374183422E-2</c:v>
                </c:pt>
                <c:pt idx="89">
                  <c:v>-2.7558889324449141E-2</c:v>
                </c:pt>
                <c:pt idx="90">
                  <c:v>-2.8819229894910689E-2</c:v>
                </c:pt>
                <c:pt idx="91">
                  <c:v>-2.9460997737761251E-2</c:v>
                </c:pt>
                <c:pt idx="92">
                  <c:v>-3.1615649716855224E-2</c:v>
                </c:pt>
                <c:pt idx="93">
                  <c:v>-3.0661081892654488E-2</c:v>
                </c:pt>
                <c:pt idx="94">
                  <c:v>-3.0951865553792611E-2</c:v>
                </c:pt>
                <c:pt idx="95">
                  <c:v>-3.0259856963758693E-2</c:v>
                </c:pt>
                <c:pt idx="96">
                  <c:v>-2.9535818519791018E-2</c:v>
                </c:pt>
                <c:pt idx="97">
                  <c:v>-2.8961376920280002E-2</c:v>
                </c:pt>
                <c:pt idx="98">
                  <c:v>-2.9667255050696211E-2</c:v>
                </c:pt>
                <c:pt idx="99">
                  <c:v>-2.9078612346266002E-2</c:v>
                </c:pt>
                <c:pt idx="100">
                  <c:v>-2.9765008994889732E-2</c:v>
                </c:pt>
              </c:numCache>
            </c:numRef>
          </c:val>
          <c:smooth val="0"/>
        </c:ser>
        <c:dLbls>
          <c:showLegendKey val="0"/>
          <c:showVal val="0"/>
          <c:showCatName val="0"/>
          <c:showSerName val="0"/>
          <c:showPercent val="0"/>
          <c:showBubbleSize val="0"/>
        </c:dLbls>
        <c:marker val="1"/>
        <c:smooth val="0"/>
        <c:axId val="122329728"/>
        <c:axId val="118956416"/>
      </c:lineChart>
      <c:catAx>
        <c:axId val="122329728"/>
        <c:scaling>
          <c:orientation val="minMax"/>
        </c:scaling>
        <c:delete val="0"/>
        <c:axPos val="b"/>
        <c:numFmt formatCode="0" sourceLinked="1"/>
        <c:majorTickMark val="out"/>
        <c:minorTickMark val="none"/>
        <c:tickLblPos val="nextTo"/>
        <c:txPr>
          <a:bodyPr/>
          <a:lstStyle/>
          <a:p>
            <a:pPr>
              <a:defRPr sz="800"/>
            </a:pPr>
            <a:endParaRPr lang="en-US"/>
          </a:p>
        </c:txPr>
        <c:crossAx val="118956416"/>
        <c:crossesAt val="-4.0000000000000022E-2"/>
        <c:auto val="1"/>
        <c:lblAlgn val="ctr"/>
        <c:lblOffset val="100"/>
        <c:tickLblSkip val="10"/>
        <c:tickMarkSkip val="10"/>
        <c:noMultiLvlLbl val="0"/>
      </c:catAx>
      <c:valAx>
        <c:axId val="118956416"/>
        <c:scaling>
          <c:orientation val="minMax"/>
          <c:max val="1.0000000000000005E-2"/>
          <c:min val="-4.0000000000000022E-2"/>
        </c:scaling>
        <c:delete val="0"/>
        <c:axPos val="l"/>
        <c:majorGridlines/>
        <c:numFmt formatCode="0.00%" sourceLinked="1"/>
        <c:majorTickMark val="out"/>
        <c:minorTickMark val="none"/>
        <c:tickLblPos val="nextTo"/>
        <c:txPr>
          <a:bodyPr/>
          <a:lstStyle/>
          <a:p>
            <a:pPr>
              <a:defRPr sz="800"/>
            </a:pPr>
            <a:endParaRPr lang="en-US"/>
          </a:p>
        </c:txPr>
        <c:crossAx val="122329728"/>
        <c:crosses val="autoZero"/>
        <c:crossBetween val="between"/>
        <c:majorUnit val="1.0000000000000005E-2"/>
      </c:valAx>
    </c:plotArea>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Sheet2!$BP$515</c:f>
              <c:strCache>
                <c:ptCount val="1"/>
                <c:pt idx="0">
                  <c:v>CAR</c:v>
                </c:pt>
              </c:strCache>
            </c:strRef>
          </c:tx>
          <c:spPr>
            <a:ln>
              <a:solidFill>
                <a:schemeClr val="tx1"/>
              </a:solidFill>
            </a:ln>
          </c:spPr>
          <c:marker>
            <c:symbol val="none"/>
          </c:marker>
          <c:cat>
            <c:numRef>
              <c:f>Sheet2!$A$516:$A$616</c:f>
              <c:numCache>
                <c:formatCode>0</c:formatCode>
                <c:ptCount val="101"/>
                <c:pt idx="0">
                  <c:v>-50</c:v>
                </c:pt>
                <c:pt idx="1">
                  <c:v>-49</c:v>
                </c:pt>
                <c:pt idx="2">
                  <c:v>-48</c:v>
                </c:pt>
                <c:pt idx="3">
                  <c:v>-47</c:v>
                </c:pt>
                <c:pt idx="4">
                  <c:v>-46</c:v>
                </c:pt>
                <c:pt idx="5">
                  <c:v>-45</c:v>
                </c:pt>
                <c:pt idx="6">
                  <c:v>-44</c:v>
                </c:pt>
                <c:pt idx="7">
                  <c:v>-43</c:v>
                </c:pt>
                <c:pt idx="8">
                  <c:v>-42</c:v>
                </c:pt>
                <c:pt idx="9">
                  <c:v>-41</c:v>
                </c:pt>
                <c:pt idx="10">
                  <c:v>-40</c:v>
                </c:pt>
                <c:pt idx="11">
                  <c:v>-39</c:v>
                </c:pt>
                <c:pt idx="12">
                  <c:v>-38</c:v>
                </c:pt>
                <c:pt idx="13">
                  <c:v>-37</c:v>
                </c:pt>
                <c:pt idx="14">
                  <c:v>-36</c:v>
                </c:pt>
                <c:pt idx="15">
                  <c:v>-35</c:v>
                </c:pt>
                <c:pt idx="16">
                  <c:v>-34</c:v>
                </c:pt>
                <c:pt idx="17">
                  <c:v>-33</c:v>
                </c:pt>
                <c:pt idx="18">
                  <c:v>-32</c:v>
                </c:pt>
                <c:pt idx="19">
                  <c:v>-31</c:v>
                </c:pt>
                <c:pt idx="20">
                  <c:v>-30</c:v>
                </c:pt>
                <c:pt idx="21">
                  <c:v>-29</c:v>
                </c:pt>
                <c:pt idx="22">
                  <c:v>-28</c:v>
                </c:pt>
                <c:pt idx="23">
                  <c:v>-27</c:v>
                </c:pt>
                <c:pt idx="24">
                  <c:v>-26</c:v>
                </c:pt>
                <c:pt idx="25">
                  <c:v>-25</c:v>
                </c:pt>
                <c:pt idx="26">
                  <c:v>-24</c:v>
                </c:pt>
                <c:pt idx="27">
                  <c:v>-23</c:v>
                </c:pt>
                <c:pt idx="28">
                  <c:v>-22</c:v>
                </c:pt>
                <c:pt idx="29">
                  <c:v>-21</c:v>
                </c:pt>
                <c:pt idx="30">
                  <c:v>-20</c:v>
                </c:pt>
                <c:pt idx="31">
                  <c:v>-19</c:v>
                </c:pt>
                <c:pt idx="32">
                  <c:v>-18</c:v>
                </c:pt>
                <c:pt idx="33">
                  <c:v>-17</c:v>
                </c:pt>
                <c:pt idx="34">
                  <c:v>-16</c:v>
                </c:pt>
                <c:pt idx="35">
                  <c:v>-15</c:v>
                </c:pt>
                <c:pt idx="36">
                  <c:v>-14</c:v>
                </c:pt>
                <c:pt idx="37">
                  <c:v>-13</c:v>
                </c:pt>
                <c:pt idx="38">
                  <c:v>-12</c:v>
                </c:pt>
                <c:pt idx="39">
                  <c:v>-11</c:v>
                </c:pt>
                <c:pt idx="40">
                  <c:v>-10</c:v>
                </c:pt>
                <c:pt idx="41">
                  <c:v>-9</c:v>
                </c:pt>
                <c:pt idx="42">
                  <c:v>-8</c:v>
                </c:pt>
                <c:pt idx="43">
                  <c:v>-7</c:v>
                </c:pt>
                <c:pt idx="44">
                  <c:v>-6</c:v>
                </c:pt>
                <c:pt idx="45">
                  <c:v>-5</c:v>
                </c:pt>
                <c:pt idx="46">
                  <c:v>-4</c:v>
                </c:pt>
                <c:pt idx="47">
                  <c:v>-3</c:v>
                </c:pt>
                <c:pt idx="48">
                  <c:v>-2</c:v>
                </c:pt>
                <c:pt idx="49">
                  <c:v>-1</c:v>
                </c:pt>
                <c:pt idx="50">
                  <c:v>0</c:v>
                </c:pt>
                <c:pt idx="51">
                  <c:v>1</c:v>
                </c:pt>
                <c:pt idx="52">
                  <c:v>2</c:v>
                </c:pt>
                <c:pt idx="53">
                  <c:v>3</c:v>
                </c:pt>
                <c:pt idx="54">
                  <c:v>4</c:v>
                </c:pt>
                <c:pt idx="55">
                  <c:v>5</c:v>
                </c:pt>
                <c:pt idx="56">
                  <c:v>6</c:v>
                </c:pt>
                <c:pt idx="57">
                  <c:v>7</c:v>
                </c:pt>
                <c:pt idx="58">
                  <c:v>8</c:v>
                </c:pt>
                <c:pt idx="59">
                  <c:v>9</c:v>
                </c:pt>
                <c:pt idx="60">
                  <c:v>10</c:v>
                </c:pt>
                <c:pt idx="61">
                  <c:v>11</c:v>
                </c:pt>
                <c:pt idx="62">
                  <c:v>12</c:v>
                </c:pt>
                <c:pt idx="63">
                  <c:v>13</c:v>
                </c:pt>
                <c:pt idx="64">
                  <c:v>14</c:v>
                </c:pt>
                <c:pt idx="65">
                  <c:v>15</c:v>
                </c:pt>
                <c:pt idx="66">
                  <c:v>16</c:v>
                </c:pt>
                <c:pt idx="67">
                  <c:v>17</c:v>
                </c:pt>
                <c:pt idx="68">
                  <c:v>18</c:v>
                </c:pt>
                <c:pt idx="69">
                  <c:v>19</c:v>
                </c:pt>
                <c:pt idx="70">
                  <c:v>20</c:v>
                </c:pt>
                <c:pt idx="71">
                  <c:v>21</c:v>
                </c:pt>
                <c:pt idx="72">
                  <c:v>22</c:v>
                </c:pt>
                <c:pt idx="73">
                  <c:v>23</c:v>
                </c:pt>
                <c:pt idx="74">
                  <c:v>24</c:v>
                </c:pt>
                <c:pt idx="75">
                  <c:v>25</c:v>
                </c:pt>
                <c:pt idx="76">
                  <c:v>26</c:v>
                </c:pt>
                <c:pt idx="77">
                  <c:v>27</c:v>
                </c:pt>
                <c:pt idx="78">
                  <c:v>28</c:v>
                </c:pt>
                <c:pt idx="79">
                  <c:v>29</c:v>
                </c:pt>
                <c:pt idx="80">
                  <c:v>30</c:v>
                </c:pt>
                <c:pt idx="81">
                  <c:v>31</c:v>
                </c:pt>
                <c:pt idx="82">
                  <c:v>32</c:v>
                </c:pt>
                <c:pt idx="83">
                  <c:v>33</c:v>
                </c:pt>
                <c:pt idx="84">
                  <c:v>34</c:v>
                </c:pt>
                <c:pt idx="85">
                  <c:v>35</c:v>
                </c:pt>
                <c:pt idx="86">
                  <c:v>36</c:v>
                </c:pt>
                <c:pt idx="87">
                  <c:v>37</c:v>
                </c:pt>
                <c:pt idx="88">
                  <c:v>38</c:v>
                </c:pt>
                <c:pt idx="89">
                  <c:v>39</c:v>
                </c:pt>
                <c:pt idx="90">
                  <c:v>40</c:v>
                </c:pt>
                <c:pt idx="91">
                  <c:v>41</c:v>
                </c:pt>
                <c:pt idx="92">
                  <c:v>42</c:v>
                </c:pt>
                <c:pt idx="93">
                  <c:v>43</c:v>
                </c:pt>
                <c:pt idx="94">
                  <c:v>44</c:v>
                </c:pt>
                <c:pt idx="95">
                  <c:v>45</c:v>
                </c:pt>
                <c:pt idx="96">
                  <c:v>46</c:v>
                </c:pt>
                <c:pt idx="97">
                  <c:v>47</c:v>
                </c:pt>
                <c:pt idx="98">
                  <c:v>48</c:v>
                </c:pt>
                <c:pt idx="99">
                  <c:v>49</c:v>
                </c:pt>
                <c:pt idx="100">
                  <c:v>50</c:v>
                </c:pt>
              </c:numCache>
            </c:numRef>
          </c:cat>
          <c:val>
            <c:numRef>
              <c:f>Sheet2!$BP$516:$BP$616</c:f>
              <c:numCache>
                <c:formatCode>0.00%</c:formatCode>
                <c:ptCount val="101"/>
                <c:pt idx="0">
                  <c:v>4.9219171029730507E-3</c:v>
                </c:pt>
                <c:pt idx="1">
                  <c:v>8.0198252381945175E-3</c:v>
                </c:pt>
                <c:pt idx="2">
                  <c:v>1.146138288135694E-2</c:v>
                </c:pt>
                <c:pt idx="3">
                  <c:v>6.0418126911069726E-3</c:v>
                </c:pt>
                <c:pt idx="4">
                  <c:v>8.4020008414341704E-3</c:v>
                </c:pt>
                <c:pt idx="5">
                  <c:v>1.3689733688767938E-2</c:v>
                </c:pt>
                <c:pt idx="6">
                  <c:v>1.7770069980767203E-2</c:v>
                </c:pt>
                <c:pt idx="7">
                  <c:v>1.5376706712007727E-2</c:v>
                </c:pt>
                <c:pt idx="8">
                  <c:v>1.4375511506467403E-2</c:v>
                </c:pt>
                <c:pt idx="9">
                  <c:v>1.2660615843770711E-2</c:v>
                </c:pt>
                <c:pt idx="10">
                  <c:v>1.3630034140064721E-2</c:v>
                </c:pt>
                <c:pt idx="11">
                  <c:v>1.3328091318788723E-2</c:v>
                </c:pt>
                <c:pt idx="12">
                  <c:v>8.4869518821656768E-3</c:v>
                </c:pt>
                <c:pt idx="13">
                  <c:v>1.1729796193219445E-2</c:v>
                </c:pt>
                <c:pt idx="14">
                  <c:v>1.483430355677539E-2</c:v>
                </c:pt>
                <c:pt idx="15">
                  <c:v>1.3045115060356015E-2</c:v>
                </c:pt>
                <c:pt idx="16">
                  <c:v>1.416750750486862E-2</c:v>
                </c:pt>
                <c:pt idx="17">
                  <c:v>2.2950465452095611E-2</c:v>
                </c:pt>
                <c:pt idx="18">
                  <c:v>2.7214167613199409E-2</c:v>
                </c:pt>
                <c:pt idx="19">
                  <c:v>2.6848727963029818E-2</c:v>
                </c:pt>
                <c:pt idx="20">
                  <c:v>2.7686059426481186E-2</c:v>
                </c:pt>
                <c:pt idx="21">
                  <c:v>3.217095516708101E-2</c:v>
                </c:pt>
                <c:pt idx="22">
                  <c:v>3.1567489354429996E-2</c:v>
                </c:pt>
                <c:pt idx="23">
                  <c:v>3.6410125442281081E-2</c:v>
                </c:pt>
                <c:pt idx="24">
                  <c:v>3.2929354060844088E-2</c:v>
                </c:pt>
                <c:pt idx="25">
                  <c:v>3.3446796910766415E-2</c:v>
                </c:pt>
                <c:pt idx="26">
                  <c:v>3.0534613168310812E-2</c:v>
                </c:pt>
                <c:pt idx="27">
                  <c:v>3.084995713550389E-2</c:v>
                </c:pt>
                <c:pt idx="28">
                  <c:v>3.0737876061968712E-2</c:v>
                </c:pt>
                <c:pt idx="29">
                  <c:v>3.1403331944129295E-2</c:v>
                </c:pt>
                <c:pt idx="30">
                  <c:v>3.3323011372631203E-2</c:v>
                </c:pt>
                <c:pt idx="31">
                  <c:v>3.4467254106388928E-2</c:v>
                </c:pt>
                <c:pt idx="32">
                  <c:v>3.4073325133338522E-2</c:v>
                </c:pt>
                <c:pt idx="33">
                  <c:v>3.6587462522910993E-2</c:v>
                </c:pt>
                <c:pt idx="34">
                  <c:v>3.4941463163535511E-2</c:v>
                </c:pt>
                <c:pt idx="35">
                  <c:v>4.1020170543538431E-2</c:v>
                </c:pt>
                <c:pt idx="36">
                  <c:v>4.0000179641339853E-2</c:v>
                </c:pt>
                <c:pt idx="37">
                  <c:v>4.1541071439066567E-2</c:v>
                </c:pt>
                <c:pt idx="38">
                  <c:v>4.4008406248001862E-2</c:v>
                </c:pt>
                <c:pt idx="39">
                  <c:v>4.6574112352582665E-2</c:v>
                </c:pt>
                <c:pt idx="40">
                  <c:v>4.6819176448464457E-2</c:v>
                </c:pt>
                <c:pt idx="41">
                  <c:v>4.7226456234034563E-2</c:v>
                </c:pt>
                <c:pt idx="42">
                  <c:v>4.5239977038037324E-2</c:v>
                </c:pt>
                <c:pt idx="43">
                  <c:v>5.0142285776521821E-2</c:v>
                </c:pt>
                <c:pt idx="44">
                  <c:v>5.2367406544768257E-2</c:v>
                </c:pt>
                <c:pt idx="45">
                  <c:v>5.6702581096140535E-2</c:v>
                </c:pt>
                <c:pt idx="46">
                  <c:v>5.3838984826830187E-2</c:v>
                </c:pt>
                <c:pt idx="47">
                  <c:v>5.6888736694902214E-2</c:v>
                </c:pt>
                <c:pt idx="48">
                  <c:v>5.8304935639911667E-2</c:v>
                </c:pt>
                <c:pt idx="49">
                  <c:v>5.7391808869491502E-2</c:v>
                </c:pt>
                <c:pt idx="50">
                  <c:v>5.8431650909296876E-2</c:v>
                </c:pt>
                <c:pt idx="51">
                  <c:v>6.2051402288428974E-2</c:v>
                </c:pt>
                <c:pt idx="52">
                  <c:v>6.2174918698311925E-2</c:v>
                </c:pt>
                <c:pt idx="53">
                  <c:v>6.2863078122259192E-2</c:v>
                </c:pt>
                <c:pt idx="54">
                  <c:v>6.4374066553649884E-2</c:v>
                </c:pt>
                <c:pt idx="55">
                  <c:v>5.8610682969748126E-2</c:v>
                </c:pt>
                <c:pt idx="56">
                  <c:v>6.2148197958796496E-2</c:v>
                </c:pt>
                <c:pt idx="57">
                  <c:v>6.6098028838508863E-2</c:v>
                </c:pt>
                <c:pt idx="58">
                  <c:v>6.6273717662673343E-2</c:v>
                </c:pt>
                <c:pt idx="59">
                  <c:v>6.4104605596033593E-2</c:v>
                </c:pt>
                <c:pt idx="60">
                  <c:v>6.1710335131617833E-2</c:v>
                </c:pt>
                <c:pt idx="61">
                  <c:v>6.6858136727914144E-2</c:v>
                </c:pt>
                <c:pt idx="62">
                  <c:v>7.0935517838658993E-2</c:v>
                </c:pt>
                <c:pt idx="63">
                  <c:v>7.3957322147007593E-2</c:v>
                </c:pt>
                <c:pt idx="64">
                  <c:v>7.5943480089471715E-2</c:v>
                </c:pt>
                <c:pt idx="65">
                  <c:v>7.1986177252223699E-2</c:v>
                </c:pt>
                <c:pt idx="66">
                  <c:v>7.0003767138224801E-2</c:v>
                </c:pt>
                <c:pt idx="67">
                  <c:v>7.1760878793694777E-2</c:v>
                </c:pt>
                <c:pt idx="68">
                  <c:v>7.4101680123656533E-2</c:v>
                </c:pt>
                <c:pt idx="69">
                  <c:v>7.5164643411750387E-2</c:v>
                </c:pt>
                <c:pt idx="70">
                  <c:v>7.5193932114189094E-2</c:v>
                </c:pt>
                <c:pt idx="71">
                  <c:v>7.2322213240321537E-2</c:v>
                </c:pt>
                <c:pt idx="72">
                  <c:v>7.299611418170808E-2</c:v>
                </c:pt>
                <c:pt idx="73">
                  <c:v>7.3415758373475179E-2</c:v>
                </c:pt>
                <c:pt idx="74">
                  <c:v>7.3324180636834699E-2</c:v>
                </c:pt>
                <c:pt idx="75">
                  <c:v>7.387732476780956E-2</c:v>
                </c:pt>
                <c:pt idx="76">
                  <c:v>7.2368623864935436E-2</c:v>
                </c:pt>
                <c:pt idx="77">
                  <c:v>7.0735137694973818E-2</c:v>
                </c:pt>
                <c:pt idx="78">
                  <c:v>7.0611851986312035E-2</c:v>
                </c:pt>
                <c:pt idx="79">
                  <c:v>7.4058654981548816E-2</c:v>
                </c:pt>
                <c:pt idx="80">
                  <c:v>7.3254137039316242E-2</c:v>
                </c:pt>
                <c:pt idx="81">
                  <c:v>7.3846946245215109E-2</c:v>
                </c:pt>
                <c:pt idx="82">
                  <c:v>7.4605727365868735E-2</c:v>
                </c:pt>
                <c:pt idx="83">
                  <c:v>7.6287049504522308E-2</c:v>
                </c:pt>
                <c:pt idx="84">
                  <c:v>7.725834793284872E-2</c:v>
                </c:pt>
                <c:pt idx="85">
                  <c:v>7.7684764038729343E-2</c:v>
                </c:pt>
                <c:pt idx="86">
                  <c:v>7.7058315850842427E-2</c:v>
                </c:pt>
                <c:pt idx="87">
                  <c:v>7.6432736003474319E-2</c:v>
                </c:pt>
                <c:pt idx="88">
                  <c:v>7.4477835391621394E-2</c:v>
                </c:pt>
                <c:pt idx="89">
                  <c:v>7.9419324330934474E-2</c:v>
                </c:pt>
                <c:pt idx="90">
                  <c:v>8.0936037408224012E-2</c:v>
                </c:pt>
                <c:pt idx="91">
                  <c:v>7.9441278735684337E-2</c:v>
                </c:pt>
                <c:pt idx="92">
                  <c:v>7.8718261695047434E-2</c:v>
                </c:pt>
                <c:pt idx="93">
                  <c:v>7.9401075593287032E-2</c:v>
                </c:pt>
                <c:pt idx="94">
                  <c:v>7.8424356399437289E-2</c:v>
                </c:pt>
                <c:pt idx="95">
                  <c:v>7.4945631454521419E-2</c:v>
                </c:pt>
                <c:pt idx="96">
                  <c:v>7.357809688754538E-2</c:v>
                </c:pt>
                <c:pt idx="97">
                  <c:v>7.4624398782334345E-2</c:v>
                </c:pt>
                <c:pt idx="98">
                  <c:v>7.8184281162658464E-2</c:v>
                </c:pt>
                <c:pt idx="99">
                  <c:v>8.2902181395861391E-2</c:v>
                </c:pt>
                <c:pt idx="100">
                  <c:v>8.4580180935907731E-2</c:v>
                </c:pt>
              </c:numCache>
            </c:numRef>
          </c:val>
          <c:smooth val="0"/>
        </c:ser>
        <c:dLbls>
          <c:showLegendKey val="0"/>
          <c:showVal val="0"/>
          <c:showCatName val="0"/>
          <c:showSerName val="0"/>
          <c:showPercent val="0"/>
          <c:showBubbleSize val="0"/>
        </c:dLbls>
        <c:marker val="1"/>
        <c:smooth val="0"/>
        <c:axId val="122015104"/>
        <c:axId val="122016896"/>
      </c:lineChart>
      <c:catAx>
        <c:axId val="122015104"/>
        <c:scaling>
          <c:orientation val="minMax"/>
        </c:scaling>
        <c:delete val="0"/>
        <c:axPos val="b"/>
        <c:numFmt formatCode="0" sourceLinked="1"/>
        <c:majorTickMark val="out"/>
        <c:minorTickMark val="none"/>
        <c:tickLblPos val="nextTo"/>
        <c:txPr>
          <a:bodyPr/>
          <a:lstStyle/>
          <a:p>
            <a:pPr>
              <a:defRPr sz="800"/>
            </a:pPr>
            <a:endParaRPr lang="en-US"/>
          </a:p>
        </c:txPr>
        <c:crossAx val="122016896"/>
        <c:crosses val="autoZero"/>
        <c:auto val="1"/>
        <c:lblAlgn val="ctr"/>
        <c:lblOffset val="100"/>
        <c:tickLblSkip val="10"/>
        <c:tickMarkSkip val="10"/>
        <c:noMultiLvlLbl val="0"/>
      </c:catAx>
      <c:valAx>
        <c:axId val="122016896"/>
        <c:scaling>
          <c:orientation val="minMax"/>
          <c:max val="0.1"/>
        </c:scaling>
        <c:delete val="0"/>
        <c:axPos val="l"/>
        <c:majorGridlines/>
        <c:numFmt formatCode="0.00%" sourceLinked="1"/>
        <c:majorTickMark val="out"/>
        <c:minorTickMark val="none"/>
        <c:tickLblPos val="nextTo"/>
        <c:txPr>
          <a:bodyPr/>
          <a:lstStyle/>
          <a:p>
            <a:pPr>
              <a:defRPr sz="800"/>
            </a:pPr>
            <a:endParaRPr lang="en-US"/>
          </a:p>
        </c:txPr>
        <c:crossAx val="122015104"/>
        <c:crosses val="autoZero"/>
        <c:crossBetween val="between"/>
        <c:majorUnit val="2.0000000000000011E-2"/>
      </c:valAx>
    </c:plotArea>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cked"/>
        <c:varyColors val="0"/>
        <c:ser>
          <c:idx val="0"/>
          <c:order val="0"/>
          <c:spPr>
            <a:ln>
              <a:solidFill>
                <a:schemeClr val="tx1"/>
              </a:solidFill>
            </a:ln>
          </c:spPr>
          <c:marker>
            <c:symbol val="none"/>
          </c:marker>
          <c:cat>
            <c:numRef>
              <c:f>'sub-sample'!$AE$517:$AE$617</c:f>
              <c:numCache>
                <c:formatCode>0</c:formatCode>
                <c:ptCount val="101"/>
                <c:pt idx="0">
                  <c:v>-50</c:v>
                </c:pt>
                <c:pt idx="1">
                  <c:v>-49</c:v>
                </c:pt>
                <c:pt idx="2">
                  <c:v>-48</c:v>
                </c:pt>
                <c:pt idx="3">
                  <c:v>-47</c:v>
                </c:pt>
                <c:pt idx="4">
                  <c:v>-46</c:v>
                </c:pt>
                <c:pt idx="5">
                  <c:v>-45</c:v>
                </c:pt>
                <c:pt idx="6">
                  <c:v>-44</c:v>
                </c:pt>
                <c:pt idx="7">
                  <c:v>-43</c:v>
                </c:pt>
                <c:pt idx="8">
                  <c:v>-42</c:v>
                </c:pt>
                <c:pt idx="9">
                  <c:v>-41</c:v>
                </c:pt>
                <c:pt idx="10">
                  <c:v>-40</c:v>
                </c:pt>
                <c:pt idx="11">
                  <c:v>-39</c:v>
                </c:pt>
                <c:pt idx="12">
                  <c:v>-38</c:v>
                </c:pt>
                <c:pt idx="13">
                  <c:v>-37</c:v>
                </c:pt>
                <c:pt idx="14">
                  <c:v>-36</c:v>
                </c:pt>
                <c:pt idx="15">
                  <c:v>-35</c:v>
                </c:pt>
                <c:pt idx="16">
                  <c:v>-34</c:v>
                </c:pt>
                <c:pt idx="17">
                  <c:v>-33</c:v>
                </c:pt>
                <c:pt idx="18">
                  <c:v>-32</c:v>
                </c:pt>
                <c:pt idx="19">
                  <c:v>-31</c:v>
                </c:pt>
                <c:pt idx="20">
                  <c:v>-30</c:v>
                </c:pt>
                <c:pt idx="21">
                  <c:v>-29</c:v>
                </c:pt>
                <c:pt idx="22">
                  <c:v>-28</c:v>
                </c:pt>
                <c:pt idx="23">
                  <c:v>-27</c:v>
                </c:pt>
                <c:pt idx="24">
                  <c:v>-26</c:v>
                </c:pt>
                <c:pt idx="25">
                  <c:v>-25</c:v>
                </c:pt>
                <c:pt idx="26">
                  <c:v>-24</c:v>
                </c:pt>
                <c:pt idx="27">
                  <c:v>-23</c:v>
                </c:pt>
                <c:pt idx="28">
                  <c:v>-22</c:v>
                </c:pt>
                <c:pt idx="29">
                  <c:v>-21</c:v>
                </c:pt>
                <c:pt idx="30">
                  <c:v>-20</c:v>
                </c:pt>
                <c:pt idx="31">
                  <c:v>-19</c:v>
                </c:pt>
                <c:pt idx="32">
                  <c:v>-18</c:v>
                </c:pt>
                <c:pt idx="33">
                  <c:v>-17</c:v>
                </c:pt>
                <c:pt idx="34">
                  <c:v>-16</c:v>
                </c:pt>
                <c:pt idx="35">
                  <c:v>-15</c:v>
                </c:pt>
                <c:pt idx="36">
                  <c:v>-14</c:v>
                </c:pt>
                <c:pt idx="37">
                  <c:v>-13</c:v>
                </c:pt>
                <c:pt idx="38">
                  <c:v>-12</c:v>
                </c:pt>
                <c:pt idx="39">
                  <c:v>-11</c:v>
                </c:pt>
                <c:pt idx="40">
                  <c:v>-10</c:v>
                </c:pt>
                <c:pt idx="41">
                  <c:v>-9</c:v>
                </c:pt>
                <c:pt idx="42">
                  <c:v>-8</c:v>
                </c:pt>
                <c:pt idx="43">
                  <c:v>-7</c:v>
                </c:pt>
                <c:pt idx="44">
                  <c:v>-6</c:v>
                </c:pt>
                <c:pt idx="45">
                  <c:v>-5</c:v>
                </c:pt>
                <c:pt idx="46">
                  <c:v>-4</c:v>
                </c:pt>
                <c:pt idx="47">
                  <c:v>-3</c:v>
                </c:pt>
                <c:pt idx="48">
                  <c:v>-2</c:v>
                </c:pt>
                <c:pt idx="49">
                  <c:v>-1</c:v>
                </c:pt>
                <c:pt idx="50">
                  <c:v>0</c:v>
                </c:pt>
                <c:pt idx="51">
                  <c:v>1</c:v>
                </c:pt>
                <c:pt idx="52">
                  <c:v>2</c:v>
                </c:pt>
                <c:pt idx="53">
                  <c:v>3</c:v>
                </c:pt>
                <c:pt idx="54">
                  <c:v>4</c:v>
                </c:pt>
                <c:pt idx="55">
                  <c:v>5</c:v>
                </c:pt>
                <c:pt idx="56">
                  <c:v>6</c:v>
                </c:pt>
                <c:pt idx="57">
                  <c:v>7</c:v>
                </c:pt>
                <c:pt idx="58">
                  <c:v>8</c:v>
                </c:pt>
                <c:pt idx="59">
                  <c:v>9</c:v>
                </c:pt>
                <c:pt idx="60">
                  <c:v>10</c:v>
                </c:pt>
                <c:pt idx="61">
                  <c:v>11</c:v>
                </c:pt>
                <c:pt idx="62">
                  <c:v>12</c:v>
                </c:pt>
                <c:pt idx="63">
                  <c:v>13</c:v>
                </c:pt>
                <c:pt idx="64">
                  <c:v>14</c:v>
                </c:pt>
                <c:pt idx="65">
                  <c:v>15</c:v>
                </c:pt>
                <c:pt idx="66">
                  <c:v>16</c:v>
                </c:pt>
                <c:pt idx="67">
                  <c:v>17</c:v>
                </c:pt>
                <c:pt idx="68">
                  <c:v>18</c:v>
                </c:pt>
                <c:pt idx="69">
                  <c:v>19</c:v>
                </c:pt>
                <c:pt idx="70">
                  <c:v>20</c:v>
                </c:pt>
                <c:pt idx="71">
                  <c:v>21</c:v>
                </c:pt>
                <c:pt idx="72">
                  <c:v>22</c:v>
                </c:pt>
                <c:pt idx="73">
                  <c:v>23</c:v>
                </c:pt>
                <c:pt idx="74">
                  <c:v>24</c:v>
                </c:pt>
                <c:pt idx="75">
                  <c:v>25</c:v>
                </c:pt>
                <c:pt idx="76">
                  <c:v>26</c:v>
                </c:pt>
                <c:pt idx="77">
                  <c:v>27</c:v>
                </c:pt>
                <c:pt idx="78">
                  <c:v>28</c:v>
                </c:pt>
                <c:pt idx="79">
                  <c:v>29</c:v>
                </c:pt>
                <c:pt idx="80">
                  <c:v>30</c:v>
                </c:pt>
                <c:pt idx="81">
                  <c:v>31</c:v>
                </c:pt>
                <c:pt idx="82">
                  <c:v>32</c:v>
                </c:pt>
                <c:pt idx="83">
                  <c:v>33</c:v>
                </c:pt>
                <c:pt idx="84">
                  <c:v>34</c:v>
                </c:pt>
                <c:pt idx="85">
                  <c:v>35</c:v>
                </c:pt>
                <c:pt idx="86">
                  <c:v>36</c:v>
                </c:pt>
                <c:pt idx="87">
                  <c:v>37</c:v>
                </c:pt>
                <c:pt idx="88">
                  <c:v>38</c:v>
                </c:pt>
                <c:pt idx="89">
                  <c:v>39</c:v>
                </c:pt>
                <c:pt idx="90">
                  <c:v>40</c:v>
                </c:pt>
                <c:pt idx="91">
                  <c:v>41</c:v>
                </c:pt>
                <c:pt idx="92">
                  <c:v>42</c:v>
                </c:pt>
                <c:pt idx="93">
                  <c:v>43</c:v>
                </c:pt>
                <c:pt idx="94">
                  <c:v>44</c:v>
                </c:pt>
                <c:pt idx="95">
                  <c:v>45</c:v>
                </c:pt>
                <c:pt idx="96">
                  <c:v>46</c:v>
                </c:pt>
                <c:pt idx="97">
                  <c:v>47</c:v>
                </c:pt>
                <c:pt idx="98">
                  <c:v>48</c:v>
                </c:pt>
                <c:pt idx="99">
                  <c:v>49</c:v>
                </c:pt>
                <c:pt idx="100">
                  <c:v>50</c:v>
                </c:pt>
              </c:numCache>
            </c:numRef>
          </c:cat>
          <c:val>
            <c:numRef>
              <c:f>'sub-sample'!$AG$517:$AG$617</c:f>
              <c:numCache>
                <c:formatCode>0.00%</c:formatCode>
                <c:ptCount val="101"/>
                <c:pt idx="0">
                  <c:v>-1.5219786597091682E-4</c:v>
                </c:pt>
                <c:pt idx="1">
                  <c:v>7.7810632777565935E-4</c:v>
                </c:pt>
                <c:pt idx="2">
                  <c:v>6.2065778035308547E-4</c:v>
                </c:pt>
                <c:pt idx="3">
                  <c:v>-1.8965367719735325E-3</c:v>
                </c:pt>
                <c:pt idx="4">
                  <c:v>-9.7126632113611535E-4</c:v>
                </c:pt>
                <c:pt idx="5">
                  <c:v>-1.364014053147121E-3</c:v>
                </c:pt>
                <c:pt idx="6">
                  <c:v>-9.3621864764820921E-4</c:v>
                </c:pt>
                <c:pt idx="7">
                  <c:v>-4.8711718717080063E-4</c:v>
                </c:pt>
                <c:pt idx="8">
                  <c:v>-1.2329034993723705E-3</c:v>
                </c:pt>
                <c:pt idx="9">
                  <c:v>-7.8917898804786615E-4</c:v>
                </c:pt>
                <c:pt idx="10">
                  <c:v>-1.368920329468914E-3</c:v>
                </c:pt>
                <c:pt idx="11">
                  <c:v>1.0605536020420487E-4</c:v>
                </c:pt>
                <c:pt idx="12">
                  <c:v>-1.3152538162993195E-3</c:v>
                </c:pt>
                <c:pt idx="13">
                  <c:v>-4.1164242694861246E-4</c:v>
                </c:pt>
                <c:pt idx="14">
                  <c:v>-4.4383151792555216E-4</c:v>
                </c:pt>
                <c:pt idx="15">
                  <c:v>-1.8732482228275395E-3</c:v>
                </c:pt>
                <c:pt idx="16">
                  <c:v>-2.2591710687610987E-3</c:v>
                </c:pt>
                <c:pt idx="17">
                  <c:v>-7.8474909536866908E-4</c:v>
                </c:pt>
                <c:pt idx="18">
                  <c:v>-2.438752035310251E-4</c:v>
                </c:pt>
                <c:pt idx="19">
                  <c:v>-1.2467335987679166E-3</c:v>
                </c:pt>
                <c:pt idx="20">
                  <c:v>-7.3059373915279288E-4</c:v>
                </c:pt>
                <c:pt idx="21">
                  <c:v>-1.3063575698964995E-3</c:v>
                </c:pt>
                <c:pt idx="22">
                  <c:v>-2.8794474122962265E-4</c:v>
                </c:pt>
                <c:pt idx="23">
                  <c:v>1.2996036679752387E-4</c:v>
                </c:pt>
                <c:pt idx="24">
                  <c:v>-3.0670041650529664E-4</c:v>
                </c:pt>
                <c:pt idx="25">
                  <c:v>-4.6345554253075523E-4</c:v>
                </c:pt>
                <c:pt idx="26">
                  <c:v>-8.8033273321480696E-4</c:v>
                </c:pt>
                <c:pt idx="27">
                  <c:v>6.7698464823559199E-4</c:v>
                </c:pt>
                <c:pt idx="28">
                  <c:v>4.8030841424774904E-4</c:v>
                </c:pt>
                <c:pt idx="29">
                  <c:v>5.9043231917641555E-4</c:v>
                </c:pt>
                <c:pt idx="30">
                  <c:v>-9.7007725848413358E-6</c:v>
                </c:pt>
                <c:pt idx="31">
                  <c:v>7.4785232067143301E-4</c:v>
                </c:pt>
                <c:pt idx="32">
                  <c:v>5.2910499105311801E-4</c:v>
                </c:pt>
                <c:pt idx="33">
                  <c:v>-9.633108791865533E-4</c:v>
                </c:pt>
                <c:pt idx="34">
                  <c:v>-1.5053970295363409E-3</c:v>
                </c:pt>
                <c:pt idx="35">
                  <c:v>-1.2233180315298542E-3</c:v>
                </c:pt>
                <c:pt idx="36">
                  <c:v>-1.0683853751787184E-3</c:v>
                </c:pt>
                <c:pt idx="37">
                  <c:v>-1.5006023048376601E-3</c:v>
                </c:pt>
                <c:pt idx="38">
                  <c:v>-1.6816381637321687E-3</c:v>
                </c:pt>
                <c:pt idx="39">
                  <c:v>4.1375463099676342E-4</c:v>
                </c:pt>
                <c:pt idx="40">
                  <c:v>6.563378455897858E-4</c:v>
                </c:pt>
                <c:pt idx="41">
                  <c:v>2.51390127689422E-3</c:v>
                </c:pt>
                <c:pt idx="42">
                  <c:v>2.1209092334404855E-3</c:v>
                </c:pt>
                <c:pt idx="43">
                  <c:v>2.9421400628807941E-3</c:v>
                </c:pt>
                <c:pt idx="44">
                  <c:v>1.2980196942735192E-3</c:v>
                </c:pt>
                <c:pt idx="45">
                  <c:v>2.129632604582635E-4</c:v>
                </c:pt>
                <c:pt idx="46">
                  <c:v>1.3380670067149257E-4</c:v>
                </c:pt>
                <c:pt idx="47">
                  <c:v>2.4930206538546808E-3</c:v>
                </c:pt>
                <c:pt idx="48">
                  <c:v>2.0742087156756317E-3</c:v>
                </c:pt>
                <c:pt idx="49">
                  <c:v>1.5264406312916038E-3</c:v>
                </c:pt>
                <c:pt idx="50">
                  <c:v>1.4542811192099435E-3</c:v>
                </c:pt>
                <c:pt idx="51">
                  <c:v>1.1946829013129681E-3</c:v>
                </c:pt>
                <c:pt idx="52">
                  <c:v>1.0742388483803605E-3</c:v>
                </c:pt>
                <c:pt idx="53">
                  <c:v>2.16440923812507E-3</c:v>
                </c:pt>
                <c:pt idx="54">
                  <c:v>2.8201095615140409E-3</c:v>
                </c:pt>
                <c:pt idx="55">
                  <c:v>2.5891047755249434E-3</c:v>
                </c:pt>
                <c:pt idx="56">
                  <c:v>1.0930857087783101E-3</c:v>
                </c:pt>
                <c:pt idx="57">
                  <c:v>1.2898246189184293E-3</c:v>
                </c:pt>
                <c:pt idx="58">
                  <c:v>6.2561594728302746E-4</c:v>
                </c:pt>
                <c:pt idx="59">
                  <c:v>1.204817535619416E-3</c:v>
                </c:pt>
                <c:pt idx="60">
                  <c:v>2.646854894159111E-3</c:v>
                </c:pt>
                <c:pt idx="61">
                  <c:v>4.1136536256069231E-3</c:v>
                </c:pt>
                <c:pt idx="62">
                  <c:v>6.5162422967225964E-3</c:v>
                </c:pt>
                <c:pt idx="63">
                  <c:v>5.8666014304031931E-3</c:v>
                </c:pt>
                <c:pt idx="64">
                  <c:v>7.2428398873637129E-3</c:v>
                </c:pt>
                <c:pt idx="65">
                  <c:v>7.1889406538146053E-3</c:v>
                </c:pt>
                <c:pt idx="66">
                  <c:v>7.3939606019119515E-3</c:v>
                </c:pt>
                <c:pt idx="67">
                  <c:v>8.1090608913582645E-3</c:v>
                </c:pt>
                <c:pt idx="68">
                  <c:v>6.930480092003386E-3</c:v>
                </c:pt>
                <c:pt idx="69">
                  <c:v>7.8587710936446654E-3</c:v>
                </c:pt>
                <c:pt idx="70">
                  <c:v>7.4653002569967054E-3</c:v>
                </c:pt>
                <c:pt idx="71">
                  <c:v>8.2932818225722373E-3</c:v>
                </c:pt>
                <c:pt idx="72">
                  <c:v>8.0340375087022131E-3</c:v>
                </c:pt>
                <c:pt idx="73">
                  <c:v>8.5448422913959824E-3</c:v>
                </c:pt>
                <c:pt idx="74">
                  <c:v>9.7223522349240213E-3</c:v>
                </c:pt>
                <c:pt idx="75">
                  <c:v>1.0843610075995946E-2</c:v>
                </c:pt>
                <c:pt idx="76">
                  <c:v>1.2545362339833896E-2</c:v>
                </c:pt>
                <c:pt idx="77">
                  <c:v>1.3024452259227435E-2</c:v>
                </c:pt>
                <c:pt idx="78">
                  <c:v>1.2516723904353868E-2</c:v>
                </c:pt>
                <c:pt idx="79">
                  <c:v>1.3616850508553442E-2</c:v>
                </c:pt>
                <c:pt idx="80">
                  <c:v>1.1490650300095953E-2</c:v>
                </c:pt>
                <c:pt idx="81">
                  <c:v>1.2637087405041401E-2</c:v>
                </c:pt>
                <c:pt idx="82">
                  <c:v>1.2247446930531836E-2</c:v>
                </c:pt>
                <c:pt idx="83">
                  <c:v>1.2747371200156109E-2</c:v>
                </c:pt>
                <c:pt idx="84">
                  <c:v>1.2590575445048944E-2</c:v>
                </c:pt>
                <c:pt idx="85">
                  <c:v>1.1910304453802346E-2</c:v>
                </c:pt>
                <c:pt idx="86">
                  <c:v>1.0939568613527744E-2</c:v>
                </c:pt>
                <c:pt idx="87">
                  <c:v>1.3018015711982661E-2</c:v>
                </c:pt>
                <c:pt idx="88">
                  <c:v>1.2923316137292737E-2</c:v>
                </c:pt>
                <c:pt idx="89">
                  <c:v>1.3757368527328735E-2</c:v>
                </c:pt>
                <c:pt idx="90">
                  <c:v>1.2751424784724819E-2</c:v>
                </c:pt>
                <c:pt idx="91">
                  <c:v>1.3778306795883644E-2</c:v>
                </c:pt>
                <c:pt idx="92">
                  <c:v>1.4612480551634176E-2</c:v>
                </c:pt>
                <c:pt idx="93">
                  <c:v>1.4652777575643159E-2</c:v>
                </c:pt>
                <c:pt idx="94">
                  <c:v>1.4923830428227867E-2</c:v>
                </c:pt>
                <c:pt idx="95">
                  <c:v>1.5571288466587821E-2</c:v>
                </c:pt>
                <c:pt idx="96">
                  <c:v>1.6526096041563798E-2</c:v>
                </c:pt>
                <c:pt idx="97">
                  <c:v>1.6845505898465733E-2</c:v>
                </c:pt>
                <c:pt idx="98">
                  <c:v>1.7727386106503443E-2</c:v>
                </c:pt>
                <c:pt idx="99">
                  <c:v>1.837706643745849E-2</c:v>
                </c:pt>
                <c:pt idx="100">
                  <c:v>1.9495399222320738E-2</c:v>
                </c:pt>
              </c:numCache>
            </c:numRef>
          </c:val>
          <c:smooth val="0"/>
        </c:ser>
        <c:dLbls>
          <c:showLegendKey val="0"/>
          <c:showVal val="0"/>
          <c:showCatName val="0"/>
          <c:showSerName val="0"/>
          <c:showPercent val="0"/>
          <c:showBubbleSize val="0"/>
        </c:dLbls>
        <c:marker val="1"/>
        <c:smooth val="0"/>
        <c:axId val="121848576"/>
        <c:axId val="121850112"/>
      </c:lineChart>
      <c:catAx>
        <c:axId val="121848576"/>
        <c:scaling>
          <c:orientation val="minMax"/>
        </c:scaling>
        <c:delete val="0"/>
        <c:axPos val="b"/>
        <c:numFmt formatCode="0" sourceLinked="1"/>
        <c:majorTickMark val="out"/>
        <c:minorTickMark val="none"/>
        <c:tickLblPos val="nextTo"/>
        <c:txPr>
          <a:bodyPr/>
          <a:lstStyle/>
          <a:p>
            <a:pPr>
              <a:defRPr sz="800"/>
            </a:pPr>
            <a:endParaRPr lang="en-US"/>
          </a:p>
        </c:txPr>
        <c:crossAx val="121850112"/>
        <c:crossesAt val="-1.0000000000000002E-2"/>
        <c:auto val="1"/>
        <c:lblAlgn val="ctr"/>
        <c:lblOffset val="100"/>
        <c:tickLblSkip val="10"/>
        <c:tickMarkSkip val="10"/>
        <c:noMultiLvlLbl val="0"/>
      </c:catAx>
      <c:valAx>
        <c:axId val="121850112"/>
        <c:scaling>
          <c:orientation val="minMax"/>
          <c:max val="4.0000000000000008E-2"/>
          <c:min val="-1.0000000000000002E-2"/>
        </c:scaling>
        <c:delete val="0"/>
        <c:axPos val="l"/>
        <c:majorGridlines/>
        <c:numFmt formatCode="0.00%" sourceLinked="1"/>
        <c:majorTickMark val="out"/>
        <c:minorTickMark val="none"/>
        <c:tickLblPos val="nextTo"/>
        <c:txPr>
          <a:bodyPr/>
          <a:lstStyle/>
          <a:p>
            <a:pPr>
              <a:defRPr sz="800"/>
            </a:pPr>
            <a:endParaRPr lang="en-US"/>
          </a:p>
        </c:txPr>
        <c:crossAx val="121848576"/>
        <c:crosses val="autoZero"/>
        <c:crossBetween val="between"/>
        <c:majorUnit val="1.0000000000000002E-2"/>
      </c:valAx>
    </c:plotArea>
    <c:plotVisOnly val="1"/>
    <c:dispBlanksAs val="zero"/>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cked"/>
        <c:varyColors val="0"/>
        <c:ser>
          <c:idx val="0"/>
          <c:order val="0"/>
          <c:spPr>
            <a:ln>
              <a:solidFill>
                <a:schemeClr val="tx1"/>
              </a:solidFill>
            </a:ln>
          </c:spPr>
          <c:marker>
            <c:symbol val="none"/>
          </c:marker>
          <c:cat>
            <c:numRef>
              <c:f>'sub-sample'!$AE$517:$AE$617</c:f>
              <c:numCache>
                <c:formatCode>0</c:formatCode>
                <c:ptCount val="101"/>
                <c:pt idx="0">
                  <c:v>-50</c:v>
                </c:pt>
                <c:pt idx="1">
                  <c:v>-49</c:v>
                </c:pt>
                <c:pt idx="2">
                  <c:v>-48</c:v>
                </c:pt>
                <c:pt idx="3">
                  <c:v>-47</c:v>
                </c:pt>
                <c:pt idx="4">
                  <c:v>-46</c:v>
                </c:pt>
                <c:pt idx="5">
                  <c:v>-45</c:v>
                </c:pt>
                <c:pt idx="6">
                  <c:v>-44</c:v>
                </c:pt>
                <c:pt idx="7">
                  <c:v>-43</c:v>
                </c:pt>
                <c:pt idx="8">
                  <c:v>-42</c:v>
                </c:pt>
                <c:pt idx="9">
                  <c:v>-41</c:v>
                </c:pt>
                <c:pt idx="10">
                  <c:v>-40</c:v>
                </c:pt>
                <c:pt idx="11">
                  <c:v>-39</c:v>
                </c:pt>
                <c:pt idx="12">
                  <c:v>-38</c:v>
                </c:pt>
                <c:pt idx="13">
                  <c:v>-37</c:v>
                </c:pt>
                <c:pt idx="14">
                  <c:v>-36</c:v>
                </c:pt>
                <c:pt idx="15">
                  <c:v>-35</c:v>
                </c:pt>
                <c:pt idx="16">
                  <c:v>-34</c:v>
                </c:pt>
                <c:pt idx="17">
                  <c:v>-33</c:v>
                </c:pt>
                <c:pt idx="18">
                  <c:v>-32</c:v>
                </c:pt>
                <c:pt idx="19">
                  <c:v>-31</c:v>
                </c:pt>
                <c:pt idx="20">
                  <c:v>-30</c:v>
                </c:pt>
                <c:pt idx="21">
                  <c:v>-29</c:v>
                </c:pt>
                <c:pt idx="22">
                  <c:v>-28</c:v>
                </c:pt>
                <c:pt idx="23">
                  <c:v>-27</c:v>
                </c:pt>
                <c:pt idx="24">
                  <c:v>-26</c:v>
                </c:pt>
                <c:pt idx="25">
                  <c:v>-25</c:v>
                </c:pt>
                <c:pt idx="26">
                  <c:v>-24</c:v>
                </c:pt>
                <c:pt idx="27">
                  <c:v>-23</c:v>
                </c:pt>
                <c:pt idx="28">
                  <c:v>-22</c:v>
                </c:pt>
                <c:pt idx="29">
                  <c:v>-21</c:v>
                </c:pt>
                <c:pt idx="30">
                  <c:v>-20</c:v>
                </c:pt>
                <c:pt idx="31">
                  <c:v>-19</c:v>
                </c:pt>
                <c:pt idx="32">
                  <c:v>-18</c:v>
                </c:pt>
                <c:pt idx="33">
                  <c:v>-17</c:v>
                </c:pt>
                <c:pt idx="34">
                  <c:v>-16</c:v>
                </c:pt>
                <c:pt idx="35">
                  <c:v>-15</c:v>
                </c:pt>
                <c:pt idx="36">
                  <c:v>-14</c:v>
                </c:pt>
                <c:pt idx="37">
                  <c:v>-13</c:v>
                </c:pt>
                <c:pt idx="38">
                  <c:v>-12</c:v>
                </c:pt>
                <c:pt idx="39">
                  <c:v>-11</c:v>
                </c:pt>
                <c:pt idx="40">
                  <c:v>-10</c:v>
                </c:pt>
                <c:pt idx="41">
                  <c:v>-9</c:v>
                </c:pt>
                <c:pt idx="42">
                  <c:v>-8</c:v>
                </c:pt>
                <c:pt idx="43">
                  <c:v>-7</c:v>
                </c:pt>
                <c:pt idx="44">
                  <c:v>-6</c:v>
                </c:pt>
                <c:pt idx="45">
                  <c:v>-5</c:v>
                </c:pt>
                <c:pt idx="46">
                  <c:v>-4</c:v>
                </c:pt>
                <c:pt idx="47">
                  <c:v>-3</c:v>
                </c:pt>
                <c:pt idx="48">
                  <c:v>-2</c:v>
                </c:pt>
                <c:pt idx="49">
                  <c:v>-1</c:v>
                </c:pt>
                <c:pt idx="50">
                  <c:v>0</c:v>
                </c:pt>
                <c:pt idx="51">
                  <c:v>1</c:v>
                </c:pt>
                <c:pt idx="52">
                  <c:v>2</c:v>
                </c:pt>
                <c:pt idx="53">
                  <c:v>3</c:v>
                </c:pt>
                <c:pt idx="54">
                  <c:v>4</c:v>
                </c:pt>
                <c:pt idx="55">
                  <c:v>5</c:v>
                </c:pt>
                <c:pt idx="56">
                  <c:v>6</c:v>
                </c:pt>
                <c:pt idx="57">
                  <c:v>7</c:v>
                </c:pt>
                <c:pt idx="58">
                  <c:v>8</c:v>
                </c:pt>
                <c:pt idx="59">
                  <c:v>9</c:v>
                </c:pt>
                <c:pt idx="60">
                  <c:v>10</c:v>
                </c:pt>
                <c:pt idx="61">
                  <c:v>11</c:v>
                </c:pt>
                <c:pt idx="62">
                  <c:v>12</c:v>
                </c:pt>
                <c:pt idx="63">
                  <c:v>13</c:v>
                </c:pt>
                <c:pt idx="64">
                  <c:v>14</c:v>
                </c:pt>
                <c:pt idx="65">
                  <c:v>15</c:v>
                </c:pt>
                <c:pt idx="66">
                  <c:v>16</c:v>
                </c:pt>
                <c:pt idx="67">
                  <c:v>17</c:v>
                </c:pt>
                <c:pt idx="68">
                  <c:v>18</c:v>
                </c:pt>
                <c:pt idx="69">
                  <c:v>19</c:v>
                </c:pt>
                <c:pt idx="70">
                  <c:v>20</c:v>
                </c:pt>
                <c:pt idx="71">
                  <c:v>21</c:v>
                </c:pt>
                <c:pt idx="72">
                  <c:v>22</c:v>
                </c:pt>
                <c:pt idx="73">
                  <c:v>23</c:v>
                </c:pt>
                <c:pt idx="74">
                  <c:v>24</c:v>
                </c:pt>
                <c:pt idx="75">
                  <c:v>25</c:v>
                </c:pt>
                <c:pt idx="76">
                  <c:v>26</c:v>
                </c:pt>
                <c:pt idx="77">
                  <c:v>27</c:v>
                </c:pt>
                <c:pt idx="78">
                  <c:v>28</c:v>
                </c:pt>
                <c:pt idx="79">
                  <c:v>29</c:v>
                </c:pt>
                <c:pt idx="80">
                  <c:v>30</c:v>
                </c:pt>
                <c:pt idx="81">
                  <c:v>31</c:v>
                </c:pt>
                <c:pt idx="82">
                  <c:v>32</c:v>
                </c:pt>
                <c:pt idx="83">
                  <c:v>33</c:v>
                </c:pt>
                <c:pt idx="84">
                  <c:v>34</c:v>
                </c:pt>
                <c:pt idx="85">
                  <c:v>35</c:v>
                </c:pt>
                <c:pt idx="86">
                  <c:v>36</c:v>
                </c:pt>
                <c:pt idx="87">
                  <c:v>37</c:v>
                </c:pt>
                <c:pt idx="88">
                  <c:v>38</c:v>
                </c:pt>
                <c:pt idx="89">
                  <c:v>39</c:v>
                </c:pt>
                <c:pt idx="90">
                  <c:v>40</c:v>
                </c:pt>
                <c:pt idx="91">
                  <c:v>41</c:v>
                </c:pt>
                <c:pt idx="92">
                  <c:v>42</c:v>
                </c:pt>
                <c:pt idx="93">
                  <c:v>43</c:v>
                </c:pt>
                <c:pt idx="94">
                  <c:v>44</c:v>
                </c:pt>
                <c:pt idx="95">
                  <c:v>45</c:v>
                </c:pt>
                <c:pt idx="96">
                  <c:v>46</c:v>
                </c:pt>
                <c:pt idx="97">
                  <c:v>47</c:v>
                </c:pt>
                <c:pt idx="98">
                  <c:v>48</c:v>
                </c:pt>
                <c:pt idx="99">
                  <c:v>49</c:v>
                </c:pt>
                <c:pt idx="100">
                  <c:v>50</c:v>
                </c:pt>
              </c:numCache>
            </c:numRef>
          </c:cat>
          <c:val>
            <c:numRef>
              <c:f>'64 EVENTS 101DAYS'!$AJ$516:$AJ$616</c:f>
              <c:numCache>
                <c:formatCode>0.00%</c:formatCode>
                <c:ptCount val="101"/>
                <c:pt idx="0">
                  <c:v>2.141643498999201E-5</c:v>
                </c:pt>
                <c:pt idx="1">
                  <c:v>1.046483072227946E-3</c:v>
                </c:pt>
                <c:pt idx="2">
                  <c:v>1.0382032233152089E-3</c:v>
                </c:pt>
                <c:pt idx="3">
                  <c:v>-3.1443089799013438E-4</c:v>
                </c:pt>
                <c:pt idx="4">
                  <c:v>7.6264448118027427E-4</c:v>
                </c:pt>
                <c:pt idx="5">
                  <c:v>7.2874333414195923E-4</c:v>
                </c:pt>
                <c:pt idx="6">
                  <c:v>1.5171444837332997E-3</c:v>
                </c:pt>
                <c:pt idx="7">
                  <c:v>1.8319012948361506E-3</c:v>
                </c:pt>
                <c:pt idx="8">
                  <c:v>1.747348389174551E-3</c:v>
                </c:pt>
                <c:pt idx="9">
                  <c:v>1.9670244828668883E-3</c:v>
                </c:pt>
                <c:pt idx="10">
                  <c:v>1.6275939293593248E-3</c:v>
                </c:pt>
                <c:pt idx="11">
                  <c:v>3.1288236725012025E-3</c:v>
                </c:pt>
                <c:pt idx="12">
                  <c:v>2.4071708974877015E-3</c:v>
                </c:pt>
                <c:pt idx="13">
                  <c:v>3.5676529725379323E-3</c:v>
                </c:pt>
                <c:pt idx="14">
                  <c:v>4.6629076436114159E-3</c:v>
                </c:pt>
                <c:pt idx="15">
                  <c:v>3.4789941147473982E-3</c:v>
                </c:pt>
                <c:pt idx="16">
                  <c:v>3.8404667322561479E-3</c:v>
                </c:pt>
                <c:pt idx="17">
                  <c:v>4.4922319565199667E-3</c:v>
                </c:pt>
                <c:pt idx="18">
                  <c:v>5.3743922554563162E-3</c:v>
                </c:pt>
                <c:pt idx="19">
                  <c:v>5.0894710506193073E-3</c:v>
                </c:pt>
                <c:pt idx="20">
                  <c:v>5.7087510295439703E-3</c:v>
                </c:pt>
                <c:pt idx="21">
                  <c:v>5.134421720815051E-3</c:v>
                </c:pt>
                <c:pt idx="22">
                  <c:v>6.0138156323990806E-3</c:v>
                </c:pt>
                <c:pt idx="23">
                  <c:v>6.9733526312042828E-3</c:v>
                </c:pt>
                <c:pt idx="24">
                  <c:v>6.3869120661736506E-3</c:v>
                </c:pt>
                <c:pt idx="25">
                  <c:v>6.5419618556181022E-3</c:v>
                </c:pt>
                <c:pt idx="26">
                  <c:v>6.2898522307007158E-3</c:v>
                </c:pt>
                <c:pt idx="27">
                  <c:v>7.3745957174687704E-3</c:v>
                </c:pt>
                <c:pt idx="28">
                  <c:v>7.3794280802703983E-3</c:v>
                </c:pt>
                <c:pt idx="29">
                  <c:v>8.0872053481439374E-3</c:v>
                </c:pt>
                <c:pt idx="30">
                  <c:v>7.9199940034670128E-3</c:v>
                </c:pt>
                <c:pt idx="31">
                  <c:v>8.5946458896445956E-3</c:v>
                </c:pt>
                <c:pt idx="32">
                  <c:v>8.1498280750337583E-3</c:v>
                </c:pt>
                <c:pt idx="33">
                  <c:v>7.4844571434504459E-3</c:v>
                </c:pt>
                <c:pt idx="34">
                  <c:v>6.6778293731120063E-3</c:v>
                </c:pt>
                <c:pt idx="35">
                  <c:v>7.212916396171833E-3</c:v>
                </c:pt>
                <c:pt idx="36">
                  <c:v>7.689537198541492E-3</c:v>
                </c:pt>
                <c:pt idx="37">
                  <c:v>7.7294669690542725E-3</c:v>
                </c:pt>
                <c:pt idx="38">
                  <c:v>8.1280664779515531E-3</c:v>
                </c:pt>
                <c:pt idx="39">
                  <c:v>1.0259541022290816E-2</c:v>
                </c:pt>
                <c:pt idx="40">
                  <c:v>1.051700468644132E-2</c:v>
                </c:pt>
                <c:pt idx="41">
                  <c:v>1.2089764803313509E-2</c:v>
                </c:pt>
                <c:pt idx="42">
                  <c:v>1.12435578706404E-2</c:v>
                </c:pt>
                <c:pt idx="43">
                  <c:v>1.1367783265724546E-2</c:v>
                </c:pt>
                <c:pt idx="44">
                  <c:v>9.9559834577063119E-3</c:v>
                </c:pt>
                <c:pt idx="45">
                  <c:v>9.1951443670869361E-3</c:v>
                </c:pt>
                <c:pt idx="46">
                  <c:v>9.3598440696008971E-3</c:v>
                </c:pt>
                <c:pt idx="47">
                  <c:v>1.1082452898462068E-2</c:v>
                </c:pt>
                <c:pt idx="48">
                  <c:v>1.087463786403471E-2</c:v>
                </c:pt>
                <c:pt idx="49">
                  <c:v>1.0133859103033502E-2</c:v>
                </c:pt>
                <c:pt idx="50">
                  <c:v>1.0140711516039468E-2</c:v>
                </c:pt>
                <c:pt idx="51">
                  <c:v>9.9566691358889594E-3</c:v>
                </c:pt>
                <c:pt idx="52">
                  <c:v>1.0084011762594771E-2</c:v>
                </c:pt>
                <c:pt idx="53">
                  <c:v>1.2203423482381948E-2</c:v>
                </c:pt>
                <c:pt idx="54">
                  <c:v>1.2649340048690807E-2</c:v>
                </c:pt>
                <c:pt idx="55">
                  <c:v>1.2574261429001653E-2</c:v>
                </c:pt>
                <c:pt idx="56">
                  <c:v>1.1955543192290193E-2</c:v>
                </c:pt>
                <c:pt idx="57">
                  <c:v>1.1724953433938057E-2</c:v>
                </c:pt>
                <c:pt idx="58">
                  <c:v>1.101005587889094E-2</c:v>
                </c:pt>
                <c:pt idx="59">
                  <c:v>1.1891918397181889E-2</c:v>
                </c:pt>
                <c:pt idx="60">
                  <c:v>1.3403230383814097E-2</c:v>
                </c:pt>
                <c:pt idx="61">
                  <c:v>1.4082728712722483E-2</c:v>
                </c:pt>
                <c:pt idx="62">
                  <c:v>1.6013321812231036E-2</c:v>
                </c:pt>
                <c:pt idx="63">
                  <c:v>1.5942342611629693E-2</c:v>
                </c:pt>
                <c:pt idx="64">
                  <c:v>1.6847005063463389E-2</c:v>
                </c:pt>
                <c:pt idx="65">
                  <c:v>1.6661009703080772E-2</c:v>
                </c:pt>
                <c:pt idx="66">
                  <c:v>1.7404436127532986E-2</c:v>
                </c:pt>
                <c:pt idx="67">
                  <c:v>1.8147265799774243E-2</c:v>
                </c:pt>
                <c:pt idx="68">
                  <c:v>1.6756658332701964E-2</c:v>
                </c:pt>
                <c:pt idx="69">
                  <c:v>1.753960514010441E-2</c:v>
                </c:pt>
                <c:pt idx="70">
                  <c:v>1.7536308890942685E-2</c:v>
                </c:pt>
                <c:pt idx="71">
                  <c:v>1.902793824644616E-2</c:v>
                </c:pt>
                <c:pt idx="72">
                  <c:v>1.9481417034511696E-2</c:v>
                </c:pt>
                <c:pt idx="73">
                  <c:v>2.0215765948600244E-2</c:v>
                </c:pt>
                <c:pt idx="74">
                  <c:v>2.1750195322243086E-2</c:v>
                </c:pt>
                <c:pt idx="75">
                  <c:v>2.2107558877380196E-2</c:v>
                </c:pt>
                <c:pt idx="76">
                  <c:v>2.3574656318829424E-2</c:v>
                </c:pt>
                <c:pt idx="77">
                  <c:v>2.3676750490902836E-2</c:v>
                </c:pt>
                <c:pt idx="78">
                  <c:v>2.3551804415139446E-2</c:v>
                </c:pt>
                <c:pt idx="79">
                  <c:v>2.4713554786214943E-2</c:v>
                </c:pt>
                <c:pt idx="80">
                  <c:v>2.2523774305538834E-2</c:v>
                </c:pt>
                <c:pt idx="81">
                  <c:v>2.3137435934470218E-2</c:v>
                </c:pt>
                <c:pt idx="82">
                  <c:v>2.2508585414997541E-2</c:v>
                </c:pt>
                <c:pt idx="83">
                  <c:v>2.3471356576020883E-2</c:v>
                </c:pt>
                <c:pt idx="84">
                  <c:v>2.3693365627589207E-2</c:v>
                </c:pt>
                <c:pt idx="85">
                  <c:v>2.3299989271651139E-2</c:v>
                </c:pt>
                <c:pt idx="86">
                  <c:v>2.2177100065975869E-2</c:v>
                </c:pt>
                <c:pt idx="87">
                  <c:v>2.4202136404674519E-2</c:v>
                </c:pt>
                <c:pt idx="88">
                  <c:v>2.5000187303670908E-2</c:v>
                </c:pt>
                <c:pt idx="89">
                  <c:v>2.5350423712201718E-2</c:v>
                </c:pt>
                <c:pt idx="90">
                  <c:v>2.4296393875818063E-2</c:v>
                </c:pt>
                <c:pt idx="91">
                  <c:v>2.5890781601850744E-2</c:v>
                </c:pt>
                <c:pt idx="92">
                  <c:v>2.6522318895212213E-2</c:v>
                </c:pt>
                <c:pt idx="93">
                  <c:v>2.6285842383117087E-2</c:v>
                </c:pt>
                <c:pt idx="94">
                  <c:v>2.6037963740725621E-2</c:v>
                </c:pt>
                <c:pt idx="95">
                  <c:v>2.7433490463034029E-2</c:v>
                </c:pt>
                <c:pt idx="96">
                  <c:v>2.8165107202594349E-2</c:v>
                </c:pt>
                <c:pt idx="97">
                  <c:v>2.8125537898840799E-2</c:v>
                </c:pt>
                <c:pt idx="98">
                  <c:v>2.8268580222924264E-2</c:v>
                </c:pt>
                <c:pt idx="99">
                  <c:v>2.8640891422314529E-2</c:v>
                </c:pt>
                <c:pt idx="100">
                  <c:v>3.0424558915715647E-2</c:v>
                </c:pt>
              </c:numCache>
            </c:numRef>
          </c:val>
          <c:smooth val="0"/>
        </c:ser>
        <c:dLbls>
          <c:showLegendKey val="0"/>
          <c:showVal val="0"/>
          <c:showCatName val="0"/>
          <c:showSerName val="0"/>
          <c:showPercent val="0"/>
          <c:showBubbleSize val="0"/>
        </c:dLbls>
        <c:marker val="1"/>
        <c:smooth val="0"/>
        <c:axId val="121890304"/>
        <c:axId val="121891840"/>
      </c:lineChart>
      <c:catAx>
        <c:axId val="121890304"/>
        <c:scaling>
          <c:orientation val="minMax"/>
        </c:scaling>
        <c:delete val="0"/>
        <c:axPos val="b"/>
        <c:numFmt formatCode="0" sourceLinked="1"/>
        <c:majorTickMark val="out"/>
        <c:minorTickMark val="none"/>
        <c:tickLblPos val="nextTo"/>
        <c:txPr>
          <a:bodyPr/>
          <a:lstStyle/>
          <a:p>
            <a:pPr>
              <a:defRPr sz="800"/>
            </a:pPr>
            <a:endParaRPr lang="en-US"/>
          </a:p>
        </c:txPr>
        <c:crossAx val="121891840"/>
        <c:crossesAt val="-1.0000000000000002E-2"/>
        <c:auto val="1"/>
        <c:lblAlgn val="ctr"/>
        <c:lblOffset val="100"/>
        <c:tickLblSkip val="10"/>
        <c:tickMarkSkip val="10"/>
        <c:noMultiLvlLbl val="0"/>
      </c:catAx>
      <c:valAx>
        <c:axId val="121891840"/>
        <c:scaling>
          <c:orientation val="minMax"/>
          <c:max val="4.0000000000000008E-2"/>
          <c:min val="-1.0000000000000002E-2"/>
        </c:scaling>
        <c:delete val="0"/>
        <c:axPos val="l"/>
        <c:majorGridlines/>
        <c:numFmt formatCode="0.00%" sourceLinked="1"/>
        <c:majorTickMark val="out"/>
        <c:minorTickMark val="none"/>
        <c:tickLblPos val="nextTo"/>
        <c:txPr>
          <a:bodyPr/>
          <a:lstStyle/>
          <a:p>
            <a:pPr>
              <a:defRPr sz="800"/>
            </a:pPr>
            <a:endParaRPr lang="en-US"/>
          </a:p>
        </c:txPr>
        <c:crossAx val="121890304"/>
        <c:crosses val="autoZero"/>
        <c:crossBetween val="between"/>
        <c:majorUnit val="1.0000000000000002E-2"/>
      </c:valAx>
    </c:plotArea>
    <c:plotVisOnly val="1"/>
    <c:dispBlanksAs val="zero"/>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8154686301529499"/>
          <c:y val="6.5954664757814432E-2"/>
          <c:w val="0.74017128080178662"/>
          <c:h val="0.80470150322118916"/>
        </c:manualLayout>
      </c:layout>
      <c:lineChart>
        <c:grouping val="standard"/>
        <c:varyColors val="0"/>
        <c:ser>
          <c:idx val="0"/>
          <c:order val="0"/>
          <c:tx>
            <c:strRef>
              <c:f>'SNP500 TRIGGER SUB'!$BQ$515</c:f>
              <c:strCache>
                <c:ptCount val="1"/>
                <c:pt idx="0">
                  <c:v>CAR-9</c:v>
                </c:pt>
              </c:strCache>
            </c:strRef>
          </c:tx>
          <c:spPr>
            <a:ln>
              <a:solidFill>
                <a:prstClr val="black"/>
              </a:solidFill>
            </a:ln>
          </c:spPr>
          <c:marker>
            <c:symbol val="none"/>
          </c:marker>
          <c:cat>
            <c:numRef>
              <c:f>'SNP500 TRIGGER SUB'!$BO$516:$BO$616</c:f>
              <c:numCache>
                <c:formatCode>General</c:formatCode>
                <c:ptCount val="101"/>
                <c:pt idx="0">
                  <c:v>-50</c:v>
                </c:pt>
                <c:pt idx="1">
                  <c:v>-49</c:v>
                </c:pt>
                <c:pt idx="2">
                  <c:v>-48</c:v>
                </c:pt>
                <c:pt idx="3">
                  <c:v>-47</c:v>
                </c:pt>
                <c:pt idx="4">
                  <c:v>-46</c:v>
                </c:pt>
                <c:pt idx="5">
                  <c:v>-45</c:v>
                </c:pt>
                <c:pt idx="6">
                  <c:v>-44</c:v>
                </c:pt>
                <c:pt idx="7">
                  <c:v>-43</c:v>
                </c:pt>
                <c:pt idx="8">
                  <c:v>-42</c:v>
                </c:pt>
                <c:pt idx="9">
                  <c:v>-41</c:v>
                </c:pt>
                <c:pt idx="10">
                  <c:v>-40</c:v>
                </c:pt>
                <c:pt idx="11">
                  <c:v>-39</c:v>
                </c:pt>
                <c:pt idx="12">
                  <c:v>-38</c:v>
                </c:pt>
                <c:pt idx="13">
                  <c:v>-37</c:v>
                </c:pt>
                <c:pt idx="14">
                  <c:v>-36</c:v>
                </c:pt>
                <c:pt idx="15">
                  <c:v>-35</c:v>
                </c:pt>
                <c:pt idx="16">
                  <c:v>-34</c:v>
                </c:pt>
                <c:pt idx="17">
                  <c:v>-33</c:v>
                </c:pt>
                <c:pt idx="18">
                  <c:v>-32</c:v>
                </c:pt>
                <c:pt idx="19">
                  <c:v>-31</c:v>
                </c:pt>
                <c:pt idx="20">
                  <c:v>-30</c:v>
                </c:pt>
                <c:pt idx="21">
                  <c:v>-29</c:v>
                </c:pt>
                <c:pt idx="22">
                  <c:v>-28</c:v>
                </c:pt>
                <c:pt idx="23">
                  <c:v>-27</c:v>
                </c:pt>
                <c:pt idx="24">
                  <c:v>-26</c:v>
                </c:pt>
                <c:pt idx="25">
                  <c:v>-25</c:v>
                </c:pt>
                <c:pt idx="26">
                  <c:v>-24</c:v>
                </c:pt>
                <c:pt idx="27">
                  <c:v>-23</c:v>
                </c:pt>
                <c:pt idx="28">
                  <c:v>-22</c:v>
                </c:pt>
                <c:pt idx="29">
                  <c:v>-21</c:v>
                </c:pt>
                <c:pt idx="30">
                  <c:v>-20</c:v>
                </c:pt>
                <c:pt idx="31">
                  <c:v>-19</c:v>
                </c:pt>
                <c:pt idx="32">
                  <c:v>-18</c:v>
                </c:pt>
                <c:pt idx="33">
                  <c:v>-17</c:v>
                </c:pt>
                <c:pt idx="34">
                  <c:v>-16</c:v>
                </c:pt>
                <c:pt idx="35">
                  <c:v>-15</c:v>
                </c:pt>
                <c:pt idx="36">
                  <c:v>-14</c:v>
                </c:pt>
                <c:pt idx="37">
                  <c:v>-13</c:v>
                </c:pt>
                <c:pt idx="38">
                  <c:v>-12</c:v>
                </c:pt>
                <c:pt idx="39">
                  <c:v>-11</c:v>
                </c:pt>
                <c:pt idx="40">
                  <c:v>-10</c:v>
                </c:pt>
                <c:pt idx="41">
                  <c:v>-9</c:v>
                </c:pt>
                <c:pt idx="42">
                  <c:v>-8</c:v>
                </c:pt>
                <c:pt idx="43">
                  <c:v>-7</c:v>
                </c:pt>
                <c:pt idx="44">
                  <c:v>-6</c:v>
                </c:pt>
                <c:pt idx="45">
                  <c:v>-5</c:v>
                </c:pt>
                <c:pt idx="46">
                  <c:v>-4</c:v>
                </c:pt>
                <c:pt idx="47">
                  <c:v>-3</c:v>
                </c:pt>
                <c:pt idx="48">
                  <c:v>-2</c:v>
                </c:pt>
                <c:pt idx="49">
                  <c:v>-1</c:v>
                </c:pt>
                <c:pt idx="50">
                  <c:v>0</c:v>
                </c:pt>
                <c:pt idx="51">
                  <c:v>1</c:v>
                </c:pt>
                <c:pt idx="52">
                  <c:v>2</c:v>
                </c:pt>
                <c:pt idx="53">
                  <c:v>3</c:v>
                </c:pt>
                <c:pt idx="54">
                  <c:v>4</c:v>
                </c:pt>
                <c:pt idx="55">
                  <c:v>5</c:v>
                </c:pt>
                <c:pt idx="56">
                  <c:v>6</c:v>
                </c:pt>
                <c:pt idx="57">
                  <c:v>7</c:v>
                </c:pt>
                <c:pt idx="58">
                  <c:v>8</c:v>
                </c:pt>
                <c:pt idx="59">
                  <c:v>9</c:v>
                </c:pt>
                <c:pt idx="60">
                  <c:v>10</c:v>
                </c:pt>
                <c:pt idx="61">
                  <c:v>11</c:v>
                </c:pt>
                <c:pt idx="62">
                  <c:v>12</c:v>
                </c:pt>
                <c:pt idx="63">
                  <c:v>13</c:v>
                </c:pt>
                <c:pt idx="64">
                  <c:v>14</c:v>
                </c:pt>
                <c:pt idx="65">
                  <c:v>15</c:v>
                </c:pt>
                <c:pt idx="66">
                  <c:v>16</c:v>
                </c:pt>
                <c:pt idx="67">
                  <c:v>17</c:v>
                </c:pt>
                <c:pt idx="68">
                  <c:v>18</c:v>
                </c:pt>
                <c:pt idx="69">
                  <c:v>19</c:v>
                </c:pt>
                <c:pt idx="70">
                  <c:v>20</c:v>
                </c:pt>
                <c:pt idx="71">
                  <c:v>21</c:v>
                </c:pt>
                <c:pt idx="72">
                  <c:v>22</c:v>
                </c:pt>
                <c:pt idx="73">
                  <c:v>23</c:v>
                </c:pt>
                <c:pt idx="74">
                  <c:v>24</c:v>
                </c:pt>
                <c:pt idx="75">
                  <c:v>25</c:v>
                </c:pt>
                <c:pt idx="76">
                  <c:v>26</c:v>
                </c:pt>
                <c:pt idx="77">
                  <c:v>27</c:v>
                </c:pt>
                <c:pt idx="78">
                  <c:v>28</c:v>
                </c:pt>
                <c:pt idx="79">
                  <c:v>29</c:v>
                </c:pt>
                <c:pt idx="80">
                  <c:v>30</c:v>
                </c:pt>
                <c:pt idx="81">
                  <c:v>31</c:v>
                </c:pt>
                <c:pt idx="82">
                  <c:v>32</c:v>
                </c:pt>
                <c:pt idx="83">
                  <c:v>33</c:v>
                </c:pt>
                <c:pt idx="84">
                  <c:v>34</c:v>
                </c:pt>
                <c:pt idx="85">
                  <c:v>35</c:v>
                </c:pt>
                <c:pt idx="86">
                  <c:v>36</c:v>
                </c:pt>
                <c:pt idx="87">
                  <c:v>37</c:v>
                </c:pt>
                <c:pt idx="88">
                  <c:v>38</c:v>
                </c:pt>
                <c:pt idx="89">
                  <c:v>39</c:v>
                </c:pt>
                <c:pt idx="90">
                  <c:v>40</c:v>
                </c:pt>
                <c:pt idx="91">
                  <c:v>41</c:v>
                </c:pt>
                <c:pt idx="92">
                  <c:v>42</c:v>
                </c:pt>
                <c:pt idx="93">
                  <c:v>43</c:v>
                </c:pt>
                <c:pt idx="94">
                  <c:v>44</c:v>
                </c:pt>
                <c:pt idx="95">
                  <c:v>45</c:v>
                </c:pt>
                <c:pt idx="96">
                  <c:v>46</c:v>
                </c:pt>
                <c:pt idx="97">
                  <c:v>47</c:v>
                </c:pt>
                <c:pt idx="98">
                  <c:v>48</c:v>
                </c:pt>
                <c:pt idx="99">
                  <c:v>49</c:v>
                </c:pt>
                <c:pt idx="100">
                  <c:v>50</c:v>
                </c:pt>
              </c:numCache>
            </c:numRef>
          </c:cat>
          <c:val>
            <c:numRef>
              <c:f>'SNP500 TRIGGER SUB'!$BQ$516:$BQ$616</c:f>
              <c:numCache>
                <c:formatCode>0.00%</c:formatCode>
                <c:ptCount val="101"/>
                <c:pt idx="0">
                  <c:v>-1.8190815142326449E-3</c:v>
                </c:pt>
                <c:pt idx="1">
                  <c:v>-2.2841636002302644E-3</c:v>
                </c:pt>
                <c:pt idx="2">
                  <c:v>1.7087697287483726E-4</c:v>
                </c:pt>
                <c:pt idx="3">
                  <c:v>4.5397862229516923E-4</c:v>
                </c:pt>
                <c:pt idx="4">
                  <c:v>1.3027488916855219E-3</c:v>
                </c:pt>
                <c:pt idx="5">
                  <c:v>1.8421825241219994E-3</c:v>
                </c:pt>
                <c:pt idx="6">
                  <c:v>2.4583356060470748E-3</c:v>
                </c:pt>
                <c:pt idx="7">
                  <c:v>4.1567295710249787E-3</c:v>
                </c:pt>
                <c:pt idx="8">
                  <c:v>4.5175315938812402E-3</c:v>
                </c:pt>
                <c:pt idx="9">
                  <c:v>9.9081775249776328E-4</c:v>
                </c:pt>
                <c:pt idx="10">
                  <c:v>-5.9777698986189821E-3</c:v>
                </c:pt>
                <c:pt idx="11">
                  <c:v>-7.0993294693025037E-3</c:v>
                </c:pt>
                <c:pt idx="12">
                  <c:v>-3.0533560135124964E-3</c:v>
                </c:pt>
                <c:pt idx="13">
                  <c:v>-4.2401934120236953E-3</c:v>
                </c:pt>
                <c:pt idx="14">
                  <c:v>-3.8243039163843207E-3</c:v>
                </c:pt>
                <c:pt idx="15">
                  <c:v>-6.2631625224330674E-3</c:v>
                </c:pt>
                <c:pt idx="16">
                  <c:v>-7.6850267840115416E-3</c:v>
                </c:pt>
                <c:pt idx="17">
                  <c:v>-5.9549485263291537E-3</c:v>
                </c:pt>
                <c:pt idx="18">
                  <c:v>-4.8474099169611307E-3</c:v>
                </c:pt>
                <c:pt idx="19">
                  <c:v>-4.4537230327303971E-3</c:v>
                </c:pt>
                <c:pt idx="20">
                  <c:v>-2.6532458653556312E-4</c:v>
                </c:pt>
                <c:pt idx="21">
                  <c:v>-1.0147185468663777E-3</c:v>
                </c:pt>
                <c:pt idx="22">
                  <c:v>-2.7653129368057205E-3</c:v>
                </c:pt>
                <c:pt idx="23">
                  <c:v>-4.7040535981105192E-3</c:v>
                </c:pt>
                <c:pt idx="24">
                  <c:v>-3.3695762560684403E-3</c:v>
                </c:pt>
                <c:pt idx="25">
                  <c:v>-3.3048269836775611E-3</c:v>
                </c:pt>
                <c:pt idx="26">
                  <c:v>-4.7786313486015124E-3</c:v>
                </c:pt>
                <c:pt idx="27">
                  <c:v>-5.0665180264908684E-3</c:v>
                </c:pt>
                <c:pt idx="28">
                  <c:v>-4.9871223490724594E-3</c:v>
                </c:pt>
                <c:pt idx="29">
                  <c:v>-4.4478686758459181E-3</c:v>
                </c:pt>
                <c:pt idx="30">
                  <c:v>-4.3743909748352895E-3</c:v>
                </c:pt>
                <c:pt idx="31">
                  <c:v>-5.4125450908975824E-3</c:v>
                </c:pt>
                <c:pt idx="32">
                  <c:v>-4.4936377581417846E-3</c:v>
                </c:pt>
                <c:pt idx="33">
                  <c:v>-7.1578012523268652E-3</c:v>
                </c:pt>
                <c:pt idx="34">
                  <c:v>-4.0442694928002976E-3</c:v>
                </c:pt>
                <c:pt idx="35">
                  <c:v>-2.6258495500986472E-3</c:v>
                </c:pt>
                <c:pt idx="36">
                  <c:v>-3.5721769797782787E-3</c:v>
                </c:pt>
                <c:pt idx="37">
                  <c:v>-5.2549125627376425E-3</c:v>
                </c:pt>
                <c:pt idx="38">
                  <c:v>-5.2091603360631981E-3</c:v>
                </c:pt>
                <c:pt idx="39">
                  <c:v>-1.2245349249076321E-2</c:v>
                </c:pt>
                <c:pt idx="40">
                  <c:v>-1.1057324223806521E-2</c:v>
                </c:pt>
                <c:pt idx="41">
                  <c:v>-1.021252187854994E-2</c:v>
                </c:pt>
                <c:pt idx="42">
                  <c:v>-1.2612286473756737E-2</c:v>
                </c:pt>
                <c:pt idx="43">
                  <c:v>-1.6425583131664246E-2</c:v>
                </c:pt>
                <c:pt idx="44">
                  <c:v>-1.8225417534003363E-2</c:v>
                </c:pt>
                <c:pt idx="45">
                  <c:v>-1.7830279971978311E-2</c:v>
                </c:pt>
                <c:pt idx="46">
                  <c:v>-1.9358023590964911E-2</c:v>
                </c:pt>
                <c:pt idx="47">
                  <c:v>-1.6721543603129423E-2</c:v>
                </c:pt>
                <c:pt idx="48">
                  <c:v>-1.8083129413027765E-2</c:v>
                </c:pt>
                <c:pt idx="49">
                  <c:v>-1.5978906392148769E-2</c:v>
                </c:pt>
                <c:pt idx="50">
                  <c:v>-1.4151807218591959E-2</c:v>
                </c:pt>
                <c:pt idx="51">
                  <c:v>-1.5433241538944018E-2</c:v>
                </c:pt>
                <c:pt idx="52">
                  <c:v>-1.7068059956007745E-2</c:v>
                </c:pt>
                <c:pt idx="53">
                  <c:v>-1.8570959654175961E-2</c:v>
                </c:pt>
                <c:pt idx="54">
                  <c:v>-2.1590596899531377E-2</c:v>
                </c:pt>
                <c:pt idx="55">
                  <c:v>-2.1712903893661956E-2</c:v>
                </c:pt>
                <c:pt idx="56">
                  <c:v>-2.170294082532E-2</c:v>
                </c:pt>
                <c:pt idx="57">
                  <c:v>-2.2710443655480781E-2</c:v>
                </c:pt>
                <c:pt idx="58">
                  <c:v>-2.3621372511118538E-2</c:v>
                </c:pt>
                <c:pt idx="59">
                  <c:v>-2.5383953087333329E-2</c:v>
                </c:pt>
                <c:pt idx="60">
                  <c:v>-3.0878242985437399E-2</c:v>
                </c:pt>
                <c:pt idx="61">
                  <c:v>-3.1400141138914414E-2</c:v>
                </c:pt>
                <c:pt idx="62">
                  <c:v>-3.0158959555240838E-2</c:v>
                </c:pt>
                <c:pt idx="63">
                  <c:v>-3.0388905665869308E-2</c:v>
                </c:pt>
                <c:pt idx="64">
                  <c:v>-3.1981489949092078E-2</c:v>
                </c:pt>
                <c:pt idx="65">
                  <c:v>-3.356377443578093E-2</c:v>
                </c:pt>
                <c:pt idx="66">
                  <c:v>-3.3339693476728556E-2</c:v>
                </c:pt>
                <c:pt idx="67">
                  <c:v>-3.1583268572498373E-2</c:v>
                </c:pt>
                <c:pt idx="68">
                  <c:v>-3.2279925115320809E-2</c:v>
                </c:pt>
                <c:pt idx="69">
                  <c:v>-3.5281863931695009E-2</c:v>
                </c:pt>
                <c:pt idx="70">
                  <c:v>-3.4987363383590646E-2</c:v>
                </c:pt>
                <c:pt idx="71">
                  <c:v>-3.531139094477595E-2</c:v>
                </c:pt>
                <c:pt idx="72">
                  <c:v>-3.4708344542506354E-2</c:v>
                </c:pt>
                <c:pt idx="73">
                  <c:v>-3.6807333703904675E-2</c:v>
                </c:pt>
                <c:pt idx="74">
                  <c:v>-3.5897532069821672E-2</c:v>
                </c:pt>
                <c:pt idx="75">
                  <c:v>-3.6418288303052646E-2</c:v>
                </c:pt>
                <c:pt idx="76">
                  <c:v>-3.9816440543392478E-2</c:v>
                </c:pt>
                <c:pt idx="77">
                  <c:v>-3.9357969803338423E-2</c:v>
                </c:pt>
                <c:pt idx="78">
                  <c:v>-3.9687831527733926E-2</c:v>
                </c:pt>
                <c:pt idx="79">
                  <c:v>-3.8406993041847991E-2</c:v>
                </c:pt>
                <c:pt idx="80">
                  <c:v>-3.6388999581654508E-2</c:v>
                </c:pt>
                <c:pt idx="81">
                  <c:v>-3.6742797629199214E-2</c:v>
                </c:pt>
                <c:pt idx="82">
                  <c:v>-3.6319000420790067E-2</c:v>
                </c:pt>
                <c:pt idx="83">
                  <c:v>-3.6572303880720892E-2</c:v>
                </c:pt>
                <c:pt idx="84">
                  <c:v>-3.5982305672404791E-2</c:v>
                </c:pt>
                <c:pt idx="85">
                  <c:v>-3.471383805355141E-2</c:v>
                </c:pt>
                <c:pt idx="86">
                  <c:v>-3.5431616583549819E-2</c:v>
                </c:pt>
                <c:pt idx="87">
                  <c:v>-3.5316249129542829E-2</c:v>
                </c:pt>
                <c:pt idx="88">
                  <c:v>-3.8032171943304799E-2</c:v>
                </c:pt>
                <c:pt idx="89">
                  <c:v>-3.986985715421891E-2</c:v>
                </c:pt>
                <c:pt idx="90">
                  <c:v>-4.1316864475668784E-2</c:v>
                </c:pt>
                <c:pt idx="91">
                  <c:v>-4.1532836292253614E-2</c:v>
                </c:pt>
                <c:pt idx="92">
                  <c:v>-3.93564501347008E-2</c:v>
                </c:pt>
                <c:pt idx="93">
                  <c:v>-4.1363799456589016E-2</c:v>
                </c:pt>
                <c:pt idx="94">
                  <c:v>-3.8485640379570203E-2</c:v>
                </c:pt>
                <c:pt idx="95">
                  <c:v>-3.8019011721285814E-2</c:v>
                </c:pt>
                <c:pt idx="96">
                  <c:v>-3.8425724052568014E-2</c:v>
                </c:pt>
                <c:pt idx="97">
                  <c:v>-4.2462933430358799E-2</c:v>
                </c:pt>
                <c:pt idx="98">
                  <c:v>-4.682434741579989E-2</c:v>
                </c:pt>
                <c:pt idx="99">
                  <c:v>-4.4172266817189193E-2</c:v>
                </c:pt>
                <c:pt idx="100">
                  <c:v>-4.6699878245412045E-2</c:v>
                </c:pt>
              </c:numCache>
            </c:numRef>
          </c:val>
          <c:smooth val="0"/>
        </c:ser>
        <c:dLbls>
          <c:showLegendKey val="0"/>
          <c:showVal val="0"/>
          <c:showCatName val="0"/>
          <c:showSerName val="0"/>
          <c:showPercent val="0"/>
          <c:showBubbleSize val="0"/>
        </c:dLbls>
        <c:marker val="1"/>
        <c:smooth val="0"/>
        <c:axId val="122169600"/>
        <c:axId val="122183680"/>
      </c:lineChart>
      <c:catAx>
        <c:axId val="122169600"/>
        <c:scaling>
          <c:orientation val="minMax"/>
        </c:scaling>
        <c:delete val="0"/>
        <c:axPos val="b"/>
        <c:numFmt formatCode="General" sourceLinked="1"/>
        <c:majorTickMark val="out"/>
        <c:minorTickMark val="none"/>
        <c:tickLblPos val="nextTo"/>
        <c:txPr>
          <a:bodyPr/>
          <a:lstStyle/>
          <a:p>
            <a:pPr>
              <a:defRPr sz="800"/>
            </a:pPr>
            <a:endParaRPr lang="en-US"/>
          </a:p>
        </c:txPr>
        <c:crossAx val="122183680"/>
        <c:crossesAt val="-0.05"/>
        <c:auto val="1"/>
        <c:lblAlgn val="ctr"/>
        <c:lblOffset val="100"/>
        <c:tickLblSkip val="10"/>
        <c:tickMarkSkip val="10"/>
        <c:noMultiLvlLbl val="0"/>
      </c:catAx>
      <c:valAx>
        <c:axId val="122183680"/>
        <c:scaling>
          <c:orientation val="minMax"/>
          <c:max val="1.0000000000000005E-2"/>
          <c:min val="-0.05"/>
        </c:scaling>
        <c:delete val="0"/>
        <c:axPos val="l"/>
        <c:majorGridlines/>
        <c:numFmt formatCode="0.00%" sourceLinked="1"/>
        <c:majorTickMark val="out"/>
        <c:minorTickMark val="none"/>
        <c:tickLblPos val="nextTo"/>
        <c:txPr>
          <a:bodyPr/>
          <a:lstStyle/>
          <a:p>
            <a:pPr>
              <a:defRPr sz="800"/>
            </a:pPr>
            <a:endParaRPr lang="en-US"/>
          </a:p>
        </c:txPr>
        <c:crossAx val="122169600"/>
        <c:crosses val="autoZero"/>
        <c:crossBetween val="between"/>
        <c:majorUnit val="1.0000000000000005E-2"/>
      </c:valAx>
    </c:plotArea>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Sheet2!$BP$515</c:f>
              <c:strCache>
                <c:ptCount val="1"/>
                <c:pt idx="0">
                  <c:v>CAR</c:v>
                </c:pt>
              </c:strCache>
            </c:strRef>
          </c:tx>
          <c:spPr>
            <a:ln>
              <a:solidFill>
                <a:prstClr val="black"/>
              </a:solidFill>
            </a:ln>
          </c:spPr>
          <c:marker>
            <c:symbol val="none"/>
          </c:marker>
          <c:cat>
            <c:numRef>
              <c:f>Sheet2!$A$516:$A$616</c:f>
              <c:numCache>
                <c:formatCode>0</c:formatCode>
                <c:ptCount val="101"/>
                <c:pt idx="0">
                  <c:v>-50</c:v>
                </c:pt>
                <c:pt idx="1">
                  <c:v>-49</c:v>
                </c:pt>
                <c:pt idx="2">
                  <c:v>-48</c:v>
                </c:pt>
                <c:pt idx="3">
                  <c:v>-47</c:v>
                </c:pt>
                <c:pt idx="4">
                  <c:v>-46</c:v>
                </c:pt>
                <c:pt idx="5">
                  <c:v>-45</c:v>
                </c:pt>
                <c:pt idx="6">
                  <c:v>-44</c:v>
                </c:pt>
                <c:pt idx="7">
                  <c:v>-43</c:v>
                </c:pt>
                <c:pt idx="8">
                  <c:v>-42</c:v>
                </c:pt>
                <c:pt idx="9">
                  <c:v>-41</c:v>
                </c:pt>
                <c:pt idx="10">
                  <c:v>-40</c:v>
                </c:pt>
                <c:pt idx="11">
                  <c:v>-39</c:v>
                </c:pt>
                <c:pt idx="12">
                  <c:v>-38</c:v>
                </c:pt>
                <c:pt idx="13">
                  <c:v>-37</c:v>
                </c:pt>
                <c:pt idx="14">
                  <c:v>-36</c:v>
                </c:pt>
                <c:pt idx="15">
                  <c:v>-35</c:v>
                </c:pt>
                <c:pt idx="16">
                  <c:v>-34</c:v>
                </c:pt>
                <c:pt idx="17">
                  <c:v>-33</c:v>
                </c:pt>
                <c:pt idx="18">
                  <c:v>-32</c:v>
                </c:pt>
                <c:pt idx="19">
                  <c:v>-31</c:v>
                </c:pt>
                <c:pt idx="20">
                  <c:v>-30</c:v>
                </c:pt>
                <c:pt idx="21">
                  <c:v>-29</c:v>
                </c:pt>
                <c:pt idx="22">
                  <c:v>-28</c:v>
                </c:pt>
                <c:pt idx="23">
                  <c:v>-27</c:v>
                </c:pt>
                <c:pt idx="24">
                  <c:v>-26</c:v>
                </c:pt>
                <c:pt idx="25">
                  <c:v>-25</c:v>
                </c:pt>
                <c:pt idx="26">
                  <c:v>-24</c:v>
                </c:pt>
                <c:pt idx="27">
                  <c:v>-23</c:v>
                </c:pt>
                <c:pt idx="28">
                  <c:v>-22</c:v>
                </c:pt>
                <c:pt idx="29">
                  <c:v>-21</c:v>
                </c:pt>
                <c:pt idx="30">
                  <c:v>-20</c:v>
                </c:pt>
                <c:pt idx="31">
                  <c:v>-19</c:v>
                </c:pt>
                <c:pt idx="32">
                  <c:v>-18</c:v>
                </c:pt>
                <c:pt idx="33">
                  <c:v>-17</c:v>
                </c:pt>
                <c:pt idx="34">
                  <c:v>-16</c:v>
                </c:pt>
                <c:pt idx="35">
                  <c:v>-15</c:v>
                </c:pt>
                <c:pt idx="36">
                  <c:v>-14</c:v>
                </c:pt>
                <c:pt idx="37">
                  <c:v>-13</c:v>
                </c:pt>
                <c:pt idx="38">
                  <c:v>-12</c:v>
                </c:pt>
                <c:pt idx="39">
                  <c:v>-11</c:v>
                </c:pt>
                <c:pt idx="40">
                  <c:v>-10</c:v>
                </c:pt>
                <c:pt idx="41">
                  <c:v>-9</c:v>
                </c:pt>
                <c:pt idx="42">
                  <c:v>-8</c:v>
                </c:pt>
                <c:pt idx="43">
                  <c:v>-7</c:v>
                </c:pt>
                <c:pt idx="44">
                  <c:v>-6</c:v>
                </c:pt>
                <c:pt idx="45">
                  <c:v>-5</c:v>
                </c:pt>
                <c:pt idx="46">
                  <c:v>-4</c:v>
                </c:pt>
                <c:pt idx="47">
                  <c:v>-3</c:v>
                </c:pt>
                <c:pt idx="48">
                  <c:v>-2</c:v>
                </c:pt>
                <c:pt idx="49">
                  <c:v>-1</c:v>
                </c:pt>
                <c:pt idx="50">
                  <c:v>0</c:v>
                </c:pt>
                <c:pt idx="51">
                  <c:v>1</c:v>
                </c:pt>
                <c:pt idx="52">
                  <c:v>2</c:v>
                </c:pt>
                <c:pt idx="53">
                  <c:v>3</c:v>
                </c:pt>
                <c:pt idx="54">
                  <c:v>4</c:v>
                </c:pt>
                <c:pt idx="55">
                  <c:v>5</c:v>
                </c:pt>
                <c:pt idx="56">
                  <c:v>6</c:v>
                </c:pt>
                <c:pt idx="57">
                  <c:v>7</c:v>
                </c:pt>
                <c:pt idx="58">
                  <c:v>8</c:v>
                </c:pt>
                <c:pt idx="59">
                  <c:v>9</c:v>
                </c:pt>
                <c:pt idx="60">
                  <c:v>10</c:v>
                </c:pt>
                <c:pt idx="61">
                  <c:v>11</c:v>
                </c:pt>
                <c:pt idx="62">
                  <c:v>12</c:v>
                </c:pt>
                <c:pt idx="63">
                  <c:v>13</c:v>
                </c:pt>
                <c:pt idx="64">
                  <c:v>14</c:v>
                </c:pt>
                <c:pt idx="65">
                  <c:v>15</c:v>
                </c:pt>
                <c:pt idx="66">
                  <c:v>16</c:v>
                </c:pt>
                <c:pt idx="67">
                  <c:v>17</c:v>
                </c:pt>
                <c:pt idx="68">
                  <c:v>18</c:v>
                </c:pt>
                <c:pt idx="69">
                  <c:v>19</c:v>
                </c:pt>
                <c:pt idx="70">
                  <c:v>20</c:v>
                </c:pt>
                <c:pt idx="71">
                  <c:v>21</c:v>
                </c:pt>
                <c:pt idx="72">
                  <c:v>22</c:v>
                </c:pt>
                <c:pt idx="73">
                  <c:v>23</c:v>
                </c:pt>
                <c:pt idx="74">
                  <c:v>24</c:v>
                </c:pt>
                <c:pt idx="75">
                  <c:v>25</c:v>
                </c:pt>
                <c:pt idx="76">
                  <c:v>26</c:v>
                </c:pt>
                <c:pt idx="77">
                  <c:v>27</c:v>
                </c:pt>
                <c:pt idx="78">
                  <c:v>28</c:v>
                </c:pt>
                <c:pt idx="79">
                  <c:v>29</c:v>
                </c:pt>
                <c:pt idx="80">
                  <c:v>30</c:v>
                </c:pt>
                <c:pt idx="81">
                  <c:v>31</c:v>
                </c:pt>
                <c:pt idx="82">
                  <c:v>32</c:v>
                </c:pt>
                <c:pt idx="83">
                  <c:v>33</c:v>
                </c:pt>
                <c:pt idx="84">
                  <c:v>34</c:v>
                </c:pt>
                <c:pt idx="85">
                  <c:v>35</c:v>
                </c:pt>
                <c:pt idx="86">
                  <c:v>36</c:v>
                </c:pt>
                <c:pt idx="87">
                  <c:v>37</c:v>
                </c:pt>
                <c:pt idx="88">
                  <c:v>38</c:v>
                </c:pt>
                <c:pt idx="89">
                  <c:v>39</c:v>
                </c:pt>
                <c:pt idx="90">
                  <c:v>40</c:v>
                </c:pt>
                <c:pt idx="91">
                  <c:v>41</c:v>
                </c:pt>
                <c:pt idx="92">
                  <c:v>42</c:v>
                </c:pt>
                <c:pt idx="93">
                  <c:v>43</c:v>
                </c:pt>
                <c:pt idx="94">
                  <c:v>44</c:v>
                </c:pt>
                <c:pt idx="95">
                  <c:v>45</c:v>
                </c:pt>
                <c:pt idx="96">
                  <c:v>46</c:v>
                </c:pt>
                <c:pt idx="97">
                  <c:v>47</c:v>
                </c:pt>
                <c:pt idx="98">
                  <c:v>48</c:v>
                </c:pt>
                <c:pt idx="99">
                  <c:v>49</c:v>
                </c:pt>
                <c:pt idx="100">
                  <c:v>50</c:v>
                </c:pt>
              </c:numCache>
            </c:numRef>
          </c:cat>
          <c:val>
            <c:numRef>
              <c:f>Sheet2!$BP$516:$BP$616</c:f>
              <c:numCache>
                <c:formatCode>0.00%</c:formatCode>
                <c:ptCount val="101"/>
                <c:pt idx="0">
                  <c:v>-4.2083303482364507E-4</c:v>
                </c:pt>
                <c:pt idx="1">
                  <c:v>-6.4075334278463334E-4</c:v>
                </c:pt>
                <c:pt idx="2">
                  <c:v>5.4021043055602893E-4</c:v>
                </c:pt>
                <c:pt idx="3">
                  <c:v>-8.7616428435995368E-4</c:v>
                </c:pt>
                <c:pt idx="4">
                  <c:v>-1.9778876662348584E-4</c:v>
                </c:pt>
                <c:pt idx="5">
                  <c:v>-1.5345350510505727E-3</c:v>
                </c:pt>
                <c:pt idx="6">
                  <c:v>-1.2020556984946881E-4</c:v>
                </c:pt>
                <c:pt idx="7">
                  <c:v>1.639341973596778E-3</c:v>
                </c:pt>
                <c:pt idx="8">
                  <c:v>1.8700076743657645E-3</c:v>
                </c:pt>
                <c:pt idx="9">
                  <c:v>-1.4271247183735218E-3</c:v>
                </c:pt>
                <c:pt idx="10">
                  <c:v>-6.3487985020890631E-3</c:v>
                </c:pt>
                <c:pt idx="11">
                  <c:v>-5.4144449274837999E-3</c:v>
                </c:pt>
                <c:pt idx="12">
                  <c:v>-2.7352305438820821E-3</c:v>
                </c:pt>
                <c:pt idx="13">
                  <c:v>-4.9321025513807499E-3</c:v>
                </c:pt>
                <c:pt idx="14">
                  <c:v>-4.9524632094915524E-3</c:v>
                </c:pt>
                <c:pt idx="15">
                  <c:v>-7.1070297883384734E-3</c:v>
                </c:pt>
                <c:pt idx="16">
                  <c:v>-7.2543919169613747E-3</c:v>
                </c:pt>
                <c:pt idx="17">
                  <c:v>-5.0685836752556619E-3</c:v>
                </c:pt>
                <c:pt idx="18">
                  <c:v>-4.8448313791760065E-3</c:v>
                </c:pt>
                <c:pt idx="19">
                  <c:v>-3.6738011896908472E-3</c:v>
                </c:pt>
                <c:pt idx="20">
                  <c:v>-4.3669136009740991E-4</c:v>
                </c:pt>
                <c:pt idx="21">
                  <c:v>-1.5240096802860601E-3</c:v>
                </c:pt>
                <c:pt idx="22">
                  <c:v>-2.5961748042936912E-3</c:v>
                </c:pt>
                <c:pt idx="23">
                  <c:v>-4.114954707552197E-3</c:v>
                </c:pt>
                <c:pt idx="24">
                  <c:v>-3.9903713204199158E-3</c:v>
                </c:pt>
                <c:pt idx="25">
                  <c:v>-5.2730650807062702E-3</c:v>
                </c:pt>
                <c:pt idx="26">
                  <c:v>-6.1136925040919414E-3</c:v>
                </c:pt>
                <c:pt idx="27">
                  <c:v>-5.9457509071558813E-3</c:v>
                </c:pt>
                <c:pt idx="28">
                  <c:v>-5.8935741149414899E-3</c:v>
                </c:pt>
                <c:pt idx="29">
                  <c:v>-3.871760623765143E-3</c:v>
                </c:pt>
                <c:pt idx="30">
                  <c:v>-4.2213933504836989E-3</c:v>
                </c:pt>
                <c:pt idx="31">
                  <c:v>-5.782438704428558E-3</c:v>
                </c:pt>
                <c:pt idx="32">
                  <c:v>-4.5470616044602803E-3</c:v>
                </c:pt>
                <c:pt idx="33">
                  <c:v>-6.6144832347816594E-3</c:v>
                </c:pt>
                <c:pt idx="34">
                  <c:v>-4.6278923876827052E-3</c:v>
                </c:pt>
                <c:pt idx="35">
                  <c:v>-4.5473433093050101E-3</c:v>
                </c:pt>
                <c:pt idx="36">
                  <c:v>-6.1909199734437037E-3</c:v>
                </c:pt>
                <c:pt idx="37">
                  <c:v>-8.9928864901529758E-3</c:v>
                </c:pt>
                <c:pt idx="38">
                  <c:v>-8.8832852555781605E-3</c:v>
                </c:pt>
                <c:pt idx="39">
                  <c:v>-1.3944581029228584E-2</c:v>
                </c:pt>
                <c:pt idx="40">
                  <c:v>-1.3234901993111149E-2</c:v>
                </c:pt>
                <c:pt idx="41">
                  <c:v>-1.2609682157896478E-2</c:v>
                </c:pt>
                <c:pt idx="42">
                  <c:v>-1.3839407456773065E-2</c:v>
                </c:pt>
                <c:pt idx="43">
                  <c:v>-1.541646467682012E-2</c:v>
                </c:pt>
                <c:pt idx="44">
                  <c:v>-1.7391268548480263E-2</c:v>
                </c:pt>
                <c:pt idx="45">
                  <c:v>-1.6643176093249192E-2</c:v>
                </c:pt>
                <c:pt idx="46">
                  <c:v>-1.7334069127552261E-2</c:v>
                </c:pt>
                <c:pt idx="47">
                  <c:v>-1.5898272286301664E-2</c:v>
                </c:pt>
                <c:pt idx="48">
                  <c:v>-1.7409037734315725E-2</c:v>
                </c:pt>
                <c:pt idx="49">
                  <c:v>-1.759339858013809E-2</c:v>
                </c:pt>
                <c:pt idx="50">
                  <c:v>-1.568896411481922E-2</c:v>
                </c:pt>
                <c:pt idx="51">
                  <c:v>-1.4636042633826058E-2</c:v>
                </c:pt>
                <c:pt idx="52">
                  <c:v>-1.5150073294028633E-2</c:v>
                </c:pt>
                <c:pt idx="53">
                  <c:v>-1.5801336096514323E-2</c:v>
                </c:pt>
                <c:pt idx="54">
                  <c:v>-1.6783828829176284E-2</c:v>
                </c:pt>
                <c:pt idx="55">
                  <c:v>-1.689731894196856E-2</c:v>
                </c:pt>
                <c:pt idx="56">
                  <c:v>-1.77213925947865E-2</c:v>
                </c:pt>
                <c:pt idx="57">
                  <c:v>-1.8724514899849203E-2</c:v>
                </c:pt>
                <c:pt idx="58">
                  <c:v>-1.9399582920973407E-2</c:v>
                </c:pt>
                <c:pt idx="59">
                  <c:v>-1.9531977356187665E-2</c:v>
                </c:pt>
                <c:pt idx="60">
                  <c:v>-2.3632930727834085E-2</c:v>
                </c:pt>
                <c:pt idx="61">
                  <c:v>-2.4331842847278476E-2</c:v>
                </c:pt>
                <c:pt idx="62">
                  <c:v>-2.2138389036952741E-2</c:v>
                </c:pt>
                <c:pt idx="63">
                  <c:v>-2.1821195039837541E-2</c:v>
                </c:pt>
                <c:pt idx="64">
                  <c:v>-2.1908697704424475E-2</c:v>
                </c:pt>
                <c:pt idx="65">
                  <c:v>-2.2974300700783438E-2</c:v>
                </c:pt>
                <c:pt idx="66">
                  <c:v>-2.2473212522231559E-2</c:v>
                </c:pt>
                <c:pt idx="67">
                  <c:v>-2.1719145727568622E-2</c:v>
                </c:pt>
                <c:pt idx="68">
                  <c:v>-2.1812400921514007E-2</c:v>
                </c:pt>
                <c:pt idx="69">
                  <c:v>-2.3217187411054871E-2</c:v>
                </c:pt>
                <c:pt idx="70">
                  <c:v>-2.3974697722332908E-2</c:v>
                </c:pt>
                <c:pt idx="71">
                  <c:v>-2.4038497866478152E-2</c:v>
                </c:pt>
                <c:pt idx="72">
                  <c:v>-2.3272029857802478E-2</c:v>
                </c:pt>
                <c:pt idx="73">
                  <c:v>-2.4346901486811411E-2</c:v>
                </c:pt>
                <c:pt idx="74">
                  <c:v>-2.2931777860061415E-2</c:v>
                </c:pt>
                <c:pt idx="75">
                  <c:v>-2.2855012078074478E-2</c:v>
                </c:pt>
                <c:pt idx="76">
                  <c:v>-2.5251808940718042E-2</c:v>
                </c:pt>
                <c:pt idx="77">
                  <c:v>-2.4859698896852182E-2</c:v>
                </c:pt>
                <c:pt idx="78">
                  <c:v>-2.6221046666443888E-2</c:v>
                </c:pt>
                <c:pt idx="79">
                  <c:v>-2.5902782489488244E-2</c:v>
                </c:pt>
                <c:pt idx="80">
                  <c:v>-2.561637894480101E-2</c:v>
                </c:pt>
                <c:pt idx="81">
                  <c:v>-2.5554088689832621E-2</c:v>
                </c:pt>
                <c:pt idx="82">
                  <c:v>-2.5595594616728171E-2</c:v>
                </c:pt>
                <c:pt idx="83">
                  <c:v>-2.5565308142549592E-2</c:v>
                </c:pt>
                <c:pt idx="84">
                  <c:v>-2.4739402638993491E-2</c:v>
                </c:pt>
                <c:pt idx="85">
                  <c:v>-2.2635171802638611E-2</c:v>
                </c:pt>
                <c:pt idx="86">
                  <c:v>-2.3020641118201877E-2</c:v>
                </c:pt>
                <c:pt idx="87">
                  <c:v>-2.2723988361214552E-2</c:v>
                </c:pt>
                <c:pt idx="88">
                  <c:v>-2.6788621315560181E-2</c:v>
                </c:pt>
                <c:pt idx="89">
                  <c:v>-3.027943111778179E-2</c:v>
                </c:pt>
                <c:pt idx="90">
                  <c:v>-3.1190425876619236E-2</c:v>
                </c:pt>
                <c:pt idx="91">
                  <c:v>-3.2340289149157188E-2</c:v>
                </c:pt>
                <c:pt idx="92">
                  <c:v>-3.1456621688101712E-2</c:v>
                </c:pt>
                <c:pt idx="93">
                  <c:v>-3.2700995871775503E-2</c:v>
                </c:pt>
                <c:pt idx="94">
                  <c:v>-3.0647124649345579E-2</c:v>
                </c:pt>
                <c:pt idx="95">
                  <c:v>-3.0917750679033882E-2</c:v>
                </c:pt>
                <c:pt idx="96">
                  <c:v>-2.8932206984343851E-2</c:v>
                </c:pt>
                <c:pt idx="97">
                  <c:v>-3.0931400361687247E-2</c:v>
                </c:pt>
                <c:pt idx="98">
                  <c:v>-3.2901828164202292E-2</c:v>
                </c:pt>
                <c:pt idx="99">
                  <c:v>-3.1446765228817834E-2</c:v>
                </c:pt>
                <c:pt idx="100">
                  <c:v>-3.3553151132247987E-2</c:v>
                </c:pt>
              </c:numCache>
            </c:numRef>
          </c:val>
          <c:smooth val="0"/>
        </c:ser>
        <c:dLbls>
          <c:showLegendKey val="0"/>
          <c:showVal val="0"/>
          <c:showCatName val="0"/>
          <c:showSerName val="0"/>
          <c:showPercent val="0"/>
          <c:showBubbleSize val="0"/>
        </c:dLbls>
        <c:marker val="1"/>
        <c:smooth val="0"/>
        <c:axId val="122194944"/>
        <c:axId val="122217216"/>
      </c:lineChart>
      <c:catAx>
        <c:axId val="122194944"/>
        <c:scaling>
          <c:orientation val="minMax"/>
        </c:scaling>
        <c:delete val="0"/>
        <c:axPos val="b"/>
        <c:numFmt formatCode="0" sourceLinked="1"/>
        <c:majorTickMark val="out"/>
        <c:minorTickMark val="none"/>
        <c:tickLblPos val="nextTo"/>
        <c:txPr>
          <a:bodyPr/>
          <a:lstStyle/>
          <a:p>
            <a:pPr>
              <a:defRPr sz="800"/>
            </a:pPr>
            <a:endParaRPr lang="en-US"/>
          </a:p>
        </c:txPr>
        <c:crossAx val="122217216"/>
        <c:crossesAt val="-4.0000000000000022E-2"/>
        <c:auto val="1"/>
        <c:lblAlgn val="ctr"/>
        <c:lblOffset val="100"/>
        <c:tickLblSkip val="10"/>
        <c:tickMarkSkip val="10"/>
        <c:noMultiLvlLbl val="0"/>
      </c:catAx>
      <c:valAx>
        <c:axId val="122217216"/>
        <c:scaling>
          <c:orientation val="minMax"/>
          <c:max val="1.0000000000000005E-2"/>
          <c:min val="-4.0000000000000022E-2"/>
        </c:scaling>
        <c:delete val="0"/>
        <c:axPos val="l"/>
        <c:majorGridlines/>
        <c:numFmt formatCode="0.00%" sourceLinked="1"/>
        <c:majorTickMark val="out"/>
        <c:minorTickMark val="none"/>
        <c:tickLblPos val="nextTo"/>
        <c:txPr>
          <a:bodyPr/>
          <a:lstStyle/>
          <a:p>
            <a:pPr>
              <a:defRPr sz="800"/>
            </a:pPr>
            <a:endParaRPr lang="en-US"/>
          </a:p>
        </c:txPr>
        <c:crossAx val="122194944"/>
        <c:crosses val="autoZero"/>
        <c:crossBetween val="between"/>
        <c:majorUnit val="1.0000000000000005E-2"/>
      </c:valAx>
    </c:plotArea>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8372859919266793"/>
          <c:y val="6.0305216236877318E-2"/>
          <c:w val="0.74776093021615464"/>
          <c:h val="0.81556524968852295"/>
        </c:manualLayout>
      </c:layout>
      <c:lineChart>
        <c:grouping val="standard"/>
        <c:varyColors val="0"/>
        <c:ser>
          <c:idx val="0"/>
          <c:order val="0"/>
          <c:tx>
            <c:strRef>
              <c:f>'MSCIW LOCAL TRIGGER SUB'!$BR$515</c:f>
              <c:strCache>
                <c:ptCount val="1"/>
                <c:pt idx="0">
                  <c:v>CAR9</c:v>
                </c:pt>
              </c:strCache>
            </c:strRef>
          </c:tx>
          <c:spPr>
            <a:ln>
              <a:solidFill>
                <a:prstClr val="black"/>
              </a:solidFill>
            </a:ln>
          </c:spPr>
          <c:marker>
            <c:symbol val="none"/>
          </c:marker>
          <c:cat>
            <c:numRef>
              <c:f>'MSCIW LOCAL TRIGGER SUB'!$BP$516:$BP$616</c:f>
              <c:numCache>
                <c:formatCode>General</c:formatCode>
                <c:ptCount val="101"/>
                <c:pt idx="0">
                  <c:v>-50</c:v>
                </c:pt>
                <c:pt idx="1">
                  <c:v>-49</c:v>
                </c:pt>
                <c:pt idx="2">
                  <c:v>-48</c:v>
                </c:pt>
                <c:pt idx="3">
                  <c:v>-47</c:v>
                </c:pt>
                <c:pt idx="4">
                  <c:v>-46</c:v>
                </c:pt>
                <c:pt idx="5">
                  <c:v>-45</c:v>
                </c:pt>
                <c:pt idx="6">
                  <c:v>-44</c:v>
                </c:pt>
                <c:pt idx="7">
                  <c:v>-43</c:v>
                </c:pt>
                <c:pt idx="8">
                  <c:v>-42</c:v>
                </c:pt>
                <c:pt idx="9">
                  <c:v>-41</c:v>
                </c:pt>
                <c:pt idx="10">
                  <c:v>-40</c:v>
                </c:pt>
                <c:pt idx="11">
                  <c:v>-39</c:v>
                </c:pt>
                <c:pt idx="12">
                  <c:v>-38</c:v>
                </c:pt>
                <c:pt idx="13">
                  <c:v>-37</c:v>
                </c:pt>
                <c:pt idx="14">
                  <c:v>-36</c:v>
                </c:pt>
                <c:pt idx="15">
                  <c:v>-35</c:v>
                </c:pt>
                <c:pt idx="16">
                  <c:v>-34</c:v>
                </c:pt>
                <c:pt idx="17">
                  <c:v>-33</c:v>
                </c:pt>
                <c:pt idx="18">
                  <c:v>-32</c:v>
                </c:pt>
                <c:pt idx="19">
                  <c:v>-31</c:v>
                </c:pt>
                <c:pt idx="20">
                  <c:v>-30</c:v>
                </c:pt>
                <c:pt idx="21">
                  <c:v>-29</c:v>
                </c:pt>
                <c:pt idx="22">
                  <c:v>-28</c:v>
                </c:pt>
                <c:pt idx="23">
                  <c:v>-27</c:v>
                </c:pt>
                <c:pt idx="24">
                  <c:v>-26</c:v>
                </c:pt>
                <c:pt idx="25">
                  <c:v>-25</c:v>
                </c:pt>
                <c:pt idx="26">
                  <c:v>-24</c:v>
                </c:pt>
                <c:pt idx="27">
                  <c:v>-23</c:v>
                </c:pt>
                <c:pt idx="28">
                  <c:v>-22</c:v>
                </c:pt>
                <c:pt idx="29">
                  <c:v>-21</c:v>
                </c:pt>
                <c:pt idx="30">
                  <c:v>-20</c:v>
                </c:pt>
                <c:pt idx="31">
                  <c:v>-19</c:v>
                </c:pt>
                <c:pt idx="32">
                  <c:v>-18</c:v>
                </c:pt>
                <c:pt idx="33">
                  <c:v>-17</c:v>
                </c:pt>
                <c:pt idx="34">
                  <c:v>-16</c:v>
                </c:pt>
                <c:pt idx="35">
                  <c:v>-15</c:v>
                </c:pt>
                <c:pt idx="36">
                  <c:v>-14</c:v>
                </c:pt>
                <c:pt idx="37">
                  <c:v>-13</c:v>
                </c:pt>
                <c:pt idx="38">
                  <c:v>-12</c:v>
                </c:pt>
                <c:pt idx="39">
                  <c:v>-11</c:v>
                </c:pt>
                <c:pt idx="40">
                  <c:v>-10</c:v>
                </c:pt>
                <c:pt idx="41">
                  <c:v>-9</c:v>
                </c:pt>
                <c:pt idx="42">
                  <c:v>-8</c:v>
                </c:pt>
                <c:pt idx="43">
                  <c:v>-7</c:v>
                </c:pt>
                <c:pt idx="44">
                  <c:v>-6</c:v>
                </c:pt>
                <c:pt idx="45">
                  <c:v>-5</c:v>
                </c:pt>
                <c:pt idx="46">
                  <c:v>-4</c:v>
                </c:pt>
                <c:pt idx="47">
                  <c:v>-3</c:v>
                </c:pt>
                <c:pt idx="48">
                  <c:v>-2</c:v>
                </c:pt>
                <c:pt idx="49">
                  <c:v>-1</c:v>
                </c:pt>
                <c:pt idx="50">
                  <c:v>0</c:v>
                </c:pt>
                <c:pt idx="51">
                  <c:v>1</c:v>
                </c:pt>
                <c:pt idx="52">
                  <c:v>2</c:v>
                </c:pt>
                <c:pt idx="53">
                  <c:v>3</c:v>
                </c:pt>
                <c:pt idx="54">
                  <c:v>4</c:v>
                </c:pt>
                <c:pt idx="55">
                  <c:v>5</c:v>
                </c:pt>
                <c:pt idx="56">
                  <c:v>6</c:v>
                </c:pt>
                <c:pt idx="57">
                  <c:v>7</c:v>
                </c:pt>
                <c:pt idx="58">
                  <c:v>8</c:v>
                </c:pt>
                <c:pt idx="59">
                  <c:v>9</c:v>
                </c:pt>
                <c:pt idx="60">
                  <c:v>10</c:v>
                </c:pt>
                <c:pt idx="61">
                  <c:v>11</c:v>
                </c:pt>
                <c:pt idx="62">
                  <c:v>12</c:v>
                </c:pt>
                <c:pt idx="63">
                  <c:v>13</c:v>
                </c:pt>
                <c:pt idx="64">
                  <c:v>14</c:v>
                </c:pt>
                <c:pt idx="65">
                  <c:v>15</c:v>
                </c:pt>
                <c:pt idx="66">
                  <c:v>16</c:v>
                </c:pt>
                <c:pt idx="67">
                  <c:v>17</c:v>
                </c:pt>
                <c:pt idx="68">
                  <c:v>18</c:v>
                </c:pt>
                <c:pt idx="69">
                  <c:v>19</c:v>
                </c:pt>
                <c:pt idx="70">
                  <c:v>20</c:v>
                </c:pt>
                <c:pt idx="71">
                  <c:v>21</c:v>
                </c:pt>
                <c:pt idx="72">
                  <c:v>22</c:v>
                </c:pt>
                <c:pt idx="73">
                  <c:v>23</c:v>
                </c:pt>
                <c:pt idx="74">
                  <c:v>24</c:v>
                </c:pt>
                <c:pt idx="75">
                  <c:v>25</c:v>
                </c:pt>
                <c:pt idx="76">
                  <c:v>26</c:v>
                </c:pt>
                <c:pt idx="77">
                  <c:v>27</c:v>
                </c:pt>
                <c:pt idx="78">
                  <c:v>28</c:v>
                </c:pt>
                <c:pt idx="79">
                  <c:v>29</c:v>
                </c:pt>
                <c:pt idx="80">
                  <c:v>30</c:v>
                </c:pt>
                <c:pt idx="81">
                  <c:v>31</c:v>
                </c:pt>
                <c:pt idx="82">
                  <c:v>32</c:v>
                </c:pt>
                <c:pt idx="83">
                  <c:v>33</c:v>
                </c:pt>
                <c:pt idx="84">
                  <c:v>34</c:v>
                </c:pt>
                <c:pt idx="85">
                  <c:v>35</c:v>
                </c:pt>
                <c:pt idx="86">
                  <c:v>36</c:v>
                </c:pt>
                <c:pt idx="87">
                  <c:v>37</c:v>
                </c:pt>
                <c:pt idx="88">
                  <c:v>38</c:v>
                </c:pt>
                <c:pt idx="89">
                  <c:v>39</c:v>
                </c:pt>
                <c:pt idx="90">
                  <c:v>40</c:v>
                </c:pt>
                <c:pt idx="91">
                  <c:v>41</c:v>
                </c:pt>
                <c:pt idx="92">
                  <c:v>42</c:v>
                </c:pt>
                <c:pt idx="93">
                  <c:v>43</c:v>
                </c:pt>
                <c:pt idx="94">
                  <c:v>44</c:v>
                </c:pt>
                <c:pt idx="95">
                  <c:v>45</c:v>
                </c:pt>
                <c:pt idx="96">
                  <c:v>46</c:v>
                </c:pt>
                <c:pt idx="97">
                  <c:v>47</c:v>
                </c:pt>
                <c:pt idx="98">
                  <c:v>48</c:v>
                </c:pt>
                <c:pt idx="99">
                  <c:v>49</c:v>
                </c:pt>
                <c:pt idx="100">
                  <c:v>50</c:v>
                </c:pt>
              </c:numCache>
            </c:numRef>
          </c:cat>
          <c:val>
            <c:numRef>
              <c:f>'MSCIW LOCAL TRIGGER SUB'!$BR$516:$BR$616</c:f>
              <c:numCache>
                <c:formatCode>0.00%</c:formatCode>
                <c:ptCount val="101"/>
                <c:pt idx="0">
                  <c:v>-1.1879134792143341E-3</c:v>
                </c:pt>
                <c:pt idx="1">
                  <c:v>-1.0814970907937213E-3</c:v>
                </c:pt>
                <c:pt idx="2">
                  <c:v>8.9449889378879013E-4</c:v>
                </c:pt>
                <c:pt idx="3">
                  <c:v>1.8404624420486064E-3</c:v>
                </c:pt>
                <c:pt idx="4">
                  <c:v>2.6012319610745037E-3</c:v>
                </c:pt>
                <c:pt idx="5">
                  <c:v>2.7627197483983093E-3</c:v>
                </c:pt>
                <c:pt idx="6">
                  <c:v>2.5553296286733671E-3</c:v>
                </c:pt>
                <c:pt idx="7">
                  <c:v>3.8185995794133396E-3</c:v>
                </c:pt>
                <c:pt idx="8">
                  <c:v>4.7375230154099428E-3</c:v>
                </c:pt>
                <c:pt idx="9">
                  <c:v>3.5516192458804876E-3</c:v>
                </c:pt>
                <c:pt idx="10">
                  <c:v>-8.5144318004784514E-4</c:v>
                </c:pt>
                <c:pt idx="11">
                  <c:v>-4.9979606162814374E-3</c:v>
                </c:pt>
                <c:pt idx="12">
                  <c:v>-1.9308522450239484E-3</c:v>
                </c:pt>
                <c:pt idx="13">
                  <c:v>-2.3166434845573987E-3</c:v>
                </c:pt>
                <c:pt idx="14">
                  <c:v>-2.0860320211094855E-3</c:v>
                </c:pt>
                <c:pt idx="15">
                  <c:v>-3.6403865372125676E-3</c:v>
                </c:pt>
                <c:pt idx="16">
                  <c:v>-4.082803573519778E-3</c:v>
                </c:pt>
                <c:pt idx="17">
                  <c:v>-3.5551151882075335E-3</c:v>
                </c:pt>
                <c:pt idx="18">
                  <c:v>-3.6900372646218585E-3</c:v>
                </c:pt>
                <c:pt idx="19">
                  <c:v>-2.8335570506756516E-3</c:v>
                </c:pt>
                <c:pt idx="20">
                  <c:v>6.3042501711622423E-4</c:v>
                </c:pt>
                <c:pt idx="21">
                  <c:v>-5.4446009557790438E-5</c:v>
                </c:pt>
                <c:pt idx="22">
                  <c:v>-1.0817646084794667E-3</c:v>
                </c:pt>
                <c:pt idx="23">
                  <c:v>-2.4472738962212819E-3</c:v>
                </c:pt>
                <c:pt idx="24">
                  <c:v>-5.7450798778827189E-4</c:v>
                </c:pt>
                <c:pt idx="25">
                  <c:v>2.2500081626622239E-4</c:v>
                </c:pt>
                <c:pt idx="26">
                  <c:v>-1.8639190486779177E-3</c:v>
                </c:pt>
                <c:pt idx="27">
                  <c:v>-2.7814724752139742E-3</c:v>
                </c:pt>
                <c:pt idx="28">
                  <c:v>-1.4196648937788588E-3</c:v>
                </c:pt>
                <c:pt idx="29">
                  <c:v>-5.4591977013281599E-4</c:v>
                </c:pt>
                <c:pt idx="30">
                  <c:v>2.6904917947999152E-4</c:v>
                </c:pt>
                <c:pt idx="31">
                  <c:v>-5.9991169978009439E-4</c:v>
                </c:pt>
                <c:pt idx="32">
                  <c:v>8.5698991843873734E-5</c:v>
                </c:pt>
                <c:pt idx="33">
                  <c:v>-1.2197552499949461E-3</c:v>
                </c:pt>
                <c:pt idx="34">
                  <c:v>1.5365795633490886E-4</c:v>
                </c:pt>
                <c:pt idx="35">
                  <c:v>2.284107308387376E-3</c:v>
                </c:pt>
                <c:pt idx="36">
                  <c:v>2.3511155542756605E-3</c:v>
                </c:pt>
                <c:pt idx="37">
                  <c:v>1.6435251380770451E-3</c:v>
                </c:pt>
                <c:pt idx="38">
                  <c:v>2.1349257305404356E-3</c:v>
                </c:pt>
                <c:pt idx="39">
                  <c:v>-1.3759944510011411E-3</c:v>
                </c:pt>
                <c:pt idx="40">
                  <c:v>-3.5160954282751843E-3</c:v>
                </c:pt>
                <c:pt idx="41">
                  <c:v>-2.9599727028001292E-3</c:v>
                </c:pt>
                <c:pt idx="42">
                  <c:v>-4.4625462696611436E-3</c:v>
                </c:pt>
                <c:pt idx="43">
                  <c:v>-8.0207371358325796E-3</c:v>
                </c:pt>
                <c:pt idx="44">
                  <c:v>-8.8766635894383661E-3</c:v>
                </c:pt>
                <c:pt idx="45">
                  <c:v>-8.6108383837288048E-3</c:v>
                </c:pt>
                <c:pt idx="46">
                  <c:v>-1.05598843383741E-2</c:v>
                </c:pt>
                <c:pt idx="47">
                  <c:v>-1.0847245863926196E-2</c:v>
                </c:pt>
                <c:pt idx="48">
                  <c:v>-1.1038007195813949E-2</c:v>
                </c:pt>
                <c:pt idx="49">
                  <c:v>-1.0600334025336881E-2</c:v>
                </c:pt>
                <c:pt idx="50">
                  <c:v>-1.0425586949830456E-2</c:v>
                </c:pt>
                <c:pt idx="51">
                  <c:v>-1.0364373362866686E-2</c:v>
                </c:pt>
                <c:pt idx="52">
                  <c:v>-1.2641226694516365E-2</c:v>
                </c:pt>
                <c:pt idx="53">
                  <c:v>-1.2911824146733962E-2</c:v>
                </c:pt>
                <c:pt idx="54">
                  <c:v>-1.4859966185521135E-2</c:v>
                </c:pt>
                <c:pt idx="55">
                  <c:v>-1.5630769417157016E-2</c:v>
                </c:pt>
                <c:pt idx="56">
                  <c:v>-1.5930128449503825E-2</c:v>
                </c:pt>
                <c:pt idx="57">
                  <c:v>-1.6186123354962317E-2</c:v>
                </c:pt>
                <c:pt idx="58">
                  <c:v>-1.6126942955034276E-2</c:v>
                </c:pt>
                <c:pt idx="59">
                  <c:v>-1.610495288254311E-2</c:v>
                </c:pt>
                <c:pt idx="60">
                  <c:v>-1.9564899015839438E-2</c:v>
                </c:pt>
                <c:pt idx="61">
                  <c:v>-2.223427496158981E-2</c:v>
                </c:pt>
                <c:pt idx="62">
                  <c:v>-2.0407051830728547E-2</c:v>
                </c:pt>
                <c:pt idx="63">
                  <c:v>-2.043887213563245E-2</c:v>
                </c:pt>
                <c:pt idx="64">
                  <c:v>-2.2532315501791536E-2</c:v>
                </c:pt>
                <c:pt idx="65">
                  <c:v>-2.4506749976284981E-2</c:v>
                </c:pt>
                <c:pt idx="66">
                  <c:v>-2.4349761148803946E-2</c:v>
                </c:pt>
                <c:pt idx="67">
                  <c:v>-2.2760850701368188E-2</c:v>
                </c:pt>
                <c:pt idx="68">
                  <c:v>-2.430317479623487E-2</c:v>
                </c:pt>
                <c:pt idx="69">
                  <c:v>-2.5458092269867096E-2</c:v>
                </c:pt>
                <c:pt idx="70">
                  <c:v>-2.5252875037830542E-2</c:v>
                </c:pt>
                <c:pt idx="71">
                  <c:v>-2.5227287511188832E-2</c:v>
                </c:pt>
                <c:pt idx="72">
                  <c:v>-2.5857422260364051E-2</c:v>
                </c:pt>
                <c:pt idx="73">
                  <c:v>-2.7585402715499793E-2</c:v>
                </c:pt>
                <c:pt idx="74">
                  <c:v>-2.7848136508945957E-2</c:v>
                </c:pt>
                <c:pt idx="75">
                  <c:v>-2.8764502393738421E-2</c:v>
                </c:pt>
                <c:pt idx="76">
                  <c:v>-3.1742440018472352E-2</c:v>
                </c:pt>
                <c:pt idx="77">
                  <c:v>-3.1269832899256611E-2</c:v>
                </c:pt>
                <c:pt idx="78">
                  <c:v>-3.0510569127155232E-2</c:v>
                </c:pt>
                <c:pt idx="79">
                  <c:v>-3.0297677358177764E-2</c:v>
                </c:pt>
                <c:pt idx="80">
                  <c:v>-2.8907590434892279E-2</c:v>
                </c:pt>
                <c:pt idx="81">
                  <c:v>-2.8470708672689256E-2</c:v>
                </c:pt>
                <c:pt idx="82">
                  <c:v>-2.8155237606380491E-2</c:v>
                </c:pt>
                <c:pt idx="83">
                  <c:v>-2.8885280871306762E-2</c:v>
                </c:pt>
                <c:pt idx="84">
                  <c:v>-2.845523409449045E-2</c:v>
                </c:pt>
                <c:pt idx="85">
                  <c:v>-2.743958945142045E-2</c:v>
                </c:pt>
                <c:pt idx="86">
                  <c:v>-2.671260965067649E-2</c:v>
                </c:pt>
                <c:pt idx="87">
                  <c:v>-2.729216932851436E-2</c:v>
                </c:pt>
                <c:pt idx="88">
                  <c:v>-2.8404699929142803E-2</c:v>
                </c:pt>
                <c:pt idx="89">
                  <c:v>-3.0543151579883947E-2</c:v>
                </c:pt>
                <c:pt idx="90">
                  <c:v>-3.1333433822891499E-2</c:v>
                </c:pt>
                <c:pt idx="91">
                  <c:v>-3.2224591338396738E-2</c:v>
                </c:pt>
                <c:pt idx="92">
                  <c:v>-3.1381340179567015E-2</c:v>
                </c:pt>
                <c:pt idx="93">
                  <c:v>-3.1156750602051878E-2</c:v>
                </c:pt>
                <c:pt idx="94">
                  <c:v>-3.0880194475887135E-2</c:v>
                </c:pt>
                <c:pt idx="95">
                  <c:v>-2.9556429353039666E-2</c:v>
                </c:pt>
                <c:pt idx="96">
                  <c:v>-2.9756248620071205E-2</c:v>
                </c:pt>
                <c:pt idx="97">
                  <c:v>-3.1899063555700428E-2</c:v>
                </c:pt>
                <c:pt idx="98">
                  <c:v>-3.5369728510594382E-2</c:v>
                </c:pt>
                <c:pt idx="99">
                  <c:v>-3.3669470637160741E-2</c:v>
                </c:pt>
                <c:pt idx="100">
                  <c:v>-3.4685490494505568E-2</c:v>
                </c:pt>
              </c:numCache>
            </c:numRef>
          </c:val>
          <c:smooth val="0"/>
        </c:ser>
        <c:dLbls>
          <c:showLegendKey val="0"/>
          <c:showVal val="0"/>
          <c:showCatName val="0"/>
          <c:showSerName val="0"/>
          <c:showPercent val="0"/>
          <c:showBubbleSize val="0"/>
        </c:dLbls>
        <c:marker val="1"/>
        <c:smooth val="0"/>
        <c:axId val="122249216"/>
        <c:axId val="122250752"/>
      </c:lineChart>
      <c:catAx>
        <c:axId val="122249216"/>
        <c:scaling>
          <c:orientation val="minMax"/>
        </c:scaling>
        <c:delete val="0"/>
        <c:axPos val="b"/>
        <c:numFmt formatCode="General" sourceLinked="1"/>
        <c:majorTickMark val="out"/>
        <c:minorTickMark val="none"/>
        <c:tickLblPos val="nextTo"/>
        <c:txPr>
          <a:bodyPr/>
          <a:lstStyle/>
          <a:p>
            <a:pPr>
              <a:defRPr sz="800"/>
            </a:pPr>
            <a:endParaRPr lang="en-US"/>
          </a:p>
        </c:txPr>
        <c:crossAx val="122250752"/>
        <c:crossesAt val="-0.05"/>
        <c:auto val="1"/>
        <c:lblAlgn val="ctr"/>
        <c:lblOffset val="100"/>
        <c:tickLblSkip val="10"/>
        <c:tickMarkSkip val="10"/>
        <c:noMultiLvlLbl val="0"/>
      </c:catAx>
      <c:valAx>
        <c:axId val="122250752"/>
        <c:scaling>
          <c:orientation val="minMax"/>
          <c:max val="1.0000000000000005E-2"/>
          <c:min val="-0.05"/>
        </c:scaling>
        <c:delete val="0"/>
        <c:axPos val="l"/>
        <c:majorGridlines/>
        <c:numFmt formatCode="0.00%" sourceLinked="1"/>
        <c:majorTickMark val="out"/>
        <c:minorTickMark val="none"/>
        <c:tickLblPos val="nextTo"/>
        <c:txPr>
          <a:bodyPr/>
          <a:lstStyle/>
          <a:p>
            <a:pPr>
              <a:defRPr sz="800"/>
            </a:pPr>
            <a:endParaRPr lang="en-US"/>
          </a:p>
        </c:txPr>
        <c:crossAx val="122249216"/>
        <c:crosses val="autoZero"/>
        <c:crossBetween val="between"/>
        <c:majorUnit val="1.0000000000000005E-2"/>
      </c:valAx>
    </c:plotArea>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Sheet2!$BP$515</c:f>
              <c:strCache>
                <c:ptCount val="1"/>
                <c:pt idx="0">
                  <c:v>CAR</c:v>
                </c:pt>
              </c:strCache>
            </c:strRef>
          </c:tx>
          <c:spPr>
            <a:ln>
              <a:solidFill>
                <a:prstClr val="black"/>
              </a:solidFill>
            </a:ln>
          </c:spPr>
          <c:marker>
            <c:symbol val="none"/>
          </c:marker>
          <c:cat>
            <c:numRef>
              <c:f>Sheet2!$A$516:$A$616</c:f>
              <c:numCache>
                <c:formatCode>0</c:formatCode>
                <c:ptCount val="101"/>
                <c:pt idx="0">
                  <c:v>-50</c:v>
                </c:pt>
                <c:pt idx="1">
                  <c:v>-49</c:v>
                </c:pt>
                <c:pt idx="2">
                  <c:v>-48</c:v>
                </c:pt>
                <c:pt idx="3">
                  <c:v>-47</c:v>
                </c:pt>
                <c:pt idx="4">
                  <c:v>-46</c:v>
                </c:pt>
                <c:pt idx="5">
                  <c:v>-45</c:v>
                </c:pt>
                <c:pt idx="6">
                  <c:v>-44</c:v>
                </c:pt>
                <c:pt idx="7">
                  <c:v>-43</c:v>
                </c:pt>
                <c:pt idx="8">
                  <c:v>-42</c:v>
                </c:pt>
                <c:pt idx="9">
                  <c:v>-41</c:v>
                </c:pt>
                <c:pt idx="10">
                  <c:v>-40</c:v>
                </c:pt>
                <c:pt idx="11">
                  <c:v>-39</c:v>
                </c:pt>
                <c:pt idx="12">
                  <c:v>-38</c:v>
                </c:pt>
                <c:pt idx="13">
                  <c:v>-37</c:v>
                </c:pt>
                <c:pt idx="14">
                  <c:v>-36</c:v>
                </c:pt>
                <c:pt idx="15">
                  <c:v>-35</c:v>
                </c:pt>
                <c:pt idx="16">
                  <c:v>-34</c:v>
                </c:pt>
                <c:pt idx="17">
                  <c:v>-33</c:v>
                </c:pt>
                <c:pt idx="18">
                  <c:v>-32</c:v>
                </c:pt>
                <c:pt idx="19">
                  <c:v>-31</c:v>
                </c:pt>
                <c:pt idx="20">
                  <c:v>-30</c:v>
                </c:pt>
                <c:pt idx="21">
                  <c:v>-29</c:v>
                </c:pt>
                <c:pt idx="22">
                  <c:v>-28</c:v>
                </c:pt>
                <c:pt idx="23">
                  <c:v>-27</c:v>
                </c:pt>
                <c:pt idx="24">
                  <c:v>-26</c:v>
                </c:pt>
                <c:pt idx="25">
                  <c:v>-25</c:v>
                </c:pt>
                <c:pt idx="26">
                  <c:v>-24</c:v>
                </c:pt>
                <c:pt idx="27">
                  <c:v>-23</c:v>
                </c:pt>
                <c:pt idx="28">
                  <c:v>-22</c:v>
                </c:pt>
                <c:pt idx="29">
                  <c:v>-21</c:v>
                </c:pt>
                <c:pt idx="30">
                  <c:v>-20</c:v>
                </c:pt>
                <c:pt idx="31">
                  <c:v>-19</c:v>
                </c:pt>
                <c:pt idx="32">
                  <c:v>-18</c:v>
                </c:pt>
                <c:pt idx="33">
                  <c:v>-17</c:v>
                </c:pt>
                <c:pt idx="34">
                  <c:v>-16</c:v>
                </c:pt>
                <c:pt idx="35">
                  <c:v>-15</c:v>
                </c:pt>
                <c:pt idx="36">
                  <c:v>-14</c:v>
                </c:pt>
                <c:pt idx="37">
                  <c:v>-13</c:v>
                </c:pt>
                <c:pt idx="38">
                  <c:v>-12</c:v>
                </c:pt>
                <c:pt idx="39">
                  <c:v>-11</c:v>
                </c:pt>
                <c:pt idx="40">
                  <c:v>-10</c:v>
                </c:pt>
                <c:pt idx="41">
                  <c:v>-9</c:v>
                </c:pt>
                <c:pt idx="42">
                  <c:v>-8</c:v>
                </c:pt>
                <c:pt idx="43">
                  <c:v>-7</c:v>
                </c:pt>
                <c:pt idx="44">
                  <c:v>-6</c:v>
                </c:pt>
                <c:pt idx="45">
                  <c:v>-5</c:v>
                </c:pt>
                <c:pt idx="46">
                  <c:v>-4</c:v>
                </c:pt>
                <c:pt idx="47">
                  <c:v>-3</c:v>
                </c:pt>
                <c:pt idx="48">
                  <c:v>-2</c:v>
                </c:pt>
                <c:pt idx="49">
                  <c:v>-1</c:v>
                </c:pt>
                <c:pt idx="50">
                  <c:v>0</c:v>
                </c:pt>
                <c:pt idx="51">
                  <c:v>1</c:v>
                </c:pt>
                <c:pt idx="52">
                  <c:v>2</c:v>
                </c:pt>
                <c:pt idx="53">
                  <c:v>3</c:v>
                </c:pt>
                <c:pt idx="54">
                  <c:v>4</c:v>
                </c:pt>
                <c:pt idx="55">
                  <c:v>5</c:v>
                </c:pt>
                <c:pt idx="56">
                  <c:v>6</c:v>
                </c:pt>
                <c:pt idx="57">
                  <c:v>7</c:v>
                </c:pt>
                <c:pt idx="58">
                  <c:v>8</c:v>
                </c:pt>
                <c:pt idx="59">
                  <c:v>9</c:v>
                </c:pt>
                <c:pt idx="60">
                  <c:v>10</c:v>
                </c:pt>
                <c:pt idx="61">
                  <c:v>11</c:v>
                </c:pt>
                <c:pt idx="62">
                  <c:v>12</c:v>
                </c:pt>
                <c:pt idx="63">
                  <c:v>13</c:v>
                </c:pt>
                <c:pt idx="64">
                  <c:v>14</c:v>
                </c:pt>
                <c:pt idx="65">
                  <c:v>15</c:v>
                </c:pt>
                <c:pt idx="66">
                  <c:v>16</c:v>
                </c:pt>
                <c:pt idx="67">
                  <c:v>17</c:v>
                </c:pt>
                <c:pt idx="68">
                  <c:v>18</c:v>
                </c:pt>
                <c:pt idx="69">
                  <c:v>19</c:v>
                </c:pt>
                <c:pt idx="70">
                  <c:v>20</c:v>
                </c:pt>
                <c:pt idx="71">
                  <c:v>21</c:v>
                </c:pt>
                <c:pt idx="72">
                  <c:v>22</c:v>
                </c:pt>
                <c:pt idx="73">
                  <c:v>23</c:v>
                </c:pt>
                <c:pt idx="74">
                  <c:v>24</c:v>
                </c:pt>
                <c:pt idx="75">
                  <c:v>25</c:v>
                </c:pt>
                <c:pt idx="76">
                  <c:v>26</c:v>
                </c:pt>
                <c:pt idx="77">
                  <c:v>27</c:v>
                </c:pt>
                <c:pt idx="78">
                  <c:v>28</c:v>
                </c:pt>
                <c:pt idx="79">
                  <c:v>29</c:v>
                </c:pt>
                <c:pt idx="80">
                  <c:v>30</c:v>
                </c:pt>
                <c:pt idx="81">
                  <c:v>31</c:v>
                </c:pt>
                <c:pt idx="82">
                  <c:v>32</c:v>
                </c:pt>
                <c:pt idx="83">
                  <c:v>33</c:v>
                </c:pt>
                <c:pt idx="84">
                  <c:v>34</c:v>
                </c:pt>
                <c:pt idx="85">
                  <c:v>35</c:v>
                </c:pt>
                <c:pt idx="86">
                  <c:v>36</c:v>
                </c:pt>
                <c:pt idx="87">
                  <c:v>37</c:v>
                </c:pt>
                <c:pt idx="88">
                  <c:v>38</c:v>
                </c:pt>
                <c:pt idx="89">
                  <c:v>39</c:v>
                </c:pt>
                <c:pt idx="90">
                  <c:v>40</c:v>
                </c:pt>
                <c:pt idx="91">
                  <c:v>41</c:v>
                </c:pt>
                <c:pt idx="92">
                  <c:v>42</c:v>
                </c:pt>
                <c:pt idx="93">
                  <c:v>43</c:v>
                </c:pt>
                <c:pt idx="94">
                  <c:v>44</c:v>
                </c:pt>
                <c:pt idx="95">
                  <c:v>45</c:v>
                </c:pt>
                <c:pt idx="96">
                  <c:v>46</c:v>
                </c:pt>
                <c:pt idx="97">
                  <c:v>47</c:v>
                </c:pt>
                <c:pt idx="98">
                  <c:v>48</c:v>
                </c:pt>
                <c:pt idx="99">
                  <c:v>49</c:v>
                </c:pt>
                <c:pt idx="100">
                  <c:v>50</c:v>
                </c:pt>
              </c:numCache>
            </c:numRef>
          </c:cat>
          <c:val>
            <c:numRef>
              <c:f>Sheet2!$BP$516:$BP$616</c:f>
              <c:numCache>
                <c:formatCode>0.00%</c:formatCode>
                <c:ptCount val="101"/>
                <c:pt idx="0">
                  <c:v>-4.085041988754387E-4</c:v>
                </c:pt>
                <c:pt idx="1">
                  <c:v>5.0727992700386375E-5</c:v>
                </c:pt>
                <c:pt idx="2">
                  <c:v>1.429196620687533E-3</c:v>
                </c:pt>
                <c:pt idx="3">
                  <c:v>8.7943625711805302E-4</c:v>
                </c:pt>
                <c:pt idx="4">
                  <c:v>1.1972200665809831E-3</c:v>
                </c:pt>
                <c:pt idx="5">
                  <c:v>5.0119453721836533E-4</c:v>
                </c:pt>
                <c:pt idx="6">
                  <c:v>8.13316041329816E-4</c:v>
                </c:pt>
                <c:pt idx="7">
                  <c:v>2.0951989127505851E-3</c:v>
                </c:pt>
                <c:pt idx="8">
                  <c:v>2.6504990442423717E-3</c:v>
                </c:pt>
                <c:pt idx="9">
                  <c:v>1.6631212561491434E-3</c:v>
                </c:pt>
                <c:pt idx="10">
                  <c:v>-1.4510252455779366E-3</c:v>
                </c:pt>
                <c:pt idx="11">
                  <c:v>-3.0195607522758303E-3</c:v>
                </c:pt>
                <c:pt idx="12">
                  <c:v>-4.3950059738452868E-4</c:v>
                </c:pt>
                <c:pt idx="13">
                  <c:v>-1.6619763764154061E-3</c:v>
                </c:pt>
                <c:pt idx="14">
                  <c:v>-1.6860310077717567E-3</c:v>
                </c:pt>
                <c:pt idx="15">
                  <c:v>-3.4998797382342112E-3</c:v>
                </c:pt>
                <c:pt idx="16">
                  <c:v>-3.3109944192317685E-3</c:v>
                </c:pt>
                <c:pt idx="17">
                  <c:v>-2.0437124889495419E-3</c:v>
                </c:pt>
                <c:pt idx="18">
                  <c:v>-2.4814505846769185E-3</c:v>
                </c:pt>
                <c:pt idx="19">
                  <c:v>-1.8659088603151118E-3</c:v>
                </c:pt>
                <c:pt idx="20">
                  <c:v>5.2158366466614585E-4</c:v>
                </c:pt>
                <c:pt idx="21">
                  <c:v>6.977051088214356E-5</c:v>
                </c:pt>
                <c:pt idx="22">
                  <c:v>-5.7223814346558347E-4</c:v>
                </c:pt>
                <c:pt idx="23">
                  <c:v>-1.9626053261727334E-3</c:v>
                </c:pt>
                <c:pt idx="24">
                  <c:v>-1.0305235121291258E-3</c:v>
                </c:pt>
                <c:pt idx="25">
                  <c:v>-1.8131732413278945E-3</c:v>
                </c:pt>
                <c:pt idx="26">
                  <c:v>-3.1370069885893219E-3</c:v>
                </c:pt>
                <c:pt idx="27">
                  <c:v>-3.1392398824237832E-3</c:v>
                </c:pt>
                <c:pt idx="28">
                  <c:v>-2.1081740319380737E-3</c:v>
                </c:pt>
                <c:pt idx="29">
                  <c:v>-1.0381877020846429E-3</c:v>
                </c:pt>
                <c:pt idx="30">
                  <c:v>-9.7124795202431047E-4</c:v>
                </c:pt>
                <c:pt idx="31">
                  <c:v>-1.8565034944698741E-3</c:v>
                </c:pt>
                <c:pt idx="32">
                  <c:v>-7.4458908031631559E-4</c:v>
                </c:pt>
                <c:pt idx="33">
                  <c:v>-1.6750201989227101E-3</c:v>
                </c:pt>
                <c:pt idx="34">
                  <c:v>-4.0487856703823083E-4</c:v>
                </c:pt>
                <c:pt idx="35">
                  <c:v>2.5397523716975609E-4</c:v>
                </c:pt>
                <c:pt idx="36">
                  <c:v>-1.0293033210716552E-4</c:v>
                </c:pt>
                <c:pt idx="37">
                  <c:v>-1.6044863409165608E-3</c:v>
                </c:pt>
                <c:pt idx="38">
                  <c:v>-1.8370091148966522E-3</c:v>
                </c:pt>
                <c:pt idx="39">
                  <c:v>-4.2513084408474745E-3</c:v>
                </c:pt>
                <c:pt idx="40">
                  <c:v>-6.0169917453553904E-3</c:v>
                </c:pt>
                <c:pt idx="41">
                  <c:v>-5.540707004534305E-3</c:v>
                </c:pt>
                <c:pt idx="42">
                  <c:v>-6.3643108085057777E-3</c:v>
                </c:pt>
                <c:pt idx="43">
                  <c:v>-8.1507932386906592E-3</c:v>
                </c:pt>
                <c:pt idx="44">
                  <c:v>-8.924611249206434E-3</c:v>
                </c:pt>
                <c:pt idx="45">
                  <c:v>-9.1288392252186368E-3</c:v>
                </c:pt>
                <c:pt idx="46">
                  <c:v>-1.029679952678342E-2</c:v>
                </c:pt>
                <c:pt idx="47">
                  <c:v>-1.057167523522555E-2</c:v>
                </c:pt>
                <c:pt idx="48">
                  <c:v>-1.1055570679418958E-2</c:v>
                </c:pt>
                <c:pt idx="49">
                  <c:v>-1.2056193663149318E-2</c:v>
                </c:pt>
                <c:pt idx="50">
                  <c:v>-1.1986263805557599E-2</c:v>
                </c:pt>
                <c:pt idx="51">
                  <c:v>-1.1023365917123561E-2</c:v>
                </c:pt>
                <c:pt idx="52">
                  <c:v>-1.184580203011164E-2</c:v>
                </c:pt>
                <c:pt idx="53">
                  <c:v>-1.1967802129855761E-2</c:v>
                </c:pt>
                <c:pt idx="54">
                  <c:v>-1.2189175381919656E-2</c:v>
                </c:pt>
                <c:pt idx="55">
                  <c:v>-1.2452433147573784E-2</c:v>
                </c:pt>
                <c:pt idx="56">
                  <c:v>-1.3289072119640581E-2</c:v>
                </c:pt>
                <c:pt idx="57">
                  <c:v>-1.4206944419460221E-2</c:v>
                </c:pt>
                <c:pt idx="58">
                  <c:v>-1.4360151749281014E-2</c:v>
                </c:pt>
                <c:pt idx="59">
                  <c:v>-1.3866932124497366E-2</c:v>
                </c:pt>
                <c:pt idx="60">
                  <c:v>-1.6063659108465751E-2</c:v>
                </c:pt>
                <c:pt idx="61">
                  <c:v>-1.7969264063226385E-2</c:v>
                </c:pt>
                <c:pt idx="62">
                  <c:v>-1.6058223961146378E-2</c:v>
                </c:pt>
                <c:pt idx="63">
                  <c:v>-1.6040857646098344E-2</c:v>
                </c:pt>
                <c:pt idx="64">
                  <c:v>-1.6670607348022136E-2</c:v>
                </c:pt>
                <c:pt idx="65">
                  <c:v>-1.8157156234791347E-2</c:v>
                </c:pt>
                <c:pt idx="66">
                  <c:v>-1.8118050831857781E-2</c:v>
                </c:pt>
                <c:pt idx="67">
                  <c:v>-1.7792834257359023E-2</c:v>
                </c:pt>
                <c:pt idx="68">
                  <c:v>-1.8408275910129404E-2</c:v>
                </c:pt>
                <c:pt idx="69">
                  <c:v>-1.880586935535682E-2</c:v>
                </c:pt>
                <c:pt idx="70">
                  <c:v>-1.903318507769982E-2</c:v>
                </c:pt>
                <c:pt idx="71">
                  <c:v>-1.9131464538369572E-2</c:v>
                </c:pt>
                <c:pt idx="72">
                  <c:v>-1.9744917204497184E-2</c:v>
                </c:pt>
                <c:pt idx="73">
                  <c:v>-2.0756280730005388E-2</c:v>
                </c:pt>
                <c:pt idx="74">
                  <c:v>-2.0495535337792921E-2</c:v>
                </c:pt>
                <c:pt idx="75">
                  <c:v>-2.1065288906688087E-2</c:v>
                </c:pt>
                <c:pt idx="76">
                  <c:v>-2.3332672314979049E-2</c:v>
                </c:pt>
                <c:pt idx="77">
                  <c:v>-2.2981184972611316E-2</c:v>
                </c:pt>
                <c:pt idx="78">
                  <c:v>-2.3162464863300015E-2</c:v>
                </c:pt>
                <c:pt idx="79">
                  <c:v>-2.3450439841455027E-2</c:v>
                </c:pt>
                <c:pt idx="80">
                  <c:v>-2.3496404075974781E-2</c:v>
                </c:pt>
                <c:pt idx="81">
                  <c:v>-2.3222923867714299E-2</c:v>
                </c:pt>
                <c:pt idx="82">
                  <c:v>-2.3137163731437729E-2</c:v>
                </c:pt>
                <c:pt idx="83">
                  <c:v>-2.3922482291302359E-2</c:v>
                </c:pt>
                <c:pt idx="84">
                  <c:v>-2.3787795786906842E-2</c:v>
                </c:pt>
                <c:pt idx="85">
                  <c:v>-2.2913935417533397E-2</c:v>
                </c:pt>
                <c:pt idx="86">
                  <c:v>-2.1985079620786482E-2</c:v>
                </c:pt>
                <c:pt idx="87">
                  <c:v>-2.1964452081768261E-2</c:v>
                </c:pt>
                <c:pt idx="88">
                  <c:v>-2.4359769639260918E-2</c:v>
                </c:pt>
                <c:pt idx="89">
                  <c:v>-2.7437902269468201E-2</c:v>
                </c:pt>
                <c:pt idx="90">
                  <c:v>-2.8470521351337399E-2</c:v>
                </c:pt>
                <c:pt idx="91">
                  <c:v>-2.9367156273562189E-2</c:v>
                </c:pt>
                <c:pt idx="92">
                  <c:v>-3.0002339551163517E-2</c:v>
                </c:pt>
                <c:pt idx="93">
                  <c:v>-2.9862508200405542E-2</c:v>
                </c:pt>
                <c:pt idx="94">
                  <c:v>-2.9286419084872211E-2</c:v>
                </c:pt>
                <c:pt idx="95">
                  <c:v>-2.9025037586123261E-2</c:v>
                </c:pt>
                <c:pt idx="96">
                  <c:v>-2.7852071671987541E-2</c:v>
                </c:pt>
                <c:pt idx="97">
                  <c:v>-2.8272529156529686E-2</c:v>
                </c:pt>
                <c:pt idx="98">
                  <c:v>-2.9530834956117434E-2</c:v>
                </c:pt>
                <c:pt idx="99">
                  <c:v>-2.8383010077673632E-2</c:v>
                </c:pt>
                <c:pt idx="100">
                  <c:v>-2.9888929727578593E-2</c:v>
                </c:pt>
              </c:numCache>
            </c:numRef>
          </c:val>
          <c:smooth val="0"/>
        </c:ser>
        <c:dLbls>
          <c:showLegendKey val="0"/>
          <c:showVal val="0"/>
          <c:showCatName val="0"/>
          <c:showSerName val="0"/>
          <c:showPercent val="0"/>
          <c:showBubbleSize val="0"/>
        </c:dLbls>
        <c:marker val="1"/>
        <c:smooth val="0"/>
        <c:axId val="122286848"/>
        <c:axId val="122288384"/>
      </c:lineChart>
      <c:catAx>
        <c:axId val="122286848"/>
        <c:scaling>
          <c:orientation val="minMax"/>
        </c:scaling>
        <c:delete val="0"/>
        <c:axPos val="b"/>
        <c:numFmt formatCode="0" sourceLinked="1"/>
        <c:majorTickMark val="out"/>
        <c:minorTickMark val="none"/>
        <c:tickLblPos val="nextTo"/>
        <c:txPr>
          <a:bodyPr/>
          <a:lstStyle/>
          <a:p>
            <a:pPr>
              <a:defRPr sz="800"/>
            </a:pPr>
            <a:endParaRPr lang="en-US"/>
          </a:p>
        </c:txPr>
        <c:crossAx val="122288384"/>
        <c:crossesAt val="-4.0000000000000022E-2"/>
        <c:auto val="1"/>
        <c:lblAlgn val="ctr"/>
        <c:lblOffset val="100"/>
        <c:tickLblSkip val="10"/>
        <c:tickMarkSkip val="10"/>
        <c:noMultiLvlLbl val="0"/>
      </c:catAx>
      <c:valAx>
        <c:axId val="122288384"/>
        <c:scaling>
          <c:orientation val="minMax"/>
          <c:max val="1.0000000000000005E-2"/>
          <c:min val="-4.0000000000000022E-2"/>
        </c:scaling>
        <c:delete val="0"/>
        <c:axPos val="l"/>
        <c:majorGridlines/>
        <c:numFmt formatCode="0.00%" sourceLinked="1"/>
        <c:majorTickMark val="out"/>
        <c:minorTickMark val="none"/>
        <c:tickLblPos val="nextTo"/>
        <c:txPr>
          <a:bodyPr/>
          <a:lstStyle/>
          <a:p>
            <a:pPr>
              <a:defRPr sz="800"/>
            </a:pPr>
            <a:endParaRPr lang="en-US"/>
          </a:p>
        </c:txPr>
        <c:crossAx val="122286848"/>
        <c:crosses val="autoZero"/>
        <c:crossBetween val="between"/>
        <c:majorUnit val="1.0000000000000005E-2"/>
      </c:valAx>
    </c:plotArea>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331200787401574"/>
          <c:y val="4.8100795065185546E-2"/>
          <c:w val="0.75296916010498682"/>
          <c:h val="0.82776967086021469"/>
        </c:manualLayout>
      </c:layout>
      <c:lineChart>
        <c:grouping val="standard"/>
        <c:varyColors val="0"/>
        <c:ser>
          <c:idx val="0"/>
          <c:order val="0"/>
          <c:tx>
            <c:strRef>
              <c:f>Sheet1!$BQ$515</c:f>
              <c:strCache>
                <c:ptCount val="1"/>
                <c:pt idx="0">
                  <c:v>CAR 9</c:v>
                </c:pt>
              </c:strCache>
            </c:strRef>
          </c:tx>
          <c:spPr>
            <a:ln>
              <a:solidFill>
                <a:prstClr val="black"/>
              </a:solidFill>
            </a:ln>
          </c:spPr>
          <c:marker>
            <c:symbol val="none"/>
          </c:marker>
          <c:cat>
            <c:numRef>
              <c:f>Sheet1!$BO$516:$BO$616</c:f>
              <c:numCache>
                <c:formatCode>General</c:formatCode>
                <c:ptCount val="101"/>
                <c:pt idx="0">
                  <c:v>-50</c:v>
                </c:pt>
                <c:pt idx="1">
                  <c:v>-49</c:v>
                </c:pt>
                <c:pt idx="2">
                  <c:v>-48</c:v>
                </c:pt>
                <c:pt idx="3">
                  <c:v>-47</c:v>
                </c:pt>
                <c:pt idx="4">
                  <c:v>-46</c:v>
                </c:pt>
                <c:pt idx="5">
                  <c:v>-45</c:v>
                </c:pt>
                <c:pt idx="6">
                  <c:v>-44</c:v>
                </c:pt>
                <c:pt idx="7">
                  <c:v>-43</c:v>
                </c:pt>
                <c:pt idx="8">
                  <c:v>-42</c:v>
                </c:pt>
                <c:pt idx="9">
                  <c:v>-41</c:v>
                </c:pt>
                <c:pt idx="10">
                  <c:v>-40</c:v>
                </c:pt>
                <c:pt idx="11">
                  <c:v>-39</c:v>
                </c:pt>
                <c:pt idx="12">
                  <c:v>-38</c:v>
                </c:pt>
                <c:pt idx="13">
                  <c:v>-37</c:v>
                </c:pt>
                <c:pt idx="14">
                  <c:v>-36</c:v>
                </c:pt>
                <c:pt idx="15">
                  <c:v>-35</c:v>
                </c:pt>
                <c:pt idx="16">
                  <c:v>-34</c:v>
                </c:pt>
                <c:pt idx="17">
                  <c:v>-33</c:v>
                </c:pt>
                <c:pt idx="18">
                  <c:v>-32</c:v>
                </c:pt>
                <c:pt idx="19">
                  <c:v>-31</c:v>
                </c:pt>
                <c:pt idx="20">
                  <c:v>-30</c:v>
                </c:pt>
                <c:pt idx="21">
                  <c:v>-29</c:v>
                </c:pt>
                <c:pt idx="22">
                  <c:v>-28</c:v>
                </c:pt>
                <c:pt idx="23">
                  <c:v>-27</c:v>
                </c:pt>
                <c:pt idx="24">
                  <c:v>-26</c:v>
                </c:pt>
                <c:pt idx="25">
                  <c:v>-25</c:v>
                </c:pt>
                <c:pt idx="26">
                  <c:v>-24</c:v>
                </c:pt>
                <c:pt idx="27">
                  <c:v>-23</c:v>
                </c:pt>
                <c:pt idx="28">
                  <c:v>-22</c:v>
                </c:pt>
                <c:pt idx="29">
                  <c:v>-21</c:v>
                </c:pt>
                <c:pt idx="30">
                  <c:v>-20</c:v>
                </c:pt>
                <c:pt idx="31">
                  <c:v>-19</c:v>
                </c:pt>
                <c:pt idx="32">
                  <c:v>-18</c:v>
                </c:pt>
                <c:pt idx="33">
                  <c:v>-17</c:v>
                </c:pt>
                <c:pt idx="34">
                  <c:v>-16</c:v>
                </c:pt>
                <c:pt idx="35">
                  <c:v>-15</c:v>
                </c:pt>
                <c:pt idx="36">
                  <c:v>-14</c:v>
                </c:pt>
                <c:pt idx="37">
                  <c:v>-13</c:v>
                </c:pt>
                <c:pt idx="38">
                  <c:v>-12</c:v>
                </c:pt>
                <c:pt idx="39">
                  <c:v>-11</c:v>
                </c:pt>
                <c:pt idx="40">
                  <c:v>-10</c:v>
                </c:pt>
                <c:pt idx="41">
                  <c:v>-9</c:v>
                </c:pt>
                <c:pt idx="42">
                  <c:v>-8</c:v>
                </c:pt>
                <c:pt idx="43">
                  <c:v>-7</c:v>
                </c:pt>
                <c:pt idx="44">
                  <c:v>-6</c:v>
                </c:pt>
                <c:pt idx="45">
                  <c:v>-5</c:v>
                </c:pt>
                <c:pt idx="46">
                  <c:v>-4</c:v>
                </c:pt>
                <c:pt idx="47">
                  <c:v>-3</c:v>
                </c:pt>
                <c:pt idx="48">
                  <c:v>-2</c:v>
                </c:pt>
                <c:pt idx="49">
                  <c:v>-1</c:v>
                </c:pt>
                <c:pt idx="50">
                  <c:v>0</c:v>
                </c:pt>
                <c:pt idx="51">
                  <c:v>1</c:v>
                </c:pt>
                <c:pt idx="52">
                  <c:v>2</c:v>
                </c:pt>
                <c:pt idx="53">
                  <c:v>3</c:v>
                </c:pt>
                <c:pt idx="54">
                  <c:v>4</c:v>
                </c:pt>
                <c:pt idx="55">
                  <c:v>5</c:v>
                </c:pt>
                <c:pt idx="56">
                  <c:v>6</c:v>
                </c:pt>
                <c:pt idx="57">
                  <c:v>7</c:v>
                </c:pt>
                <c:pt idx="58">
                  <c:v>8</c:v>
                </c:pt>
                <c:pt idx="59">
                  <c:v>9</c:v>
                </c:pt>
                <c:pt idx="60">
                  <c:v>10</c:v>
                </c:pt>
                <c:pt idx="61">
                  <c:v>11</c:v>
                </c:pt>
                <c:pt idx="62">
                  <c:v>12</c:v>
                </c:pt>
                <c:pt idx="63">
                  <c:v>13</c:v>
                </c:pt>
                <c:pt idx="64">
                  <c:v>14</c:v>
                </c:pt>
                <c:pt idx="65">
                  <c:v>15</c:v>
                </c:pt>
                <c:pt idx="66">
                  <c:v>16</c:v>
                </c:pt>
                <c:pt idx="67">
                  <c:v>17</c:v>
                </c:pt>
                <c:pt idx="68">
                  <c:v>18</c:v>
                </c:pt>
                <c:pt idx="69">
                  <c:v>19</c:v>
                </c:pt>
                <c:pt idx="70">
                  <c:v>20</c:v>
                </c:pt>
                <c:pt idx="71">
                  <c:v>21</c:v>
                </c:pt>
                <c:pt idx="72">
                  <c:v>22</c:v>
                </c:pt>
                <c:pt idx="73">
                  <c:v>23</c:v>
                </c:pt>
                <c:pt idx="74">
                  <c:v>24</c:v>
                </c:pt>
                <c:pt idx="75">
                  <c:v>25</c:v>
                </c:pt>
                <c:pt idx="76">
                  <c:v>26</c:v>
                </c:pt>
                <c:pt idx="77">
                  <c:v>27</c:v>
                </c:pt>
                <c:pt idx="78">
                  <c:v>28</c:v>
                </c:pt>
                <c:pt idx="79">
                  <c:v>29</c:v>
                </c:pt>
                <c:pt idx="80">
                  <c:v>30</c:v>
                </c:pt>
                <c:pt idx="81">
                  <c:v>31</c:v>
                </c:pt>
                <c:pt idx="82">
                  <c:v>32</c:v>
                </c:pt>
                <c:pt idx="83">
                  <c:v>33</c:v>
                </c:pt>
                <c:pt idx="84">
                  <c:v>34</c:v>
                </c:pt>
                <c:pt idx="85">
                  <c:v>35</c:v>
                </c:pt>
                <c:pt idx="86">
                  <c:v>36</c:v>
                </c:pt>
                <c:pt idx="87">
                  <c:v>37</c:v>
                </c:pt>
                <c:pt idx="88">
                  <c:v>38</c:v>
                </c:pt>
                <c:pt idx="89">
                  <c:v>39</c:v>
                </c:pt>
                <c:pt idx="90">
                  <c:v>40</c:v>
                </c:pt>
                <c:pt idx="91">
                  <c:v>41</c:v>
                </c:pt>
                <c:pt idx="92">
                  <c:v>42</c:v>
                </c:pt>
                <c:pt idx="93">
                  <c:v>43</c:v>
                </c:pt>
                <c:pt idx="94">
                  <c:v>44</c:v>
                </c:pt>
                <c:pt idx="95">
                  <c:v>45</c:v>
                </c:pt>
                <c:pt idx="96">
                  <c:v>46</c:v>
                </c:pt>
                <c:pt idx="97">
                  <c:v>47</c:v>
                </c:pt>
                <c:pt idx="98">
                  <c:v>48</c:v>
                </c:pt>
                <c:pt idx="99">
                  <c:v>49</c:v>
                </c:pt>
                <c:pt idx="100">
                  <c:v>50</c:v>
                </c:pt>
              </c:numCache>
            </c:numRef>
          </c:cat>
          <c:val>
            <c:numRef>
              <c:f>Sheet1!$BQ$516:$BQ$616</c:f>
              <c:numCache>
                <c:formatCode>0.00%</c:formatCode>
                <c:ptCount val="101"/>
                <c:pt idx="0">
                  <c:v>-1.271920829538698E-4</c:v>
                </c:pt>
                <c:pt idx="1">
                  <c:v>2.378259883297599E-4</c:v>
                </c:pt>
                <c:pt idx="2">
                  <c:v>2.0020103262221286E-3</c:v>
                </c:pt>
                <c:pt idx="3">
                  <c:v>3.5448930294065054E-3</c:v>
                </c:pt>
                <c:pt idx="4">
                  <c:v>3.9636110207033693E-3</c:v>
                </c:pt>
                <c:pt idx="5">
                  <c:v>3.8229196212564882E-3</c:v>
                </c:pt>
                <c:pt idx="6">
                  <c:v>3.4703688231299706E-3</c:v>
                </c:pt>
                <c:pt idx="7">
                  <c:v>3.7474509598851248E-3</c:v>
                </c:pt>
                <c:pt idx="8">
                  <c:v>5.0513925311814452E-3</c:v>
                </c:pt>
                <c:pt idx="9">
                  <c:v>5.3643940796083076E-3</c:v>
                </c:pt>
                <c:pt idx="10">
                  <c:v>2.0311573355026682E-3</c:v>
                </c:pt>
                <c:pt idx="11">
                  <c:v>-3.947207212457662E-3</c:v>
                </c:pt>
                <c:pt idx="12">
                  <c:v>-1.3928911621677615E-3</c:v>
                </c:pt>
                <c:pt idx="13">
                  <c:v>-1.2244775982273141E-3</c:v>
                </c:pt>
                <c:pt idx="14">
                  <c:v>-1.0225244332205826E-3</c:v>
                </c:pt>
                <c:pt idx="15">
                  <c:v>-1.9232786578538509E-3</c:v>
                </c:pt>
                <c:pt idx="16">
                  <c:v>-1.6810525914603797E-3</c:v>
                </c:pt>
                <c:pt idx="17">
                  <c:v>-2.1383955941025423E-3</c:v>
                </c:pt>
                <c:pt idx="18">
                  <c:v>-2.7634681045127412E-3</c:v>
                </c:pt>
                <c:pt idx="19">
                  <c:v>-1.7547189506801843E-3</c:v>
                </c:pt>
                <c:pt idx="20">
                  <c:v>1.2751978698935511E-3</c:v>
                </c:pt>
                <c:pt idx="21">
                  <c:v>5.0702778525365904E-4</c:v>
                </c:pt>
                <c:pt idx="22">
                  <c:v>-3.0278118461509634E-4</c:v>
                </c:pt>
                <c:pt idx="23">
                  <c:v>-1.126522818393686E-3</c:v>
                </c:pt>
                <c:pt idx="24">
                  <c:v>1.2396401305678388E-3</c:v>
                </c:pt>
                <c:pt idx="25">
                  <c:v>2.4126434239205405E-3</c:v>
                </c:pt>
                <c:pt idx="26">
                  <c:v>-6.6048552693956969E-5</c:v>
                </c:pt>
                <c:pt idx="27">
                  <c:v>-1.3193402916148959E-3</c:v>
                </c:pt>
                <c:pt idx="28">
                  <c:v>5.8978721365106433E-4</c:v>
                </c:pt>
                <c:pt idx="29">
                  <c:v>1.7921836920514003E-3</c:v>
                </c:pt>
                <c:pt idx="30">
                  <c:v>3.1018814638497511E-3</c:v>
                </c:pt>
                <c:pt idx="31">
                  <c:v>2.5326650719025992E-3</c:v>
                </c:pt>
                <c:pt idx="32">
                  <c:v>3.228620508725087E-3</c:v>
                </c:pt>
                <c:pt idx="33">
                  <c:v>2.8480405952814262E-3</c:v>
                </c:pt>
                <c:pt idx="34">
                  <c:v>3.0482405886873938E-3</c:v>
                </c:pt>
                <c:pt idx="35">
                  <c:v>6.2272657833053243E-3</c:v>
                </c:pt>
                <c:pt idx="36">
                  <c:v>6.7882699331138878E-3</c:v>
                </c:pt>
                <c:pt idx="37">
                  <c:v>6.4156488268766994E-3</c:v>
                </c:pt>
                <c:pt idx="38">
                  <c:v>6.6533414629151473E-3</c:v>
                </c:pt>
                <c:pt idx="39">
                  <c:v>5.1234566893055781E-3</c:v>
                </c:pt>
                <c:pt idx="40">
                  <c:v>1.0142663067105881E-3</c:v>
                </c:pt>
                <c:pt idx="41">
                  <c:v>1.6868240170587901E-3</c:v>
                </c:pt>
                <c:pt idx="42">
                  <c:v>1.1662713251978396E-3</c:v>
                </c:pt>
                <c:pt idx="43">
                  <c:v>-2.090780875701075E-3</c:v>
                </c:pt>
                <c:pt idx="44">
                  <c:v>-2.3118153352468382E-3</c:v>
                </c:pt>
                <c:pt idx="45">
                  <c:v>-2.2578218310475504E-3</c:v>
                </c:pt>
                <c:pt idx="46">
                  <c:v>-4.1387598540109424E-3</c:v>
                </c:pt>
                <c:pt idx="47">
                  <c:v>-6.4907870129236982E-3</c:v>
                </c:pt>
                <c:pt idx="48">
                  <c:v>-6.0517711538164293E-3</c:v>
                </c:pt>
                <c:pt idx="49">
                  <c:v>-6.8692655701656094E-3</c:v>
                </c:pt>
                <c:pt idx="50">
                  <c:v>-7.7285227550312483E-3</c:v>
                </c:pt>
                <c:pt idx="51">
                  <c:v>-7.3604671817238902E-3</c:v>
                </c:pt>
                <c:pt idx="52">
                  <c:v>-9.6841338561533073E-3</c:v>
                </c:pt>
                <c:pt idx="53">
                  <c:v>-9.430467222136734E-3</c:v>
                </c:pt>
                <c:pt idx="54">
                  <c:v>-1.036361171322164E-2</c:v>
                </c:pt>
                <c:pt idx="55">
                  <c:v>-1.1471678496299363E-2</c:v>
                </c:pt>
                <c:pt idx="56">
                  <c:v>-1.1695205026709165E-2</c:v>
                </c:pt>
                <c:pt idx="57">
                  <c:v>-1.1428633694232245E-2</c:v>
                </c:pt>
                <c:pt idx="58">
                  <c:v>-1.116597214907364E-2</c:v>
                </c:pt>
                <c:pt idx="59">
                  <c:v>-1.0114536709301913E-2</c:v>
                </c:pt>
                <c:pt idx="60">
                  <c:v>-1.290901046401186E-2</c:v>
                </c:pt>
                <c:pt idx="61">
                  <c:v>-1.6163237785097331E-2</c:v>
                </c:pt>
                <c:pt idx="62">
                  <c:v>-1.4191104967776213E-2</c:v>
                </c:pt>
                <c:pt idx="63">
                  <c:v>-1.4415589110172967E-2</c:v>
                </c:pt>
                <c:pt idx="64">
                  <c:v>-1.6797296575857244E-2</c:v>
                </c:pt>
                <c:pt idx="65">
                  <c:v>-1.8894457336756338E-2</c:v>
                </c:pt>
                <c:pt idx="66">
                  <c:v>-1.8719305751635145E-2</c:v>
                </c:pt>
                <c:pt idx="67">
                  <c:v>-1.7384234226695446E-2</c:v>
                </c:pt>
                <c:pt idx="68">
                  <c:v>-1.9383902436281707E-2</c:v>
                </c:pt>
                <c:pt idx="69">
                  <c:v>-1.9404761174285048E-2</c:v>
                </c:pt>
                <c:pt idx="70">
                  <c:v>-1.9530836431905847E-2</c:v>
                </c:pt>
                <c:pt idx="71">
                  <c:v>-1.9098923664155294E-2</c:v>
                </c:pt>
                <c:pt idx="72">
                  <c:v>-2.0697730250387798E-2</c:v>
                </c:pt>
                <c:pt idx="73">
                  <c:v>-2.2275197431891124E-2</c:v>
                </c:pt>
                <c:pt idx="74">
                  <c:v>-2.318809802291508E-2</c:v>
                </c:pt>
                <c:pt idx="75">
                  <c:v>-2.4344006967082787E-2</c:v>
                </c:pt>
                <c:pt idx="76">
                  <c:v>-2.6797761038101633E-2</c:v>
                </c:pt>
                <c:pt idx="77">
                  <c:v>-2.6922171468424138E-2</c:v>
                </c:pt>
                <c:pt idx="78">
                  <c:v>-2.493726546004469E-2</c:v>
                </c:pt>
                <c:pt idx="79">
                  <c:v>-2.5327371796701956E-2</c:v>
                </c:pt>
                <c:pt idx="80">
                  <c:v>-2.4545810599193672E-2</c:v>
                </c:pt>
                <c:pt idx="81">
                  <c:v>-2.33348978551552E-2</c:v>
                </c:pt>
                <c:pt idx="82">
                  <c:v>-2.3147277997930451E-2</c:v>
                </c:pt>
                <c:pt idx="83">
                  <c:v>-2.4084949354129997E-2</c:v>
                </c:pt>
                <c:pt idx="84">
                  <c:v>-2.4065216654333584E-2</c:v>
                </c:pt>
                <c:pt idx="85">
                  <c:v>-2.3355604315927189E-2</c:v>
                </c:pt>
                <c:pt idx="86">
                  <c:v>-2.1235080224311479E-2</c:v>
                </c:pt>
                <c:pt idx="87">
                  <c:v>-2.2865688418089412E-2</c:v>
                </c:pt>
                <c:pt idx="88">
                  <c:v>-2.2640273971836381E-2</c:v>
                </c:pt>
                <c:pt idx="89">
                  <c:v>-2.503542672103283E-2</c:v>
                </c:pt>
                <c:pt idx="90">
                  <c:v>-2.5758899643991161E-2</c:v>
                </c:pt>
                <c:pt idx="91">
                  <c:v>-2.6716675431319697E-2</c:v>
                </c:pt>
                <c:pt idx="92">
                  <c:v>-2.7315449619509612E-2</c:v>
                </c:pt>
                <c:pt idx="93">
                  <c:v>-2.5788727086038271E-2</c:v>
                </c:pt>
                <c:pt idx="94">
                  <c:v>-2.7024904467937351E-2</c:v>
                </c:pt>
                <c:pt idx="95">
                  <c:v>-2.5219608867986791E-2</c:v>
                </c:pt>
                <c:pt idx="96">
                  <c:v>-2.5197972243990542E-2</c:v>
                </c:pt>
                <c:pt idx="97">
                  <c:v>-2.6072270794698569E-2</c:v>
                </c:pt>
                <c:pt idx="98">
                  <c:v>-2.8904317212912051E-2</c:v>
                </c:pt>
                <c:pt idx="99">
                  <c:v>-2.8195555524993685E-2</c:v>
                </c:pt>
                <c:pt idx="100">
                  <c:v>-2.7790707865022017E-2</c:v>
                </c:pt>
              </c:numCache>
            </c:numRef>
          </c:val>
          <c:smooth val="0"/>
        </c:ser>
        <c:dLbls>
          <c:showLegendKey val="0"/>
          <c:showVal val="0"/>
          <c:showCatName val="0"/>
          <c:showSerName val="0"/>
          <c:showPercent val="0"/>
          <c:showBubbleSize val="0"/>
        </c:dLbls>
        <c:marker val="1"/>
        <c:smooth val="0"/>
        <c:axId val="122316672"/>
        <c:axId val="122318208"/>
      </c:lineChart>
      <c:catAx>
        <c:axId val="122316672"/>
        <c:scaling>
          <c:orientation val="minMax"/>
        </c:scaling>
        <c:delete val="0"/>
        <c:axPos val="b"/>
        <c:numFmt formatCode="General" sourceLinked="1"/>
        <c:majorTickMark val="out"/>
        <c:minorTickMark val="none"/>
        <c:tickLblPos val="nextTo"/>
        <c:txPr>
          <a:bodyPr/>
          <a:lstStyle/>
          <a:p>
            <a:pPr>
              <a:defRPr sz="800"/>
            </a:pPr>
            <a:endParaRPr lang="en-US"/>
          </a:p>
        </c:txPr>
        <c:crossAx val="122318208"/>
        <c:crossesAt val="-0.05"/>
        <c:auto val="1"/>
        <c:lblAlgn val="ctr"/>
        <c:lblOffset val="100"/>
        <c:tickLblSkip val="10"/>
        <c:tickMarkSkip val="10"/>
        <c:noMultiLvlLbl val="0"/>
      </c:catAx>
      <c:valAx>
        <c:axId val="122318208"/>
        <c:scaling>
          <c:orientation val="minMax"/>
          <c:max val="1.0000000000000005E-2"/>
          <c:min val="-0.05"/>
        </c:scaling>
        <c:delete val="0"/>
        <c:axPos val="l"/>
        <c:majorGridlines/>
        <c:numFmt formatCode="0.00%" sourceLinked="1"/>
        <c:majorTickMark val="out"/>
        <c:minorTickMark val="none"/>
        <c:tickLblPos val="nextTo"/>
        <c:txPr>
          <a:bodyPr/>
          <a:lstStyle/>
          <a:p>
            <a:pPr>
              <a:defRPr sz="800"/>
            </a:pPr>
            <a:endParaRPr lang="en-US"/>
          </a:p>
        </c:txPr>
        <c:crossAx val="122316672"/>
        <c:crosses val="autoZero"/>
        <c:crossBetween val="between"/>
        <c:majorUnit val="1.0000000000000005E-2"/>
      </c:valAx>
    </c:plotArea>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7E1FE-0601-4232-9787-3F21C97F7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5BFFE019.dotm</Template>
  <TotalTime>314</TotalTime>
  <Pages>56</Pages>
  <Words>15560</Words>
  <Characters>88692</Characters>
  <Application>Microsoft Office Word</Application>
  <DocSecurity>0</DocSecurity>
  <Lines>739</Lines>
  <Paragraphs>208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Hewlett-Packard</Company>
  <LinksUpToDate>false</LinksUpToDate>
  <CharactersWithSpaces>104044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dc:creator>
  <cp:lastModifiedBy>tpw5</cp:lastModifiedBy>
  <cp:revision>50</cp:revision>
  <cp:lastPrinted>2014-03-29T18:46:00Z</cp:lastPrinted>
  <dcterms:created xsi:type="dcterms:W3CDTF">2016-01-15T15:40:00Z</dcterms:created>
  <dcterms:modified xsi:type="dcterms:W3CDTF">2016-01-22T12:33:00Z</dcterms:modified>
</cp:coreProperties>
</file>