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E81" w:rsidRPr="005D42BA" w:rsidRDefault="003B5E81" w:rsidP="003B5E81">
      <w:pPr>
        <w:jc w:val="center"/>
        <w:rPr>
          <w:rFonts w:ascii="Bookman Old Style" w:hAnsi="Bookman Old Style" w:cs="Times New Roman"/>
          <w:b/>
          <w:sz w:val="36"/>
          <w:szCs w:val="36"/>
        </w:rPr>
      </w:pPr>
      <w:r w:rsidRPr="005D42BA">
        <w:rPr>
          <w:rFonts w:ascii="Bookman Old Style" w:hAnsi="Bookman Old Style" w:cs="Times New Roman"/>
          <w:b/>
          <w:sz w:val="36"/>
          <w:szCs w:val="36"/>
        </w:rPr>
        <w:t xml:space="preserve">Market Reaction to </w:t>
      </w:r>
      <w:r>
        <w:rPr>
          <w:rFonts w:ascii="Bookman Old Style" w:hAnsi="Bookman Old Style" w:cs="Times New Roman"/>
          <w:b/>
          <w:sz w:val="36"/>
          <w:szCs w:val="36"/>
        </w:rPr>
        <w:t xml:space="preserve">the </w:t>
      </w:r>
      <w:r w:rsidRPr="005D42BA">
        <w:rPr>
          <w:rFonts w:ascii="Bookman Old Style" w:hAnsi="Bookman Old Style" w:cs="Times New Roman"/>
          <w:b/>
          <w:sz w:val="36"/>
          <w:szCs w:val="36"/>
        </w:rPr>
        <w:t>Positiveness of Annual Report Narratives</w:t>
      </w:r>
    </w:p>
    <w:p w:rsidR="003B5E81" w:rsidRPr="005D42BA" w:rsidRDefault="003B5E81" w:rsidP="003B5E81">
      <w:pPr>
        <w:jc w:val="center"/>
        <w:rPr>
          <w:rFonts w:ascii="Bookman Old Style" w:hAnsi="Bookman Old Style" w:cs="Times New Roman"/>
          <w:b/>
          <w:sz w:val="36"/>
          <w:szCs w:val="36"/>
        </w:rPr>
      </w:pPr>
    </w:p>
    <w:p w:rsidR="003B5E81" w:rsidRPr="005D42BA" w:rsidRDefault="003B5E81" w:rsidP="003B5E81">
      <w:pPr>
        <w:spacing w:after="0"/>
        <w:jc w:val="center"/>
        <w:rPr>
          <w:rFonts w:ascii="Times New Roman" w:hAnsi="Times New Roman" w:cs="Times New Roman"/>
          <w:b/>
          <w:sz w:val="24"/>
          <w:szCs w:val="24"/>
        </w:rPr>
      </w:pPr>
      <w:proofErr w:type="spellStart"/>
      <w:r w:rsidRPr="005D42BA">
        <w:rPr>
          <w:rFonts w:ascii="Times New Roman" w:hAnsi="Times New Roman" w:cs="Times New Roman"/>
          <w:b/>
          <w:sz w:val="24"/>
          <w:szCs w:val="24"/>
        </w:rPr>
        <w:t>Liafisu</w:t>
      </w:r>
      <w:proofErr w:type="spellEnd"/>
      <w:r w:rsidRPr="005D42BA">
        <w:rPr>
          <w:rFonts w:ascii="Times New Roman" w:hAnsi="Times New Roman" w:cs="Times New Roman"/>
          <w:b/>
          <w:sz w:val="24"/>
          <w:szCs w:val="24"/>
        </w:rPr>
        <w:t xml:space="preserve"> </w:t>
      </w:r>
      <w:proofErr w:type="spellStart"/>
      <w:r w:rsidRPr="005D42BA">
        <w:rPr>
          <w:rFonts w:ascii="Times New Roman" w:hAnsi="Times New Roman" w:cs="Times New Roman"/>
          <w:b/>
          <w:sz w:val="24"/>
          <w:szCs w:val="24"/>
        </w:rPr>
        <w:t>Sina</w:t>
      </w:r>
      <w:proofErr w:type="spellEnd"/>
      <w:r w:rsidRPr="005D42BA">
        <w:rPr>
          <w:rFonts w:ascii="Times New Roman" w:hAnsi="Times New Roman" w:cs="Times New Roman"/>
          <w:b/>
          <w:sz w:val="24"/>
          <w:szCs w:val="24"/>
        </w:rPr>
        <w:t xml:space="preserve"> </w:t>
      </w:r>
      <w:proofErr w:type="spellStart"/>
      <w:r w:rsidRPr="005D42BA">
        <w:rPr>
          <w:rFonts w:ascii="Times New Roman" w:hAnsi="Times New Roman" w:cs="Times New Roman"/>
          <w:b/>
          <w:sz w:val="24"/>
          <w:szCs w:val="24"/>
        </w:rPr>
        <w:t>Yekini</w:t>
      </w:r>
      <w:proofErr w:type="spellEnd"/>
      <w:r w:rsidRPr="005D42BA">
        <w:rPr>
          <w:rFonts w:ascii="Times New Roman" w:hAnsi="Times New Roman" w:cs="Times New Roman"/>
          <w:b/>
          <w:sz w:val="24"/>
          <w:szCs w:val="24"/>
        </w:rPr>
        <w:t xml:space="preserve"> </w:t>
      </w:r>
      <w:r w:rsidRPr="005D42BA">
        <w:rPr>
          <w:rFonts w:ascii="Times New Roman" w:hAnsi="Times New Roman" w:cs="Times New Roman"/>
          <w:b/>
          <w:sz w:val="24"/>
          <w:szCs w:val="24"/>
          <w:vertAlign w:val="superscript"/>
        </w:rPr>
        <w:t>*</w:t>
      </w:r>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Coventry University</w:t>
      </w:r>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Coventry Business School</w:t>
      </w:r>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William Morris Building</w:t>
      </w:r>
    </w:p>
    <w:p w:rsidR="003B5E81" w:rsidRPr="005D42BA" w:rsidRDefault="003B5E81" w:rsidP="003B5E81">
      <w:pPr>
        <w:spacing w:after="0"/>
        <w:jc w:val="center"/>
        <w:rPr>
          <w:rFonts w:ascii="Times New Roman" w:hAnsi="Times New Roman" w:cs="Times New Roman"/>
          <w:sz w:val="24"/>
          <w:szCs w:val="24"/>
        </w:rPr>
      </w:pPr>
      <w:proofErr w:type="spellStart"/>
      <w:r w:rsidRPr="005D42BA">
        <w:rPr>
          <w:rFonts w:ascii="Times New Roman" w:hAnsi="Times New Roman" w:cs="Times New Roman"/>
          <w:sz w:val="24"/>
          <w:szCs w:val="24"/>
        </w:rPr>
        <w:t>Gosford</w:t>
      </w:r>
      <w:proofErr w:type="spellEnd"/>
      <w:r w:rsidRPr="005D42BA">
        <w:rPr>
          <w:rFonts w:ascii="Times New Roman" w:hAnsi="Times New Roman" w:cs="Times New Roman"/>
          <w:sz w:val="24"/>
          <w:szCs w:val="24"/>
        </w:rPr>
        <w:t xml:space="preserve"> Street</w:t>
      </w:r>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Coventry, CV1 5DL, UK</w:t>
      </w:r>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Tel: +44 024 7688 8440</w:t>
      </w:r>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E-mail: </w:t>
      </w:r>
      <w:hyperlink r:id="rId8" w:tgtFrame="_blank" w:history="1">
        <w:r w:rsidRPr="005D42BA">
          <w:rPr>
            <w:rFonts w:ascii="Times New Roman" w:hAnsi="Times New Roman" w:cs="Times New Roman"/>
            <w:sz w:val="24"/>
            <w:szCs w:val="24"/>
          </w:rPr>
          <w:t>sina.yekini@coventry.ac.uk</w:t>
        </w:r>
      </w:hyperlink>
    </w:p>
    <w:p w:rsidR="003B5E81" w:rsidRPr="005D42BA" w:rsidRDefault="003B5E81" w:rsidP="003B5E81">
      <w:pPr>
        <w:jc w:val="center"/>
        <w:rPr>
          <w:rFonts w:ascii="Bookman Old Style" w:hAnsi="Bookman Old Style" w:cs="Times New Roman"/>
          <w:b/>
          <w:sz w:val="36"/>
          <w:szCs w:val="36"/>
        </w:rPr>
      </w:pPr>
    </w:p>
    <w:p w:rsidR="003B5E81" w:rsidRPr="005D42BA" w:rsidRDefault="003B5E81" w:rsidP="003B5E81">
      <w:pPr>
        <w:jc w:val="center"/>
        <w:rPr>
          <w:rFonts w:ascii="Bookman Old Style" w:hAnsi="Bookman Old Style" w:cs="Times New Roman"/>
          <w:b/>
          <w:sz w:val="36"/>
          <w:szCs w:val="36"/>
        </w:rPr>
      </w:pPr>
      <w:r w:rsidRPr="005D42BA">
        <w:rPr>
          <w:rFonts w:ascii="Times New Roman" w:hAnsi="Times New Roman" w:cs="Times New Roman"/>
          <w:b/>
          <w:sz w:val="24"/>
          <w:szCs w:val="24"/>
        </w:rPr>
        <w:t xml:space="preserve">Tomasz </w:t>
      </w:r>
      <w:proofErr w:type="spellStart"/>
      <w:r w:rsidRPr="005D42BA">
        <w:rPr>
          <w:rFonts w:ascii="Times New Roman" w:hAnsi="Times New Roman" w:cs="Times New Roman"/>
          <w:b/>
          <w:sz w:val="24"/>
          <w:szCs w:val="24"/>
        </w:rPr>
        <w:t>Piotr</w:t>
      </w:r>
      <w:proofErr w:type="spellEnd"/>
      <w:r w:rsidRPr="005D42BA">
        <w:rPr>
          <w:rFonts w:ascii="Times New Roman" w:hAnsi="Times New Roman" w:cs="Times New Roman"/>
          <w:b/>
          <w:sz w:val="24"/>
          <w:szCs w:val="24"/>
        </w:rPr>
        <w:t xml:space="preserve"> Wisniewski</w:t>
      </w:r>
      <w:r w:rsidRPr="005D42BA">
        <w:rPr>
          <w:rFonts w:ascii="Times New Roman" w:hAnsi="Times New Roman" w:cs="Times New Roman"/>
          <w:sz w:val="24"/>
          <w:szCs w:val="24"/>
        </w:rPr>
        <w:br/>
        <w:t>University of Leicester</w:t>
      </w:r>
      <w:r w:rsidRPr="005D42BA">
        <w:rPr>
          <w:rFonts w:ascii="Times New Roman" w:hAnsi="Times New Roman" w:cs="Times New Roman"/>
          <w:sz w:val="24"/>
          <w:szCs w:val="24"/>
        </w:rPr>
        <w:br/>
        <w:t xml:space="preserve">School of Management </w:t>
      </w:r>
      <w:r w:rsidRPr="005D42BA">
        <w:rPr>
          <w:rFonts w:ascii="Times New Roman" w:hAnsi="Times New Roman" w:cs="Times New Roman"/>
          <w:sz w:val="24"/>
          <w:szCs w:val="24"/>
        </w:rPr>
        <w:br/>
        <w:t>Ken Edwards Building</w:t>
      </w:r>
      <w:r w:rsidRPr="005D42BA">
        <w:rPr>
          <w:rFonts w:ascii="Times New Roman" w:hAnsi="Times New Roman" w:cs="Times New Roman"/>
          <w:sz w:val="24"/>
          <w:szCs w:val="24"/>
        </w:rPr>
        <w:br/>
        <w:t>University Road</w:t>
      </w:r>
      <w:r w:rsidRPr="005D42BA">
        <w:rPr>
          <w:rFonts w:ascii="Times New Roman" w:hAnsi="Times New Roman" w:cs="Times New Roman"/>
          <w:sz w:val="24"/>
          <w:szCs w:val="24"/>
        </w:rPr>
        <w:br/>
        <w:t>Leicester LE1 7RH, UK</w:t>
      </w:r>
      <w:r w:rsidRPr="005D42BA">
        <w:rPr>
          <w:rFonts w:ascii="Times New Roman" w:hAnsi="Times New Roman" w:cs="Times New Roman"/>
          <w:sz w:val="24"/>
          <w:szCs w:val="24"/>
        </w:rPr>
        <w:br/>
        <w:t>Tel: +44 116 252 3958</w:t>
      </w:r>
      <w:r w:rsidRPr="005D42BA">
        <w:rPr>
          <w:rFonts w:ascii="Times New Roman" w:hAnsi="Times New Roman" w:cs="Times New Roman"/>
          <w:sz w:val="24"/>
          <w:szCs w:val="24"/>
        </w:rPr>
        <w:br/>
        <w:t>E-mail: t.wisniewski@le.ac.uk</w:t>
      </w:r>
      <w:r w:rsidRPr="005D42BA">
        <w:rPr>
          <w:rFonts w:ascii="Times New Roman" w:hAnsi="Times New Roman" w:cs="Times New Roman"/>
          <w:sz w:val="24"/>
          <w:szCs w:val="24"/>
        </w:rPr>
        <w:br/>
      </w:r>
    </w:p>
    <w:p w:rsidR="003B5E81" w:rsidRPr="005D42BA" w:rsidRDefault="003B5E81" w:rsidP="003B5E81">
      <w:pPr>
        <w:spacing w:after="0"/>
        <w:jc w:val="center"/>
        <w:rPr>
          <w:rFonts w:ascii="Times New Roman" w:hAnsi="Times New Roman" w:cs="Times New Roman"/>
          <w:b/>
          <w:sz w:val="24"/>
          <w:szCs w:val="24"/>
        </w:rPr>
      </w:pPr>
      <w:r w:rsidRPr="005D42BA">
        <w:rPr>
          <w:rFonts w:ascii="Times New Roman" w:hAnsi="Times New Roman" w:cs="Times New Roman"/>
          <w:b/>
          <w:sz w:val="24"/>
          <w:szCs w:val="24"/>
        </w:rPr>
        <w:t xml:space="preserve">Yuval </w:t>
      </w:r>
      <w:proofErr w:type="spellStart"/>
      <w:r w:rsidRPr="005D42BA">
        <w:rPr>
          <w:rFonts w:ascii="Times New Roman" w:hAnsi="Times New Roman" w:cs="Times New Roman"/>
          <w:b/>
          <w:sz w:val="24"/>
          <w:szCs w:val="24"/>
        </w:rPr>
        <w:t>Millo</w:t>
      </w:r>
      <w:proofErr w:type="spellEnd"/>
    </w:p>
    <w:p w:rsidR="003B5E81" w:rsidRPr="005D42BA" w:rsidRDefault="003B5E81" w:rsidP="003B5E81">
      <w:pPr>
        <w:spacing w:after="0"/>
        <w:jc w:val="center"/>
        <w:rPr>
          <w:rFonts w:ascii="Times New Roman" w:hAnsi="Times New Roman" w:cs="Times New Roman"/>
          <w:sz w:val="24"/>
          <w:szCs w:val="24"/>
        </w:rPr>
      </w:pPr>
      <w:r w:rsidRPr="005D42BA">
        <w:rPr>
          <w:rFonts w:ascii="Times New Roman" w:hAnsi="Times New Roman" w:cs="Times New Roman"/>
          <w:sz w:val="24"/>
          <w:szCs w:val="24"/>
        </w:rPr>
        <w:t>University of Leicester</w:t>
      </w:r>
      <w:r w:rsidRPr="005D42BA">
        <w:rPr>
          <w:rFonts w:ascii="Times New Roman" w:hAnsi="Times New Roman" w:cs="Times New Roman"/>
          <w:sz w:val="24"/>
          <w:szCs w:val="24"/>
        </w:rPr>
        <w:br/>
        <w:t xml:space="preserve">School of Management </w:t>
      </w:r>
      <w:r w:rsidRPr="005D42BA">
        <w:rPr>
          <w:rFonts w:ascii="Times New Roman" w:hAnsi="Times New Roman" w:cs="Times New Roman"/>
          <w:sz w:val="24"/>
          <w:szCs w:val="24"/>
        </w:rPr>
        <w:br/>
        <w:t>Ken Edwards Building</w:t>
      </w:r>
      <w:r w:rsidRPr="005D42BA">
        <w:rPr>
          <w:rFonts w:ascii="Times New Roman" w:hAnsi="Times New Roman" w:cs="Times New Roman"/>
          <w:sz w:val="24"/>
          <w:szCs w:val="24"/>
        </w:rPr>
        <w:br/>
        <w:t>University Road</w:t>
      </w:r>
      <w:r w:rsidRPr="005D42BA">
        <w:rPr>
          <w:rFonts w:ascii="Times New Roman" w:hAnsi="Times New Roman" w:cs="Times New Roman"/>
          <w:sz w:val="24"/>
          <w:szCs w:val="24"/>
        </w:rPr>
        <w:br/>
        <w:t>Leicester LE1 7RH, UK</w:t>
      </w:r>
      <w:r w:rsidRPr="005D42BA">
        <w:rPr>
          <w:rFonts w:ascii="Times New Roman" w:hAnsi="Times New Roman" w:cs="Times New Roman"/>
          <w:sz w:val="24"/>
          <w:szCs w:val="24"/>
        </w:rPr>
        <w:br/>
        <w:t>Tel: +44 116 229 7385</w:t>
      </w:r>
    </w:p>
    <w:p w:rsidR="003B5E81" w:rsidRDefault="003B5E81" w:rsidP="003B5E81">
      <w:pPr>
        <w:jc w:val="center"/>
        <w:rPr>
          <w:rFonts w:ascii="Times New Roman" w:hAnsi="Times New Roman" w:cs="Times New Roman"/>
          <w:sz w:val="24"/>
          <w:szCs w:val="24"/>
        </w:rPr>
      </w:pPr>
      <w:r w:rsidRPr="005D42BA">
        <w:rPr>
          <w:rFonts w:ascii="Times New Roman" w:hAnsi="Times New Roman" w:cs="Times New Roman"/>
          <w:sz w:val="24"/>
          <w:szCs w:val="24"/>
        </w:rPr>
        <w:t xml:space="preserve">E-mail: </w:t>
      </w:r>
      <w:r w:rsidRPr="00A652A1">
        <w:rPr>
          <w:rFonts w:ascii="Times New Roman" w:hAnsi="Times New Roman" w:cs="Times New Roman"/>
          <w:sz w:val="24"/>
          <w:szCs w:val="24"/>
        </w:rPr>
        <w:t>ym95@le.ac.uk</w:t>
      </w:r>
    </w:p>
    <w:p w:rsidR="003B5E81" w:rsidRPr="005D42BA" w:rsidRDefault="003B5E81" w:rsidP="003B5E81">
      <w:pPr>
        <w:jc w:val="center"/>
        <w:rPr>
          <w:rFonts w:ascii="Times New Roman" w:hAnsi="Times New Roman" w:cs="Times New Roman"/>
          <w:b/>
          <w:sz w:val="24"/>
          <w:szCs w:val="24"/>
        </w:rPr>
      </w:pPr>
    </w:p>
    <w:p w:rsidR="003B5E81" w:rsidRPr="005D42BA" w:rsidRDefault="003B5E81" w:rsidP="003B5E81">
      <w:pPr>
        <w:jc w:val="center"/>
        <w:rPr>
          <w:rFonts w:ascii="Times New Roman" w:hAnsi="Times New Roman" w:cs="Times New Roman"/>
          <w:b/>
          <w:sz w:val="24"/>
          <w:szCs w:val="24"/>
        </w:rPr>
      </w:pPr>
    </w:p>
    <w:p w:rsidR="00267347" w:rsidRDefault="00267347" w:rsidP="003B5E81">
      <w:pPr>
        <w:rPr>
          <w:rFonts w:ascii="Bookman Old Style" w:hAnsi="Bookman Old Style" w:cs="Times New Roman"/>
          <w:b/>
          <w:sz w:val="36"/>
          <w:szCs w:val="36"/>
        </w:rPr>
      </w:pPr>
    </w:p>
    <w:p w:rsidR="003B5E81" w:rsidRPr="005D42BA" w:rsidRDefault="003B5E81" w:rsidP="003B5E81">
      <w:pPr>
        <w:rPr>
          <w:rFonts w:ascii="Bookman Old Style" w:hAnsi="Bookman Old Style" w:cs="Times New Roman"/>
          <w:b/>
          <w:sz w:val="36"/>
          <w:szCs w:val="36"/>
        </w:rPr>
      </w:pPr>
    </w:p>
    <w:p w:rsidR="003B5E81" w:rsidRPr="005D42BA" w:rsidRDefault="003B5E81" w:rsidP="003B5E81">
      <w:pPr>
        <w:spacing w:after="0"/>
        <w:rPr>
          <w:rFonts w:ascii="Times New Roman" w:hAnsi="Times New Roman" w:cs="Times New Roman"/>
          <w:b/>
          <w:sz w:val="24"/>
          <w:szCs w:val="24"/>
        </w:rPr>
      </w:pPr>
      <w:r w:rsidRPr="005D42BA">
        <w:rPr>
          <w:rFonts w:ascii="Times New Roman" w:hAnsi="Times New Roman" w:cs="Times New Roman"/>
          <w:b/>
          <w:sz w:val="24"/>
          <w:szCs w:val="24"/>
        </w:rPr>
        <w:t>_________________________</w:t>
      </w:r>
    </w:p>
    <w:p w:rsidR="003B5E81" w:rsidRPr="005D42BA" w:rsidRDefault="003B5E81" w:rsidP="003B5E81">
      <w:pPr>
        <w:rPr>
          <w:rFonts w:ascii="Times New Roman" w:hAnsi="Times New Roman" w:cs="Times New Roman"/>
          <w:sz w:val="20"/>
          <w:szCs w:val="20"/>
        </w:rPr>
      </w:pPr>
      <w:r w:rsidRPr="005D42BA">
        <w:rPr>
          <w:rFonts w:ascii="Times New Roman" w:hAnsi="Times New Roman" w:cs="Times New Roman"/>
          <w:sz w:val="20"/>
          <w:szCs w:val="20"/>
          <w:vertAlign w:val="superscript"/>
        </w:rPr>
        <w:t>*</w:t>
      </w:r>
      <w:r w:rsidRPr="005D42BA">
        <w:rPr>
          <w:rFonts w:ascii="Times New Roman" w:hAnsi="Times New Roman" w:cs="Times New Roman"/>
          <w:sz w:val="20"/>
          <w:szCs w:val="20"/>
        </w:rPr>
        <w:t xml:space="preserve"> Corresponding author</w:t>
      </w:r>
    </w:p>
    <w:p w:rsidR="00294C7A" w:rsidRPr="005D42BA" w:rsidRDefault="00294C7A" w:rsidP="00294C7A">
      <w:pPr>
        <w:jc w:val="center"/>
        <w:rPr>
          <w:rFonts w:ascii="Bookman Old Style" w:hAnsi="Bookman Old Style" w:cs="Times New Roman"/>
          <w:b/>
          <w:sz w:val="36"/>
          <w:szCs w:val="36"/>
        </w:rPr>
      </w:pPr>
    </w:p>
    <w:p w:rsidR="00294C7A" w:rsidRPr="005D42BA" w:rsidRDefault="00294C7A" w:rsidP="00294C7A">
      <w:pPr>
        <w:jc w:val="center"/>
        <w:rPr>
          <w:rFonts w:ascii="Bookman Old Style" w:hAnsi="Bookman Old Style" w:cs="Times New Roman"/>
          <w:b/>
          <w:sz w:val="36"/>
          <w:szCs w:val="36"/>
        </w:rPr>
      </w:pPr>
    </w:p>
    <w:p w:rsidR="00294C7A" w:rsidRPr="005D42BA" w:rsidRDefault="00294C7A" w:rsidP="00294C7A">
      <w:pPr>
        <w:jc w:val="center"/>
        <w:rPr>
          <w:rFonts w:ascii="Bookman Old Style" w:hAnsi="Bookman Old Style" w:cs="Times New Roman"/>
          <w:b/>
          <w:sz w:val="36"/>
          <w:szCs w:val="36"/>
        </w:rPr>
      </w:pPr>
      <w:r w:rsidRPr="005D42BA">
        <w:rPr>
          <w:rFonts w:ascii="Bookman Old Style" w:hAnsi="Bookman Old Style" w:cs="Times New Roman"/>
          <w:b/>
          <w:sz w:val="36"/>
          <w:szCs w:val="36"/>
        </w:rPr>
        <w:t xml:space="preserve">Market Reaction to </w:t>
      </w:r>
      <w:r w:rsidR="003F1233">
        <w:rPr>
          <w:rFonts w:ascii="Bookman Old Style" w:hAnsi="Bookman Old Style" w:cs="Times New Roman"/>
          <w:b/>
          <w:sz w:val="36"/>
          <w:szCs w:val="36"/>
        </w:rPr>
        <w:t xml:space="preserve">the </w:t>
      </w:r>
      <w:r w:rsidRPr="005D42BA">
        <w:rPr>
          <w:rFonts w:ascii="Bookman Old Style" w:hAnsi="Bookman Old Style" w:cs="Times New Roman"/>
          <w:b/>
          <w:sz w:val="36"/>
          <w:szCs w:val="36"/>
        </w:rPr>
        <w:t>Positiveness of Annual Report Narratives</w:t>
      </w:r>
    </w:p>
    <w:p w:rsidR="00294C7A" w:rsidRPr="005D42BA" w:rsidRDefault="00294C7A" w:rsidP="00294C7A">
      <w:pPr>
        <w:rPr>
          <w:rFonts w:ascii="Times New Roman" w:hAnsi="Times New Roman" w:cs="Times New Roman"/>
          <w:b/>
          <w:sz w:val="24"/>
          <w:szCs w:val="24"/>
        </w:rPr>
      </w:pPr>
    </w:p>
    <w:p w:rsidR="00294C7A" w:rsidRPr="005D42BA" w:rsidRDefault="00294C7A" w:rsidP="00294C7A">
      <w:pPr>
        <w:rPr>
          <w:rFonts w:ascii="Times New Roman" w:hAnsi="Times New Roman" w:cs="Times New Roman"/>
          <w:b/>
          <w:sz w:val="24"/>
          <w:szCs w:val="24"/>
        </w:rPr>
      </w:pPr>
    </w:p>
    <w:p w:rsidR="00294C7A" w:rsidRPr="005D42BA" w:rsidRDefault="00294C7A" w:rsidP="00294C7A">
      <w:pPr>
        <w:ind w:left="709" w:right="793"/>
        <w:jc w:val="center"/>
        <w:rPr>
          <w:rFonts w:ascii="Times New Roman" w:hAnsi="Times New Roman" w:cs="Times New Roman"/>
          <w:b/>
          <w:sz w:val="24"/>
          <w:szCs w:val="24"/>
        </w:rPr>
      </w:pPr>
      <w:r w:rsidRPr="005D42BA">
        <w:rPr>
          <w:rFonts w:ascii="Times New Roman" w:hAnsi="Times New Roman" w:cs="Times New Roman"/>
          <w:b/>
          <w:sz w:val="24"/>
          <w:szCs w:val="24"/>
        </w:rPr>
        <w:t>Abstract</w:t>
      </w:r>
    </w:p>
    <w:p w:rsidR="00294C7A" w:rsidRPr="005D42BA" w:rsidRDefault="00294C7A" w:rsidP="00B479F4">
      <w:pPr>
        <w:ind w:left="709" w:right="793"/>
        <w:jc w:val="both"/>
        <w:rPr>
          <w:rFonts w:ascii="Times New Roman" w:hAnsi="Times New Roman" w:cs="Times New Roman"/>
          <w:sz w:val="24"/>
          <w:szCs w:val="24"/>
        </w:rPr>
      </w:pPr>
      <w:r w:rsidRPr="005D42BA">
        <w:rPr>
          <w:rFonts w:ascii="Times New Roman" w:hAnsi="Times New Roman" w:cs="Times New Roman"/>
          <w:sz w:val="24"/>
          <w:szCs w:val="24"/>
        </w:rPr>
        <w:t xml:space="preserve">This </w:t>
      </w:r>
      <w:r w:rsidR="00F27472" w:rsidRPr="005D42BA">
        <w:rPr>
          <w:rFonts w:ascii="Times New Roman" w:hAnsi="Times New Roman" w:cs="Times New Roman"/>
          <w:sz w:val="24"/>
          <w:szCs w:val="24"/>
        </w:rPr>
        <w:t>paper focuses on narrative</w:t>
      </w:r>
      <w:r w:rsidR="00B479F4">
        <w:rPr>
          <w:rFonts w:ascii="Times New Roman" w:hAnsi="Times New Roman" w:cs="Times New Roman"/>
          <w:sz w:val="24"/>
          <w:szCs w:val="24"/>
        </w:rPr>
        <w:t>s published by UK companies, defined here as</w:t>
      </w:r>
      <w:r w:rsidRPr="005D42BA">
        <w:rPr>
          <w:rFonts w:ascii="Times New Roman" w:hAnsi="Times New Roman" w:cs="Times New Roman"/>
          <w:sz w:val="24"/>
          <w:szCs w:val="24"/>
        </w:rPr>
        <w:t xml:space="preserve"> </w:t>
      </w:r>
      <w:r w:rsidR="00B479F4">
        <w:rPr>
          <w:rFonts w:ascii="Times New Roman" w:hAnsi="Times New Roman" w:cs="Times New Roman"/>
          <w:sz w:val="24"/>
          <w:szCs w:val="24"/>
        </w:rPr>
        <w:t xml:space="preserve">the </w:t>
      </w:r>
      <w:r w:rsidR="00EA5485">
        <w:rPr>
          <w:rFonts w:ascii="Times New Roman" w:hAnsi="Times New Roman" w:cs="Times New Roman"/>
          <w:sz w:val="24"/>
          <w:szCs w:val="24"/>
        </w:rPr>
        <w:t xml:space="preserve">content of </w:t>
      </w:r>
      <w:r w:rsidRPr="005D42BA">
        <w:rPr>
          <w:rFonts w:ascii="Times New Roman" w:hAnsi="Times New Roman" w:cs="Times New Roman"/>
          <w:sz w:val="24"/>
          <w:szCs w:val="24"/>
        </w:rPr>
        <w:t xml:space="preserve">annual reports </w:t>
      </w:r>
      <w:r w:rsidR="00B479F4">
        <w:rPr>
          <w:rFonts w:ascii="Times New Roman" w:hAnsi="Times New Roman" w:cs="Times New Roman"/>
          <w:sz w:val="24"/>
          <w:szCs w:val="24"/>
        </w:rPr>
        <w:t xml:space="preserve">excluding financial statements and notes to accounts. We endeavour to gauge the tone of these narratives </w:t>
      </w:r>
      <w:r w:rsidRPr="005D42BA">
        <w:rPr>
          <w:rFonts w:ascii="Times New Roman" w:hAnsi="Times New Roman" w:cs="Times New Roman"/>
          <w:sz w:val="24"/>
          <w:szCs w:val="24"/>
        </w:rPr>
        <w:t xml:space="preserve">by recording the frequency of positive words appearing in the text. We show that the extent of positiveness is related to market reaction around the disclosure date. This conclusion is maintained even after controlling for the financial figures that are reported simultaneously and company-specific characteristics. </w:t>
      </w:r>
      <w:r w:rsidR="00744459">
        <w:rPr>
          <w:rFonts w:ascii="Times New Roman" w:hAnsi="Times New Roman" w:cs="Times New Roman"/>
          <w:sz w:val="24"/>
          <w:szCs w:val="24"/>
        </w:rPr>
        <w:t>Consequently</w:t>
      </w:r>
      <w:r w:rsidRPr="005D42BA">
        <w:rPr>
          <w:rFonts w:ascii="Times New Roman" w:hAnsi="Times New Roman" w:cs="Times New Roman"/>
          <w:sz w:val="24"/>
          <w:szCs w:val="24"/>
        </w:rPr>
        <w:t xml:space="preserve">, narratives should not be perceived as mere </w:t>
      </w:r>
      <w:r w:rsidR="00744459">
        <w:rPr>
          <w:rFonts w:ascii="Times New Roman" w:hAnsi="Times New Roman" w:cs="Times New Roman"/>
          <w:sz w:val="24"/>
          <w:szCs w:val="24"/>
        </w:rPr>
        <w:t>impression management</w:t>
      </w:r>
      <w:r w:rsidRPr="005D42BA">
        <w:rPr>
          <w:rFonts w:ascii="Times New Roman" w:hAnsi="Times New Roman" w:cs="Times New Roman"/>
          <w:sz w:val="24"/>
          <w:szCs w:val="24"/>
        </w:rPr>
        <w:t xml:space="preserve"> tool</w:t>
      </w:r>
      <w:r w:rsidR="00744459">
        <w:rPr>
          <w:rFonts w:ascii="Times New Roman" w:hAnsi="Times New Roman" w:cs="Times New Roman"/>
          <w:sz w:val="24"/>
          <w:szCs w:val="24"/>
        </w:rPr>
        <w:t>s</w:t>
      </w:r>
      <w:r w:rsidRPr="005D42BA">
        <w:rPr>
          <w:rFonts w:ascii="Times New Roman" w:hAnsi="Times New Roman" w:cs="Times New Roman"/>
          <w:sz w:val="24"/>
          <w:szCs w:val="24"/>
        </w:rPr>
        <w:t xml:space="preserve">, but also as conduits for disseminating price-sensitive information. </w:t>
      </w:r>
    </w:p>
    <w:p w:rsidR="00294C7A" w:rsidRPr="005D42BA" w:rsidRDefault="00294C7A" w:rsidP="00294C7A">
      <w:pPr>
        <w:ind w:left="709" w:right="793"/>
        <w:jc w:val="both"/>
        <w:rPr>
          <w:rFonts w:ascii="Times New Roman" w:hAnsi="Times New Roman" w:cs="Times New Roman"/>
          <w:sz w:val="24"/>
          <w:szCs w:val="24"/>
        </w:rPr>
      </w:pPr>
    </w:p>
    <w:p w:rsidR="00294C7A" w:rsidRPr="005D42BA" w:rsidRDefault="00294C7A" w:rsidP="00294C7A">
      <w:pPr>
        <w:ind w:left="709" w:right="793"/>
        <w:jc w:val="both"/>
        <w:rPr>
          <w:rFonts w:ascii="Times New Roman" w:hAnsi="Times New Roman" w:cs="Times New Roman"/>
          <w:sz w:val="24"/>
          <w:szCs w:val="24"/>
        </w:rPr>
      </w:pPr>
      <w:r w:rsidRPr="005D42BA">
        <w:rPr>
          <w:rFonts w:ascii="Times New Roman" w:hAnsi="Times New Roman" w:cs="Times New Roman"/>
          <w:sz w:val="24"/>
          <w:szCs w:val="24"/>
        </w:rPr>
        <w:t>JEL codes: M41; G12; G14</w:t>
      </w:r>
    </w:p>
    <w:p w:rsidR="00294C7A" w:rsidRPr="005D42BA" w:rsidRDefault="00294C7A" w:rsidP="00294C7A">
      <w:pPr>
        <w:ind w:left="709" w:right="793"/>
        <w:jc w:val="both"/>
        <w:rPr>
          <w:rFonts w:ascii="Times New Roman" w:hAnsi="Times New Roman" w:cs="Times New Roman"/>
          <w:sz w:val="24"/>
          <w:szCs w:val="24"/>
        </w:rPr>
      </w:pPr>
      <w:r w:rsidRPr="005D42BA">
        <w:rPr>
          <w:rFonts w:ascii="Times New Roman" w:hAnsi="Times New Roman" w:cs="Times New Roman"/>
          <w:sz w:val="24"/>
          <w:szCs w:val="24"/>
        </w:rPr>
        <w:t>Keywords: Annual report narrative, content analysis, stock market reaction</w:t>
      </w:r>
    </w:p>
    <w:p w:rsidR="00294C7A" w:rsidRPr="005D42BA" w:rsidRDefault="00294C7A" w:rsidP="00294C7A">
      <w:pPr>
        <w:rPr>
          <w:rFonts w:ascii="Times New Roman" w:hAnsi="Times New Roman" w:cs="Times New Roman"/>
          <w:b/>
          <w:sz w:val="24"/>
          <w:szCs w:val="24"/>
        </w:rPr>
      </w:pPr>
      <w:r w:rsidRPr="005D42BA">
        <w:rPr>
          <w:rFonts w:ascii="Times New Roman" w:hAnsi="Times New Roman" w:cs="Times New Roman"/>
          <w:b/>
          <w:sz w:val="24"/>
          <w:szCs w:val="24"/>
        </w:rPr>
        <w:br w:type="page"/>
      </w:r>
    </w:p>
    <w:p w:rsidR="00294C7A" w:rsidRPr="004211B7" w:rsidRDefault="00294C7A" w:rsidP="004211B7">
      <w:pPr>
        <w:pStyle w:val="Akapitzlist"/>
        <w:numPr>
          <w:ilvl w:val="0"/>
          <w:numId w:val="13"/>
        </w:numPr>
        <w:spacing w:line="480" w:lineRule="auto"/>
        <w:rPr>
          <w:rFonts w:ascii="Times New Roman" w:hAnsi="Times New Roman" w:cs="Times New Roman"/>
          <w:b/>
          <w:sz w:val="24"/>
          <w:szCs w:val="24"/>
        </w:rPr>
      </w:pPr>
      <w:r w:rsidRPr="004211B7">
        <w:rPr>
          <w:rFonts w:ascii="Times New Roman" w:hAnsi="Times New Roman" w:cs="Times New Roman"/>
          <w:b/>
          <w:sz w:val="24"/>
          <w:szCs w:val="24"/>
        </w:rPr>
        <w:lastRenderedPageBreak/>
        <w:t>Introduction</w:t>
      </w:r>
    </w:p>
    <w:p w:rsidR="00294C7A"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Recent academic studies </w:t>
      </w:r>
      <w:r w:rsidR="00972263">
        <w:rPr>
          <w:rFonts w:ascii="Times New Roman" w:hAnsi="Times New Roman" w:cs="Times New Roman"/>
          <w:sz w:val="24"/>
          <w:szCs w:val="24"/>
        </w:rPr>
        <w:t xml:space="preserve">have </w:t>
      </w:r>
      <w:r w:rsidRPr="005D42BA">
        <w:rPr>
          <w:rFonts w:ascii="Times New Roman" w:hAnsi="Times New Roman" w:cs="Times New Roman"/>
          <w:sz w:val="24"/>
          <w:szCs w:val="24"/>
        </w:rPr>
        <w:t>pa</w:t>
      </w:r>
      <w:r w:rsidR="00972263">
        <w:rPr>
          <w:rFonts w:ascii="Times New Roman" w:hAnsi="Times New Roman" w:cs="Times New Roman"/>
          <w:sz w:val="24"/>
          <w:szCs w:val="24"/>
        </w:rPr>
        <w:t>id</w:t>
      </w:r>
      <w:r w:rsidRPr="005D42BA">
        <w:rPr>
          <w:rFonts w:ascii="Times New Roman" w:hAnsi="Times New Roman" w:cs="Times New Roman"/>
          <w:sz w:val="24"/>
          <w:szCs w:val="24"/>
        </w:rPr>
        <w:t xml:space="preserve"> increasing attention to the market impact of the tone inheren</w:t>
      </w:r>
      <w:r w:rsidR="00D35349" w:rsidRPr="005D42BA">
        <w:rPr>
          <w:rFonts w:ascii="Times New Roman" w:hAnsi="Times New Roman" w:cs="Times New Roman"/>
          <w:sz w:val="24"/>
          <w:szCs w:val="24"/>
        </w:rPr>
        <w:t>t in corporate narratives</w:t>
      </w:r>
      <w:r w:rsidRPr="005D42BA">
        <w:rPr>
          <w:rFonts w:ascii="Times New Roman" w:hAnsi="Times New Roman" w:cs="Times New Roman"/>
          <w:sz w:val="24"/>
          <w:szCs w:val="24"/>
        </w:rPr>
        <w:t xml:space="preserve"> (Frankel</w:t>
      </w:r>
      <w:r w:rsidR="00655C89">
        <w:rPr>
          <w:rFonts w:ascii="Times New Roman" w:hAnsi="Times New Roman" w:cs="Times New Roman"/>
          <w:sz w:val="24"/>
          <w:szCs w:val="24"/>
        </w:rPr>
        <w:t xml:space="preserve">, </w:t>
      </w:r>
      <w:proofErr w:type="spellStart"/>
      <w:r w:rsidR="00655C89">
        <w:rPr>
          <w:rFonts w:ascii="Times New Roman" w:hAnsi="Times New Roman" w:cs="Times New Roman"/>
          <w:sz w:val="24"/>
          <w:szCs w:val="24"/>
        </w:rPr>
        <w:t>Mayew</w:t>
      </w:r>
      <w:proofErr w:type="spellEnd"/>
      <w:r w:rsidR="00655C89">
        <w:rPr>
          <w:rFonts w:ascii="Times New Roman" w:hAnsi="Times New Roman" w:cs="Times New Roman"/>
          <w:sz w:val="24"/>
          <w:szCs w:val="24"/>
        </w:rPr>
        <w:t>, &amp;</w:t>
      </w:r>
      <w:r w:rsidR="00655C89" w:rsidRPr="005D42BA">
        <w:rPr>
          <w:rFonts w:ascii="Times New Roman" w:hAnsi="Times New Roman" w:cs="Times New Roman"/>
          <w:sz w:val="24"/>
          <w:szCs w:val="24"/>
        </w:rPr>
        <w:t xml:space="preserve"> Su</w:t>
      </w:r>
      <w:bookmarkStart w:id="0" w:name="_GoBack"/>
      <w:bookmarkEnd w:id="0"/>
      <w:r w:rsidR="00655C89" w:rsidRPr="005D42BA">
        <w:rPr>
          <w:rFonts w:ascii="Times New Roman" w:hAnsi="Times New Roman" w:cs="Times New Roman"/>
          <w:sz w:val="24"/>
          <w:szCs w:val="24"/>
        </w:rPr>
        <w:t>n</w:t>
      </w:r>
      <w:r w:rsidR="008C2C2B">
        <w:rPr>
          <w:rFonts w:ascii="Times New Roman" w:hAnsi="Times New Roman" w:cs="Times New Roman"/>
          <w:sz w:val="24"/>
          <w:szCs w:val="24"/>
        </w:rPr>
        <w:t>, 2010</w:t>
      </w:r>
      <w:r w:rsidR="00655C89">
        <w:rPr>
          <w:rFonts w:ascii="Times New Roman" w:hAnsi="Times New Roman" w:cs="Times New Roman"/>
          <w:sz w:val="24"/>
          <w:szCs w:val="24"/>
        </w:rPr>
        <w:t>; Davis &amp;</w:t>
      </w:r>
      <w:r w:rsidRPr="005D42BA">
        <w:rPr>
          <w:rFonts w:ascii="Times New Roman" w:hAnsi="Times New Roman" w:cs="Times New Roman"/>
          <w:sz w:val="24"/>
          <w:szCs w:val="24"/>
        </w:rPr>
        <w:t xml:space="preserve"> Tama-Sweet, 2012; Huang, </w:t>
      </w:r>
      <w:proofErr w:type="spellStart"/>
      <w:r w:rsidR="00655C89">
        <w:rPr>
          <w:rFonts w:ascii="Times New Roman" w:hAnsi="Times New Roman" w:cs="Times New Roman"/>
          <w:sz w:val="24"/>
          <w:szCs w:val="24"/>
        </w:rPr>
        <w:t>Teoh</w:t>
      </w:r>
      <w:proofErr w:type="spellEnd"/>
      <w:r w:rsidR="00655C89">
        <w:rPr>
          <w:rFonts w:ascii="Times New Roman" w:hAnsi="Times New Roman" w:cs="Times New Roman"/>
          <w:sz w:val="24"/>
          <w:szCs w:val="24"/>
        </w:rPr>
        <w:t>,</w:t>
      </w:r>
      <w:r w:rsidR="00655C89" w:rsidRPr="005D42BA">
        <w:rPr>
          <w:rFonts w:ascii="Times New Roman" w:hAnsi="Times New Roman" w:cs="Times New Roman"/>
          <w:sz w:val="24"/>
          <w:szCs w:val="24"/>
        </w:rPr>
        <w:t xml:space="preserve"> </w:t>
      </w:r>
      <w:r w:rsidR="00655C89">
        <w:rPr>
          <w:rFonts w:ascii="Times New Roman" w:hAnsi="Times New Roman" w:cs="Times New Roman"/>
          <w:sz w:val="24"/>
          <w:szCs w:val="24"/>
        </w:rPr>
        <w:t xml:space="preserve">&amp; </w:t>
      </w:r>
      <w:r w:rsidR="00655C89" w:rsidRPr="005D42BA">
        <w:rPr>
          <w:rFonts w:ascii="Times New Roman" w:hAnsi="Times New Roman" w:cs="Times New Roman"/>
          <w:sz w:val="24"/>
          <w:szCs w:val="24"/>
        </w:rPr>
        <w:t>Zhang</w:t>
      </w:r>
      <w:r w:rsidR="00655C89">
        <w:rPr>
          <w:rFonts w:ascii="Times New Roman" w:hAnsi="Times New Roman" w:cs="Times New Roman"/>
          <w:sz w:val="24"/>
          <w:szCs w:val="24"/>
        </w:rPr>
        <w:t>,</w:t>
      </w:r>
      <w:r w:rsidR="00655C89" w:rsidRPr="005D42BA">
        <w:rPr>
          <w:rFonts w:ascii="Times New Roman" w:hAnsi="Times New Roman" w:cs="Times New Roman"/>
          <w:sz w:val="24"/>
          <w:szCs w:val="24"/>
        </w:rPr>
        <w:t xml:space="preserve"> </w:t>
      </w:r>
      <w:r w:rsidRPr="005D42BA">
        <w:rPr>
          <w:rFonts w:ascii="Times New Roman" w:hAnsi="Times New Roman" w:cs="Times New Roman"/>
          <w:sz w:val="24"/>
          <w:szCs w:val="24"/>
        </w:rPr>
        <w:t>2014). Previous literature examined, amongst others, cor</w:t>
      </w:r>
      <w:r w:rsidR="00655C89">
        <w:rPr>
          <w:rFonts w:ascii="Times New Roman" w:hAnsi="Times New Roman" w:cs="Times New Roman"/>
          <w:sz w:val="24"/>
          <w:szCs w:val="24"/>
        </w:rPr>
        <w:t>porate press releases (Ahern &amp;</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Sosyura</w:t>
      </w:r>
      <w:proofErr w:type="spellEnd"/>
      <w:r w:rsidRPr="005D42BA">
        <w:rPr>
          <w:rFonts w:ascii="Times New Roman" w:hAnsi="Times New Roman" w:cs="Times New Roman"/>
          <w:sz w:val="24"/>
          <w:szCs w:val="24"/>
        </w:rPr>
        <w:t>, 2014), quarterly earnings announcements and conference calls (Francis</w:t>
      </w:r>
      <w:r w:rsidR="00655C89">
        <w:rPr>
          <w:rFonts w:ascii="Times New Roman" w:hAnsi="Times New Roman" w:cs="Times New Roman"/>
          <w:sz w:val="24"/>
          <w:szCs w:val="24"/>
        </w:rPr>
        <w:t xml:space="preserve">, </w:t>
      </w:r>
      <w:proofErr w:type="spellStart"/>
      <w:r w:rsidR="00655C89">
        <w:rPr>
          <w:rFonts w:ascii="Times New Roman" w:hAnsi="Times New Roman" w:cs="Times New Roman"/>
          <w:sz w:val="24"/>
          <w:szCs w:val="24"/>
        </w:rPr>
        <w:t>Schipper</w:t>
      </w:r>
      <w:proofErr w:type="spellEnd"/>
      <w:r w:rsidR="00655C89">
        <w:rPr>
          <w:rFonts w:ascii="Times New Roman" w:hAnsi="Times New Roman" w:cs="Times New Roman"/>
          <w:sz w:val="24"/>
          <w:szCs w:val="24"/>
        </w:rPr>
        <w:t>, &amp;</w:t>
      </w:r>
      <w:r w:rsidR="00655C89" w:rsidRPr="005D42BA">
        <w:rPr>
          <w:rFonts w:ascii="Times New Roman" w:hAnsi="Times New Roman" w:cs="Times New Roman"/>
          <w:sz w:val="24"/>
          <w:szCs w:val="24"/>
        </w:rPr>
        <w:t xml:space="preserve"> Vincent</w:t>
      </w:r>
      <w:r w:rsidRPr="005D42BA">
        <w:rPr>
          <w:rFonts w:ascii="Times New Roman" w:hAnsi="Times New Roman" w:cs="Times New Roman"/>
          <w:sz w:val="24"/>
          <w:szCs w:val="24"/>
        </w:rPr>
        <w:t xml:space="preserve">, 2002; Demers </w:t>
      </w:r>
      <w:r w:rsidR="00620B08">
        <w:rPr>
          <w:rFonts w:ascii="Times New Roman" w:hAnsi="Times New Roman" w:cs="Times New Roman"/>
          <w:sz w:val="24"/>
          <w:szCs w:val="24"/>
        </w:rPr>
        <w:t>&amp;</w:t>
      </w:r>
      <w:r w:rsidRPr="005D42BA">
        <w:rPr>
          <w:rFonts w:ascii="Times New Roman" w:hAnsi="Times New Roman" w:cs="Times New Roman"/>
          <w:sz w:val="24"/>
          <w:szCs w:val="24"/>
        </w:rPr>
        <w:t xml:space="preserve"> Vega, 2010; Price</w:t>
      </w:r>
      <w:r w:rsidR="00655C89">
        <w:rPr>
          <w:rFonts w:ascii="Times New Roman" w:hAnsi="Times New Roman" w:cs="Times New Roman"/>
          <w:sz w:val="24"/>
          <w:szCs w:val="24"/>
        </w:rPr>
        <w:t xml:space="preserve">, </w:t>
      </w:r>
      <w:r w:rsidR="00655C89" w:rsidRPr="005D42BA">
        <w:rPr>
          <w:rFonts w:ascii="Times New Roman" w:hAnsi="Times New Roman" w:cs="Times New Roman"/>
          <w:sz w:val="24"/>
          <w:szCs w:val="24"/>
        </w:rPr>
        <w:t xml:space="preserve">Doran, Peterson, </w:t>
      </w:r>
      <w:r w:rsidR="00620B08">
        <w:rPr>
          <w:rFonts w:ascii="Times New Roman" w:hAnsi="Times New Roman" w:cs="Times New Roman"/>
          <w:sz w:val="24"/>
          <w:szCs w:val="24"/>
        </w:rPr>
        <w:t>&amp;</w:t>
      </w:r>
      <w:r w:rsidR="00655C89" w:rsidRPr="005D42BA">
        <w:rPr>
          <w:rFonts w:ascii="Times New Roman" w:hAnsi="Times New Roman" w:cs="Times New Roman"/>
          <w:sz w:val="24"/>
          <w:szCs w:val="24"/>
        </w:rPr>
        <w:t xml:space="preserve"> Bliss</w:t>
      </w:r>
      <w:r w:rsidRPr="005D42BA">
        <w:rPr>
          <w:rFonts w:ascii="Times New Roman" w:hAnsi="Times New Roman" w:cs="Times New Roman"/>
          <w:sz w:val="24"/>
          <w:szCs w:val="24"/>
        </w:rPr>
        <w:t>, 2012; Davis</w:t>
      </w:r>
      <w:r w:rsidR="00620B08">
        <w:rPr>
          <w:rFonts w:ascii="Times New Roman" w:hAnsi="Times New Roman" w:cs="Times New Roman"/>
          <w:sz w:val="24"/>
          <w:szCs w:val="24"/>
        </w:rPr>
        <w:t xml:space="preserve">, </w:t>
      </w:r>
      <w:proofErr w:type="spellStart"/>
      <w:r w:rsidR="00620B08">
        <w:rPr>
          <w:rFonts w:ascii="Times New Roman" w:hAnsi="Times New Roman" w:cs="Times New Roman"/>
          <w:sz w:val="24"/>
          <w:szCs w:val="24"/>
        </w:rPr>
        <w:t>Piger</w:t>
      </w:r>
      <w:proofErr w:type="spellEnd"/>
      <w:r w:rsidR="00620B08">
        <w:rPr>
          <w:rFonts w:ascii="Times New Roman" w:hAnsi="Times New Roman" w:cs="Times New Roman"/>
          <w:sz w:val="24"/>
          <w:szCs w:val="24"/>
        </w:rPr>
        <w:t>,</w:t>
      </w:r>
      <w:r w:rsidR="00620B08" w:rsidRPr="005D42BA">
        <w:rPr>
          <w:rFonts w:ascii="Times New Roman" w:hAnsi="Times New Roman" w:cs="Times New Roman"/>
          <w:sz w:val="24"/>
          <w:szCs w:val="24"/>
        </w:rPr>
        <w:t xml:space="preserve"> </w:t>
      </w:r>
      <w:r w:rsidR="00620B08">
        <w:rPr>
          <w:rFonts w:ascii="Times New Roman" w:hAnsi="Times New Roman" w:cs="Times New Roman"/>
          <w:sz w:val="24"/>
          <w:szCs w:val="24"/>
        </w:rPr>
        <w:t xml:space="preserve">&amp; </w:t>
      </w:r>
      <w:proofErr w:type="spellStart"/>
      <w:r w:rsidR="00620B08" w:rsidRPr="005D42BA">
        <w:rPr>
          <w:rFonts w:ascii="Times New Roman" w:hAnsi="Times New Roman" w:cs="Times New Roman"/>
          <w:sz w:val="24"/>
          <w:szCs w:val="24"/>
        </w:rPr>
        <w:t>Sedor</w:t>
      </w:r>
      <w:proofErr w:type="spellEnd"/>
      <w:r w:rsidRPr="005D42BA">
        <w:rPr>
          <w:rFonts w:ascii="Times New Roman" w:hAnsi="Times New Roman" w:cs="Times New Roman"/>
          <w:sz w:val="24"/>
          <w:szCs w:val="24"/>
        </w:rPr>
        <w:t>, 2012). Notwithstanding the advances made in this area</w:t>
      </w:r>
      <w:r w:rsidR="00BA25FA">
        <w:rPr>
          <w:rFonts w:ascii="Times New Roman" w:hAnsi="Times New Roman" w:cs="Times New Roman"/>
          <w:sz w:val="24"/>
          <w:szCs w:val="24"/>
        </w:rPr>
        <w:t xml:space="preserve"> of research</w:t>
      </w:r>
      <w:r w:rsidRPr="005D42BA">
        <w:rPr>
          <w:rFonts w:ascii="Times New Roman" w:hAnsi="Times New Roman" w:cs="Times New Roman"/>
          <w:sz w:val="24"/>
          <w:szCs w:val="24"/>
        </w:rPr>
        <w:t xml:space="preserve">, </w:t>
      </w:r>
      <w:r w:rsidR="00FC56F1" w:rsidRPr="005D42BA">
        <w:rPr>
          <w:rFonts w:ascii="Times New Roman" w:hAnsi="Times New Roman" w:cs="Times New Roman"/>
          <w:sz w:val="24"/>
          <w:szCs w:val="24"/>
        </w:rPr>
        <w:t xml:space="preserve">relatively </w:t>
      </w:r>
      <w:r w:rsidRPr="005D42BA">
        <w:rPr>
          <w:rFonts w:ascii="Times New Roman" w:hAnsi="Times New Roman" w:cs="Times New Roman"/>
          <w:sz w:val="24"/>
          <w:szCs w:val="24"/>
        </w:rPr>
        <w:t xml:space="preserve">little attention has been paid to the </w:t>
      </w:r>
      <w:r w:rsidR="002D6CA6">
        <w:rPr>
          <w:rFonts w:ascii="Times New Roman" w:hAnsi="Times New Roman" w:cs="Times New Roman"/>
          <w:sz w:val="24"/>
          <w:szCs w:val="24"/>
        </w:rPr>
        <w:t>narratives</w:t>
      </w:r>
      <w:r w:rsidRPr="005D42BA">
        <w:rPr>
          <w:rFonts w:ascii="Times New Roman" w:hAnsi="Times New Roman" w:cs="Times New Roman"/>
          <w:sz w:val="24"/>
          <w:szCs w:val="24"/>
        </w:rPr>
        <w:t xml:space="preserve"> of annual reports </w:t>
      </w:r>
      <w:r w:rsidR="002D6CA6">
        <w:rPr>
          <w:rFonts w:ascii="Times New Roman" w:hAnsi="Times New Roman" w:cs="Times New Roman"/>
          <w:sz w:val="24"/>
          <w:szCs w:val="24"/>
        </w:rPr>
        <w:t>as a whole</w:t>
      </w:r>
      <w:r w:rsidRPr="005D42BA">
        <w:rPr>
          <w:rFonts w:ascii="Times New Roman" w:hAnsi="Times New Roman" w:cs="Times New Roman"/>
          <w:sz w:val="24"/>
          <w:szCs w:val="24"/>
        </w:rPr>
        <w:t xml:space="preserve">. </w:t>
      </w:r>
      <w:r w:rsidR="002D6CA6">
        <w:rPr>
          <w:rFonts w:ascii="Times New Roman" w:hAnsi="Times New Roman" w:cs="Times New Roman"/>
          <w:sz w:val="24"/>
          <w:szCs w:val="24"/>
        </w:rPr>
        <w:t>T</w:t>
      </w:r>
      <w:r w:rsidR="002D6CA6" w:rsidRPr="005D42BA">
        <w:rPr>
          <w:rFonts w:ascii="Times New Roman" w:hAnsi="Times New Roman" w:cs="Times New Roman"/>
          <w:sz w:val="24"/>
          <w:szCs w:val="24"/>
        </w:rPr>
        <w:t xml:space="preserve">he extant </w:t>
      </w:r>
      <w:r w:rsidR="002D6CA6">
        <w:rPr>
          <w:rFonts w:ascii="Times New Roman" w:hAnsi="Times New Roman" w:cs="Times New Roman"/>
          <w:sz w:val="24"/>
          <w:szCs w:val="24"/>
        </w:rPr>
        <w:t xml:space="preserve">content </w:t>
      </w:r>
      <w:r w:rsidR="002D6CA6" w:rsidRPr="005D42BA">
        <w:rPr>
          <w:rFonts w:ascii="Times New Roman" w:hAnsi="Times New Roman" w:cs="Times New Roman"/>
          <w:sz w:val="24"/>
          <w:szCs w:val="24"/>
        </w:rPr>
        <w:t>analysis of annual report</w:t>
      </w:r>
      <w:r w:rsidR="002D6CA6">
        <w:rPr>
          <w:rFonts w:ascii="Times New Roman" w:hAnsi="Times New Roman" w:cs="Times New Roman"/>
          <w:sz w:val="24"/>
          <w:szCs w:val="24"/>
        </w:rPr>
        <w:t>s</w:t>
      </w:r>
      <w:r w:rsidR="002D6CA6" w:rsidRPr="005D42BA">
        <w:rPr>
          <w:rFonts w:ascii="Times New Roman" w:hAnsi="Times New Roman" w:cs="Times New Roman"/>
          <w:sz w:val="24"/>
          <w:szCs w:val="24"/>
        </w:rPr>
        <w:t xml:space="preserve"> has been predominantly restricted to relatively short sub-sections, such as company presidents’ letters to shareholders (McConnell</w:t>
      </w:r>
      <w:r w:rsidR="002D6CA6">
        <w:rPr>
          <w:rFonts w:ascii="Times New Roman" w:hAnsi="Times New Roman" w:cs="Times New Roman"/>
          <w:sz w:val="24"/>
          <w:szCs w:val="24"/>
        </w:rPr>
        <w:t xml:space="preserve">, </w:t>
      </w:r>
      <w:proofErr w:type="spellStart"/>
      <w:r w:rsidR="002D6CA6">
        <w:rPr>
          <w:rFonts w:ascii="Times New Roman" w:hAnsi="Times New Roman" w:cs="Times New Roman"/>
          <w:sz w:val="24"/>
          <w:szCs w:val="24"/>
        </w:rPr>
        <w:t>Haslem</w:t>
      </w:r>
      <w:proofErr w:type="spellEnd"/>
      <w:r w:rsidR="002D6CA6">
        <w:rPr>
          <w:rFonts w:ascii="Times New Roman" w:hAnsi="Times New Roman" w:cs="Times New Roman"/>
          <w:sz w:val="24"/>
          <w:szCs w:val="24"/>
        </w:rPr>
        <w:t>,</w:t>
      </w:r>
      <w:r w:rsidR="002D6CA6" w:rsidRPr="005D42BA">
        <w:rPr>
          <w:rFonts w:ascii="Times New Roman" w:hAnsi="Times New Roman" w:cs="Times New Roman"/>
          <w:sz w:val="24"/>
          <w:szCs w:val="24"/>
        </w:rPr>
        <w:t xml:space="preserve"> &amp; Gibson</w:t>
      </w:r>
      <w:r w:rsidR="002D6CA6">
        <w:rPr>
          <w:rFonts w:ascii="Times New Roman" w:hAnsi="Times New Roman" w:cs="Times New Roman"/>
          <w:sz w:val="24"/>
          <w:szCs w:val="24"/>
        </w:rPr>
        <w:t>, 1986; Abrahamson &amp;</w:t>
      </w:r>
      <w:r w:rsidR="002D6CA6" w:rsidRPr="005D42BA">
        <w:rPr>
          <w:rFonts w:ascii="Times New Roman" w:hAnsi="Times New Roman" w:cs="Times New Roman"/>
          <w:sz w:val="24"/>
          <w:szCs w:val="24"/>
        </w:rPr>
        <w:t xml:space="preserve"> Amir, 1996; Swales, 198</w:t>
      </w:r>
      <w:r w:rsidR="002D6CA6">
        <w:rPr>
          <w:rFonts w:ascii="Times New Roman" w:hAnsi="Times New Roman" w:cs="Times New Roman"/>
          <w:sz w:val="24"/>
          <w:szCs w:val="24"/>
        </w:rPr>
        <w:t>8; Smith &amp;</w:t>
      </w:r>
      <w:r w:rsidR="002D6CA6" w:rsidRPr="005D42BA">
        <w:rPr>
          <w:rFonts w:ascii="Times New Roman" w:hAnsi="Times New Roman" w:cs="Times New Roman"/>
          <w:sz w:val="24"/>
          <w:szCs w:val="24"/>
        </w:rPr>
        <w:t xml:space="preserve"> </w:t>
      </w:r>
      <w:proofErr w:type="spellStart"/>
      <w:r w:rsidR="002D6CA6" w:rsidRPr="005D42BA">
        <w:rPr>
          <w:rFonts w:ascii="Times New Roman" w:hAnsi="Times New Roman" w:cs="Times New Roman"/>
          <w:sz w:val="24"/>
          <w:szCs w:val="24"/>
        </w:rPr>
        <w:t>Taffler</w:t>
      </w:r>
      <w:proofErr w:type="spellEnd"/>
      <w:r w:rsidR="002D6CA6" w:rsidRPr="005D42BA">
        <w:rPr>
          <w:rFonts w:ascii="Times New Roman" w:hAnsi="Times New Roman" w:cs="Times New Roman"/>
          <w:sz w:val="24"/>
          <w:szCs w:val="24"/>
        </w:rPr>
        <w:t>, 2000).</w:t>
      </w:r>
      <w:r w:rsidR="002D6CA6">
        <w:rPr>
          <w:rFonts w:ascii="Times New Roman" w:hAnsi="Times New Roman" w:cs="Times New Roman"/>
          <w:sz w:val="24"/>
          <w:szCs w:val="24"/>
        </w:rPr>
        <w:t xml:space="preserve"> </w:t>
      </w:r>
      <w:r w:rsidR="00B86876">
        <w:rPr>
          <w:rFonts w:ascii="Times New Roman" w:hAnsi="Times New Roman" w:cs="Times New Roman"/>
          <w:sz w:val="24"/>
          <w:szCs w:val="24"/>
        </w:rPr>
        <w:t>A study by</w:t>
      </w:r>
      <w:r w:rsidR="00CB538F">
        <w:rPr>
          <w:rFonts w:ascii="Times New Roman" w:hAnsi="Times New Roman" w:cs="Times New Roman"/>
          <w:sz w:val="24"/>
          <w:szCs w:val="24"/>
        </w:rPr>
        <w:t xml:space="preserve"> </w:t>
      </w:r>
      <w:proofErr w:type="spellStart"/>
      <w:r w:rsidR="002D6CA6">
        <w:rPr>
          <w:rFonts w:ascii="Times New Roman" w:hAnsi="Times New Roman" w:cs="Times New Roman"/>
          <w:sz w:val="24"/>
          <w:szCs w:val="24"/>
        </w:rPr>
        <w:t>Loughran</w:t>
      </w:r>
      <w:proofErr w:type="spellEnd"/>
      <w:r w:rsidR="002D6CA6">
        <w:rPr>
          <w:rFonts w:ascii="Times New Roman" w:hAnsi="Times New Roman" w:cs="Times New Roman"/>
          <w:sz w:val="24"/>
          <w:szCs w:val="24"/>
        </w:rPr>
        <w:t xml:space="preserve"> and McDonald (2011)</w:t>
      </w:r>
      <w:r w:rsidR="00BA25FA">
        <w:rPr>
          <w:rFonts w:ascii="Times New Roman" w:hAnsi="Times New Roman" w:cs="Times New Roman"/>
          <w:sz w:val="24"/>
          <w:szCs w:val="24"/>
        </w:rPr>
        <w:t>,</w:t>
      </w:r>
      <w:r w:rsidR="002D6CA6">
        <w:rPr>
          <w:rFonts w:ascii="Times New Roman" w:hAnsi="Times New Roman" w:cs="Times New Roman"/>
          <w:sz w:val="24"/>
          <w:szCs w:val="24"/>
        </w:rPr>
        <w:t xml:space="preserve"> who linked </w:t>
      </w:r>
      <w:r w:rsidR="002A27B6">
        <w:rPr>
          <w:rFonts w:ascii="Times New Roman" w:hAnsi="Times New Roman" w:cs="Times New Roman"/>
          <w:sz w:val="24"/>
          <w:szCs w:val="24"/>
        </w:rPr>
        <w:t xml:space="preserve">the </w:t>
      </w:r>
      <w:r w:rsidR="002D6CA6">
        <w:rPr>
          <w:rFonts w:ascii="Times New Roman" w:hAnsi="Times New Roman" w:cs="Times New Roman"/>
          <w:sz w:val="24"/>
          <w:szCs w:val="24"/>
        </w:rPr>
        <w:t xml:space="preserve">tone of </w:t>
      </w:r>
      <w:r w:rsidR="00B86876">
        <w:rPr>
          <w:rFonts w:ascii="Times New Roman" w:hAnsi="Times New Roman" w:cs="Times New Roman"/>
          <w:sz w:val="24"/>
          <w:szCs w:val="24"/>
        </w:rPr>
        <w:t xml:space="preserve">full </w:t>
      </w:r>
      <w:r w:rsidR="002D6CA6">
        <w:rPr>
          <w:rFonts w:ascii="Times New Roman" w:hAnsi="Times New Roman" w:cs="Times New Roman"/>
          <w:sz w:val="24"/>
          <w:szCs w:val="24"/>
        </w:rPr>
        <w:t xml:space="preserve">10-K forms to filling </w:t>
      </w:r>
      <w:r w:rsidR="00454FA9">
        <w:rPr>
          <w:rFonts w:ascii="Times New Roman" w:hAnsi="Times New Roman" w:cs="Times New Roman"/>
          <w:sz w:val="24"/>
          <w:szCs w:val="24"/>
        </w:rPr>
        <w:t xml:space="preserve">period </w:t>
      </w:r>
      <w:r w:rsidR="002D6CA6">
        <w:rPr>
          <w:rFonts w:ascii="Times New Roman" w:hAnsi="Times New Roman" w:cs="Times New Roman"/>
          <w:sz w:val="24"/>
          <w:szCs w:val="24"/>
        </w:rPr>
        <w:t>returns</w:t>
      </w:r>
      <w:r w:rsidR="00BA25FA">
        <w:rPr>
          <w:rFonts w:ascii="Times New Roman" w:hAnsi="Times New Roman" w:cs="Times New Roman"/>
          <w:sz w:val="24"/>
          <w:szCs w:val="24"/>
        </w:rPr>
        <w:t>,</w:t>
      </w:r>
      <w:r w:rsidR="00B86876">
        <w:rPr>
          <w:rFonts w:ascii="Times New Roman" w:hAnsi="Times New Roman" w:cs="Times New Roman"/>
          <w:sz w:val="24"/>
          <w:szCs w:val="24"/>
        </w:rPr>
        <w:t xml:space="preserve"> constitutes a notable exception</w:t>
      </w:r>
      <w:r w:rsidR="002A27B6">
        <w:rPr>
          <w:rFonts w:ascii="Times New Roman" w:hAnsi="Times New Roman" w:cs="Times New Roman"/>
          <w:sz w:val="24"/>
          <w:szCs w:val="24"/>
        </w:rPr>
        <w:t xml:space="preserve">. </w:t>
      </w:r>
      <w:r w:rsidRPr="005D42BA">
        <w:rPr>
          <w:rFonts w:ascii="Times New Roman" w:hAnsi="Times New Roman" w:cs="Times New Roman"/>
          <w:sz w:val="24"/>
          <w:szCs w:val="24"/>
        </w:rPr>
        <w:t>This gap in the literature is significant, as a growing body of work suggests that the langu</w:t>
      </w:r>
      <w:r w:rsidR="00C72262">
        <w:rPr>
          <w:rFonts w:ascii="Times New Roman" w:hAnsi="Times New Roman" w:cs="Times New Roman"/>
          <w:sz w:val="24"/>
          <w:szCs w:val="24"/>
        </w:rPr>
        <w:t xml:space="preserve">age used in </w:t>
      </w:r>
      <w:r w:rsidR="00BA25FA">
        <w:rPr>
          <w:rFonts w:ascii="Times New Roman" w:hAnsi="Times New Roman" w:cs="Times New Roman"/>
          <w:sz w:val="24"/>
          <w:szCs w:val="24"/>
        </w:rPr>
        <w:t xml:space="preserve">the </w:t>
      </w:r>
      <w:r w:rsidR="00C72262">
        <w:rPr>
          <w:rFonts w:ascii="Times New Roman" w:hAnsi="Times New Roman" w:cs="Times New Roman"/>
          <w:sz w:val="24"/>
          <w:szCs w:val="24"/>
        </w:rPr>
        <w:t>qualitative part</w:t>
      </w:r>
      <w:r w:rsidRPr="005D42BA">
        <w:rPr>
          <w:rFonts w:ascii="Times New Roman" w:hAnsi="Times New Roman" w:cs="Times New Roman"/>
          <w:sz w:val="24"/>
          <w:szCs w:val="24"/>
        </w:rPr>
        <w:t xml:space="preserve"> of annual reports play</w:t>
      </w:r>
      <w:r w:rsidR="00BA25FA">
        <w:rPr>
          <w:rFonts w:ascii="Times New Roman" w:hAnsi="Times New Roman" w:cs="Times New Roman"/>
          <w:sz w:val="24"/>
          <w:szCs w:val="24"/>
        </w:rPr>
        <w:t>s</w:t>
      </w:r>
      <w:r w:rsidRPr="005D42BA">
        <w:rPr>
          <w:rFonts w:ascii="Times New Roman" w:hAnsi="Times New Roman" w:cs="Times New Roman"/>
          <w:sz w:val="24"/>
          <w:szCs w:val="24"/>
        </w:rPr>
        <w:t xml:space="preserve"> a role </w:t>
      </w:r>
      <w:r w:rsidR="00C72262">
        <w:rPr>
          <w:rFonts w:ascii="Times New Roman" w:hAnsi="Times New Roman" w:cs="Times New Roman"/>
          <w:sz w:val="24"/>
          <w:szCs w:val="24"/>
        </w:rPr>
        <w:t xml:space="preserve">in framing the quantitative </w:t>
      </w:r>
      <w:r w:rsidRPr="005D42BA">
        <w:rPr>
          <w:rFonts w:ascii="Times New Roman" w:hAnsi="Times New Roman" w:cs="Times New Roman"/>
          <w:sz w:val="24"/>
          <w:szCs w:val="24"/>
        </w:rPr>
        <w:t>s</w:t>
      </w:r>
      <w:r w:rsidR="00C72262">
        <w:rPr>
          <w:rFonts w:ascii="Times New Roman" w:hAnsi="Times New Roman" w:cs="Times New Roman"/>
          <w:sz w:val="24"/>
          <w:szCs w:val="24"/>
        </w:rPr>
        <w:t>ection</w:t>
      </w:r>
      <w:r w:rsidRPr="005D42BA">
        <w:rPr>
          <w:rFonts w:ascii="Times New Roman" w:hAnsi="Times New Roman" w:cs="Times New Roman"/>
          <w:sz w:val="24"/>
          <w:szCs w:val="24"/>
        </w:rPr>
        <w:t xml:space="preserve"> of the documents (</w:t>
      </w:r>
      <w:proofErr w:type="spellStart"/>
      <w:r w:rsidRPr="005D42BA">
        <w:rPr>
          <w:rFonts w:ascii="Times New Roman" w:hAnsi="Times New Roman" w:cs="Times New Roman"/>
          <w:sz w:val="24"/>
          <w:szCs w:val="24"/>
        </w:rPr>
        <w:t>Hoskin</w:t>
      </w:r>
      <w:proofErr w:type="spellEnd"/>
      <w:r w:rsidR="00620B08">
        <w:rPr>
          <w:rFonts w:ascii="Times New Roman" w:hAnsi="Times New Roman" w:cs="Times New Roman"/>
          <w:sz w:val="24"/>
          <w:szCs w:val="24"/>
        </w:rPr>
        <w:t xml:space="preserve">, Hughes, &amp; </w:t>
      </w:r>
      <w:r w:rsidR="00620B08" w:rsidRPr="005D42BA">
        <w:rPr>
          <w:rFonts w:ascii="Times New Roman" w:hAnsi="Times New Roman" w:cs="Times New Roman"/>
          <w:sz w:val="24"/>
          <w:szCs w:val="24"/>
        </w:rPr>
        <w:t>Ricks</w:t>
      </w:r>
      <w:r w:rsidRPr="005D42BA">
        <w:rPr>
          <w:rFonts w:ascii="Times New Roman" w:hAnsi="Times New Roman" w:cs="Times New Roman"/>
          <w:sz w:val="24"/>
          <w:szCs w:val="24"/>
        </w:rPr>
        <w:t xml:space="preserve">, 1986; </w:t>
      </w:r>
      <w:proofErr w:type="spellStart"/>
      <w:r w:rsidRPr="005D42BA">
        <w:rPr>
          <w:rFonts w:ascii="Times New Roman" w:hAnsi="Times New Roman" w:cs="Times New Roman"/>
          <w:sz w:val="24"/>
          <w:szCs w:val="24"/>
        </w:rPr>
        <w:t>Anilowski</w:t>
      </w:r>
      <w:proofErr w:type="spellEnd"/>
      <w:r w:rsidR="00620B08">
        <w:rPr>
          <w:rFonts w:ascii="Times New Roman" w:hAnsi="Times New Roman" w:cs="Times New Roman"/>
          <w:sz w:val="24"/>
          <w:szCs w:val="24"/>
        </w:rPr>
        <w:t xml:space="preserve">, </w:t>
      </w:r>
      <w:proofErr w:type="spellStart"/>
      <w:r w:rsidR="00620B08">
        <w:rPr>
          <w:rFonts w:ascii="Times New Roman" w:hAnsi="Times New Roman" w:cs="Times New Roman"/>
          <w:sz w:val="24"/>
          <w:szCs w:val="24"/>
        </w:rPr>
        <w:t>Feng</w:t>
      </w:r>
      <w:proofErr w:type="spellEnd"/>
      <w:r w:rsidR="00620B08">
        <w:rPr>
          <w:rFonts w:ascii="Times New Roman" w:hAnsi="Times New Roman" w:cs="Times New Roman"/>
          <w:sz w:val="24"/>
          <w:szCs w:val="24"/>
        </w:rPr>
        <w:t>, &amp;</w:t>
      </w:r>
      <w:r w:rsidR="00620B08" w:rsidRPr="005D42BA">
        <w:rPr>
          <w:rFonts w:ascii="Times New Roman" w:hAnsi="Times New Roman" w:cs="Times New Roman"/>
          <w:sz w:val="24"/>
          <w:szCs w:val="24"/>
        </w:rPr>
        <w:t xml:space="preserve"> Skinner</w:t>
      </w:r>
      <w:r w:rsidRPr="005D42BA">
        <w:rPr>
          <w:rFonts w:ascii="Times New Roman" w:hAnsi="Times New Roman" w:cs="Times New Roman"/>
          <w:sz w:val="24"/>
          <w:szCs w:val="24"/>
        </w:rPr>
        <w:t xml:space="preserve">, 2007). </w:t>
      </w:r>
      <w:r w:rsidR="00436A29">
        <w:rPr>
          <w:rFonts w:ascii="Times New Roman" w:hAnsi="Times New Roman" w:cs="Times New Roman"/>
          <w:sz w:val="24"/>
          <w:szCs w:val="24"/>
        </w:rPr>
        <w:t>Although both qualitative and quantitative information are often released concurrently, recent research has employed statistical techniques to separate the influence of the</w:t>
      </w:r>
      <w:r w:rsidR="00F8791D">
        <w:rPr>
          <w:rFonts w:ascii="Times New Roman" w:hAnsi="Times New Roman" w:cs="Times New Roman"/>
          <w:sz w:val="24"/>
          <w:szCs w:val="24"/>
        </w:rPr>
        <w:t>se two</w:t>
      </w:r>
      <w:r w:rsidR="00436A29">
        <w:rPr>
          <w:rFonts w:ascii="Times New Roman" w:hAnsi="Times New Roman" w:cs="Times New Roman"/>
          <w:sz w:val="24"/>
          <w:szCs w:val="24"/>
        </w:rPr>
        <w:t xml:space="preserve"> different modes of representation (</w:t>
      </w:r>
      <w:r w:rsidR="00436A29" w:rsidRPr="005D42BA">
        <w:rPr>
          <w:rFonts w:ascii="Times New Roman" w:hAnsi="Times New Roman" w:cs="Times New Roman"/>
          <w:sz w:val="24"/>
          <w:szCs w:val="24"/>
        </w:rPr>
        <w:t>Francis</w:t>
      </w:r>
      <w:r w:rsidR="00436A29">
        <w:rPr>
          <w:rFonts w:ascii="Times New Roman" w:hAnsi="Times New Roman" w:cs="Times New Roman"/>
          <w:sz w:val="24"/>
          <w:szCs w:val="24"/>
        </w:rPr>
        <w:t xml:space="preserve"> </w:t>
      </w:r>
      <w:r w:rsidR="00436A29" w:rsidRPr="00436A29">
        <w:rPr>
          <w:rFonts w:ascii="Times New Roman" w:hAnsi="Times New Roman" w:cs="Times New Roman"/>
          <w:i/>
          <w:sz w:val="24"/>
          <w:szCs w:val="24"/>
        </w:rPr>
        <w:t>et al</w:t>
      </w:r>
      <w:r w:rsidR="00436A29">
        <w:rPr>
          <w:rFonts w:ascii="Times New Roman" w:hAnsi="Times New Roman" w:cs="Times New Roman"/>
          <w:sz w:val="24"/>
          <w:szCs w:val="24"/>
        </w:rPr>
        <w:t>.</w:t>
      </w:r>
      <w:r w:rsidR="00436A29" w:rsidRPr="005D42BA">
        <w:rPr>
          <w:rFonts w:ascii="Times New Roman" w:hAnsi="Times New Roman" w:cs="Times New Roman"/>
          <w:sz w:val="24"/>
          <w:szCs w:val="24"/>
        </w:rPr>
        <w:t xml:space="preserve">, 2002; Demers </w:t>
      </w:r>
      <w:r w:rsidR="00436A29">
        <w:rPr>
          <w:rFonts w:ascii="Times New Roman" w:hAnsi="Times New Roman" w:cs="Times New Roman"/>
          <w:sz w:val="24"/>
          <w:szCs w:val="24"/>
        </w:rPr>
        <w:t>&amp;</w:t>
      </w:r>
      <w:r w:rsidR="00436A29" w:rsidRPr="005D42BA">
        <w:rPr>
          <w:rFonts w:ascii="Times New Roman" w:hAnsi="Times New Roman" w:cs="Times New Roman"/>
          <w:sz w:val="24"/>
          <w:szCs w:val="24"/>
        </w:rPr>
        <w:t xml:space="preserve"> Vega, 2010</w:t>
      </w:r>
      <w:r w:rsidR="00436A29">
        <w:rPr>
          <w:rFonts w:ascii="Times New Roman" w:hAnsi="Times New Roman" w:cs="Times New Roman"/>
          <w:sz w:val="24"/>
          <w:szCs w:val="24"/>
        </w:rPr>
        <w:t xml:space="preserve">). We use the same methodological approach in this paper. </w:t>
      </w:r>
      <w:r w:rsidR="00C1572D">
        <w:rPr>
          <w:rFonts w:ascii="Times New Roman" w:hAnsi="Times New Roman" w:cs="Times New Roman"/>
          <w:sz w:val="24"/>
          <w:szCs w:val="24"/>
        </w:rPr>
        <w:t>A</w:t>
      </w:r>
      <w:r w:rsidRPr="005D42BA">
        <w:rPr>
          <w:rFonts w:ascii="Times New Roman" w:hAnsi="Times New Roman" w:cs="Times New Roman"/>
          <w:sz w:val="24"/>
          <w:szCs w:val="24"/>
        </w:rPr>
        <w:t xml:space="preserve"> better understanding of the pot</w:t>
      </w:r>
      <w:r w:rsidR="00D35349" w:rsidRPr="005D42BA">
        <w:rPr>
          <w:rFonts w:ascii="Times New Roman" w:hAnsi="Times New Roman" w:cs="Times New Roman"/>
          <w:sz w:val="24"/>
          <w:szCs w:val="24"/>
        </w:rPr>
        <w:t>ential impact of the narrative</w:t>
      </w:r>
      <w:r w:rsidR="00AD74FC" w:rsidRPr="005D42BA">
        <w:rPr>
          <w:rFonts w:ascii="Times New Roman" w:hAnsi="Times New Roman" w:cs="Times New Roman"/>
          <w:sz w:val="24"/>
          <w:szCs w:val="24"/>
        </w:rPr>
        <w:t>s</w:t>
      </w:r>
      <w:r w:rsidRPr="005D42BA">
        <w:rPr>
          <w:rFonts w:ascii="Times New Roman" w:hAnsi="Times New Roman" w:cs="Times New Roman"/>
          <w:sz w:val="24"/>
          <w:szCs w:val="24"/>
        </w:rPr>
        <w:t xml:space="preserve"> </w:t>
      </w:r>
      <w:r w:rsidR="00AD74FC" w:rsidRPr="005D42BA">
        <w:rPr>
          <w:rFonts w:ascii="Times New Roman" w:hAnsi="Times New Roman" w:cs="Times New Roman"/>
          <w:sz w:val="24"/>
          <w:szCs w:val="24"/>
        </w:rPr>
        <w:t>in</w:t>
      </w:r>
      <w:r w:rsidRPr="005D42BA">
        <w:rPr>
          <w:rFonts w:ascii="Times New Roman" w:hAnsi="Times New Roman" w:cs="Times New Roman"/>
          <w:sz w:val="24"/>
          <w:szCs w:val="24"/>
        </w:rPr>
        <w:t xml:space="preserve"> </w:t>
      </w:r>
      <w:r w:rsidR="00436A29">
        <w:rPr>
          <w:rFonts w:ascii="Times New Roman" w:hAnsi="Times New Roman" w:cs="Times New Roman"/>
          <w:sz w:val="24"/>
          <w:szCs w:val="24"/>
        </w:rPr>
        <w:t>annual reports</w:t>
      </w:r>
      <w:r w:rsidRPr="005D42BA">
        <w:rPr>
          <w:rFonts w:ascii="Times New Roman" w:hAnsi="Times New Roman" w:cs="Times New Roman"/>
          <w:sz w:val="24"/>
          <w:szCs w:val="24"/>
        </w:rPr>
        <w:t xml:space="preserve"> will not o</w:t>
      </w:r>
      <w:r w:rsidR="002E673C" w:rsidRPr="005D42BA">
        <w:rPr>
          <w:rFonts w:ascii="Times New Roman" w:hAnsi="Times New Roman" w:cs="Times New Roman"/>
          <w:sz w:val="24"/>
          <w:szCs w:val="24"/>
        </w:rPr>
        <w:t>nly help us to understand this aspect</w:t>
      </w:r>
      <w:r w:rsidR="00D35349" w:rsidRPr="005D42BA">
        <w:rPr>
          <w:rFonts w:ascii="Times New Roman" w:hAnsi="Times New Roman" w:cs="Times New Roman"/>
          <w:sz w:val="24"/>
          <w:szCs w:val="24"/>
        </w:rPr>
        <w:t xml:space="preserve"> of corporate communications</w:t>
      </w:r>
      <w:r w:rsidRPr="005D42BA">
        <w:rPr>
          <w:rFonts w:ascii="Times New Roman" w:hAnsi="Times New Roman" w:cs="Times New Roman"/>
          <w:sz w:val="24"/>
          <w:szCs w:val="24"/>
        </w:rPr>
        <w:t xml:space="preserve">, but also shed more light on the overall impact of </w:t>
      </w:r>
      <w:r w:rsidR="00C1572D">
        <w:rPr>
          <w:rFonts w:ascii="Times New Roman" w:hAnsi="Times New Roman" w:cs="Times New Roman"/>
          <w:sz w:val="24"/>
          <w:szCs w:val="24"/>
        </w:rPr>
        <w:t>these documents</w:t>
      </w:r>
      <w:r w:rsidRPr="005D42BA">
        <w:rPr>
          <w:rFonts w:ascii="Times New Roman" w:hAnsi="Times New Roman" w:cs="Times New Roman"/>
          <w:sz w:val="24"/>
          <w:szCs w:val="24"/>
        </w:rPr>
        <w:t xml:space="preserve"> on markets. </w:t>
      </w:r>
    </w:p>
    <w:p w:rsidR="006F3F8F" w:rsidRPr="006F3F8F" w:rsidRDefault="00C1572D" w:rsidP="006F3F8F">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While we acknowledge the contribution made by</w:t>
      </w:r>
      <w:r w:rsidR="00FC3C1E">
        <w:rPr>
          <w:rFonts w:ascii="Times New Roman" w:hAnsi="Times New Roman" w:cs="Times New Roman"/>
          <w:sz w:val="24"/>
          <w:szCs w:val="24"/>
        </w:rPr>
        <w:t xml:space="preserve"> </w:t>
      </w:r>
      <w:proofErr w:type="spellStart"/>
      <w:r w:rsidR="00FC3C1E">
        <w:rPr>
          <w:rFonts w:ascii="Times New Roman" w:hAnsi="Times New Roman" w:cs="Times New Roman"/>
          <w:sz w:val="24"/>
          <w:szCs w:val="24"/>
        </w:rPr>
        <w:t>Loughran</w:t>
      </w:r>
      <w:proofErr w:type="spellEnd"/>
      <w:r w:rsidR="00FC3C1E">
        <w:rPr>
          <w:rFonts w:ascii="Times New Roman" w:hAnsi="Times New Roman" w:cs="Times New Roman"/>
          <w:sz w:val="24"/>
          <w:szCs w:val="24"/>
        </w:rPr>
        <w:t xml:space="preserve"> and McDonald (2011)</w:t>
      </w:r>
      <w:r>
        <w:rPr>
          <w:rFonts w:ascii="Times New Roman" w:hAnsi="Times New Roman" w:cs="Times New Roman"/>
          <w:sz w:val="24"/>
          <w:szCs w:val="24"/>
        </w:rPr>
        <w:t>,</w:t>
      </w:r>
      <w:r w:rsidR="00FC3C1E">
        <w:rPr>
          <w:rFonts w:ascii="Times New Roman" w:hAnsi="Times New Roman" w:cs="Times New Roman"/>
          <w:sz w:val="24"/>
          <w:szCs w:val="24"/>
        </w:rPr>
        <w:t xml:space="preserve"> </w:t>
      </w:r>
      <w:r>
        <w:rPr>
          <w:rFonts w:ascii="Times New Roman" w:hAnsi="Times New Roman" w:cs="Times New Roman"/>
          <w:sz w:val="24"/>
          <w:szCs w:val="24"/>
        </w:rPr>
        <w:t>our research expands their work by examining annual reports</w:t>
      </w:r>
      <w:r w:rsidR="00294C7A" w:rsidRPr="005D42BA">
        <w:rPr>
          <w:rFonts w:ascii="Times New Roman" w:hAnsi="Times New Roman" w:cs="Times New Roman"/>
          <w:sz w:val="24"/>
          <w:szCs w:val="24"/>
        </w:rPr>
        <w:t xml:space="preserve"> published by UK </w:t>
      </w:r>
      <w:r w:rsidR="00FC3C1E">
        <w:rPr>
          <w:rFonts w:ascii="Times New Roman" w:hAnsi="Times New Roman" w:cs="Times New Roman"/>
          <w:sz w:val="24"/>
          <w:szCs w:val="24"/>
        </w:rPr>
        <w:t xml:space="preserve">rather than US </w:t>
      </w:r>
      <w:r>
        <w:rPr>
          <w:rFonts w:ascii="Times New Roman" w:hAnsi="Times New Roman" w:cs="Times New Roman"/>
          <w:sz w:val="24"/>
          <w:szCs w:val="24"/>
        </w:rPr>
        <w:t>companies. D</w:t>
      </w:r>
      <w:r w:rsidR="00FC3C1E" w:rsidRPr="005D42BA">
        <w:rPr>
          <w:rFonts w:ascii="Times New Roman" w:hAnsi="Times New Roman" w:cs="Times New Roman"/>
          <w:sz w:val="24"/>
          <w:szCs w:val="24"/>
        </w:rPr>
        <w:t>ue to the different regulatory frameworks</w:t>
      </w:r>
      <w:r>
        <w:rPr>
          <w:rFonts w:ascii="Times New Roman" w:hAnsi="Times New Roman" w:cs="Times New Roman"/>
          <w:sz w:val="24"/>
          <w:szCs w:val="24"/>
        </w:rPr>
        <w:t>,</w:t>
      </w:r>
      <w:r w:rsidR="00FC3C1E" w:rsidRPr="005D42BA">
        <w:rPr>
          <w:rFonts w:ascii="Times New Roman" w:hAnsi="Times New Roman" w:cs="Times New Roman"/>
          <w:sz w:val="24"/>
          <w:szCs w:val="24"/>
        </w:rPr>
        <w:t xml:space="preserve"> </w:t>
      </w:r>
      <w:r>
        <w:rPr>
          <w:rFonts w:ascii="Times New Roman" w:hAnsi="Times New Roman" w:cs="Times New Roman"/>
          <w:sz w:val="24"/>
          <w:szCs w:val="24"/>
        </w:rPr>
        <w:t xml:space="preserve">one should not expect </w:t>
      </w:r>
      <w:r w:rsidR="009732D1">
        <w:rPr>
          <w:rFonts w:ascii="Times New Roman" w:hAnsi="Times New Roman" w:cs="Times New Roman"/>
          <w:sz w:val="24"/>
          <w:szCs w:val="24"/>
        </w:rPr>
        <w:t xml:space="preserve">that the results </w:t>
      </w:r>
      <w:r w:rsidR="009732D1">
        <w:rPr>
          <w:rFonts w:ascii="Times New Roman" w:hAnsi="Times New Roman" w:cs="Times New Roman"/>
          <w:sz w:val="24"/>
          <w:szCs w:val="24"/>
        </w:rPr>
        <w:lastRenderedPageBreak/>
        <w:t xml:space="preserve">reported in </w:t>
      </w:r>
      <w:proofErr w:type="spellStart"/>
      <w:r w:rsidR="009732D1">
        <w:rPr>
          <w:rFonts w:ascii="Times New Roman" w:hAnsi="Times New Roman" w:cs="Times New Roman"/>
          <w:sz w:val="24"/>
          <w:szCs w:val="24"/>
        </w:rPr>
        <w:t>Loughran</w:t>
      </w:r>
      <w:proofErr w:type="spellEnd"/>
      <w:r w:rsidR="009732D1">
        <w:rPr>
          <w:rFonts w:ascii="Times New Roman" w:hAnsi="Times New Roman" w:cs="Times New Roman"/>
          <w:sz w:val="24"/>
          <w:szCs w:val="24"/>
        </w:rPr>
        <w:t xml:space="preserve"> and McDonald (2011) will be applicable also in the UK context. </w:t>
      </w:r>
      <w:r w:rsidR="00FC3C1E" w:rsidRPr="005D42BA">
        <w:rPr>
          <w:rFonts w:ascii="Times New Roman" w:hAnsi="Times New Roman" w:cs="Times New Roman"/>
          <w:sz w:val="24"/>
          <w:szCs w:val="24"/>
        </w:rPr>
        <w:t>Notably, the accuracy and complexity of communications may be dissimilar under principles- and rules-based standards (Nelson</w:t>
      </w:r>
      <w:r w:rsidR="00BA25FA">
        <w:rPr>
          <w:rFonts w:ascii="Times New Roman" w:hAnsi="Times New Roman" w:cs="Times New Roman"/>
          <w:sz w:val="24"/>
          <w:szCs w:val="24"/>
        </w:rPr>
        <w:t>,</w:t>
      </w:r>
      <w:r w:rsidR="00FC3C1E" w:rsidRPr="005D42BA">
        <w:rPr>
          <w:rFonts w:ascii="Times New Roman" w:hAnsi="Times New Roman" w:cs="Times New Roman"/>
          <w:sz w:val="24"/>
          <w:szCs w:val="24"/>
        </w:rPr>
        <w:t xml:space="preserve"> 2003). </w:t>
      </w:r>
      <w:proofErr w:type="spellStart"/>
      <w:r w:rsidR="00FC3C1E" w:rsidRPr="005D42BA">
        <w:rPr>
          <w:rFonts w:ascii="Times New Roman" w:hAnsi="Times New Roman" w:cs="Times New Roman"/>
          <w:sz w:val="24"/>
          <w:szCs w:val="24"/>
        </w:rPr>
        <w:t>Schleicher</w:t>
      </w:r>
      <w:proofErr w:type="spellEnd"/>
      <w:r w:rsidR="00FC3C1E" w:rsidRPr="005D42BA">
        <w:rPr>
          <w:rFonts w:ascii="Times New Roman" w:hAnsi="Times New Roman" w:cs="Times New Roman"/>
          <w:sz w:val="24"/>
          <w:szCs w:val="24"/>
        </w:rPr>
        <w:t xml:space="preserve"> and Walker (2010) also note that disclosure-related litigation is significantly less common in the U</w:t>
      </w:r>
      <w:r w:rsidR="00A71773">
        <w:rPr>
          <w:rFonts w:ascii="Times New Roman" w:hAnsi="Times New Roman" w:cs="Times New Roman"/>
          <w:sz w:val="24"/>
          <w:szCs w:val="24"/>
        </w:rPr>
        <w:t xml:space="preserve">nited </w:t>
      </w:r>
      <w:r w:rsidR="00FC3C1E" w:rsidRPr="005D42BA">
        <w:rPr>
          <w:rFonts w:ascii="Times New Roman" w:hAnsi="Times New Roman" w:cs="Times New Roman"/>
          <w:sz w:val="24"/>
          <w:szCs w:val="24"/>
        </w:rPr>
        <w:t>K</w:t>
      </w:r>
      <w:r w:rsidR="00A71773">
        <w:rPr>
          <w:rFonts w:ascii="Times New Roman" w:hAnsi="Times New Roman" w:cs="Times New Roman"/>
          <w:sz w:val="24"/>
          <w:szCs w:val="24"/>
        </w:rPr>
        <w:t>ingdom</w:t>
      </w:r>
      <w:r w:rsidR="00065409">
        <w:rPr>
          <w:rFonts w:ascii="Times New Roman" w:hAnsi="Times New Roman" w:cs="Times New Roman"/>
          <w:sz w:val="24"/>
          <w:szCs w:val="24"/>
        </w:rPr>
        <w:t xml:space="preserve"> than in</w:t>
      </w:r>
      <w:r w:rsidR="00FC3C1E" w:rsidRPr="005D42BA">
        <w:rPr>
          <w:rFonts w:ascii="Times New Roman" w:hAnsi="Times New Roman" w:cs="Times New Roman"/>
          <w:sz w:val="24"/>
          <w:szCs w:val="24"/>
        </w:rPr>
        <w:t xml:space="preserve"> the U</w:t>
      </w:r>
      <w:r w:rsidR="00A71773">
        <w:rPr>
          <w:rFonts w:ascii="Times New Roman" w:hAnsi="Times New Roman" w:cs="Times New Roman"/>
          <w:sz w:val="24"/>
          <w:szCs w:val="24"/>
        </w:rPr>
        <w:t xml:space="preserve">nited </w:t>
      </w:r>
      <w:r w:rsidR="00FC3C1E" w:rsidRPr="005D42BA">
        <w:rPr>
          <w:rFonts w:ascii="Times New Roman" w:hAnsi="Times New Roman" w:cs="Times New Roman"/>
          <w:sz w:val="24"/>
          <w:szCs w:val="24"/>
        </w:rPr>
        <w:t>S</w:t>
      </w:r>
      <w:r w:rsidR="00A71773">
        <w:rPr>
          <w:rFonts w:ascii="Times New Roman" w:hAnsi="Times New Roman" w:cs="Times New Roman"/>
          <w:sz w:val="24"/>
          <w:szCs w:val="24"/>
        </w:rPr>
        <w:t>tates</w:t>
      </w:r>
      <w:r w:rsidR="00E6503D">
        <w:rPr>
          <w:rFonts w:ascii="Times New Roman" w:hAnsi="Times New Roman" w:cs="Times New Roman"/>
          <w:sz w:val="24"/>
          <w:szCs w:val="24"/>
        </w:rPr>
        <w:t>, while</w:t>
      </w:r>
      <w:r w:rsidR="004E5A73">
        <w:rPr>
          <w:rFonts w:ascii="Times New Roman" w:hAnsi="Times New Roman" w:cs="Times New Roman"/>
          <w:sz w:val="24"/>
          <w:szCs w:val="24"/>
        </w:rPr>
        <w:t xml:space="preserve"> Frost and </w:t>
      </w:r>
      <w:proofErr w:type="spellStart"/>
      <w:r w:rsidR="004E5A73">
        <w:rPr>
          <w:rFonts w:ascii="Times New Roman" w:hAnsi="Times New Roman" w:cs="Times New Roman"/>
          <w:sz w:val="24"/>
          <w:szCs w:val="24"/>
        </w:rPr>
        <w:t>Pownall</w:t>
      </w:r>
      <w:proofErr w:type="spellEnd"/>
      <w:r w:rsidR="004E5A73">
        <w:rPr>
          <w:rFonts w:ascii="Times New Roman" w:hAnsi="Times New Roman" w:cs="Times New Roman"/>
          <w:sz w:val="24"/>
          <w:szCs w:val="24"/>
        </w:rPr>
        <w:t xml:space="preserve"> (1994) </w:t>
      </w:r>
      <w:r w:rsidR="00EF6649">
        <w:rPr>
          <w:rFonts w:ascii="Times New Roman" w:hAnsi="Times New Roman" w:cs="Times New Roman"/>
          <w:sz w:val="24"/>
          <w:szCs w:val="24"/>
        </w:rPr>
        <w:t xml:space="preserve">and Davies (2009: 311) </w:t>
      </w:r>
      <w:r w:rsidR="004E5A73">
        <w:rPr>
          <w:rFonts w:ascii="Times New Roman" w:hAnsi="Times New Roman" w:cs="Times New Roman"/>
          <w:sz w:val="24"/>
          <w:szCs w:val="24"/>
        </w:rPr>
        <w:t xml:space="preserve">remark on the SEC’s greater stringency in monitoring and enforcing annual and interim reporting rules. </w:t>
      </w:r>
      <w:r w:rsidR="001F1558">
        <w:rPr>
          <w:rFonts w:ascii="Times New Roman" w:hAnsi="Times New Roman" w:cs="Times New Roman"/>
          <w:sz w:val="24"/>
          <w:szCs w:val="24"/>
        </w:rPr>
        <w:t>During the 2005-2014 period</w:t>
      </w:r>
      <w:r w:rsidR="00065409">
        <w:rPr>
          <w:rFonts w:ascii="Times New Roman" w:hAnsi="Times New Roman" w:cs="Times New Roman"/>
          <w:sz w:val="24"/>
          <w:szCs w:val="24"/>
        </w:rPr>
        <w:t>,</w:t>
      </w:r>
      <w:r w:rsidR="001F1558">
        <w:rPr>
          <w:rFonts w:ascii="Times New Roman" w:hAnsi="Times New Roman" w:cs="Times New Roman"/>
          <w:sz w:val="24"/>
          <w:szCs w:val="24"/>
        </w:rPr>
        <w:t xml:space="preserve"> there were 1,300 SEC enforcement actions related to issuer reporting and disclosure (SEC, 2015).</w:t>
      </w:r>
      <w:r w:rsidR="000B7644">
        <w:rPr>
          <w:rFonts w:ascii="Times New Roman" w:hAnsi="Times New Roman" w:cs="Times New Roman"/>
          <w:sz w:val="24"/>
          <w:szCs w:val="24"/>
        </w:rPr>
        <w:t xml:space="preserve"> </w:t>
      </w:r>
      <w:r w:rsidR="00527888">
        <w:rPr>
          <w:rFonts w:ascii="Times New Roman" w:hAnsi="Times New Roman" w:cs="Times New Roman"/>
          <w:sz w:val="24"/>
          <w:szCs w:val="24"/>
        </w:rPr>
        <w:t xml:space="preserve">In the UK, on the other hand, the </w:t>
      </w:r>
      <w:r w:rsidR="000B7644">
        <w:rPr>
          <w:rFonts w:ascii="Times New Roman" w:hAnsi="Times New Roman" w:cs="Times New Roman"/>
          <w:sz w:val="24"/>
          <w:szCs w:val="24"/>
        </w:rPr>
        <w:t xml:space="preserve">laws against </w:t>
      </w:r>
      <w:r w:rsidR="000B7644" w:rsidRPr="00686649">
        <w:rPr>
          <w:rFonts w:ascii="Times New Roman" w:hAnsi="Times New Roman" w:cs="Times New Roman"/>
          <w:sz w:val="24"/>
          <w:szCs w:val="24"/>
        </w:rPr>
        <w:t xml:space="preserve">fraudulent </w:t>
      </w:r>
      <w:r w:rsidR="000B7644">
        <w:rPr>
          <w:rFonts w:ascii="Times New Roman" w:hAnsi="Times New Roman" w:cs="Times New Roman"/>
          <w:sz w:val="24"/>
          <w:szCs w:val="24"/>
        </w:rPr>
        <w:t xml:space="preserve">misstatements </w:t>
      </w:r>
      <w:r w:rsidR="000B7644" w:rsidRPr="00686649">
        <w:rPr>
          <w:rFonts w:ascii="Times New Roman" w:hAnsi="Times New Roman" w:cs="Times New Roman"/>
          <w:sz w:val="24"/>
          <w:szCs w:val="24"/>
        </w:rPr>
        <w:t xml:space="preserve">and misleading </w:t>
      </w:r>
      <w:r w:rsidR="000B7644">
        <w:rPr>
          <w:rFonts w:ascii="Times New Roman" w:hAnsi="Times New Roman" w:cs="Times New Roman"/>
          <w:sz w:val="24"/>
          <w:szCs w:val="24"/>
        </w:rPr>
        <w:t>reporting</w:t>
      </w:r>
      <w:r w:rsidR="000B7644" w:rsidRPr="00686649">
        <w:rPr>
          <w:rFonts w:ascii="Times New Roman" w:hAnsi="Times New Roman" w:cs="Times New Roman"/>
          <w:sz w:val="24"/>
          <w:szCs w:val="24"/>
        </w:rPr>
        <w:t xml:space="preserve"> </w:t>
      </w:r>
      <w:r w:rsidR="00527888">
        <w:rPr>
          <w:rFonts w:ascii="Times New Roman" w:hAnsi="Times New Roman" w:cs="Times New Roman"/>
          <w:sz w:val="24"/>
          <w:szCs w:val="24"/>
        </w:rPr>
        <w:t>do not appear to be sufficiently</w:t>
      </w:r>
      <w:r w:rsidR="000B7644" w:rsidRPr="00686649">
        <w:rPr>
          <w:rFonts w:ascii="Times New Roman" w:hAnsi="Times New Roman" w:cs="Times New Roman"/>
          <w:sz w:val="24"/>
          <w:szCs w:val="24"/>
        </w:rPr>
        <w:t xml:space="preserve"> </w:t>
      </w:r>
      <w:r w:rsidR="00527888">
        <w:rPr>
          <w:rFonts w:ascii="Times New Roman" w:hAnsi="Times New Roman" w:cs="Times New Roman"/>
          <w:sz w:val="24"/>
          <w:szCs w:val="24"/>
        </w:rPr>
        <w:t>deterrent</w:t>
      </w:r>
      <w:r w:rsidR="000B7644" w:rsidRPr="00686649">
        <w:rPr>
          <w:rFonts w:ascii="Times New Roman" w:hAnsi="Times New Roman" w:cs="Times New Roman"/>
          <w:sz w:val="24"/>
          <w:szCs w:val="24"/>
        </w:rPr>
        <w:t xml:space="preserve"> </w:t>
      </w:r>
      <w:r w:rsidR="00527888">
        <w:rPr>
          <w:rFonts w:ascii="Times New Roman" w:hAnsi="Times New Roman" w:cs="Times New Roman"/>
          <w:sz w:val="24"/>
          <w:szCs w:val="24"/>
        </w:rPr>
        <w:t>(</w:t>
      </w:r>
      <w:proofErr w:type="spellStart"/>
      <w:r w:rsidR="00527888">
        <w:rPr>
          <w:rFonts w:ascii="Times New Roman" w:hAnsi="Times New Roman" w:cs="Times New Roman"/>
          <w:sz w:val="24"/>
          <w:szCs w:val="24"/>
        </w:rPr>
        <w:t>Ferran</w:t>
      </w:r>
      <w:proofErr w:type="spellEnd"/>
      <w:r w:rsidR="00527888">
        <w:rPr>
          <w:rFonts w:ascii="Times New Roman" w:hAnsi="Times New Roman" w:cs="Times New Roman"/>
          <w:sz w:val="24"/>
          <w:szCs w:val="24"/>
        </w:rPr>
        <w:t xml:space="preserve">, 2009: 343) and </w:t>
      </w:r>
      <w:r w:rsidR="006F3F8F">
        <w:rPr>
          <w:rFonts w:ascii="Times New Roman" w:hAnsi="Times New Roman" w:cs="Times New Roman"/>
          <w:sz w:val="24"/>
          <w:szCs w:val="24"/>
        </w:rPr>
        <w:t xml:space="preserve">the definition of fraud is narrower </w:t>
      </w:r>
      <w:r w:rsidR="00527888">
        <w:rPr>
          <w:rFonts w:ascii="Times New Roman" w:hAnsi="Times New Roman" w:cs="Times New Roman"/>
          <w:sz w:val="24"/>
          <w:szCs w:val="24"/>
        </w:rPr>
        <w:t>than in</w:t>
      </w:r>
      <w:r w:rsidR="00527888" w:rsidRPr="00686649">
        <w:rPr>
          <w:rFonts w:ascii="Times New Roman" w:hAnsi="Times New Roman" w:cs="Times New Roman"/>
          <w:sz w:val="24"/>
          <w:szCs w:val="24"/>
        </w:rPr>
        <w:t xml:space="preserve"> the US </w:t>
      </w:r>
      <w:r w:rsidR="006F3F8F" w:rsidRPr="00686649">
        <w:rPr>
          <w:rFonts w:ascii="Times New Roman" w:hAnsi="Times New Roman" w:cs="Times New Roman"/>
          <w:sz w:val="24"/>
          <w:szCs w:val="24"/>
        </w:rPr>
        <w:t>(Dav</w:t>
      </w:r>
      <w:r w:rsidR="006F3F8F">
        <w:rPr>
          <w:rFonts w:ascii="Times New Roman" w:hAnsi="Times New Roman" w:cs="Times New Roman"/>
          <w:sz w:val="24"/>
          <w:szCs w:val="24"/>
        </w:rPr>
        <w:t xml:space="preserve">ies, 2007: 44). If legal considerations </w:t>
      </w:r>
      <w:r w:rsidR="00A71773">
        <w:rPr>
          <w:rFonts w:ascii="Times New Roman" w:hAnsi="Times New Roman" w:cs="Times New Roman"/>
          <w:sz w:val="24"/>
          <w:szCs w:val="24"/>
        </w:rPr>
        <w:t>were</w:t>
      </w:r>
      <w:r w:rsidR="006F3F8F">
        <w:rPr>
          <w:rFonts w:ascii="Times New Roman" w:hAnsi="Times New Roman" w:cs="Times New Roman"/>
          <w:sz w:val="24"/>
          <w:szCs w:val="24"/>
        </w:rPr>
        <w:t xml:space="preserve"> paramount to reputational issues, one would expect </w:t>
      </w:r>
      <w:r w:rsidR="00A71773">
        <w:rPr>
          <w:rFonts w:ascii="Times New Roman" w:hAnsi="Times New Roman" w:cs="Times New Roman"/>
          <w:sz w:val="24"/>
          <w:szCs w:val="24"/>
        </w:rPr>
        <w:t xml:space="preserve">that </w:t>
      </w:r>
      <w:r w:rsidR="006F3F8F">
        <w:rPr>
          <w:rFonts w:ascii="Times New Roman" w:hAnsi="Times New Roman" w:cs="Times New Roman"/>
          <w:sz w:val="24"/>
          <w:szCs w:val="24"/>
        </w:rPr>
        <w:t xml:space="preserve">UK managers </w:t>
      </w:r>
      <w:r w:rsidR="00A71773">
        <w:rPr>
          <w:rFonts w:ascii="Times New Roman" w:hAnsi="Times New Roman" w:cs="Times New Roman"/>
          <w:sz w:val="24"/>
          <w:szCs w:val="24"/>
        </w:rPr>
        <w:t xml:space="preserve">would </w:t>
      </w:r>
      <w:r w:rsidR="006F3F8F">
        <w:rPr>
          <w:rFonts w:ascii="Times New Roman" w:hAnsi="Times New Roman" w:cs="Times New Roman"/>
          <w:sz w:val="24"/>
          <w:szCs w:val="24"/>
        </w:rPr>
        <w:t xml:space="preserve">be more inclined to manipulate the tone of </w:t>
      </w:r>
      <w:r w:rsidR="00527888">
        <w:rPr>
          <w:rFonts w:ascii="Times New Roman" w:hAnsi="Times New Roman" w:cs="Times New Roman"/>
          <w:sz w:val="24"/>
          <w:szCs w:val="24"/>
        </w:rPr>
        <w:t xml:space="preserve">annual report </w:t>
      </w:r>
      <w:r w:rsidR="006F3F8F">
        <w:rPr>
          <w:rFonts w:ascii="Times New Roman" w:hAnsi="Times New Roman" w:cs="Times New Roman"/>
          <w:sz w:val="24"/>
          <w:szCs w:val="24"/>
        </w:rPr>
        <w:t>narratives</w:t>
      </w:r>
      <w:r w:rsidR="00A71773">
        <w:rPr>
          <w:rFonts w:ascii="Times New Roman" w:hAnsi="Times New Roman" w:cs="Times New Roman"/>
          <w:sz w:val="24"/>
          <w:szCs w:val="24"/>
        </w:rPr>
        <w:t>.</w:t>
      </w:r>
      <w:r w:rsidR="006F3F8F" w:rsidRPr="006F3F8F">
        <w:rPr>
          <w:rFonts w:ascii="Times New Roman" w:hAnsi="Times New Roman" w:cs="Times New Roman"/>
          <w:sz w:val="24"/>
          <w:szCs w:val="24"/>
        </w:rPr>
        <w:t xml:space="preserve"> </w:t>
      </w:r>
    </w:p>
    <w:p w:rsidR="00C25DB6" w:rsidRPr="005D42BA" w:rsidRDefault="006261EB" w:rsidP="00C25DB6">
      <w:pPr>
        <w:spacing w:line="480" w:lineRule="auto"/>
        <w:ind w:firstLine="720"/>
        <w:jc w:val="both"/>
        <w:rPr>
          <w:rFonts w:ascii="Times New Roman" w:hAnsi="Times New Roman" w:cs="Times New Roman"/>
          <w:sz w:val="24"/>
          <w:szCs w:val="24"/>
        </w:rPr>
      </w:pPr>
      <w:r>
        <w:rPr>
          <w:rFonts w:ascii="Times New Roman" w:eastAsia="MS Mincho" w:hAnsi="Times New Roman" w:cs="Times New Roman"/>
          <w:sz w:val="24"/>
          <w:szCs w:val="24"/>
        </w:rPr>
        <w:t xml:space="preserve">It </w:t>
      </w:r>
      <w:r w:rsidR="00065409">
        <w:rPr>
          <w:rFonts w:ascii="Times New Roman" w:eastAsia="MS Mincho" w:hAnsi="Times New Roman" w:cs="Times New Roman"/>
          <w:sz w:val="24"/>
          <w:szCs w:val="24"/>
        </w:rPr>
        <w:t>must</w:t>
      </w:r>
      <w:r>
        <w:rPr>
          <w:rFonts w:ascii="Times New Roman" w:eastAsia="MS Mincho" w:hAnsi="Times New Roman" w:cs="Times New Roman"/>
          <w:sz w:val="24"/>
          <w:szCs w:val="24"/>
        </w:rPr>
        <w:t xml:space="preserve"> be acknowledged that a</w:t>
      </w:r>
      <w:r w:rsidR="00C25DB6">
        <w:rPr>
          <w:rFonts w:ascii="Times New Roman" w:eastAsia="MS Mincho" w:hAnsi="Times New Roman" w:cs="Times New Roman"/>
          <w:sz w:val="24"/>
          <w:szCs w:val="24"/>
        </w:rPr>
        <w:t xml:space="preserve"> number of previous studies employed</w:t>
      </w:r>
      <w:r w:rsidR="00C25DB6" w:rsidRPr="005D42BA">
        <w:rPr>
          <w:rFonts w:ascii="Times New Roman" w:eastAsia="MS Mincho" w:hAnsi="Times New Roman" w:cs="Times New Roman"/>
          <w:sz w:val="24"/>
          <w:szCs w:val="24"/>
        </w:rPr>
        <w:t xml:space="preserve"> content analysis based on UK data</w:t>
      </w:r>
      <w:r>
        <w:rPr>
          <w:rFonts w:ascii="Times New Roman" w:eastAsia="MS Mincho" w:hAnsi="Times New Roman" w:cs="Times New Roman"/>
          <w:sz w:val="24"/>
          <w:szCs w:val="24"/>
        </w:rPr>
        <w:t>.</w:t>
      </w:r>
      <w:r w:rsidR="00C25DB6" w:rsidRPr="005D42BA">
        <w:rPr>
          <w:rFonts w:ascii="Times New Roman" w:eastAsia="MS Mincho" w:hAnsi="Times New Roman" w:cs="Times New Roman"/>
          <w:sz w:val="24"/>
          <w:szCs w:val="24"/>
        </w:rPr>
        <w:t xml:space="preserve"> </w:t>
      </w:r>
      <w:r w:rsidR="00C25DB6" w:rsidRPr="005D42BA">
        <w:rPr>
          <w:rFonts w:ascii="Times New Roman" w:hAnsi="Times New Roman" w:cs="Times New Roman"/>
          <w:sz w:val="24"/>
          <w:szCs w:val="24"/>
        </w:rPr>
        <w:t xml:space="preserve">Smith and </w:t>
      </w:r>
      <w:proofErr w:type="spellStart"/>
      <w:r w:rsidR="00C25DB6" w:rsidRPr="005D42BA">
        <w:rPr>
          <w:rFonts w:ascii="Times New Roman" w:hAnsi="Times New Roman" w:cs="Times New Roman"/>
          <w:sz w:val="24"/>
          <w:szCs w:val="24"/>
        </w:rPr>
        <w:t>Taffler</w:t>
      </w:r>
      <w:proofErr w:type="spellEnd"/>
      <w:r w:rsidR="00C25DB6" w:rsidRPr="005D42BA">
        <w:rPr>
          <w:rFonts w:ascii="Times New Roman" w:hAnsi="Times New Roman" w:cs="Times New Roman"/>
          <w:sz w:val="24"/>
          <w:szCs w:val="24"/>
        </w:rPr>
        <w:t xml:space="preserve"> (1995) examined whether their research participants were able to discriminate between failed and non-failed companies by reading chairmen’s statements. They also conducted additional investigations inquiring into whether keywords and</w:t>
      </w:r>
      <w:r w:rsidR="00D41D77">
        <w:rPr>
          <w:rFonts w:ascii="Times New Roman" w:hAnsi="Times New Roman" w:cs="Times New Roman"/>
          <w:sz w:val="24"/>
          <w:szCs w:val="24"/>
        </w:rPr>
        <w:t xml:space="preserve"> themes contained in chairme</w:t>
      </w:r>
      <w:r w:rsidR="00C25DB6" w:rsidRPr="005D42BA">
        <w:rPr>
          <w:rFonts w:ascii="Times New Roman" w:hAnsi="Times New Roman" w:cs="Times New Roman"/>
          <w:sz w:val="24"/>
          <w:szCs w:val="24"/>
        </w:rPr>
        <w:t>n’s statement</w:t>
      </w:r>
      <w:r w:rsidR="00D41D77">
        <w:rPr>
          <w:rFonts w:ascii="Times New Roman" w:hAnsi="Times New Roman" w:cs="Times New Roman"/>
          <w:sz w:val="24"/>
          <w:szCs w:val="24"/>
        </w:rPr>
        <w:t>s</w:t>
      </w:r>
      <w:r w:rsidR="003A5F4B">
        <w:rPr>
          <w:rFonts w:ascii="Times New Roman" w:hAnsi="Times New Roman" w:cs="Times New Roman"/>
          <w:sz w:val="24"/>
          <w:szCs w:val="24"/>
        </w:rPr>
        <w:t>,</w:t>
      </w:r>
      <w:r w:rsidR="00D41D77">
        <w:rPr>
          <w:rFonts w:ascii="Times New Roman" w:hAnsi="Times New Roman" w:cs="Times New Roman"/>
          <w:sz w:val="24"/>
          <w:szCs w:val="24"/>
        </w:rPr>
        <w:t xml:space="preserve"> as well as</w:t>
      </w:r>
      <w:r w:rsidR="00C25DB6" w:rsidRPr="005D42BA">
        <w:rPr>
          <w:rFonts w:ascii="Times New Roman" w:hAnsi="Times New Roman" w:cs="Times New Roman"/>
          <w:sz w:val="24"/>
          <w:szCs w:val="24"/>
        </w:rPr>
        <w:t xml:space="preserve"> readability and understandabili</w:t>
      </w:r>
      <w:r w:rsidR="00C25DB6">
        <w:rPr>
          <w:rFonts w:ascii="Times New Roman" w:hAnsi="Times New Roman" w:cs="Times New Roman"/>
          <w:sz w:val="24"/>
          <w:szCs w:val="24"/>
        </w:rPr>
        <w:t>ty</w:t>
      </w:r>
      <w:r w:rsidR="00DF20F8">
        <w:rPr>
          <w:rFonts w:ascii="Times New Roman" w:hAnsi="Times New Roman" w:cs="Times New Roman"/>
          <w:sz w:val="24"/>
          <w:szCs w:val="24"/>
        </w:rPr>
        <w:t xml:space="preserve"> of these texts</w:t>
      </w:r>
      <w:r w:rsidR="003A5F4B">
        <w:rPr>
          <w:rFonts w:ascii="Times New Roman" w:hAnsi="Times New Roman" w:cs="Times New Roman"/>
          <w:sz w:val="24"/>
          <w:szCs w:val="24"/>
        </w:rPr>
        <w:t>,</w:t>
      </w:r>
      <w:r w:rsidR="00C25DB6">
        <w:rPr>
          <w:rFonts w:ascii="Times New Roman" w:hAnsi="Times New Roman" w:cs="Times New Roman"/>
          <w:sz w:val="24"/>
          <w:szCs w:val="24"/>
        </w:rPr>
        <w:t xml:space="preserve"> predict bankruptcy (Smith &amp;</w:t>
      </w:r>
      <w:r w:rsidR="00C25DB6" w:rsidRPr="005D42BA">
        <w:rPr>
          <w:rFonts w:ascii="Times New Roman" w:hAnsi="Times New Roman" w:cs="Times New Roman"/>
          <w:sz w:val="24"/>
          <w:szCs w:val="24"/>
        </w:rPr>
        <w:t xml:space="preserve"> </w:t>
      </w:r>
      <w:proofErr w:type="spellStart"/>
      <w:r w:rsidR="00C25DB6" w:rsidRPr="005D42BA">
        <w:rPr>
          <w:rFonts w:ascii="Times New Roman" w:hAnsi="Times New Roman" w:cs="Times New Roman"/>
          <w:sz w:val="24"/>
          <w:szCs w:val="24"/>
        </w:rPr>
        <w:t>Taffler</w:t>
      </w:r>
      <w:proofErr w:type="spellEnd"/>
      <w:r w:rsidR="00C25DB6" w:rsidRPr="005D42BA">
        <w:rPr>
          <w:rFonts w:ascii="Times New Roman" w:hAnsi="Times New Roman" w:cs="Times New Roman"/>
          <w:sz w:val="24"/>
          <w:szCs w:val="24"/>
        </w:rPr>
        <w:t xml:space="preserve"> 1992, 2000). </w:t>
      </w:r>
      <w:proofErr w:type="spellStart"/>
      <w:r w:rsidR="00C25DB6" w:rsidRPr="005D42BA">
        <w:rPr>
          <w:rFonts w:ascii="Times New Roman" w:hAnsi="Times New Roman" w:cs="Times New Roman"/>
          <w:sz w:val="24"/>
          <w:szCs w:val="24"/>
        </w:rPr>
        <w:t>Schleicher</w:t>
      </w:r>
      <w:proofErr w:type="spellEnd"/>
      <w:r w:rsidR="00C25DB6" w:rsidRPr="005D42BA">
        <w:rPr>
          <w:rFonts w:ascii="Times New Roman" w:hAnsi="Times New Roman" w:cs="Times New Roman"/>
          <w:sz w:val="24"/>
          <w:szCs w:val="24"/>
        </w:rPr>
        <w:t xml:space="preserve"> and Walker (2010) employed a manual analysis </w:t>
      </w:r>
      <w:r w:rsidR="00065409">
        <w:rPr>
          <w:rFonts w:ascii="Times New Roman" w:hAnsi="Times New Roman" w:cs="Times New Roman"/>
          <w:sz w:val="24"/>
          <w:szCs w:val="24"/>
        </w:rPr>
        <w:t xml:space="preserve">method </w:t>
      </w:r>
      <w:r w:rsidR="00C25DB6" w:rsidRPr="005D42BA">
        <w:rPr>
          <w:rFonts w:ascii="Times New Roman" w:hAnsi="Times New Roman" w:cs="Times New Roman"/>
          <w:sz w:val="24"/>
          <w:szCs w:val="24"/>
        </w:rPr>
        <w:t>to scrutinize the tone of the outlook section, which is a part of the</w:t>
      </w:r>
      <w:r w:rsidR="00065409">
        <w:rPr>
          <w:rFonts w:ascii="Times New Roman" w:hAnsi="Times New Roman" w:cs="Times New Roman"/>
          <w:sz w:val="24"/>
          <w:szCs w:val="24"/>
        </w:rPr>
        <w:t xml:space="preserve"> chairman’s statement. They found</w:t>
      </w:r>
      <w:r w:rsidR="00C25DB6" w:rsidRPr="005D42BA">
        <w:rPr>
          <w:rFonts w:ascii="Times New Roman" w:hAnsi="Times New Roman" w:cs="Times New Roman"/>
          <w:sz w:val="24"/>
          <w:szCs w:val="24"/>
        </w:rPr>
        <w:t xml:space="preserve"> that firms with impending declines in sales growth and profit margin bias the tone upwards and that the tone depends on managerial incentive variables. </w:t>
      </w:r>
      <w:proofErr w:type="spellStart"/>
      <w:r w:rsidR="00C25DB6" w:rsidRPr="005D42BA">
        <w:rPr>
          <w:rFonts w:ascii="Times New Roman" w:hAnsi="Times New Roman" w:cs="Times New Roman"/>
          <w:sz w:val="24"/>
          <w:szCs w:val="24"/>
        </w:rPr>
        <w:t>Clatworthy</w:t>
      </w:r>
      <w:proofErr w:type="spellEnd"/>
      <w:r w:rsidR="00C25DB6" w:rsidRPr="005D42BA">
        <w:rPr>
          <w:rFonts w:ascii="Times New Roman" w:hAnsi="Times New Roman" w:cs="Times New Roman"/>
          <w:sz w:val="24"/>
          <w:szCs w:val="24"/>
        </w:rPr>
        <w:t xml:space="preserve"> and Jones (2003) look at how chairmen’s narratives relate to profit before taxation and find that management tends to report in a way that best serves </w:t>
      </w:r>
      <w:r w:rsidR="00065409">
        <w:rPr>
          <w:rFonts w:ascii="Times New Roman" w:hAnsi="Times New Roman" w:cs="Times New Roman"/>
          <w:sz w:val="24"/>
          <w:szCs w:val="24"/>
        </w:rPr>
        <w:t>its</w:t>
      </w:r>
      <w:r w:rsidR="00C25DB6" w:rsidRPr="005D42BA">
        <w:rPr>
          <w:rFonts w:ascii="Times New Roman" w:hAnsi="Times New Roman" w:cs="Times New Roman"/>
          <w:sz w:val="24"/>
          <w:szCs w:val="24"/>
        </w:rPr>
        <w:t xml:space="preserve"> own interests, crediting </w:t>
      </w:r>
      <w:r w:rsidR="00065409">
        <w:rPr>
          <w:rFonts w:ascii="Times New Roman" w:hAnsi="Times New Roman" w:cs="Times New Roman"/>
          <w:sz w:val="24"/>
          <w:szCs w:val="24"/>
        </w:rPr>
        <w:t>itself</w:t>
      </w:r>
      <w:r w:rsidR="00C25DB6" w:rsidRPr="005D42BA">
        <w:rPr>
          <w:rFonts w:ascii="Times New Roman" w:hAnsi="Times New Roman" w:cs="Times New Roman"/>
          <w:sz w:val="24"/>
          <w:szCs w:val="24"/>
        </w:rPr>
        <w:t xml:space="preserve"> for good news and attributing bad news to the external environment. Finally, Brennan</w:t>
      </w:r>
      <w:r w:rsidR="00C25DB6">
        <w:rPr>
          <w:rFonts w:ascii="Times New Roman" w:hAnsi="Times New Roman" w:cs="Times New Roman"/>
          <w:sz w:val="24"/>
          <w:szCs w:val="24"/>
        </w:rPr>
        <w:t xml:space="preserve">, </w:t>
      </w:r>
      <w:proofErr w:type="spellStart"/>
      <w:r w:rsidR="00C25DB6">
        <w:rPr>
          <w:rFonts w:ascii="Times New Roman" w:hAnsi="Times New Roman" w:cs="Times New Roman"/>
          <w:sz w:val="24"/>
          <w:szCs w:val="24"/>
        </w:rPr>
        <w:lastRenderedPageBreak/>
        <w:t>Guillamon-Saorin</w:t>
      </w:r>
      <w:proofErr w:type="spellEnd"/>
      <w:r w:rsidR="00C25DB6">
        <w:rPr>
          <w:rFonts w:ascii="Times New Roman" w:hAnsi="Times New Roman" w:cs="Times New Roman"/>
          <w:sz w:val="24"/>
          <w:szCs w:val="24"/>
        </w:rPr>
        <w:t>, and</w:t>
      </w:r>
      <w:r w:rsidR="00CC2B28">
        <w:rPr>
          <w:rFonts w:ascii="Times New Roman" w:hAnsi="Times New Roman" w:cs="Times New Roman"/>
          <w:sz w:val="24"/>
          <w:szCs w:val="24"/>
        </w:rPr>
        <w:t xml:space="preserve"> Pierce (2009) focus on</w:t>
      </w:r>
      <w:r w:rsidR="00C25DB6" w:rsidRPr="005D42BA">
        <w:rPr>
          <w:rFonts w:ascii="Times New Roman" w:hAnsi="Times New Roman" w:cs="Times New Roman"/>
          <w:sz w:val="24"/>
          <w:szCs w:val="24"/>
        </w:rPr>
        <w:t xml:space="preserve"> creating a new multi-dimensional impression management measure. </w:t>
      </w:r>
    </w:p>
    <w:p w:rsidR="00FC3C1E" w:rsidRDefault="00C25DB6" w:rsidP="00C25DB6">
      <w:pPr>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While these papers make a substantial contribution to our understanding of qualitative managerial communications, they differ substantially from the current paper. Ours is a study that, unlike its UK predecessors, examines market reaction (as measured by returns) to the disclosure of narratives. In doing so, it also focuses on longer documents. This is particularly helpful, as identification of linguistic style is more reliabl</w:t>
      </w:r>
      <w:r>
        <w:rPr>
          <w:rFonts w:ascii="Times New Roman" w:hAnsi="Times New Roman" w:cs="Times New Roman"/>
          <w:sz w:val="24"/>
          <w:szCs w:val="24"/>
        </w:rPr>
        <w:t>e for lengthy texts (Grimmer &amp;</w:t>
      </w:r>
      <w:r w:rsidRPr="005D42BA">
        <w:rPr>
          <w:rFonts w:ascii="Times New Roman" w:hAnsi="Times New Roman" w:cs="Times New Roman"/>
          <w:sz w:val="24"/>
          <w:szCs w:val="24"/>
        </w:rPr>
        <w:t xml:space="preserve"> Steward, 2013: 272). Such observation has also been made in the field of authorship attribution analysis, where longer textual samples are considered to have greater discriminatory power in terms of distinguishing authorship characteri</w:t>
      </w:r>
      <w:r>
        <w:rPr>
          <w:rFonts w:ascii="Times New Roman" w:hAnsi="Times New Roman" w:cs="Times New Roman"/>
          <w:sz w:val="24"/>
          <w:szCs w:val="24"/>
        </w:rPr>
        <w:t>stics (Baillie, 1974; Ledger &amp;</w:t>
      </w:r>
      <w:r w:rsidRPr="005D42BA">
        <w:rPr>
          <w:rFonts w:ascii="Times New Roman" w:hAnsi="Times New Roman" w:cs="Times New Roman"/>
          <w:sz w:val="24"/>
          <w:szCs w:val="24"/>
        </w:rPr>
        <w:t xml:space="preserve"> Merriam, 1994). Although all these differences between our paper and prior s</w:t>
      </w:r>
      <w:r w:rsidR="00887D40">
        <w:rPr>
          <w:rFonts w:ascii="Times New Roman" w:hAnsi="Times New Roman" w:cs="Times New Roman"/>
          <w:sz w:val="24"/>
          <w:szCs w:val="24"/>
        </w:rPr>
        <w:t>tudies</w:t>
      </w:r>
      <w:r w:rsidRPr="005D42BA">
        <w:rPr>
          <w:rFonts w:ascii="Times New Roman" w:hAnsi="Times New Roman" w:cs="Times New Roman"/>
          <w:sz w:val="24"/>
          <w:szCs w:val="24"/>
        </w:rPr>
        <w:t xml:space="preserve"> are non-trivial, there is one striking similarity worth mentioning. Namely, we found that narratives disclosed by companies are indeed an important medium </w:t>
      </w:r>
      <w:r w:rsidR="00065409">
        <w:rPr>
          <w:rFonts w:ascii="Times New Roman" w:hAnsi="Times New Roman" w:cs="Times New Roman"/>
          <w:sz w:val="24"/>
          <w:szCs w:val="24"/>
        </w:rPr>
        <w:t xml:space="preserve">of communication </w:t>
      </w:r>
      <w:r w:rsidRPr="005D42BA">
        <w:rPr>
          <w:rFonts w:ascii="Times New Roman" w:hAnsi="Times New Roman" w:cs="Times New Roman"/>
          <w:sz w:val="24"/>
          <w:szCs w:val="24"/>
        </w:rPr>
        <w:t xml:space="preserve">and that they should not be </w:t>
      </w:r>
      <w:r>
        <w:rPr>
          <w:rFonts w:ascii="Times New Roman" w:hAnsi="Times New Roman" w:cs="Times New Roman"/>
          <w:sz w:val="24"/>
          <w:szCs w:val="24"/>
        </w:rPr>
        <w:t>overlooked</w:t>
      </w:r>
      <w:r w:rsidRPr="005D42BA">
        <w:rPr>
          <w:rFonts w:ascii="Times New Roman" w:hAnsi="Times New Roman" w:cs="Times New Roman"/>
          <w:sz w:val="24"/>
          <w:szCs w:val="24"/>
        </w:rPr>
        <w:t>.</w:t>
      </w:r>
    </w:p>
    <w:p w:rsidR="005435A8" w:rsidRDefault="00C25DB6" w:rsidP="005C2870">
      <w:pPr>
        <w:spacing w:line="480" w:lineRule="auto"/>
        <w:ind w:firstLine="720"/>
        <w:jc w:val="both"/>
        <w:rPr>
          <w:rFonts w:ascii="Times New Roman" w:hAnsi="Times New Roman" w:cs="Times New Roman"/>
          <w:color w:val="000000"/>
          <w:sz w:val="24"/>
          <w:szCs w:val="24"/>
        </w:rPr>
      </w:pPr>
      <w:r w:rsidRPr="005D42BA">
        <w:rPr>
          <w:rFonts w:ascii="Times New Roman" w:hAnsi="Times New Roman" w:cs="Times New Roman"/>
          <w:sz w:val="24"/>
          <w:szCs w:val="24"/>
        </w:rPr>
        <w:t xml:space="preserve">The </w:t>
      </w:r>
      <w:r w:rsidR="006261EB">
        <w:rPr>
          <w:rFonts w:ascii="Times New Roman" w:hAnsi="Times New Roman" w:cs="Times New Roman"/>
          <w:sz w:val="24"/>
          <w:szCs w:val="24"/>
        </w:rPr>
        <w:t xml:space="preserve">overarching </w:t>
      </w:r>
      <w:r w:rsidRPr="005D42BA">
        <w:rPr>
          <w:rFonts w:ascii="Times New Roman" w:hAnsi="Times New Roman" w:cs="Times New Roman"/>
          <w:sz w:val="24"/>
          <w:szCs w:val="24"/>
        </w:rPr>
        <w:t xml:space="preserve">aim of this paper is to measure the degree of positiveness woven into annual report narratives of UK companies between January 2006 and June 2013. </w:t>
      </w:r>
      <w:r w:rsidR="00454FA9" w:rsidRPr="005D42BA">
        <w:rPr>
          <w:rFonts w:ascii="Times New Roman" w:hAnsi="Times New Roman" w:cs="Times New Roman"/>
          <w:sz w:val="24"/>
          <w:szCs w:val="24"/>
        </w:rPr>
        <w:t xml:space="preserve">The ‘narrative’, to which we also refer as the ‘qualitative part of </w:t>
      </w:r>
      <w:r w:rsidR="00065409">
        <w:rPr>
          <w:rFonts w:ascii="Times New Roman" w:hAnsi="Times New Roman" w:cs="Times New Roman"/>
          <w:sz w:val="24"/>
          <w:szCs w:val="24"/>
        </w:rPr>
        <w:t xml:space="preserve">an </w:t>
      </w:r>
      <w:r w:rsidR="00454FA9" w:rsidRPr="005D42BA">
        <w:rPr>
          <w:rFonts w:ascii="Times New Roman" w:hAnsi="Times New Roman" w:cs="Times New Roman"/>
          <w:sz w:val="24"/>
          <w:szCs w:val="24"/>
        </w:rPr>
        <w:t xml:space="preserve">annual report’, is defined here as the </w:t>
      </w:r>
      <w:r w:rsidR="00B479F4">
        <w:rPr>
          <w:rFonts w:ascii="Times New Roman" w:hAnsi="Times New Roman" w:cs="Times New Roman"/>
          <w:sz w:val="24"/>
          <w:szCs w:val="24"/>
        </w:rPr>
        <w:t>c</w:t>
      </w:r>
      <w:r w:rsidR="00454FA9" w:rsidRPr="005D42BA">
        <w:rPr>
          <w:rFonts w:ascii="Times New Roman" w:hAnsi="Times New Roman" w:cs="Times New Roman"/>
          <w:sz w:val="24"/>
          <w:szCs w:val="24"/>
        </w:rPr>
        <w:t xml:space="preserve">ontent of the annual report including independent auditors’ report, but excluding financial statements and </w:t>
      </w:r>
      <w:r w:rsidR="00887D40">
        <w:rPr>
          <w:rFonts w:ascii="Times New Roman" w:hAnsi="Times New Roman" w:cs="Times New Roman"/>
          <w:sz w:val="24"/>
          <w:szCs w:val="24"/>
        </w:rPr>
        <w:t xml:space="preserve">the </w:t>
      </w:r>
      <w:r w:rsidR="00454FA9" w:rsidRPr="005D42BA">
        <w:rPr>
          <w:rFonts w:ascii="Times New Roman" w:hAnsi="Times New Roman" w:cs="Times New Roman"/>
          <w:sz w:val="24"/>
          <w:szCs w:val="24"/>
        </w:rPr>
        <w:t xml:space="preserve">notes to </w:t>
      </w:r>
      <w:r w:rsidR="00887D40">
        <w:rPr>
          <w:rFonts w:ascii="Times New Roman" w:hAnsi="Times New Roman" w:cs="Times New Roman"/>
          <w:sz w:val="24"/>
          <w:szCs w:val="24"/>
        </w:rPr>
        <w:t xml:space="preserve">the </w:t>
      </w:r>
      <w:r w:rsidR="00454FA9" w:rsidRPr="005D42BA">
        <w:rPr>
          <w:rFonts w:ascii="Times New Roman" w:hAnsi="Times New Roman" w:cs="Times New Roman"/>
          <w:sz w:val="24"/>
          <w:szCs w:val="24"/>
        </w:rPr>
        <w:t>accounts.</w:t>
      </w:r>
      <w:r w:rsidR="009732D1">
        <w:rPr>
          <w:rFonts w:ascii="Times New Roman" w:hAnsi="Times New Roman" w:cs="Times New Roman"/>
          <w:sz w:val="24"/>
          <w:szCs w:val="24"/>
        </w:rPr>
        <w:t xml:space="preserve"> </w:t>
      </w:r>
      <w:r w:rsidR="00056CB2">
        <w:rPr>
          <w:rFonts w:ascii="Times New Roman" w:hAnsi="Times New Roman" w:cs="Times New Roman"/>
          <w:sz w:val="24"/>
          <w:szCs w:val="24"/>
        </w:rPr>
        <w:t>Following the accepted convention, any numbers appearing in the narrative are not</w:t>
      </w:r>
      <w:r w:rsidR="009732D1">
        <w:rPr>
          <w:rFonts w:ascii="Times New Roman" w:hAnsi="Times New Roman" w:cs="Times New Roman"/>
          <w:sz w:val="24"/>
          <w:szCs w:val="24"/>
        </w:rPr>
        <w:t xml:space="preserve"> remove</w:t>
      </w:r>
      <w:r w:rsidR="00056CB2">
        <w:rPr>
          <w:rFonts w:ascii="Times New Roman" w:hAnsi="Times New Roman" w:cs="Times New Roman"/>
          <w:sz w:val="24"/>
          <w:szCs w:val="24"/>
        </w:rPr>
        <w:t>d</w:t>
      </w:r>
      <w:r w:rsidR="009732D1">
        <w:rPr>
          <w:rFonts w:ascii="Times New Roman" w:hAnsi="Times New Roman" w:cs="Times New Roman"/>
          <w:sz w:val="24"/>
          <w:szCs w:val="24"/>
        </w:rPr>
        <w:t xml:space="preserve"> from the </w:t>
      </w:r>
      <w:r w:rsidR="00056CB2">
        <w:rPr>
          <w:rFonts w:ascii="Times New Roman" w:hAnsi="Times New Roman" w:cs="Times New Roman"/>
          <w:sz w:val="24"/>
          <w:szCs w:val="24"/>
        </w:rPr>
        <w:t xml:space="preserve">text. </w:t>
      </w:r>
      <w:r w:rsidR="00454FA9" w:rsidRPr="005D42BA">
        <w:rPr>
          <w:rFonts w:ascii="Times New Roman" w:hAnsi="Times New Roman" w:cs="Times New Roman"/>
          <w:sz w:val="24"/>
          <w:szCs w:val="24"/>
        </w:rPr>
        <w:t xml:space="preserve">Furthermore, from a definitional perspective, in this study </w:t>
      </w:r>
      <w:r w:rsidR="00454FA9" w:rsidRPr="005D42BA">
        <w:rPr>
          <w:rFonts w:ascii="Times New Roman" w:eastAsia="MS Mincho" w:hAnsi="Times New Roman" w:cs="Times New Roman"/>
          <w:sz w:val="24"/>
          <w:szCs w:val="24"/>
        </w:rPr>
        <w:t xml:space="preserve">we use the word ‘tone’ when referring to positiveness or net positiveness of narratives. </w:t>
      </w:r>
      <w:r w:rsidR="00454FA9" w:rsidRPr="005D42BA">
        <w:rPr>
          <w:rFonts w:ascii="Times New Roman" w:hAnsi="Times New Roman" w:cs="Times New Roman"/>
          <w:sz w:val="24"/>
          <w:szCs w:val="24"/>
        </w:rPr>
        <w:t xml:space="preserve">We focus on gauging the impact of positiveness because managers may either be incentivized to send an upbeat message to investors and other users of accounts or, alternatively, they may simply be expressing their understanding of corporate performance. An ongoing debate in accounting literature revolves around the question of whether qualitative disclosure is a vehicle for incremental information content or an element of managerial attempts </w:t>
      </w:r>
      <w:r w:rsidR="00454FA9" w:rsidRPr="005D42BA">
        <w:rPr>
          <w:rFonts w:ascii="Times New Roman" w:hAnsi="Times New Roman" w:cs="Times New Roman"/>
          <w:sz w:val="24"/>
          <w:szCs w:val="24"/>
        </w:rPr>
        <w:lastRenderedPageBreak/>
        <w:t>to carry out impression management (</w:t>
      </w:r>
      <w:proofErr w:type="spellStart"/>
      <w:r w:rsidR="00454FA9" w:rsidRPr="005D42BA">
        <w:rPr>
          <w:rFonts w:ascii="Times New Roman" w:hAnsi="Times New Roman" w:cs="Times New Roman"/>
          <w:sz w:val="24"/>
          <w:szCs w:val="24"/>
        </w:rPr>
        <w:t>Merkl</w:t>
      </w:r>
      <w:proofErr w:type="spellEnd"/>
      <w:r w:rsidR="00454FA9" w:rsidRPr="005D42BA">
        <w:rPr>
          <w:rFonts w:ascii="Times New Roman" w:hAnsi="Times New Roman" w:cs="Times New Roman"/>
          <w:sz w:val="24"/>
          <w:szCs w:val="24"/>
        </w:rPr>
        <w:t>-Davies</w:t>
      </w:r>
      <w:r w:rsidR="00454FA9">
        <w:rPr>
          <w:rFonts w:ascii="Times New Roman" w:hAnsi="Times New Roman" w:cs="Times New Roman"/>
          <w:sz w:val="24"/>
          <w:szCs w:val="24"/>
        </w:rPr>
        <w:t>, Brennan, &amp;</w:t>
      </w:r>
      <w:r w:rsidR="00454FA9" w:rsidRPr="005D42BA">
        <w:rPr>
          <w:rFonts w:ascii="Times New Roman" w:hAnsi="Times New Roman" w:cs="Times New Roman"/>
          <w:sz w:val="24"/>
          <w:szCs w:val="24"/>
        </w:rPr>
        <w:t xml:space="preserve"> McLeay, 2011).</w:t>
      </w:r>
      <w:r w:rsidR="00454FA9">
        <w:rPr>
          <w:rFonts w:ascii="Times New Roman" w:hAnsi="Times New Roman" w:cs="Times New Roman"/>
          <w:sz w:val="24"/>
          <w:szCs w:val="24"/>
        </w:rPr>
        <w:t xml:space="preserve"> </w:t>
      </w:r>
      <w:r w:rsidR="00454FA9">
        <w:rPr>
          <w:rFonts w:ascii="Times New Roman" w:hAnsi="Times New Roman" w:cs="Times New Roman"/>
          <w:color w:val="000000"/>
          <w:sz w:val="24"/>
          <w:szCs w:val="24"/>
        </w:rPr>
        <w:t xml:space="preserve">We believe that our study can contribute to this debate by demonstrating that </w:t>
      </w:r>
      <w:r w:rsidR="00065409">
        <w:rPr>
          <w:rFonts w:ascii="Times New Roman" w:hAnsi="Times New Roman" w:cs="Times New Roman"/>
          <w:color w:val="000000"/>
          <w:sz w:val="24"/>
          <w:szCs w:val="24"/>
        </w:rPr>
        <w:t xml:space="preserve">the </w:t>
      </w:r>
      <w:r w:rsidR="00454FA9">
        <w:rPr>
          <w:rFonts w:ascii="Times New Roman" w:hAnsi="Times New Roman" w:cs="Times New Roman"/>
          <w:color w:val="000000"/>
          <w:sz w:val="24"/>
          <w:szCs w:val="24"/>
        </w:rPr>
        <w:t xml:space="preserve">tone of narratives indeed </w:t>
      </w:r>
      <w:r w:rsidR="00454FA9" w:rsidRPr="005D42BA">
        <w:rPr>
          <w:rFonts w:ascii="Times New Roman" w:hAnsi="Times New Roman" w:cs="Times New Roman"/>
          <w:sz w:val="24"/>
          <w:szCs w:val="24"/>
        </w:rPr>
        <w:t>convey</w:t>
      </w:r>
      <w:r w:rsidR="00454FA9">
        <w:rPr>
          <w:rFonts w:ascii="Times New Roman" w:hAnsi="Times New Roman" w:cs="Times New Roman"/>
          <w:sz w:val="24"/>
          <w:szCs w:val="24"/>
        </w:rPr>
        <w:t>s</w:t>
      </w:r>
      <w:r w:rsidR="00454FA9" w:rsidRPr="005D42BA">
        <w:rPr>
          <w:rFonts w:ascii="Times New Roman" w:hAnsi="Times New Roman" w:cs="Times New Roman"/>
          <w:sz w:val="24"/>
          <w:szCs w:val="24"/>
        </w:rPr>
        <w:t xml:space="preserve"> information, which investors find to be material in nature.</w:t>
      </w:r>
      <w:r w:rsidR="00454FA9">
        <w:rPr>
          <w:rFonts w:ascii="Times New Roman" w:hAnsi="Times New Roman" w:cs="Times New Roman"/>
          <w:color w:val="000000"/>
          <w:sz w:val="24"/>
          <w:szCs w:val="24"/>
        </w:rPr>
        <w:t xml:space="preserve"> </w:t>
      </w:r>
      <w:r w:rsidRPr="005D42BA">
        <w:rPr>
          <w:rFonts w:ascii="Times New Roman" w:hAnsi="Times New Roman" w:cs="Times New Roman"/>
          <w:sz w:val="24"/>
          <w:szCs w:val="24"/>
        </w:rPr>
        <w:t xml:space="preserve">Consequently, it is imperative that market participants familiarize themselves with these narratives as soon as they become available. </w:t>
      </w:r>
      <w:r w:rsidR="00454FA9">
        <w:rPr>
          <w:rFonts w:ascii="Times New Roman" w:hAnsi="Times New Roman" w:cs="Times New Roman"/>
          <w:sz w:val="24"/>
          <w:szCs w:val="24"/>
        </w:rPr>
        <w:t>We also want to note at this stage that</w:t>
      </w:r>
      <w:r w:rsidR="005435A8">
        <w:rPr>
          <w:rFonts w:ascii="Times New Roman" w:hAnsi="Times New Roman" w:cs="Times New Roman"/>
          <w:color w:val="000000"/>
          <w:sz w:val="24"/>
          <w:szCs w:val="24"/>
        </w:rPr>
        <w:t xml:space="preserve"> </w:t>
      </w:r>
      <w:r w:rsidR="005435A8" w:rsidRPr="00D873A8">
        <w:rPr>
          <w:rFonts w:ascii="Times New Roman" w:hAnsi="Times New Roman" w:cs="Times New Roman"/>
          <w:color w:val="000000"/>
          <w:sz w:val="24"/>
          <w:szCs w:val="24"/>
        </w:rPr>
        <w:t>measuring market reaction is important as it allows us to make inferences about investor behavio</w:t>
      </w:r>
      <w:r w:rsidR="005435A8">
        <w:rPr>
          <w:rFonts w:ascii="Times New Roman" w:hAnsi="Times New Roman" w:cs="Times New Roman"/>
          <w:color w:val="000000"/>
          <w:sz w:val="24"/>
          <w:szCs w:val="24"/>
        </w:rPr>
        <w:t>u</w:t>
      </w:r>
      <w:r w:rsidR="005435A8" w:rsidRPr="00D873A8">
        <w:rPr>
          <w:rFonts w:ascii="Times New Roman" w:hAnsi="Times New Roman" w:cs="Times New Roman"/>
          <w:color w:val="000000"/>
          <w:sz w:val="24"/>
          <w:szCs w:val="24"/>
        </w:rPr>
        <w:t>r.</w:t>
      </w:r>
    </w:p>
    <w:p w:rsidR="00916F76" w:rsidRDefault="00916F76" w:rsidP="00EE0C38">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Our findings show </w:t>
      </w:r>
      <w:r w:rsidR="00EE0C38">
        <w:rPr>
          <w:rFonts w:ascii="Times New Roman" w:hAnsi="Times New Roman" w:cs="Times New Roman"/>
          <w:sz w:val="24"/>
          <w:szCs w:val="24"/>
        </w:rPr>
        <w:t xml:space="preserve">that </w:t>
      </w:r>
      <w:r w:rsidRPr="005D42BA">
        <w:rPr>
          <w:rFonts w:ascii="Times New Roman" w:hAnsi="Times New Roman" w:cs="Times New Roman"/>
          <w:sz w:val="24"/>
          <w:szCs w:val="24"/>
        </w:rPr>
        <w:t>abnormal return</w:t>
      </w:r>
      <w:r>
        <w:rPr>
          <w:rFonts w:ascii="Times New Roman" w:hAnsi="Times New Roman" w:cs="Times New Roman"/>
          <w:sz w:val="24"/>
          <w:szCs w:val="24"/>
        </w:rPr>
        <w:t>s</w:t>
      </w:r>
      <w:r w:rsidRPr="005D42BA">
        <w:rPr>
          <w:rFonts w:ascii="Times New Roman" w:hAnsi="Times New Roman" w:cs="Times New Roman"/>
          <w:sz w:val="24"/>
          <w:szCs w:val="24"/>
        </w:rPr>
        <w:t xml:space="preserve"> in short windows surrounding </w:t>
      </w:r>
      <w:r>
        <w:rPr>
          <w:rFonts w:ascii="Times New Roman" w:hAnsi="Times New Roman" w:cs="Times New Roman"/>
          <w:sz w:val="24"/>
          <w:szCs w:val="24"/>
        </w:rPr>
        <w:t xml:space="preserve">financial </w:t>
      </w:r>
      <w:r w:rsidRPr="005D42BA">
        <w:rPr>
          <w:rFonts w:ascii="Times New Roman" w:hAnsi="Times New Roman" w:cs="Times New Roman"/>
          <w:sz w:val="24"/>
          <w:szCs w:val="24"/>
        </w:rPr>
        <w:t>report disclosure dates</w:t>
      </w:r>
      <w:r>
        <w:rPr>
          <w:rFonts w:ascii="Times New Roman" w:hAnsi="Times New Roman" w:cs="Times New Roman"/>
          <w:sz w:val="24"/>
          <w:szCs w:val="24"/>
        </w:rPr>
        <w:t xml:space="preserve"> correlate significantly with the positiveness encapsulated in</w:t>
      </w:r>
      <w:r w:rsidR="00FB2A56">
        <w:rPr>
          <w:rFonts w:ascii="Times New Roman" w:hAnsi="Times New Roman" w:cs="Times New Roman"/>
          <w:sz w:val="24"/>
          <w:szCs w:val="24"/>
        </w:rPr>
        <w:t xml:space="preserve"> </w:t>
      </w:r>
      <w:r w:rsidR="000C3178">
        <w:rPr>
          <w:rFonts w:ascii="Times New Roman" w:hAnsi="Times New Roman" w:cs="Times New Roman"/>
          <w:sz w:val="24"/>
          <w:szCs w:val="24"/>
        </w:rPr>
        <w:t>annual reports. However, deriving inferences from</w:t>
      </w:r>
      <w:r w:rsidR="00FB2A56">
        <w:rPr>
          <w:rFonts w:ascii="Times New Roman" w:hAnsi="Times New Roman" w:cs="Times New Roman"/>
          <w:sz w:val="24"/>
          <w:szCs w:val="24"/>
        </w:rPr>
        <w:t xml:space="preserve"> </w:t>
      </w:r>
      <w:r w:rsidR="00EE0C38">
        <w:rPr>
          <w:rFonts w:ascii="Times New Roman" w:hAnsi="Times New Roman" w:cs="Times New Roman"/>
          <w:sz w:val="24"/>
          <w:szCs w:val="24"/>
        </w:rPr>
        <w:t xml:space="preserve">a </w:t>
      </w:r>
      <w:r>
        <w:rPr>
          <w:rFonts w:ascii="Times New Roman" w:hAnsi="Times New Roman" w:cs="Times New Roman"/>
          <w:sz w:val="24"/>
          <w:szCs w:val="24"/>
        </w:rPr>
        <w:t xml:space="preserve">simple correlation coefficient can be misleading, due to </w:t>
      </w:r>
      <w:r w:rsidR="00EE0C38">
        <w:rPr>
          <w:rFonts w:ascii="Times New Roman" w:hAnsi="Times New Roman" w:cs="Times New Roman"/>
          <w:sz w:val="24"/>
          <w:szCs w:val="24"/>
        </w:rPr>
        <w:t>the fact that financial figures are disclosed concurrently with narratives.</w:t>
      </w:r>
      <w:r>
        <w:rPr>
          <w:rFonts w:ascii="Times New Roman" w:hAnsi="Times New Roman" w:cs="Times New Roman"/>
          <w:sz w:val="24"/>
          <w:szCs w:val="24"/>
        </w:rPr>
        <w:t xml:space="preserve"> The disentanglement of the individual influences exerted by </w:t>
      </w:r>
      <w:r w:rsidR="00EE0C38">
        <w:rPr>
          <w:rFonts w:ascii="Times New Roman" w:hAnsi="Times New Roman" w:cs="Times New Roman"/>
          <w:sz w:val="24"/>
          <w:szCs w:val="24"/>
        </w:rPr>
        <w:t xml:space="preserve">the </w:t>
      </w:r>
      <w:r>
        <w:rPr>
          <w:rFonts w:ascii="Times New Roman" w:hAnsi="Times New Roman" w:cs="Times New Roman"/>
          <w:sz w:val="24"/>
          <w:szCs w:val="24"/>
        </w:rPr>
        <w:t xml:space="preserve">narratives and </w:t>
      </w:r>
      <w:r w:rsidR="00EE0C38">
        <w:rPr>
          <w:rFonts w:ascii="Times New Roman" w:hAnsi="Times New Roman" w:cs="Times New Roman"/>
          <w:sz w:val="24"/>
          <w:szCs w:val="24"/>
        </w:rPr>
        <w:t xml:space="preserve">the </w:t>
      </w:r>
      <w:r>
        <w:rPr>
          <w:rFonts w:ascii="Times New Roman" w:hAnsi="Times New Roman" w:cs="Times New Roman"/>
          <w:sz w:val="24"/>
          <w:szCs w:val="24"/>
        </w:rPr>
        <w:t xml:space="preserve">quantitative data has been attempted here in a multivariate regression framework. </w:t>
      </w:r>
      <w:r w:rsidR="00EE0C38">
        <w:rPr>
          <w:rFonts w:ascii="Times New Roman" w:hAnsi="Times New Roman" w:cs="Times New Roman"/>
          <w:sz w:val="24"/>
          <w:szCs w:val="24"/>
        </w:rPr>
        <w:t xml:space="preserve">The results obtained from this analysis indicate that positiveness remains an important factor explaining market reaction, even after financial performance and company characteristics have been controlled for. </w:t>
      </w:r>
    </w:p>
    <w:p w:rsidR="00294C7A" w:rsidRPr="005D42BA" w:rsidRDefault="005D414A" w:rsidP="00294C7A">
      <w:pPr>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 xml:space="preserve"> </w:t>
      </w:r>
      <w:r w:rsidR="00294C7A" w:rsidRPr="005D42BA">
        <w:rPr>
          <w:rFonts w:ascii="Times New Roman" w:hAnsi="Times New Roman" w:cs="Times New Roman"/>
          <w:sz w:val="24"/>
          <w:szCs w:val="24"/>
        </w:rPr>
        <w:t>The remainder of the article is organized as follows. The next section reviews</w:t>
      </w:r>
      <w:r w:rsidR="00E1205A">
        <w:rPr>
          <w:rFonts w:ascii="Times New Roman" w:hAnsi="Times New Roman" w:cs="Times New Roman"/>
          <w:sz w:val="24"/>
          <w:szCs w:val="24"/>
        </w:rPr>
        <w:t xml:space="preserve"> the literature in the field and provides justification for our study</w:t>
      </w:r>
      <w:r w:rsidR="00294C7A" w:rsidRPr="005D42BA">
        <w:rPr>
          <w:rFonts w:ascii="Times New Roman" w:hAnsi="Times New Roman" w:cs="Times New Roman"/>
          <w:sz w:val="24"/>
          <w:szCs w:val="24"/>
        </w:rPr>
        <w:t>. This is followed by a</w:t>
      </w:r>
      <w:r w:rsidR="00380A6F" w:rsidRPr="005D42BA">
        <w:rPr>
          <w:rFonts w:ascii="Times New Roman" w:hAnsi="Times New Roman" w:cs="Times New Roman"/>
          <w:sz w:val="24"/>
          <w:szCs w:val="24"/>
        </w:rPr>
        <w:t xml:space="preserve"> section on theore</w:t>
      </w:r>
      <w:r w:rsidR="00AD74FC" w:rsidRPr="005D42BA">
        <w:rPr>
          <w:rFonts w:ascii="Times New Roman" w:hAnsi="Times New Roman" w:cs="Times New Roman"/>
          <w:sz w:val="24"/>
          <w:szCs w:val="24"/>
        </w:rPr>
        <w:t>tical considerations and a further</w:t>
      </w:r>
      <w:r w:rsidR="00380A6F" w:rsidRPr="005D42BA">
        <w:rPr>
          <w:rFonts w:ascii="Times New Roman" w:hAnsi="Times New Roman" w:cs="Times New Roman"/>
          <w:sz w:val="24"/>
          <w:szCs w:val="24"/>
        </w:rPr>
        <w:t xml:space="preserve"> one describing</w:t>
      </w:r>
      <w:r w:rsidR="00294C7A" w:rsidRPr="005D42BA">
        <w:rPr>
          <w:rFonts w:ascii="Times New Roman" w:hAnsi="Times New Roman" w:cs="Times New Roman"/>
          <w:sz w:val="24"/>
          <w:szCs w:val="24"/>
        </w:rPr>
        <w:t xml:space="preserve"> the met</w:t>
      </w:r>
      <w:r w:rsidR="004211B7">
        <w:rPr>
          <w:rFonts w:ascii="Times New Roman" w:hAnsi="Times New Roman" w:cs="Times New Roman"/>
          <w:sz w:val="24"/>
          <w:szCs w:val="24"/>
        </w:rPr>
        <w:t>hodological framework. Section 5</w:t>
      </w:r>
      <w:r w:rsidR="00294C7A" w:rsidRPr="005D42BA">
        <w:rPr>
          <w:rFonts w:ascii="Times New Roman" w:hAnsi="Times New Roman" w:cs="Times New Roman"/>
          <w:sz w:val="24"/>
          <w:szCs w:val="24"/>
        </w:rPr>
        <w:t xml:space="preserve"> elaborates on our data sources and the characteristics of the sample, while Sectio</w:t>
      </w:r>
      <w:r w:rsidR="004211B7">
        <w:rPr>
          <w:rFonts w:ascii="Times New Roman" w:hAnsi="Times New Roman" w:cs="Times New Roman"/>
          <w:sz w:val="24"/>
          <w:szCs w:val="24"/>
        </w:rPr>
        <w:t>n 6</w:t>
      </w:r>
      <w:r w:rsidR="00294C7A" w:rsidRPr="005D42BA">
        <w:rPr>
          <w:rFonts w:ascii="Times New Roman" w:hAnsi="Times New Roman" w:cs="Times New Roman"/>
          <w:sz w:val="24"/>
          <w:szCs w:val="24"/>
        </w:rPr>
        <w:t xml:space="preserve"> presents the results of ou</w:t>
      </w:r>
      <w:r w:rsidR="004211B7">
        <w:rPr>
          <w:rFonts w:ascii="Times New Roman" w:hAnsi="Times New Roman" w:cs="Times New Roman"/>
          <w:sz w:val="24"/>
          <w:szCs w:val="24"/>
        </w:rPr>
        <w:t>r empirical analysis. Section 7</w:t>
      </w:r>
      <w:r w:rsidR="00294C7A" w:rsidRPr="005D42BA">
        <w:rPr>
          <w:rFonts w:ascii="Times New Roman" w:hAnsi="Times New Roman" w:cs="Times New Roman"/>
          <w:sz w:val="24"/>
          <w:szCs w:val="24"/>
        </w:rPr>
        <w:t xml:space="preserve"> offers additional considerations and the paper ends with some conclusions and a list of implications. </w:t>
      </w:r>
    </w:p>
    <w:p w:rsidR="00294C7A" w:rsidRPr="005D42BA" w:rsidRDefault="00294C7A" w:rsidP="00294C7A">
      <w:pPr>
        <w:spacing w:line="480" w:lineRule="auto"/>
        <w:ind w:firstLine="720"/>
        <w:jc w:val="both"/>
        <w:rPr>
          <w:rFonts w:ascii="Times New Roman" w:hAnsi="Times New Roman" w:cs="Times New Roman"/>
          <w:sz w:val="24"/>
          <w:szCs w:val="24"/>
        </w:rPr>
      </w:pPr>
    </w:p>
    <w:p w:rsidR="00294C7A" w:rsidRPr="005D42BA" w:rsidRDefault="00294C7A" w:rsidP="004211B7">
      <w:pPr>
        <w:pStyle w:val="Akapitzlist"/>
        <w:numPr>
          <w:ilvl w:val="0"/>
          <w:numId w:val="13"/>
        </w:numPr>
        <w:spacing w:line="480" w:lineRule="auto"/>
        <w:jc w:val="both"/>
        <w:rPr>
          <w:rFonts w:ascii="Times New Roman" w:hAnsi="Times New Roman" w:cs="Times New Roman"/>
          <w:b/>
          <w:sz w:val="24"/>
          <w:szCs w:val="24"/>
        </w:rPr>
      </w:pPr>
      <w:r w:rsidRPr="005D42BA">
        <w:rPr>
          <w:rFonts w:ascii="Times New Roman" w:hAnsi="Times New Roman" w:cs="Times New Roman"/>
          <w:b/>
          <w:sz w:val="24"/>
          <w:szCs w:val="24"/>
        </w:rPr>
        <w:t>Research Context</w:t>
      </w:r>
    </w:p>
    <w:p w:rsidR="00F63279" w:rsidRDefault="00294C7A" w:rsidP="006D3990">
      <w:pPr>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 xml:space="preserve">Our investigation </w:t>
      </w:r>
      <w:r w:rsidR="00A1540D">
        <w:rPr>
          <w:rFonts w:ascii="Times New Roman" w:hAnsi="Times New Roman" w:cs="Times New Roman"/>
          <w:sz w:val="24"/>
          <w:szCs w:val="24"/>
        </w:rPr>
        <w:t>employs content analysis in the context of</w:t>
      </w:r>
      <w:r w:rsidR="009C665D">
        <w:rPr>
          <w:rFonts w:ascii="Times New Roman" w:hAnsi="Times New Roman" w:cs="Times New Roman"/>
          <w:sz w:val="24"/>
          <w:szCs w:val="24"/>
        </w:rPr>
        <w:t xml:space="preserve"> corporate annual report narratives</w:t>
      </w:r>
      <w:r w:rsidRPr="005D42BA">
        <w:rPr>
          <w:rFonts w:ascii="Times New Roman" w:hAnsi="Times New Roman" w:cs="Times New Roman"/>
          <w:sz w:val="24"/>
          <w:szCs w:val="24"/>
        </w:rPr>
        <w:t xml:space="preserve">. One way to approach this task </w:t>
      </w:r>
      <w:r w:rsidR="006D3990">
        <w:rPr>
          <w:rFonts w:ascii="Times New Roman" w:hAnsi="Times New Roman" w:cs="Times New Roman"/>
          <w:sz w:val="24"/>
          <w:szCs w:val="24"/>
        </w:rPr>
        <w:t>is</w:t>
      </w:r>
      <w:r w:rsidRPr="005D42BA">
        <w:rPr>
          <w:rFonts w:ascii="Times New Roman" w:hAnsi="Times New Roman" w:cs="Times New Roman"/>
          <w:sz w:val="24"/>
          <w:szCs w:val="24"/>
        </w:rPr>
        <w:t xml:space="preserve"> to </w:t>
      </w:r>
      <w:r w:rsidR="006D3990">
        <w:rPr>
          <w:rFonts w:ascii="Times New Roman" w:hAnsi="Times New Roman" w:cs="Times New Roman"/>
          <w:sz w:val="24"/>
          <w:szCs w:val="24"/>
        </w:rPr>
        <w:t xml:space="preserve">rely on </w:t>
      </w:r>
      <w:r w:rsidRPr="005D42BA">
        <w:rPr>
          <w:rFonts w:ascii="Times New Roman" w:hAnsi="Times New Roman" w:cs="Times New Roman"/>
          <w:sz w:val="24"/>
          <w:szCs w:val="24"/>
        </w:rPr>
        <w:t>human judgment to evaluate</w:t>
      </w:r>
      <w:r w:rsidR="009C665D">
        <w:rPr>
          <w:rFonts w:ascii="Times New Roman" w:hAnsi="Times New Roman" w:cs="Times New Roman"/>
          <w:sz w:val="24"/>
          <w:szCs w:val="24"/>
        </w:rPr>
        <w:t xml:space="preserve"> these texts.</w:t>
      </w:r>
      <w:r w:rsidRPr="005D42BA">
        <w:rPr>
          <w:rFonts w:ascii="Times New Roman" w:hAnsi="Times New Roman" w:cs="Times New Roman"/>
          <w:sz w:val="24"/>
          <w:szCs w:val="24"/>
        </w:rPr>
        <w:t xml:space="preserve"> </w:t>
      </w:r>
      <w:r w:rsidR="009C665D">
        <w:rPr>
          <w:rFonts w:ascii="Times New Roman" w:hAnsi="Times New Roman" w:cs="Times New Roman"/>
          <w:sz w:val="24"/>
          <w:szCs w:val="24"/>
        </w:rPr>
        <w:lastRenderedPageBreak/>
        <w:t>H</w:t>
      </w:r>
      <w:r w:rsidRPr="005D42BA">
        <w:rPr>
          <w:rFonts w:ascii="Times New Roman" w:hAnsi="Times New Roman" w:cs="Times New Roman"/>
          <w:sz w:val="24"/>
          <w:szCs w:val="24"/>
        </w:rPr>
        <w:t>owever exploring this avenue would be extremely time-consuming given that our sample comprises 1,410 lengthy documents. There are a number of researchers who took this route, including Bhattacharya</w:t>
      </w:r>
      <w:r w:rsidR="003B5660">
        <w:rPr>
          <w:rFonts w:ascii="Times New Roman" w:hAnsi="Times New Roman" w:cs="Times New Roman"/>
          <w:sz w:val="24"/>
          <w:szCs w:val="24"/>
        </w:rPr>
        <w:t xml:space="preserve">, </w:t>
      </w:r>
      <w:proofErr w:type="spellStart"/>
      <w:r w:rsidR="003B5660" w:rsidRPr="005D42BA">
        <w:rPr>
          <w:rFonts w:ascii="Times New Roman" w:hAnsi="Times New Roman" w:cs="Times New Roman"/>
          <w:sz w:val="24"/>
          <w:szCs w:val="24"/>
        </w:rPr>
        <w:t>Galpin</w:t>
      </w:r>
      <w:proofErr w:type="spellEnd"/>
      <w:r w:rsidR="003B5660" w:rsidRPr="005D42BA">
        <w:rPr>
          <w:rFonts w:ascii="Times New Roman" w:hAnsi="Times New Roman" w:cs="Times New Roman"/>
          <w:sz w:val="24"/>
          <w:szCs w:val="24"/>
        </w:rPr>
        <w:t xml:space="preserve">, Ray, </w:t>
      </w:r>
      <w:r w:rsidR="003B5660">
        <w:rPr>
          <w:rFonts w:ascii="Times New Roman" w:hAnsi="Times New Roman" w:cs="Times New Roman"/>
          <w:sz w:val="24"/>
          <w:szCs w:val="24"/>
        </w:rPr>
        <w:t>and</w:t>
      </w:r>
      <w:r w:rsidR="003B5660" w:rsidRPr="005D42BA">
        <w:rPr>
          <w:rFonts w:ascii="Times New Roman" w:hAnsi="Times New Roman" w:cs="Times New Roman"/>
          <w:sz w:val="24"/>
          <w:szCs w:val="24"/>
        </w:rPr>
        <w:t xml:space="preserve"> Yu</w:t>
      </w:r>
      <w:r w:rsidRPr="005D42BA">
        <w:rPr>
          <w:rFonts w:ascii="Times New Roman" w:hAnsi="Times New Roman" w:cs="Times New Roman"/>
          <w:sz w:val="24"/>
          <w:szCs w:val="24"/>
        </w:rPr>
        <w:t xml:space="preserve"> (2009) who read and evaluated over 171 thousand news items about Internet IPOs, and Smith and </w:t>
      </w:r>
      <w:proofErr w:type="spellStart"/>
      <w:r w:rsidRPr="005D42BA">
        <w:rPr>
          <w:rFonts w:ascii="Times New Roman" w:hAnsi="Times New Roman" w:cs="Times New Roman"/>
          <w:sz w:val="24"/>
          <w:szCs w:val="24"/>
        </w:rPr>
        <w:t>Taffler</w:t>
      </w:r>
      <w:proofErr w:type="spellEnd"/>
      <w:r w:rsidRPr="005D42BA">
        <w:rPr>
          <w:rFonts w:ascii="Times New Roman" w:hAnsi="Times New Roman" w:cs="Times New Roman"/>
          <w:sz w:val="24"/>
          <w:szCs w:val="24"/>
        </w:rPr>
        <w:t xml:space="preserve"> (1995) who engaged 146 students to process chairmen’s statements. A second method is to employ statistical evaluation of textual data – an approach that was introduced in the accounting context by Frazier, Ingram</w:t>
      </w:r>
      <w:r w:rsidR="003D14DF">
        <w:rPr>
          <w:rFonts w:ascii="Times New Roman" w:hAnsi="Times New Roman" w:cs="Times New Roman"/>
          <w:sz w:val="24"/>
          <w:szCs w:val="24"/>
        </w:rPr>
        <w:t>,</w:t>
      </w:r>
      <w:r w:rsidRPr="005D42BA">
        <w:rPr>
          <w:rFonts w:ascii="Times New Roman" w:hAnsi="Times New Roman" w:cs="Times New Roman"/>
          <w:sz w:val="24"/>
          <w:szCs w:val="24"/>
        </w:rPr>
        <w:t xml:space="preserve"> and Tennyson (1984) who used a software prototype called </w:t>
      </w:r>
      <w:r w:rsidRPr="005D42BA">
        <w:rPr>
          <w:rFonts w:ascii="Times New Roman" w:hAnsi="Times New Roman" w:cs="Times New Roman"/>
          <w:i/>
          <w:sz w:val="24"/>
          <w:szCs w:val="24"/>
        </w:rPr>
        <w:t>Words</w:t>
      </w:r>
      <w:r w:rsidRPr="005D42BA">
        <w:rPr>
          <w:rFonts w:ascii="Times New Roman" w:hAnsi="Times New Roman" w:cs="Times New Roman"/>
          <w:sz w:val="24"/>
          <w:szCs w:val="24"/>
        </w:rPr>
        <w:t xml:space="preserve">. </w:t>
      </w:r>
      <w:r w:rsidR="00B26235">
        <w:rPr>
          <w:rFonts w:ascii="Times New Roman" w:hAnsi="Times New Roman" w:cs="Times New Roman"/>
          <w:sz w:val="24"/>
          <w:szCs w:val="24"/>
        </w:rPr>
        <w:t>Since then</w:t>
      </w:r>
      <w:r w:rsidR="00056CB2">
        <w:rPr>
          <w:rFonts w:ascii="Times New Roman" w:hAnsi="Times New Roman" w:cs="Times New Roman"/>
          <w:sz w:val="24"/>
          <w:szCs w:val="24"/>
        </w:rPr>
        <w:t>,</w:t>
      </w:r>
      <w:r w:rsidR="00B26235">
        <w:rPr>
          <w:rFonts w:ascii="Times New Roman" w:hAnsi="Times New Roman" w:cs="Times New Roman"/>
          <w:sz w:val="24"/>
          <w:szCs w:val="24"/>
        </w:rPr>
        <w:t xml:space="preserve"> t</w:t>
      </w:r>
      <w:r w:rsidRPr="005D42BA">
        <w:rPr>
          <w:rFonts w:ascii="Times New Roman" w:hAnsi="Times New Roman" w:cs="Times New Roman"/>
          <w:sz w:val="24"/>
          <w:szCs w:val="24"/>
        </w:rPr>
        <w:t>here has been considerable progress in the software applications available and i</w:t>
      </w:r>
      <w:r w:rsidR="00B26235">
        <w:rPr>
          <w:rFonts w:ascii="Times New Roman" w:hAnsi="Times New Roman" w:cs="Times New Roman"/>
          <w:sz w:val="24"/>
          <w:szCs w:val="24"/>
        </w:rPr>
        <w:t>n quantitative linguistics</w:t>
      </w:r>
      <w:r w:rsidRPr="005D42BA">
        <w:rPr>
          <w:rFonts w:ascii="Times New Roman" w:hAnsi="Times New Roman" w:cs="Times New Roman"/>
          <w:sz w:val="24"/>
          <w:szCs w:val="24"/>
        </w:rPr>
        <w:t xml:space="preserve">, however most of the algorithms rely on computing </w:t>
      </w:r>
      <w:r w:rsidR="00065409">
        <w:rPr>
          <w:rFonts w:ascii="Times New Roman" w:hAnsi="Times New Roman" w:cs="Times New Roman"/>
          <w:sz w:val="24"/>
          <w:szCs w:val="24"/>
        </w:rPr>
        <w:t xml:space="preserve">the </w:t>
      </w:r>
      <w:r w:rsidRPr="005D42BA">
        <w:rPr>
          <w:rFonts w:ascii="Times New Roman" w:hAnsi="Times New Roman" w:cs="Times New Roman"/>
          <w:sz w:val="24"/>
          <w:szCs w:val="24"/>
        </w:rPr>
        <w:t>frequencies of word</w:t>
      </w:r>
      <w:r w:rsidR="00441C26">
        <w:rPr>
          <w:rFonts w:ascii="Times New Roman" w:hAnsi="Times New Roman" w:cs="Times New Roman"/>
          <w:sz w:val="24"/>
          <w:szCs w:val="24"/>
        </w:rPr>
        <w:t>s falling into a given</w:t>
      </w:r>
      <w:r w:rsidRPr="005D42BA">
        <w:rPr>
          <w:rFonts w:ascii="Times New Roman" w:hAnsi="Times New Roman" w:cs="Times New Roman"/>
          <w:sz w:val="24"/>
          <w:szCs w:val="24"/>
        </w:rPr>
        <w:t xml:space="preserve"> category. </w:t>
      </w:r>
    </w:p>
    <w:p w:rsidR="00444902" w:rsidRDefault="00294C7A" w:rsidP="00294C7A">
      <w:pPr>
        <w:spacing w:line="480" w:lineRule="auto"/>
        <w:ind w:firstLine="720"/>
        <w:jc w:val="both"/>
        <w:rPr>
          <w:rFonts w:ascii="Times New Roman" w:eastAsia="MS Mincho" w:hAnsi="Times New Roman" w:cs="Times New Roman"/>
          <w:sz w:val="24"/>
          <w:szCs w:val="24"/>
        </w:rPr>
      </w:pPr>
      <w:r w:rsidRPr="005D42BA">
        <w:rPr>
          <w:rFonts w:ascii="Times New Roman" w:hAnsi="Times New Roman" w:cs="Times New Roman"/>
          <w:sz w:val="24"/>
          <w:szCs w:val="24"/>
        </w:rPr>
        <w:t xml:space="preserve">In our research we rely on the thesaurus of positive words developed by </w:t>
      </w:r>
      <w:r w:rsidR="00B46689">
        <w:rPr>
          <w:rFonts w:ascii="Times New Roman" w:eastAsia="MS Mincho" w:hAnsi="Times New Roman" w:cs="Times New Roman"/>
          <w:sz w:val="24"/>
          <w:szCs w:val="24"/>
        </w:rPr>
        <w:t>Henry (2008: 387) that was</w:t>
      </w:r>
      <w:r w:rsidRPr="005D42BA">
        <w:rPr>
          <w:rFonts w:ascii="Times New Roman" w:eastAsia="MS Mincho" w:hAnsi="Times New Roman" w:cs="Times New Roman"/>
          <w:sz w:val="24"/>
          <w:szCs w:val="24"/>
        </w:rPr>
        <w:t xml:space="preserve"> created specifically for accounting and finance applications. </w:t>
      </w:r>
      <w:r w:rsidR="00444902">
        <w:rPr>
          <w:rFonts w:ascii="Times New Roman" w:eastAsia="MS Mincho" w:hAnsi="Times New Roman" w:cs="Times New Roman"/>
          <w:sz w:val="24"/>
          <w:szCs w:val="24"/>
        </w:rPr>
        <w:t xml:space="preserve">Henry’s wordlist has already gained some popularity among researchers. For instance, it has been used to measure the tone of </w:t>
      </w:r>
      <w:r w:rsidR="00DD1449">
        <w:rPr>
          <w:rFonts w:ascii="Times New Roman" w:eastAsia="MS Mincho" w:hAnsi="Times New Roman" w:cs="Times New Roman"/>
          <w:sz w:val="24"/>
          <w:szCs w:val="24"/>
        </w:rPr>
        <w:t>R&amp;D disclosures (</w:t>
      </w:r>
      <w:proofErr w:type="spellStart"/>
      <w:r w:rsidR="00DD1449">
        <w:rPr>
          <w:rFonts w:ascii="Times New Roman" w:eastAsia="MS Mincho" w:hAnsi="Times New Roman" w:cs="Times New Roman"/>
          <w:sz w:val="24"/>
          <w:szCs w:val="24"/>
        </w:rPr>
        <w:t>Merkley</w:t>
      </w:r>
      <w:proofErr w:type="spellEnd"/>
      <w:r w:rsidR="00DD1449">
        <w:rPr>
          <w:rFonts w:ascii="Times New Roman" w:eastAsia="MS Mincho" w:hAnsi="Times New Roman" w:cs="Times New Roman"/>
          <w:sz w:val="24"/>
          <w:szCs w:val="24"/>
        </w:rPr>
        <w:t xml:space="preserve">, 2014), </w:t>
      </w:r>
      <w:r w:rsidR="00F63279">
        <w:rPr>
          <w:rFonts w:ascii="Times New Roman" w:eastAsia="MS Mincho" w:hAnsi="Times New Roman" w:cs="Times New Roman"/>
          <w:sz w:val="24"/>
          <w:szCs w:val="24"/>
        </w:rPr>
        <w:t xml:space="preserve">transcripts of </w:t>
      </w:r>
      <w:r w:rsidR="00444902">
        <w:rPr>
          <w:rFonts w:ascii="Times New Roman" w:eastAsia="MS Mincho" w:hAnsi="Times New Roman" w:cs="Times New Roman"/>
          <w:sz w:val="24"/>
          <w:szCs w:val="24"/>
        </w:rPr>
        <w:t>earnings conference calls</w:t>
      </w:r>
      <w:r w:rsidR="00F63279">
        <w:rPr>
          <w:rFonts w:ascii="Times New Roman" w:eastAsia="MS Mincho" w:hAnsi="Times New Roman" w:cs="Times New Roman"/>
          <w:sz w:val="24"/>
          <w:szCs w:val="24"/>
        </w:rPr>
        <w:t xml:space="preserve"> </w:t>
      </w:r>
      <w:r w:rsidR="00444902">
        <w:rPr>
          <w:rFonts w:ascii="Times New Roman" w:eastAsia="MS Mincho" w:hAnsi="Times New Roman" w:cs="Times New Roman"/>
          <w:sz w:val="24"/>
          <w:szCs w:val="24"/>
        </w:rPr>
        <w:t>(</w:t>
      </w:r>
      <w:r w:rsidR="00F50344">
        <w:rPr>
          <w:rFonts w:ascii="Times New Roman" w:eastAsia="MS Mincho" w:hAnsi="Times New Roman" w:cs="Times New Roman"/>
          <w:sz w:val="24"/>
          <w:szCs w:val="24"/>
        </w:rPr>
        <w:t xml:space="preserve">Doran, Peterson &amp; Price, 2012; </w:t>
      </w:r>
      <w:r w:rsidR="00F50344" w:rsidRPr="005D42BA">
        <w:rPr>
          <w:rFonts w:ascii="Times New Roman" w:hAnsi="Times New Roman" w:cs="Times New Roman"/>
          <w:sz w:val="24"/>
          <w:szCs w:val="24"/>
        </w:rPr>
        <w:t>Price</w:t>
      </w:r>
      <w:r w:rsidR="00F50344">
        <w:rPr>
          <w:rFonts w:ascii="Times New Roman" w:hAnsi="Times New Roman" w:cs="Times New Roman"/>
          <w:sz w:val="24"/>
          <w:szCs w:val="24"/>
        </w:rPr>
        <w:t xml:space="preserve"> </w:t>
      </w:r>
      <w:r w:rsidR="00F50344">
        <w:rPr>
          <w:rFonts w:ascii="Times New Roman" w:hAnsi="Times New Roman" w:cs="Times New Roman"/>
          <w:i/>
          <w:sz w:val="24"/>
          <w:szCs w:val="24"/>
        </w:rPr>
        <w:t>et al.</w:t>
      </w:r>
      <w:r w:rsidR="00F50344" w:rsidRPr="005D42BA">
        <w:rPr>
          <w:rFonts w:ascii="Times New Roman" w:hAnsi="Times New Roman" w:cs="Times New Roman"/>
          <w:sz w:val="24"/>
          <w:szCs w:val="24"/>
        </w:rPr>
        <w:t>, 2012</w:t>
      </w:r>
      <w:r w:rsidR="0071214F">
        <w:rPr>
          <w:rFonts w:ascii="Times New Roman" w:hAnsi="Times New Roman" w:cs="Times New Roman"/>
          <w:sz w:val="24"/>
          <w:szCs w:val="24"/>
        </w:rPr>
        <w:t xml:space="preserve">; Davis, </w:t>
      </w:r>
      <w:proofErr w:type="spellStart"/>
      <w:r w:rsidR="0071214F">
        <w:rPr>
          <w:rFonts w:ascii="Times New Roman" w:hAnsi="Times New Roman" w:cs="Times New Roman"/>
          <w:sz w:val="24"/>
          <w:szCs w:val="24"/>
        </w:rPr>
        <w:t>Ge</w:t>
      </w:r>
      <w:proofErr w:type="spellEnd"/>
      <w:r w:rsidR="0071214F">
        <w:rPr>
          <w:rFonts w:ascii="Times New Roman" w:hAnsi="Times New Roman" w:cs="Times New Roman"/>
          <w:sz w:val="24"/>
          <w:szCs w:val="24"/>
        </w:rPr>
        <w:t>, Matsumoto &amp; Zha</w:t>
      </w:r>
      <w:r w:rsidR="00F50344">
        <w:rPr>
          <w:rFonts w:ascii="Times New Roman" w:hAnsi="Times New Roman" w:cs="Times New Roman"/>
          <w:sz w:val="24"/>
          <w:szCs w:val="24"/>
        </w:rPr>
        <w:t>ng, 2015</w:t>
      </w:r>
      <w:r w:rsidR="00444902">
        <w:rPr>
          <w:rFonts w:ascii="Times New Roman" w:eastAsia="MS Mincho" w:hAnsi="Times New Roman" w:cs="Times New Roman"/>
          <w:sz w:val="24"/>
          <w:szCs w:val="24"/>
        </w:rPr>
        <w:t xml:space="preserve">), </w:t>
      </w:r>
      <w:r w:rsidR="00DD1449">
        <w:rPr>
          <w:rFonts w:ascii="Times New Roman" w:eastAsia="MS Mincho" w:hAnsi="Times New Roman" w:cs="Times New Roman"/>
          <w:sz w:val="24"/>
          <w:szCs w:val="24"/>
        </w:rPr>
        <w:t>discretionary disclosure</w:t>
      </w:r>
      <w:r w:rsidR="00F63279">
        <w:rPr>
          <w:rFonts w:ascii="Times New Roman" w:eastAsia="MS Mincho" w:hAnsi="Times New Roman" w:cs="Times New Roman"/>
          <w:sz w:val="24"/>
          <w:szCs w:val="24"/>
        </w:rPr>
        <w:t>s</w:t>
      </w:r>
      <w:r w:rsidR="00444902">
        <w:rPr>
          <w:rFonts w:ascii="Times New Roman" w:eastAsia="MS Mincho" w:hAnsi="Times New Roman" w:cs="Times New Roman"/>
          <w:sz w:val="24"/>
          <w:szCs w:val="24"/>
        </w:rPr>
        <w:t xml:space="preserve"> </w:t>
      </w:r>
      <w:r w:rsidR="00F63279">
        <w:rPr>
          <w:rFonts w:ascii="Times New Roman" w:eastAsia="MS Mincho" w:hAnsi="Times New Roman" w:cs="Times New Roman"/>
          <w:sz w:val="24"/>
          <w:szCs w:val="24"/>
        </w:rPr>
        <w:t xml:space="preserve">prior to restatements </w:t>
      </w:r>
      <w:r w:rsidR="00B005AF">
        <w:rPr>
          <w:rFonts w:ascii="Times New Roman" w:eastAsia="MS Mincho" w:hAnsi="Times New Roman" w:cs="Times New Roman"/>
          <w:sz w:val="24"/>
          <w:szCs w:val="24"/>
        </w:rPr>
        <w:t xml:space="preserve">(Gordon, Henry, </w:t>
      </w:r>
      <w:proofErr w:type="spellStart"/>
      <w:r w:rsidR="00B005AF">
        <w:rPr>
          <w:rFonts w:ascii="Times New Roman" w:eastAsia="MS Mincho" w:hAnsi="Times New Roman" w:cs="Times New Roman"/>
          <w:sz w:val="24"/>
          <w:szCs w:val="24"/>
        </w:rPr>
        <w:t>Peytcheva</w:t>
      </w:r>
      <w:proofErr w:type="spellEnd"/>
      <w:r w:rsidR="00B005AF">
        <w:rPr>
          <w:rFonts w:ascii="Times New Roman" w:eastAsia="MS Mincho" w:hAnsi="Times New Roman" w:cs="Times New Roman"/>
          <w:sz w:val="24"/>
          <w:szCs w:val="24"/>
        </w:rPr>
        <w:t xml:space="preserve"> &amp; Sun, 2013) </w:t>
      </w:r>
      <w:r w:rsidR="00444902">
        <w:rPr>
          <w:rFonts w:ascii="Times New Roman" w:eastAsia="MS Mincho" w:hAnsi="Times New Roman" w:cs="Times New Roman"/>
          <w:sz w:val="24"/>
          <w:szCs w:val="24"/>
        </w:rPr>
        <w:t xml:space="preserve">and investment proposals </w:t>
      </w:r>
      <w:r w:rsidR="00F50344">
        <w:rPr>
          <w:rFonts w:ascii="Times New Roman" w:eastAsia="MS Mincho" w:hAnsi="Times New Roman" w:cs="Times New Roman"/>
          <w:sz w:val="24"/>
          <w:szCs w:val="24"/>
        </w:rPr>
        <w:t>submitted to business angles (</w:t>
      </w:r>
      <w:proofErr w:type="spellStart"/>
      <w:r w:rsidR="00F50344">
        <w:rPr>
          <w:rFonts w:ascii="Times New Roman" w:eastAsia="MS Mincho" w:hAnsi="Times New Roman" w:cs="Times New Roman"/>
          <w:sz w:val="24"/>
          <w:szCs w:val="24"/>
        </w:rPr>
        <w:t>Parhankangas</w:t>
      </w:r>
      <w:proofErr w:type="spellEnd"/>
      <w:r w:rsidR="00F50344">
        <w:rPr>
          <w:rFonts w:ascii="Times New Roman" w:eastAsia="MS Mincho" w:hAnsi="Times New Roman" w:cs="Times New Roman"/>
          <w:sz w:val="24"/>
          <w:szCs w:val="24"/>
        </w:rPr>
        <w:t xml:space="preserve"> &amp; Ehrlich, 2014). </w:t>
      </w:r>
      <w:r w:rsidR="00DD1449">
        <w:rPr>
          <w:rFonts w:ascii="Times New Roman" w:eastAsia="MS Mincho" w:hAnsi="Times New Roman" w:cs="Times New Roman"/>
          <w:sz w:val="24"/>
          <w:szCs w:val="24"/>
        </w:rPr>
        <w:t xml:space="preserve">Rogers, Van </w:t>
      </w:r>
      <w:proofErr w:type="spellStart"/>
      <w:r w:rsidR="00DD1449">
        <w:rPr>
          <w:rFonts w:ascii="Times New Roman" w:eastAsia="MS Mincho" w:hAnsi="Times New Roman" w:cs="Times New Roman"/>
          <w:sz w:val="24"/>
          <w:szCs w:val="24"/>
        </w:rPr>
        <w:t>Buskirk</w:t>
      </w:r>
      <w:proofErr w:type="spellEnd"/>
      <w:r w:rsidR="00DD1449">
        <w:rPr>
          <w:rFonts w:ascii="Times New Roman" w:eastAsia="MS Mincho" w:hAnsi="Times New Roman" w:cs="Times New Roman"/>
          <w:sz w:val="24"/>
          <w:szCs w:val="24"/>
        </w:rPr>
        <w:t xml:space="preserve"> and </w:t>
      </w:r>
      <w:proofErr w:type="spellStart"/>
      <w:r w:rsidR="00DD1449">
        <w:rPr>
          <w:rFonts w:ascii="Times New Roman" w:eastAsia="MS Mincho" w:hAnsi="Times New Roman" w:cs="Times New Roman"/>
          <w:sz w:val="24"/>
          <w:szCs w:val="24"/>
        </w:rPr>
        <w:t>Zechman</w:t>
      </w:r>
      <w:proofErr w:type="spellEnd"/>
      <w:r w:rsidR="00DD1449">
        <w:rPr>
          <w:rFonts w:ascii="Times New Roman" w:eastAsia="MS Mincho" w:hAnsi="Times New Roman" w:cs="Times New Roman"/>
          <w:sz w:val="24"/>
          <w:szCs w:val="24"/>
        </w:rPr>
        <w:t xml:space="preserve"> (2011) </w:t>
      </w:r>
      <w:r w:rsidR="00FC5E57">
        <w:rPr>
          <w:rFonts w:ascii="Times New Roman" w:eastAsia="MS Mincho" w:hAnsi="Times New Roman" w:cs="Times New Roman"/>
          <w:sz w:val="24"/>
          <w:szCs w:val="24"/>
        </w:rPr>
        <w:t>employ</w:t>
      </w:r>
      <w:r w:rsidR="00DD1449">
        <w:rPr>
          <w:rFonts w:ascii="Times New Roman" w:eastAsia="MS Mincho" w:hAnsi="Times New Roman" w:cs="Times New Roman"/>
          <w:sz w:val="24"/>
          <w:szCs w:val="24"/>
        </w:rPr>
        <w:t xml:space="preserve"> Henry’s library of words to document that </w:t>
      </w:r>
      <w:r w:rsidR="00FC5E57">
        <w:rPr>
          <w:rFonts w:ascii="Times New Roman" w:eastAsia="MS Mincho" w:hAnsi="Times New Roman" w:cs="Times New Roman"/>
          <w:sz w:val="24"/>
          <w:szCs w:val="24"/>
        </w:rPr>
        <w:t>the use of o</w:t>
      </w:r>
      <w:r w:rsidR="00DD1449">
        <w:rPr>
          <w:rFonts w:ascii="Times New Roman" w:eastAsia="MS Mincho" w:hAnsi="Times New Roman" w:cs="Times New Roman"/>
          <w:sz w:val="24"/>
          <w:szCs w:val="24"/>
        </w:rPr>
        <w:t xml:space="preserve">verly optimistic language </w:t>
      </w:r>
      <w:r w:rsidR="00FC5E57">
        <w:rPr>
          <w:rFonts w:ascii="Times New Roman" w:eastAsia="MS Mincho" w:hAnsi="Times New Roman" w:cs="Times New Roman"/>
          <w:sz w:val="24"/>
          <w:szCs w:val="24"/>
        </w:rPr>
        <w:t>in</w:t>
      </w:r>
      <w:r w:rsidR="00DD1449">
        <w:rPr>
          <w:rFonts w:ascii="Times New Roman" w:eastAsia="MS Mincho" w:hAnsi="Times New Roman" w:cs="Times New Roman"/>
          <w:sz w:val="24"/>
          <w:szCs w:val="24"/>
        </w:rPr>
        <w:t xml:space="preserve"> earnings announcements increases litigation </w:t>
      </w:r>
      <w:r w:rsidR="00DD1449" w:rsidRPr="00436A29">
        <w:rPr>
          <w:rFonts w:ascii="Times New Roman" w:eastAsia="MS Mincho" w:hAnsi="Times New Roman" w:cs="Times New Roman"/>
          <w:i/>
          <w:sz w:val="24"/>
          <w:szCs w:val="24"/>
        </w:rPr>
        <w:t>risk</w:t>
      </w:r>
      <w:r w:rsidR="00DD1449">
        <w:rPr>
          <w:rFonts w:ascii="Times New Roman" w:eastAsia="MS Mincho" w:hAnsi="Times New Roman" w:cs="Times New Roman"/>
          <w:sz w:val="24"/>
          <w:szCs w:val="24"/>
        </w:rPr>
        <w:t xml:space="preserve">. </w:t>
      </w:r>
    </w:p>
    <w:p w:rsidR="00294C7A" w:rsidRPr="005D42BA" w:rsidRDefault="00E1205A" w:rsidP="00294C7A">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Importantly, </w:t>
      </w:r>
      <w:r w:rsidR="00FC5E57">
        <w:rPr>
          <w:rFonts w:ascii="Times New Roman" w:hAnsi="Times New Roman" w:cs="Times New Roman"/>
          <w:sz w:val="24"/>
          <w:szCs w:val="24"/>
        </w:rPr>
        <w:t>e</w:t>
      </w:r>
      <w:r w:rsidR="00294C7A" w:rsidRPr="005D42BA">
        <w:rPr>
          <w:rFonts w:ascii="Times New Roman" w:hAnsi="Times New Roman" w:cs="Times New Roman"/>
          <w:sz w:val="24"/>
          <w:szCs w:val="24"/>
        </w:rPr>
        <w:t>xtant literature suggests that the t</w:t>
      </w:r>
      <w:r w:rsidR="00441C26">
        <w:rPr>
          <w:rFonts w:ascii="Times New Roman" w:hAnsi="Times New Roman" w:cs="Times New Roman"/>
          <w:sz w:val="24"/>
          <w:szCs w:val="24"/>
        </w:rPr>
        <w:t>one</w:t>
      </w:r>
      <w:r w:rsidR="00294C7A" w:rsidRPr="005D42BA">
        <w:rPr>
          <w:rFonts w:ascii="Times New Roman" w:hAnsi="Times New Roman" w:cs="Times New Roman"/>
          <w:sz w:val="24"/>
          <w:szCs w:val="24"/>
        </w:rPr>
        <w:t xml:space="preserve"> of qualitative corporate reports may have non-negligible market impact. Kothari and Short’s </w:t>
      </w:r>
      <w:r w:rsidR="00975B86" w:rsidRPr="005D42BA">
        <w:rPr>
          <w:rFonts w:ascii="Times New Roman" w:hAnsi="Times New Roman" w:cs="Times New Roman"/>
          <w:sz w:val="24"/>
          <w:szCs w:val="24"/>
        </w:rPr>
        <w:t>(2003)</w:t>
      </w:r>
      <w:r w:rsidR="00975B86">
        <w:rPr>
          <w:rFonts w:ascii="Times New Roman" w:hAnsi="Times New Roman" w:cs="Times New Roman"/>
          <w:sz w:val="24"/>
          <w:szCs w:val="24"/>
        </w:rPr>
        <w:t xml:space="preserve"> </w:t>
      </w:r>
      <w:r w:rsidR="00294C7A" w:rsidRPr="005D42BA">
        <w:rPr>
          <w:rFonts w:ascii="Times New Roman" w:hAnsi="Times New Roman" w:cs="Times New Roman"/>
          <w:sz w:val="24"/>
          <w:szCs w:val="24"/>
        </w:rPr>
        <w:t xml:space="preserve">findings indicate that positive disclosure </w:t>
      </w:r>
      <w:r w:rsidR="005D42BA" w:rsidRPr="005D42BA">
        <w:rPr>
          <w:rFonts w:ascii="Times New Roman" w:hAnsi="Times New Roman" w:cs="Times New Roman"/>
          <w:sz w:val="24"/>
          <w:szCs w:val="24"/>
        </w:rPr>
        <w:t>favourably</w:t>
      </w:r>
      <w:r w:rsidR="00294C7A" w:rsidRPr="005D42BA">
        <w:rPr>
          <w:rFonts w:ascii="Times New Roman" w:hAnsi="Times New Roman" w:cs="Times New Roman"/>
          <w:sz w:val="24"/>
          <w:szCs w:val="24"/>
        </w:rPr>
        <w:t xml:space="preserve"> affects cost of capital and price volatility, while Li (2010) shows that the tone of forward-looking statements has predictive power for the company’s future performance. Furthermore, Davis </w:t>
      </w:r>
      <w:r w:rsidR="00294C7A" w:rsidRPr="006862C5">
        <w:rPr>
          <w:rFonts w:ascii="Times New Roman" w:hAnsi="Times New Roman" w:cs="Times New Roman"/>
          <w:i/>
          <w:sz w:val="24"/>
          <w:szCs w:val="24"/>
        </w:rPr>
        <w:t>et al.</w:t>
      </w:r>
      <w:r w:rsidR="000D124A">
        <w:rPr>
          <w:rFonts w:ascii="Times New Roman" w:hAnsi="Times New Roman" w:cs="Times New Roman"/>
          <w:sz w:val="24"/>
          <w:szCs w:val="24"/>
        </w:rPr>
        <w:t xml:space="preserve"> (2012),</w:t>
      </w:r>
      <w:r w:rsidR="00294C7A" w:rsidRPr="005D42BA">
        <w:rPr>
          <w:rFonts w:ascii="Times New Roman" w:hAnsi="Times New Roman" w:cs="Times New Roman"/>
          <w:sz w:val="24"/>
          <w:szCs w:val="24"/>
        </w:rPr>
        <w:t xml:space="preserve"> Demers and Vega (201</w:t>
      </w:r>
      <w:r w:rsidR="007A2C43" w:rsidRPr="005D42BA">
        <w:rPr>
          <w:rFonts w:ascii="Times New Roman" w:hAnsi="Times New Roman" w:cs="Times New Roman"/>
          <w:sz w:val="24"/>
          <w:szCs w:val="24"/>
        </w:rPr>
        <w:t>0</w:t>
      </w:r>
      <w:r w:rsidR="00294C7A" w:rsidRPr="005D42BA">
        <w:rPr>
          <w:rFonts w:ascii="Times New Roman" w:hAnsi="Times New Roman" w:cs="Times New Roman"/>
          <w:sz w:val="24"/>
          <w:szCs w:val="24"/>
        </w:rPr>
        <w:t xml:space="preserve">) and Huang </w:t>
      </w:r>
      <w:r w:rsidR="00294C7A" w:rsidRPr="006862C5">
        <w:rPr>
          <w:rFonts w:ascii="Times New Roman" w:hAnsi="Times New Roman" w:cs="Times New Roman"/>
          <w:i/>
          <w:sz w:val="24"/>
          <w:szCs w:val="24"/>
        </w:rPr>
        <w:t>et al.</w:t>
      </w:r>
      <w:r w:rsidR="00294C7A" w:rsidRPr="005D42BA">
        <w:rPr>
          <w:rFonts w:ascii="Times New Roman" w:hAnsi="Times New Roman" w:cs="Times New Roman"/>
          <w:sz w:val="24"/>
          <w:szCs w:val="24"/>
        </w:rPr>
        <w:t xml:space="preserve"> (2014) documented </w:t>
      </w:r>
      <w:r w:rsidR="00294C7A" w:rsidRPr="005D42BA">
        <w:rPr>
          <w:rFonts w:ascii="Times New Roman" w:hAnsi="Times New Roman" w:cs="Times New Roman"/>
          <w:sz w:val="24"/>
          <w:szCs w:val="24"/>
        </w:rPr>
        <w:lastRenderedPageBreak/>
        <w:t xml:space="preserve">that an optimistic disposition in corporate earnings press releases is associated with abnormal market returns following the announcements. </w:t>
      </w:r>
    </w:p>
    <w:p w:rsidR="00294C7A" w:rsidRPr="005D42BA" w:rsidRDefault="00294C7A" w:rsidP="006060D8">
      <w:pPr>
        <w:spacing w:line="480" w:lineRule="auto"/>
        <w:ind w:firstLine="720"/>
        <w:jc w:val="both"/>
        <w:rPr>
          <w:rFonts w:ascii="Times New Roman" w:hAnsi="Times New Roman" w:cs="Times New Roman"/>
          <w:sz w:val="24"/>
          <w:szCs w:val="24"/>
          <w:lang w:eastAsia="zh-CN"/>
        </w:rPr>
      </w:pPr>
      <w:r w:rsidRPr="005D42BA">
        <w:rPr>
          <w:rFonts w:ascii="Times New Roman" w:hAnsi="Times New Roman" w:cs="Times New Roman"/>
          <w:sz w:val="24"/>
          <w:szCs w:val="24"/>
          <w:lang w:eastAsia="zh-CN"/>
        </w:rPr>
        <w:t>Following this trajectory in the literature, we identified two important points that affected our research design</w:t>
      </w:r>
      <w:r w:rsidR="000A62C3">
        <w:rPr>
          <w:rFonts w:ascii="Times New Roman" w:hAnsi="Times New Roman" w:cs="Times New Roman"/>
          <w:sz w:val="24"/>
          <w:szCs w:val="24"/>
          <w:lang w:eastAsia="zh-CN"/>
        </w:rPr>
        <w:t>, namely</w:t>
      </w:r>
      <w:r w:rsidRPr="005D42BA">
        <w:rPr>
          <w:rFonts w:ascii="Times New Roman" w:hAnsi="Times New Roman" w:cs="Times New Roman"/>
          <w:sz w:val="24"/>
          <w:szCs w:val="24"/>
          <w:lang w:eastAsia="zh-CN"/>
        </w:rPr>
        <w:t xml:space="preserve"> th</w:t>
      </w:r>
      <w:r w:rsidR="00C72262">
        <w:rPr>
          <w:rFonts w:ascii="Times New Roman" w:hAnsi="Times New Roman" w:cs="Times New Roman"/>
          <w:sz w:val="24"/>
          <w:szCs w:val="24"/>
          <w:lang w:eastAsia="zh-CN"/>
        </w:rPr>
        <w:t>e focus on the qualitative part</w:t>
      </w:r>
      <w:r w:rsidRPr="005D42BA">
        <w:rPr>
          <w:rFonts w:ascii="Times New Roman" w:hAnsi="Times New Roman" w:cs="Times New Roman"/>
          <w:sz w:val="24"/>
          <w:szCs w:val="24"/>
          <w:lang w:eastAsia="zh-CN"/>
        </w:rPr>
        <w:t xml:space="preserve"> of ann</w:t>
      </w:r>
      <w:r w:rsidR="002E6C25" w:rsidRPr="005D42BA">
        <w:rPr>
          <w:rFonts w:ascii="Times New Roman" w:hAnsi="Times New Roman" w:cs="Times New Roman"/>
          <w:sz w:val="24"/>
          <w:szCs w:val="24"/>
          <w:lang w:eastAsia="zh-CN"/>
        </w:rPr>
        <w:t xml:space="preserve">ual reports and the attention </w:t>
      </w:r>
      <w:r w:rsidR="006862C5">
        <w:rPr>
          <w:rFonts w:ascii="Times New Roman" w:hAnsi="Times New Roman" w:cs="Times New Roman"/>
          <w:sz w:val="24"/>
          <w:szCs w:val="24"/>
          <w:lang w:eastAsia="zh-CN"/>
        </w:rPr>
        <w:t>to</w:t>
      </w:r>
      <w:r w:rsidRPr="005D42BA">
        <w:rPr>
          <w:rFonts w:ascii="Times New Roman" w:hAnsi="Times New Roman" w:cs="Times New Roman"/>
          <w:sz w:val="24"/>
          <w:szCs w:val="24"/>
          <w:lang w:eastAsia="zh-CN"/>
        </w:rPr>
        <w:t xml:space="preserve"> positive </w:t>
      </w:r>
      <w:r w:rsidR="008141E0">
        <w:rPr>
          <w:rFonts w:ascii="Times New Roman" w:hAnsi="Times New Roman" w:cs="Times New Roman"/>
          <w:sz w:val="24"/>
          <w:szCs w:val="24"/>
          <w:lang w:eastAsia="zh-CN"/>
        </w:rPr>
        <w:t xml:space="preserve">tone </w:t>
      </w:r>
      <w:r w:rsidRPr="005D42BA">
        <w:rPr>
          <w:rFonts w:ascii="Times New Roman" w:hAnsi="Times New Roman" w:cs="Times New Roman"/>
          <w:sz w:val="24"/>
          <w:szCs w:val="24"/>
          <w:lang w:eastAsia="zh-CN"/>
        </w:rPr>
        <w:t xml:space="preserve">within the text. In contrast with </w:t>
      </w:r>
      <w:r w:rsidR="002E6C25" w:rsidRPr="005D42BA">
        <w:rPr>
          <w:rFonts w:ascii="Times New Roman" w:hAnsi="Times New Roman" w:cs="Times New Roman"/>
          <w:sz w:val="24"/>
          <w:szCs w:val="24"/>
          <w:lang w:eastAsia="zh-CN"/>
        </w:rPr>
        <w:t>much of the existing literature -</w:t>
      </w:r>
      <w:r w:rsidRPr="005D42BA">
        <w:rPr>
          <w:rFonts w:ascii="Times New Roman" w:hAnsi="Times New Roman" w:cs="Times New Roman"/>
          <w:sz w:val="24"/>
          <w:szCs w:val="24"/>
          <w:lang w:eastAsia="zh-CN"/>
        </w:rPr>
        <w:t xml:space="preserve"> wher</w:t>
      </w:r>
      <w:r w:rsidR="00CF6BB0" w:rsidRPr="005D42BA">
        <w:rPr>
          <w:rFonts w:ascii="Times New Roman" w:hAnsi="Times New Roman" w:cs="Times New Roman"/>
          <w:sz w:val="24"/>
          <w:szCs w:val="24"/>
          <w:lang w:eastAsia="zh-CN"/>
        </w:rPr>
        <w:t>e a variety of corporate narrative</w:t>
      </w:r>
      <w:r w:rsidRPr="005D42BA">
        <w:rPr>
          <w:rFonts w:ascii="Times New Roman" w:hAnsi="Times New Roman" w:cs="Times New Roman"/>
          <w:sz w:val="24"/>
          <w:szCs w:val="24"/>
          <w:lang w:eastAsia="zh-CN"/>
        </w:rPr>
        <w:t xml:space="preserve"> outputs, such as earnings announcements, press releases, as well as texts from financial mass media (</w:t>
      </w:r>
      <w:proofErr w:type="spellStart"/>
      <w:r w:rsidRPr="005D42BA">
        <w:rPr>
          <w:rFonts w:ascii="Times New Roman" w:hAnsi="Times New Roman" w:cs="Times New Roman"/>
          <w:sz w:val="24"/>
          <w:szCs w:val="24"/>
        </w:rPr>
        <w:t>Tetlock</w:t>
      </w:r>
      <w:proofErr w:type="spellEnd"/>
      <w:r w:rsidRPr="005D42BA">
        <w:rPr>
          <w:rFonts w:ascii="Times New Roman" w:hAnsi="Times New Roman" w:cs="Times New Roman"/>
          <w:sz w:val="24"/>
          <w:szCs w:val="24"/>
        </w:rPr>
        <w:t xml:space="preserve">, 2007; </w:t>
      </w:r>
      <w:proofErr w:type="spellStart"/>
      <w:r w:rsidRPr="005D42BA">
        <w:rPr>
          <w:rFonts w:ascii="Times New Roman" w:hAnsi="Times New Roman" w:cs="Times New Roman"/>
          <w:sz w:val="24"/>
          <w:szCs w:val="24"/>
        </w:rPr>
        <w:t>Tetlock</w:t>
      </w:r>
      <w:proofErr w:type="spellEnd"/>
      <w:r w:rsidR="003B5660">
        <w:rPr>
          <w:rFonts w:ascii="Times New Roman" w:hAnsi="Times New Roman" w:cs="Times New Roman"/>
          <w:sz w:val="24"/>
          <w:szCs w:val="24"/>
        </w:rPr>
        <w:t xml:space="preserve">, </w:t>
      </w:r>
      <w:r w:rsidR="003B5660" w:rsidRPr="005D42BA">
        <w:rPr>
          <w:rFonts w:ascii="Times New Roman" w:hAnsi="Times New Roman" w:cs="Times New Roman"/>
          <w:sz w:val="24"/>
          <w:szCs w:val="24"/>
        </w:rPr>
        <w:t>Saar-</w:t>
      </w:r>
      <w:proofErr w:type="spellStart"/>
      <w:r w:rsidR="003B5660" w:rsidRPr="005D42BA">
        <w:rPr>
          <w:rFonts w:ascii="Times New Roman" w:hAnsi="Times New Roman" w:cs="Times New Roman"/>
          <w:sz w:val="24"/>
          <w:szCs w:val="24"/>
        </w:rPr>
        <w:t>Tsechansky</w:t>
      </w:r>
      <w:proofErr w:type="spellEnd"/>
      <w:r w:rsidR="003B5660" w:rsidRPr="005D42BA">
        <w:rPr>
          <w:rFonts w:ascii="Times New Roman" w:hAnsi="Times New Roman" w:cs="Times New Roman"/>
          <w:sz w:val="24"/>
          <w:szCs w:val="24"/>
        </w:rPr>
        <w:t xml:space="preserve">, </w:t>
      </w:r>
      <w:r w:rsidR="003B5660">
        <w:rPr>
          <w:rFonts w:ascii="Times New Roman" w:hAnsi="Times New Roman" w:cs="Times New Roman"/>
          <w:sz w:val="24"/>
          <w:szCs w:val="24"/>
        </w:rPr>
        <w:t>&amp;</w:t>
      </w:r>
      <w:r w:rsidR="003B5660" w:rsidRPr="005D42BA">
        <w:rPr>
          <w:rFonts w:ascii="Times New Roman" w:hAnsi="Times New Roman" w:cs="Times New Roman"/>
          <w:sz w:val="24"/>
          <w:szCs w:val="24"/>
        </w:rPr>
        <w:t xml:space="preserve"> </w:t>
      </w:r>
      <w:proofErr w:type="spellStart"/>
      <w:r w:rsidR="003B5660" w:rsidRPr="005D42BA">
        <w:rPr>
          <w:rFonts w:ascii="Times New Roman" w:hAnsi="Times New Roman" w:cs="Times New Roman"/>
          <w:sz w:val="24"/>
          <w:szCs w:val="24"/>
        </w:rPr>
        <w:t>Macskassy</w:t>
      </w:r>
      <w:proofErr w:type="spellEnd"/>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2008</w:t>
      </w:r>
      <w:r w:rsidRPr="005D42BA">
        <w:rPr>
          <w:rFonts w:ascii="Times New Roman" w:eastAsia="MS Mincho" w:hAnsi="Times New Roman" w:cs="Times New Roman"/>
          <w:sz w:val="24"/>
          <w:szCs w:val="24"/>
        </w:rPr>
        <w:t xml:space="preserve">) </w:t>
      </w:r>
      <w:r w:rsidRPr="005D42BA">
        <w:rPr>
          <w:rFonts w:ascii="Times New Roman" w:hAnsi="Times New Roman" w:cs="Times New Roman"/>
          <w:sz w:val="24"/>
          <w:szCs w:val="24"/>
          <w:lang w:eastAsia="zh-CN"/>
        </w:rPr>
        <w:t>are examined</w:t>
      </w:r>
      <w:r w:rsidR="002E6C25" w:rsidRPr="005D42BA">
        <w:rPr>
          <w:rFonts w:ascii="Times New Roman" w:hAnsi="Times New Roman" w:cs="Times New Roman"/>
          <w:sz w:val="24"/>
          <w:szCs w:val="24"/>
          <w:lang w:eastAsia="zh-CN"/>
        </w:rPr>
        <w:t xml:space="preserve"> -</w:t>
      </w:r>
      <w:r w:rsidRPr="005D42BA">
        <w:rPr>
          <w:rFonts w:ascii="Times New Roman" w:hAnsi="Times New Roman" w:cs="Times New Roman"/>
          <w:sz w:val="24"/>
          <w:szCs w:val="24"/>
          <w:lang w:eastAsia="zh-CN"/>
        </w:rPr>
        <w:t xml:space="preserve"> we decided to focus our examination on the qualitative </w:t>
      </w:r>
      <w:r w:rsidR="00C72262">
        <w:rPr>
          <w:rFonts w:ascii="Times New Roman" w:hAnsi="Times New Roman" w:cs="Times New Roman"/>
          <w:sz w:val="24"/>
          <w:szCs w:val="24"/>
          <w:lang w:eastAsia="zh-CN"/>
        </w:rPr>
        <w:t>part</w:t>
      </w:r>
      <w:r w:rsidRPr="005D42BA">
        <w:rPr>
          <w:rFonts w:ascii="Times New Roman" w:hAnsi="Times New Roman" w:cs="Times New Roman"/>
          <w:sz w:val="24"/>
          <w:szCs w:val="24"/>
          <w:lang w:eastAsia="zh-CN"/>
        </w:rPr>
        <w:t xml:space="preserve"> of companies’ annual reports. In the UK, t</w:t>
      </w:r>
      <w:r w:rsidRPr="005D42BA">
        <w:rPr>
          <w:rFonts w:ascii="Times New Roman" w:hAnsi="Times New Roman" w:cs="Times New Roman"/>
          <w:sz w:val="24"/>
          <w:szCs w:val="24"/>
        </w:rPr>
        <w:t xml:space="preserve">he Companies Act 2006 and </w:t>
      </w:r>
      <w:r w:rsidR="000D124A">
        <w:rPr>
          <w:rFonts w:ascii="Times New Roman" w:hAnsi="Times New Roman" w:cs="Times New Roman"/>
          <w:sz w:val="24"/>
          <w:szCs w:val="24"/>
        </w:rPr>
        <w:t>the amendments to this Act introduced in 2013</w:t>
      </w:r>
      <w:r w:rsidR="002E6C25" w:rsidRPr="005D42BA">
        <w:rPr>
          <w:rFonts w:ascii="Times New Roman" w:hAnsi="Times New Roman" w:cs="Times New Roman"/>
          <w:sz w:val="24"/>
          <w:szCs w:val="24"/>
        </w:rPr>
        <w:t xml:space="preserve"> require</w:t>
      </w:r>
      <w:r w:rsidRPr="005D42BA">
        <w:rPr>
          <w:rFonts w:ascii="Times New Roman" w:hAnsi="Times New Roman" w:cs="Times New Roman"/>
          <w:sz w:val="24"/>
          <w:szCs w:val="24"/>
        </w:rPr>
        <w:t xml:space="preserve"> large and medium listed companies to </w:t>
      </w:r>
      <w:r w:rsidR="006060D8" w:rsidRPr="005D42BA">
        <w:rPr>
          <w:rFonts w:ascii="Times New Roman" w:hAnsi="Times New Roman" w:cs="Times New Roman"/>
          <w:sz w:val="24"/>
          <w:szCs w:val="24"/>
        </w:rPr>
        <w:t>incorporate</w:t>
      </w:r>
      <w:r w:rsidRPr="005D42BA">
        <w:rPr>
          <w:rFonts w:ascii="Times New Roman" w:hAnsi="Times New Roman" w:cs="Times New Roman"/>
          <w:sz w:val="24"/>
          <w:szCs w:val="24"/>
        </w:rPr>
        <w:t xml:space="preserve"> certain sections in their annual reports</w:t>
      </w:r>
      <w:r w:rsidR="006060D8" w:rsidRPr="005D42BA">
        <w:rPr>
          <w:rFonts w:ascii="Times New Roman" w:hAnsi="Times New Roman" w:cs="Times New Roman"/>
          <w:sz w:val="24"/>
          <w:szCs w:val="24"/>
        </w:rPr>
        <w:t xml:space="preserve">. These include </w:t>
      </w:r>
      <w:r w:rsidR="00955BF5" w:rsidRPr="005D42BA">
        <w:rPr>
          <w:rFonts w:ascii="Times New Roman" w:hAnsi="Times New Roman" w:cs="Times New Roman"/>
          <w:sz w:val="24"/>
          <w:szCs w:val="24"/>
        </w:rPr>
        <w:t xml:space="preserve">the strategic report/business review section </w:t>
      </w:r>
      <w:r w:rsidR="006060D8" w:rsidRPr="005D42BA">
        <w:rPr>
          <w:rFonts w:ascii="Times New Roman" w:hAnsi="Times New Roman" w:cs="Times New Roman"/>
          <w:sz w:val="24"/>
          <w:szCs w:val="24"/>
        </w:rPr>
        <w:t>(</w:t>
      </w:r>
      <w:r w:rsidR="00955BF5" w:rsidRPr="005D42BA">
        <w:rPr>
          <w:rFonts w:ascii="Times New Roman" w:hAnsi="Times New Roman" w:cs="Times New Roman"/>
          <w:sz w:val="24"/>
          <w:szCs w:val="24"/>
        </w:rPr>
        <w:t>covering business description, issues related to performance, principal risks, position, trends and factors, and key performance indicators</w:t>
      </w:r>
      <w:r w:rsidR="006060D8" w:rsidRPr="005D42BA">
        <w:rPr>
          <w:rFonts w:ascii="Times New Roman" w:hAnsi="Times New Roman" w:cs="Times New Roman"/>
          <w:sz w:val="24"/>
          <w:szCs w:val="24"/>
        </w:rPr>
        <w:t>)</w:t>
      </w:r>
      <w:r w:rsidR="00955BF5" w:rsidRPr="005D42BA">
        <w:rPr>
          <w:rFonts w:ascii="Times New Roman" w:hAnsi="Times New Roman" w:cs="Times New Roman"/>
          <w:sz w:val="24"/>
          <w:szCs w:val="24"/>
        </w:rPr>
        <w:t xml:space="preserve">, the corporate social responsibility statement </w:t>
      </w:r>
      <w:r w:rsidR="006060D8" w:rsidRPr="005D42BA">
        <w:rPr>
          <w:rFonts w:ascii="Times New Roman" w:hAnsi="Times New Roman" w:cs="Times New Roman"/>
          <w:sz w:val="24"/>
          <w:szCs w:val="24"/>
        </w:rPr>
        <w:t>(</w:t>
      </w:r>
      <w:r w:rsidR="00955BF5" w:rsidRPr="005D42BA">
        <w:rPr>
          <w:rFonts w:ascii="Times New Roman" w:hAnsi="Times New Roman" w:cs="Times New Roman"/>
          <w:sz w:val="24"/>
          <w:szCs w:val="24"/>
        </w:rPr>
        <w:t>describing environmental, employee and community issues</w:t>
      </w:r>
      <w:r w:rsidR="006060D8" w:rsidRPr="005D42BA">
        <w:rPr>
          <w:rFonts w:ascii="Times New Roman" w:hAnsi="Times New Roman" w:cs="Times New Roman"/>
          <w:sz w:val="24"/>
          <w:szCs w:val="24"/>
        </w:rPr>
        <w:t>)</w:t>
      </w:r>
      <w:r w:rsidR="00955BF5" w:rsidRPr="005D42BA">
        <w:rPr>
          <w:rFonts w:ascii="Times New Roman" w:hAnsi="Times New Roman" w:cs="Times New Roman"/>
          <w:sz w:val="24"/>
          <w:szCs w:val="24"/>
        </w:rPr>
        <w:t>, the directors</w:t>
      </w:r>
      <w:r w:rsidR="006862C5">
        <w:rPr>
          <w:rFonts w:ascii="Times New Roman" w:hAnsi="Times New Roman" w:cs="Times New Roman"/>
          <w:sz w:val="24"/>
          <w:szCs w:val="24"/>
        </w:rPr>
        <w:t>’</w:t>
      </w:r>
      <w:r w:rsidR="00955BF5" w:rsidRPr="005D42BA">
        <w:rPr>
          <w:rFonts w:ascii="Times New Roman" w:hAnsi="Times New Roman" w:cs="Times New Roman"/>
          <w:sz w:val="24"/>
          <w:szCs w:val="24"/>
        </w:rPr>
        <w:t xml:space="preserve"> report, the directors’ remuneration report, and the statement of directors’ responsibilities.</w:t>
      </w:r>
      <w:r w:rsidRPr="005D42BA">
        <w:rPr>
          <w:rFonts w:ascii="Times New Roman" w:hAnsi="Times New Roman" w:cs="Times New Roman"/>
          <w:sz w:val="24"/>
          <w:szCs w:val="24"/>
        </w:rPr>
        <w:t xml:space="preserve"> </w:t>
      </w:r>
      <w:r w:rsidR="002E6C25" w:rsidRPr="005D42BA">
        <w:rPr>
          <w:rFonts w:ascii="Times New Roman" w:hAnsi="Times New Roman" w:cs="Times New Roman"/>
          <w:sz w:val="24"/>
          <w:szCs w:val="24"/>
        </w:rPr>
        <w:t xml:space="preserve">The </w:t>
      </w:r>
      <w:r w:rsidR="00E66918" w:rsidRPr="005D42BA">
        <w:rPr>
          <w:rFonts w:ascii="Times New Roman" w:hAnsi="Times New Roman" w:cs="Times New Roman"/>
          <w:sz w:val="24"/>
          <w:szCs w:val="24"/>
        </w:rPr>
        <w:t>UK Corporate Governance Code provides guidance on the directors’ remuneration and directors’ report</w:t>
      </w:r>
      <w:r w:rsidR="003923F7">
        <w:rPr>
          <w:rFonts w:ascii="Times New Roman" w:hAnsi="Times New Roman" w:cs="Times New Roman"/>
          <w:sz w:val="24"/>
          <w:szCs w:val="24"/>
        </w:rPr>
        <w:t>s, while the Listing Rules require</w:t>
      </w:r>
      <w:r w:rsidR="00E66918" w:rsidRPr="005D42BA">
        <w:rPr>
          <w:rFonts w:ascii="Times New Roman" w:hAnsi="Times New Roman" w:cs="Times New Roman"/>
          <w:sz w:val="24"/>
          <w:szCs w:val="24"/>
        </w:rPr>
        <w:t xml:space="preserve"> companies to either comply with the UK Corporate Governance Code or explain why they have failed to do so. Disclosure and Transparency Rules outline a framework for providing corporate governance statements. </w:t>
      </w:r>
      <w:r w:rsidRPr="005D42BA">
        <w:rPr>
          <w:rFonts w:ascii="Times New Roman" w:hAnsi="Times New Roman" w:cs="Times New Roman"/>
          <w:sz w:val="24"/>
          <w:szCs w:val="24"/>
        </w:rPr>
        <w:t>Compli</w:t>
      </w:r>
      <w:r w:rsidR="00F3398C" w:rsidRPr="005D42BA">
        <w:rPr>
          <w:rFonts w:ascii="Times New Roman" w:hAnsi="Times New Roman" w:cs="Times New Roman"/>
          <w:sz w:val="24"/>
          <w:szCs w:val="24"/>
        </w:rPr>
        <w:t>ance with regulations is monitored</w:t>
      </w:r>
      <w:r w:rsidRPr="005D42BA">
        <w:rPr>
          <w:rFonts w:ascii="Times New Roman" w:hAnsi="Times New Roman" w:cs="Times New Roman"/>
          <w:sz w:val="24"/>
          <w:szCs w:val="24"/>
        </w:rPr>
        <w:t xml:space="preserve"> by the </w:t>
      </w:r>
      <w:r w:rsidR="00F3398C" w:rsidRPr="005D42BA">
        <w:rPr>
          <w:rFonts w:ascii="Times New Roman" w:hAnsi="Times New Roman" w:cs="Times New Roman"/>
          <w:sz w:val="24"/>
          <w:szCs w:val="24"/>
        </w:rPr>
        <w:t>Financial Reporting Council</w:t>
      </w:r>
      <w:r w:rsidRPr="005D42BA">
        <w:rPr>
          <w:rFonts w:ascii="Times New Roman" w:hAnsi="Times New Roman" w:cs="Times New Roman"/>
          <w:sz w:val="24"/>
          <w:szCs w:val="24"/>
        </w:rPr>
        <w:t>.</w:t>
      </w:r>
      <w:r w:rsidR="005D4FD4" w:rsidRPr="005D42BA">
        <w:rPr>
          <w:rStyle w:val="Odwoanieprzypisudolnego"/>
          <w:rFonts w:ascii="Times New Roman" w:hAnsi="Times New Roman" w:cs="Times New Roman"/>
          <w:sz w:val="24"/>
          <w:szCs w:val="24"/>
        </w:rPr>
        <w:footnoteReference w:id="1"/>
      </w:r>
      <w:r w:rsidRPr="005D42BA">
        <w:rPr>
          <w:rFonts w:ascii="Times New Roman" w:hAnsi="Times New Roman" w:cs="Times New Roman"/>
          <w:sz w:val="24"/>
          <w:szCs w:val="24"/>
        </w:rPr>
        <w:t xml:space="preserve"> While managers are still afforded significant discretion as to how to frame corporate performance and how much optimism to inject into the </w:t>
      </w:r>
      <w:r w:rsidR="00E1205A">
        <w:rPr>
          <w:rFonts w:ascii="Times New Roman" w:hAnsi="Times New Roman" w:cs="Times New Roman"/>
          <w:sz w:val="24"/>
          <w:szCs w:val="24"/>
        </w:rPr>
        <w:t>narrative</w:t>
      </w:r>
      <w:r w:rsidRPr="005D42BA">
        <w:rPr>
          <w:rFonts w:ascii="Times New Roman" w:hAnsi="Times New Roman" w:cs="Times New Roman"/>
          <w:sz w:val="24"/>
          <w:szCs w:val="24"/>
        </w:rPr>
        <w:t xml:space="preserve">, </w:t>
      </w:r>
      <w:r w:rsidRPr="005D42BA">
        <w:rPr>
          <w:rFonts w:ascii="Times New Roman" w:hAnsi="Times New Roman" w:cs="Times New Roman"/>
          <w:sz w:val="24"/>
          <w:szCs w:val="24"/>
          <w:lang w:eastAsia="zh-CN"/>
        </w:rPr>
        <w:t xml:space="preserve">texts produced by different companies comprise a </w:t>
      </w:r>
      <w:r w:rsidR="00227366" w:rsidRPr="005D42BA">
        <w:rPr>
          <w:rFonts w:ascii="Times New Roman" w:hAnsi="Times New Roman" w:cs="Times New Roman"/>
          <w:sz w:val="24"/>
          <w:szCs w:val="24"/>
          <w:lang w:eastAsia="zh-CN"/>
        </w:rPr>
        <w:t>relatively structurally</w:t>
      </w:r>
      <w:r w:rsidRPr="005D42BA">
        <w:rPr>
          <w:rFonts w:ascii="Times New Roman" w:hAnsi="Times New Roman" w:cs="Times New Roman"/>
          <w:sz w:val="24"/>
          <w:szCs w:val="24"/>
          <w:lang w:eastAsia="zh-CN"/>
        </w:rPr>
        <w:t xml:space="preserve"> homogenous sample, which contributes to more effective analysis of the examined factor in the text.</w:t>
      </w:r>
    </w:p>
    <w:p w:rsidR="00294C7A" w:rsidRPr="005D42BA" w:rsidRDefault="00294C7A" w:rsidP="006D3990">
      <w:pPr>
        <w:spacing w:line="480" w:lineRule="auto"/>
        <w:ind w:firstLine="720"/>
        <w:jc w:val="both"/>
        <w:rPr>
          <w:rFonts w:ascii="Times New Roman" w:hAnsi="Times New Roman" w:cs="Times New Roman"/>
          <w:sz w:val="24"/>
          <w:szCs w:val="24"/>
          <w:lang w:eastAsia="zh-CN"/>
        </w:rPr>
      </w:pPr>
      <w:r w:rsidRPr="005D42BA">
        <w:rPr>
          <w:rFonts w:ascii="Times New Roman" w:hAnsi="Times New Roman" w:cs="Times New Roman"/>
          <w:sz w:val="24"/>
          <w:szCs w:val="24"/>
          <w:lang w:eastAsia="zh-CN"/>
        </w:rPr>
        <w:lastRenderedPageBreak/>
        <w:t>Our focus on positiveness follows from the contextual n</w:t>
      </w:r>
      <w:r w:rsidR="00CF6BB0" w:rsidRPr="005D42BA">
        <w:rPr>
          <w:rFonts w:ascii="Times New Roman" w:hAnsi="Times New Roman" w:cs="Times New Roman"/>
          <w:sz w:val="24"/>
          <w:szCs w:val="24"/>
          <w:lang w:eastAsia="zh-CN"/>
        </w:rPr>
        <w:t>ature of qualitative</w:t>
      </w:r>
      <w:r w:rsidRPr="005D42BA">
        <w:rPr>
          <w:rFonts w:ascii="Times New Roman" w:hAnsi="Times New Roman" w:cs="Times New Roman"/>
          <w:sz w:val="24"/>
          <w:szCs w:val="24"/>
          <w:lang w:eastAsia="zh-CN"/>
        </w:rPr>
        <w:t xml:space="preserve"> text</w:t>
      </w:r>
      <w:r w:rsidR="00CF6BB0" w:rsidRPr="005D42BA">
        <w:rPr>
          <w:rFonts w:ascii="Times New Roman" w:hAnsi="Times New Roman" w:cs="Times New Roman"/>
          <w:sz w:val="24"/>
          <w:szCs w:val="24"/>
          <w:lang w:eastAsia="zh-CN"/>
        </w:rPr>
        <w:t>s</w:t>
      </w:r>
      <w:r w:rsidRPr="005D42BA">
        <w:rPr>
          <w:rFonts w:ascii="Times New Roman" w:hAnsi="Times New Roman" w:cs="Times New Roman"/>
          <w:sz w:val="24"/>
          <w:szCs w:val="24"/>
          <w:lang w:eastAsia="zh-CN"/>
        </w:rPr>
        <w:t xml:space="preserve">. </w:t>
      </w:r>
      <w:r w:rsidR="008140D0">
        <w:rPr>
          <w:rFonts w:ascii="Times New Roman" w:hAnsi="Times New Roman" w:cs="Times New Roman"/>
          <w:sz w:val="24"/>
          <w:szCs w:val="24"/>
          <w:lang w:eastAsia="zh-CN"/>
        </w:rPr>
        <w:t>Although w</w:t>
      </w:r>
      <w:r w:rsidRPr="005D42BA">
        <w:rPr>
          <w:rFonts w:ascii="Times New Roman" w:hAnsi="Times New Roman" w:cs="Times New Roman"/>
          <w:sz w:val="24"/>
          <w:szCs w:val="24"/>
          <w:lang w:eastAsia="zh-CN"/>
        </w:rPr>
        <w:t>e acknowledge the issue of inherent context-dependence of qualitative corporate disclosure</w:t>
      </w:r>
      <w:r w:rsidR="003A3910">
        <w:rPr>
          <w:rFonts w:ascii="Times New Roman" w:hAnsi="Times New Roman" w:cs="Times New Roman"/>
          <w:sz w:val="24"/>
          <w:szCs w:val="24"/>
          <w:lang w:eastAsia="zh-CN"/>
        </w:rPr>
        <w:t>s</w:t>
      </w:r>
      <w:r w:rsidR="008140D0">
        <w:rPr>
          <w:rFonts w:ascii="Times New Roman" w:hAnsi="Times New Roman" w:cs="Times New Roman"/>
          <w:sz w:val="24"/>
          <w:szCs w:val="24"/>
          <w:lang w:eastAsia="zh-CN"/>
        </w:rPr>
        <w:t>,</w:t>
      </w:r>
      <w:r w:rsidR="006D3990">
        <w:rPr>
          <w:rFonts w:ascii="Times New Roman" w:hAnsi="Times New Roman" w:cs="Times New Roman"/>
          <w:sz w:val="24"/>
          <w:szCs w:val="24"/>
          <w:lang w:eastAsia="zh-CN"/>
        </w:rPr>
        <w:t xml:space="preserve"> </w:t>
      </w:r>
      <w:r w:rsidR="003A3910">
        <w:rPr>
          <w:rFonts w:ascii="Times New Roman" w:hAnsi="Times New Roman" w:cs="Times New Roman"/>
          <w:sz w:val="24"/>
          <w:szCs w:val="24"/>
          <w:lang w:eastAsia="zh-CN"/>
        </w:rPr>
        <w:t>o</w:t>
      </w:r>
      <w:r w:rsidRPr="005D42BA">
        <w:rPr>
          <w:rFonts w:ascii="Times New Roman" w:hAnsi="Times New Roman" w:cs="Times New Roman"/>
          <w:sz w:val="24"/>
          <w:szCs w:val="24"/>
          <w:lang w:eastAsia="zh-CN"/>
        </w:rPr>
        <w:t xml:space="preserve">ur </w:t>
      </w:r>
      <w:r w:rsidR="003A3910">
        <w:rPr>
          <w:rFonts w:ascii="Times New Roman" w:hAnsi="Times New Roman" w:cs="Times New Roman"/>
          <w:sz w:val="24"/>
          <w:szCs w:val="24"/>
          <w:lang w:eastAsia="zh-CN"/>
        </w:rPr>
        <w:t xml:space="preserve">measurement </w:t>
      </w:r>
      <w:r w:rsidRPr="005D42BA">
        <w:rPr>
          <w:rFonts w:ascii="Times New Roman" w:hAnsi="Times New Roman" w:cs="Times New Roman"/>
          <w:sz w:val="24"/>
          <w:szCs w:val="24"/>
          <w:lang w:eastAsia="zh-CN"/>
        </w:rPr>
        <w:t>choice incorporates the assumption that qual</w:t>
      </w:r>
      <w:r w:rsidR="00C72262">
        <w:rPr>
          <w:rFonts w:ascii="Times New Roman" w:hAnsi="Times New Roman" w:cs="Times New Roman"/>
          <w:sz w:val="24"/>
          <w:szCs w:val="24"/>
          <w:lang w:eastAsia="zh-CN"/>
        </w:rPr>
        <w:t>itative part</w:t>
      </w:r>
      <w:r w:rsidRPr="005D42BA">
        <w:rPr>
          <w:rFonts w:ascii="Times New Roman" w:hAnsi="Times New Roman" w:cs="Times New Roman"/>
          <w:sz w:val="24"/>
          <w:szCs w:val="24"/>
          <w:lang w:eastAsia="zh-CN"/>
        </w:rPr>
        <w:t xml:space="preserve">s in annual reports are </w:t>
      </w:r>
      <w:r w:rsidR="006D3990">
        <w:rPr>
          <w:rFonts w:ascii="Times New Roman" w:hAnsi="Times New Roman" w:cs="Times New Roman"/>
          <w:sz w:val="24"/>
          <w:szCs w:val="24"/>
          <w:lang w:eastAsia="zh-CN"/>
        </w:rPr>
        <w:t xml:space="preserve">aimed at </w:t>
      </w:r>
      <w:r w:rsidRPr="005D42BA">
        <w:rPr>
          <w:rFonts w:ascii="Times New Roman" w:hAnsi="Times New Roman" w:cs="Times New Roman"/>
          <w:sz w:val="24"/>
          <w:szCs w:val="24"/>
          <w:lang w:eastAsia="zh-CN"/>
        </w:rPr>
        <w:t>communica</w:t>
      </w:r>
      <w:r w:rsidR="008141E0">
        <w:rPr>
          <w:rFonts w:ascii="Times New Roman" w:hAnsi="Times New Roman" w:cs="Times New Roman"/>
          <w:sz w:val="24"/>
          <w:szCs w:val="24"/>
          <w:lang w:eastAsia="zh-CN"/>
        </w:rPr>
        <w:t>t</w:t>
      </w:r>
      <w:r w:rsidR="006D3990">
        <w:rPr>
          <w:rFonts w:ascii="Times New Roman" w:hAnsi="Times New Roman" w:cs="Times New Roman"/>
          <w:sz w:val="24"/>
          <w:szCs w:val="24"/>
          <w:lang w:eastAsia="zh-CN"/>
        </w:rPr>
        <w:t>ing</w:t>
      </w:r>
      <w:r w:rsidR="008141E0">
        <w:rPr>
          <w:rFonts w:ascii="Times New Roman" w:hAnsi="Times New Roman" w:cs="Times New Roman"/>
          <w:sz w:val="24"/>
          <w:szCs w:val="24"/>
          <w:lang w:eastAsia="zh-CN"/>
        </w:rPr>
        <w:t xml:space="preserve"> an overall positive tone</w:t>
      </w:r>
      <w:r w:rsidR="006D3990">
        <w:rPr>
          <w:rFonts w:ascii="Times New Roman" w:hAnsi="Times New Roman" w:cs="Times New Roman"/>
          <w:sz w:val="24"/>
          <w:szCs w:val="24"/>
          <w:lang w:eastAsia="zh-CN"/>
        </w:rPr>
        <w:t xml:space="preserve"> and that they do so by repeatedly signalling to the reader the positiveness of the </w:t>
      </w:r>
      <w:r w:rsidR="003A3910">
        <w:rPr>
          <w:rFonts w:ascii="Times New Roman" w:hAnsi="Times New Roman" w:cs="Times New Roman"/>
          <w:sz w:val="24"/>
          <w:szCs w:val="24"/>
          <w:lang w:eastAsia="zh-CN"/>
        </w:rPr>
        <w:t>firm’s</w:t>
      </w:r>
      <w:r w:rsidR="006D3990">
        <w:rPr>
          <w:rFonts w:ascii="Times New Roman" w:hAnsi="Times New Roman" w:cs="Times New Roman"/>
          <w:sz w:val="24"/>
          <w:szCs w:val="24"/>
          <w:lang w:eastAsia="zh-CN"/>
        </w:rPr>
        <w:t xml:space="preserve"> activities</w:t>
      </w:r>
      <w:r w:rsidRPr="005D42BA">
        <w:rPr>
          <w:rFonts w:ascii="Times New Roman" w:hAnsi="Times New Roman" w:cs="Times New Roman"/>
          <w:sz w:val="24"/>
          <w:szCs w:val="24"/>
          <w:lang w:eastAsia="zh-CN"/>
        </w:rPr>
        <w:t xml:space="preserve">, regardless of the immediate context in which these are presented. In the case of such texts, which are contextually positive, a measure of the degree of upbeat </w:t>
      </w:r>
      <w:r w:rsidR="008141E0">
        <w:rPr>
          <w:rFonts w:ascii="Times New Roman" w:hAnsi="Times New Roman" w:cs="Times New Roman"/>
          <w:sz w:val="24"/>
          <w:szCs w:val="24"/>
          <w:lang w:eastAsia="zh-CN"/>
        </w:rPr>
        <w:t>tone</w:t>
      </w:r>
      <w:r w:rsidRPr="005D42BA">
        <w:rPr>
          <w:rFonts w:ascii="Times New Roman" w:hAnsi="Times New Roman" w:cs="Times New Roman"/>
          <w:sz w:val="24"/>
          <w:szCs w:val="24"/>
          <w:lang w:eastAsia="zh-CN"/>
        </w:rPr>
        <w:t>, abo</w:t>
      </w:r>
      <w:r w:rsidR="00E1205A">
        <w:rPr>
          <w:rFonts w:ascii="Times New Roman" w:hAnsi="Times New Roman" w:cs="Times New Roman"/>
          <w:sz w:val="24"/>
          <w:szCs w:val="24"/>
          <w:lang w:eastAsia="zh-CN"/>
        </w:rPr>
        <w:t>ve and beyond what investors</w:t>
      </w:r>
      <w:r w:rsidRPr="005D42BA">
        <w:rPr>
          <w:rFonts w:ascii="Times New Roman" w:hAnsi="Times New Roman" w:cs="Times New Roman"/>
          <w:sz w:val="24"/>
          <w:szCs w:val="24"/>
          <w:lang w:eastAsia="zh-CN"/>
        </w:rPr>
        <w:t xml:space="preserve"> already accept, may affect investors’ decision-making. In fact, the reaction of market participants is likely to be more pronounced if they perceive </w:t>
      </w:r>
      <w:r w:rsidR="009E271F">
        <w:rPr>
          <w:rFonts w:ascii="Times New Roman" w:hAnsi="Times New Roman" w:cs="Times New Roman"/>
          <w:sz w:val="24"/>
          <w:szCs w:val="24"/>
          <w:lang w:eastAsia="zh-CN"/>
        </w:rPr>
        <w:t xml:space="preserve">the narrative part of </w:t>
      </w:r>
      <w:r w:rsidRPr="005D42BA">
        <w:rPr>
          <w:rFonts w:ascii="Times New Roman" w:hAnsi="Times New Roman" w:cs="Times New Roman"/>
          <w:sz w:val="24"/>
          <w:szCs w:val="24"/>
          <w:lang w:eastAsia="zh-CN"/>
        </w:rPr>
        <w:t xml:space="preserve">annual reports to be a conduit for new material information rather than a mere impression management tool. </w:t>
      </w:r>
    </w:p>
    <w:p w:rsidR="00380A6F" w:rsidRPr="005D42BA" w:rsidRDefault="00380A6F" w:rsidP="00294C7A">
      <w:pPr>
        <w:spacing w:line="480" w:lineRule="auto"/>
        <w:ind w:firstLine="720"/>
        <w:jc w:val="both"/>
        <w:rPr>
          <w:rFonts w:ascii="Times New Roman" w:hAnsi="Times New Roman" w:cs="Times New Roman"/>
          <w:sz w:val="24"/>
          <w:szCs w:val="24"/>
          <w:lang w:eastAsia="zh-CN"/>
        </w:rPr>
      </w:pPr>
    </w:p>
    <w:p w:rsidR="00380A6F" w:rsidRPr="004211B7" w:rsidRDefault="00380A6F" w:rsidP="004211B7">
      <w:pPr>
        <w:pStyle w:val="Akapitzlist"/>
        <w:numPr>
          <w:ilvl w:val="0"/>
          <w:numId w:val="13"/>
        </w:numPr>
        <w:spacing w:line="480" w:lineRule="auto"/>
        <w:jc w:val="both"/>
        <w:rPr>
          <w:rFonts w:ascii="Times New Roman" w:hAnsi="Times New Roman" w:cs="Times New Roman"/>
          <w:b/>
          <w:bCs/>
          <w:sz w:val="24"/>
          <w:szCs w:val="24"/>
        </w:rPr>
      </w:pPr>
      <w:r w:rsidRPr="004211B7">
        <w:rPr>
          <w:rFonts w:ascii="Times New Roman" w:hAnsi="Times New Roman" w:cs="Times New Roman"/>
          <w:b/>
          <w:bCs/>
          <w:sz w:val="24"/>
          <w:szCs w:val="24"/>
        </w:rPr>
        <w:t>The Influence of Narratives</w:t>
      </w:r>
    </w:p>
    <w:p w:rsidR="00D80798" w:rsidRDefault="00E221CE" w:rsidP="003A3910">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To gain </w:t>
      </w:r>
      <w:r w:rsidR="006862C5">
        <w:rPr>
          <w:rFonts w:ascii="Times New Roman" w:hAnsi="Times New Roman" w:cs="Times New Roman"/>
          <w:sz w:val="24"/>
          <w:szCs w:val="24"/>
        </w:rPr>
        <w:t xml:space="preserve">a </w:t>
      </w:r>
      <w:r>
        <w:rPr>
          <w:rFonts w:ascii="Times New Roman" w:hAnsi="Times New Roman" w:cs="Times New Roman"/>
          <w:sz w:val="24"/>
          <w:szCs w:val="24"/>
        </w:rPr>
        <w:t xml:space="preserve">better understanding of </w:t>
      </w:r>
      <w:r w:rsidR="003A3910">
        <w:rPr>
          <w:rFonts w:ascii="Times New Roman" w:hAnsi="Times New Roman" w:cs="Times New Roman"/>
          <w:sz w:val="24"/>
          <w:szCs w:val="24"/>
        </w:rPr>
        <w:t>the</w:t>
      </w:r>
      <w:r w:rsidR="00380A6F" w:rsidRPr="005D42BA">
        <w:rPr>
          <w:rFonts w:ascii="Times New Roman" w:hAnsi="Times New Roman" w:cs="Times New Roman"/>
          <w:sz w:val="24"/>
          <w:szCs w:val="24"/>
        </w:rPr>
        <w:t xml:space="preserve"> association between the positiveness of narratives a</w:t>
      </w:r>
      <w:r w:rsidR="00CF6BB0" w:rsidRPr="005D42BA">
        <w:rPr>
          <w:rFonts w:ascii="Times New Roman" w:hAnsi="Times New Roman" w:cs="Times New Roman"/>
          <w:sz w:val="24"/>
          <w:szCs w:val="24"/>
        </w:rPr>
        <w:t>nd market response</w:t>
      </w:r>
      <w:r w:rsidR="00380A6F" w:rsidRPr="005D42BA">
        <w:rPr>
          <w:rFonts w:ascii="Times New Roman" w:hAnsi="Times New Roman" w:cs="Times New Roman"/>
          <w:sz w:val="24"/>
          <w:szCs w:val="24"/>
        </w:rPr>
        <w:t xml:space="preserve">, </w:t>
      </w:r>
      <w:r>
        <w:rPr>
          <w:rFonts w:ascii="Times New Roman" w:hAnsi="Times New Roman" w:cs="Times New Roman"/>
          <w:sz w:val="24"/>
          <w:szCs w:val="24"/>
        </w:rPr>
        <w:t>we de</w:t>
      </w:r>
      <w:r w:rsidR="003A3910">
        <w:rPr>
          <w:rFonts w:ascii="Times New Roman" w:hAnsi="Times New Roman" w:cs="Times New Roman"/>
          <w:sz w:val="24"/>
          <w:szCs w:val="24"/>
        </w:rPr>
        <w:t>ploy</w:t>
      </w:r>
      <w:r>
        <w:rPr>
          <w:rFonts w:ascii="Times New Roman" w:hAnsi="Times New Roman" w:cs="Times New Roman"/>
          <w:sz w:val="24"/>
          <w:szCs w:val="24"/>
        </w:rPr>
        <w:t xml:space="preserve"> a theoretical framework that addresses the </w:t>
      </w:r>
      <w:r w:rsidR="00380A6F" w:rsidRPr="005D42BA">
        <w:rPr>
          <w:rFonts w:ascii="Times New Roman" w:hAnsi="Times New Roman" w:cs="Times New Roman"/>
          <w:sz w:val="24"/>
          <w:szCs w:val="24"/>
        </w:rPr>
        <w:t>potential underpinning mechanisms</w:t>
      </w:r>
      <w:r>
        <w:rPr>
          <w:rFonts w:ascii="Times New Roman" w:hAnsi="Times New Roman" w:cs="Times New Roman"/>
          <w:sz w:val="24"/>
          <w:szCs w:val="24"/>
        </w:rPr>
        <w:t xml:space="preserve"> of this phenomenon</w:t>
      </w:r>
      <w:r w:rsidR="00380A6F" w:rsidRPr="005D42BA">
        <w:rPr>
          <w:rFonts w:ascii="Times New Roman" w:hAnsi="Times New Roman" w:cs="Times New Roman"/>
          <w:sz w:val="24"/>
          <w:szCs w:val="24"/>
        </w:rPr>
        <w:t>.</w:t>
      </w:r>
      <w:r>
        <w:rPr>
          <w:rFonts w:ascii="Times New Roman" w:hAnsi="Times New Roman" w:cs="Times New Roman"/>
          <w:sz w:val="24"/>
          <w:szCs w:val="24"/>
        </w:rPr>
        <w:t xml:space="preserve"> </w:t>
      </w:r>
      <w:r w:rsidR="001B7FB7">
        <w:rPr>
          <w:rFonts w:ascii="Times New Roman" w:hAnsi="Times New Roman" w:cs="Times New Roman"/>
          <w:sz w:val="24"/>
          <w:szCs w:val="24"/>
        </w:rPr>
        <w:t xml:space="preserve">Research </w:t>
      </w:r>
      <w:r w:rsidR="00641870">
        <w:rPr>
          <w:rFonts w:ascii="Times New Roman" w:hAnsi="Times New Roman" w:cs="Times New Roman"/>
          <w:sz w:val="24"/>
          <w:szCs w:val="24"/>
        </w:rPr>
        <w:t xml:space="preserve">focusing on the economic utility </w:t>
      </w:r>
      <w:r w:rsidR="006F445E">
        <w:rPr>
          <w:rFonts w:ascii="Times New Roman" w:hAnsi="Times New Roman" w:cs="Times New Roman"/>
          <w:sz w:val="24"/>
          <w:szCs w:val="24"/>
        </w:rPr>
        <w:t xml:space="preserve">that </w:t>
      </w:r>
      <w:r w:rsidR="00641870">
        <w:rPr>
          <w:rFonts w:ascii="Times New Roman" w:hAnsi="Times New Roman" w:cs="Times New Roman"/>
          <w:sz w:val="24"/>
          <w:szCs w:val="24"/>
        </w:rPr>
        <w:t xml:space="preserve">investors receive from qualitative disclosures finds that tone conveys decision-relevant information. For example, </w:t>
      </w:r>
      <w:r w:rsidR="005C0A12">
        <w:rPr>
          <w:rFonts w:ascii="Times New Roman" w:hAnsi="Times New Roman" w:cs="Times New Roman"/>
          <w:sz w:val="24"/>
          <w:szCs w:val="24"/>
        </w:rPr>
        <w:t>Li (2010) finds an association between tone and future earnings</w:t>
      </w:r>
      <w:r w:rsidR="003A3910">
        <w:rPr>
          <w:rFonts w:ascii="Times New Roman" w:hAnsi="Times New Roman" w:cs="Times New Roman"/>
          <w:sz w:val="24"/>
          <w:szCs w:val="24"/>
        </w:rPr>
        <w:t xml:space="preserve">, while </w:t>
      </w:r>
      <w:r w:rsidR="00641870">
        <w:rPr>
          <w:rFonts w:ascii="Times New Roman" w:hAnsi="Times New Roman" w:cs="Times New Roman"/>
          <w:sz w:val="24"/>
          <w:szCs w:val="24"/>
        </w:rPr>
        <w:t xml:space="preserve">Davis </w:t>
      </w:r>
      <w:r w:rsidR="00641870" w:rsidRPr="003A3910">
        <w:rPr>
          <w:rFonts w:ascii="Times New Roman" w:hAnsi="Times New Roman" w:cs="Times New Roman"/>
          <w:i/>
          <w:sz w:val="24"/>
          <w:szCs w:val="24"/>
        </w:rPr>
        <w:t>et al</w:t>
      </w:r>
      <w:r w:rsidR="003A3910" w:rsidRPr="003A3910">
        <w:rPr>
          <w:rFonts w:ascii="Times New Roman" w:hAnsi="Times New Roman" w:cs="Times New Roman"/>
          <w:i/>
          <w:sz w:val="24"/>
          <w:szCs w:val="24"/>
        </w:rPr>
        <w:t>.</w:t>
      </w:r>
      <w:r w:rsidR="00641870">
        <w:rPr>
          <w:rFonts w:ascii="Times New Roman" w:hAnsi="Times New Roman" w:cs="Times New Roman"/>
          <w:sz w:val="24"/>
          <w:szCs w:val="24"/>
        </w:rPr>
        <w:t xml:space="preserve"> (2012) show that managers use language to signal expectations </w:t>
      </w:r>
      <w:r w:rsidR="005C0A12">
        <w:rPr>
          <w:rFonts w:ascii="Times New Roman" w:hAnsi="Times New Roman" w:cs="Times New Roman"/>
          <w:sz w:val="24"/>
          <w:szCs w:val="24"/>
        </w:rPr>
        <w:t xml:space="preserve">about the firm’s </w:t>
      </w:r>
      <w:r w:rsidR="00641870">
        <w:rPr>
          <w:rFonts w:ascii="Times New Roman" w:hAnsi="Times New Roman" w:cs="Times New Roman"/>
          <w:sz w:val="24"/>
          <w:szCs w:val="24"/>
        </w:rPr>
        <w:t>performance.</w:t>
      </w:r>
      <w:r w:rsidR="00B35CCB">
        <w:rPr>
          <w:rFonts w:ascii="Times New Roman" w:hAnsi="Times New Roman" w:cs="Times New Roman"/>
          <w:sz w:val="24"/>
          <w:szCs w:val="24"/>
        </w:rPr>
        <w:t xml:space="preserve"> We wish to theorise how this information is incorporated and utilised in the investor’s decision</w:t>
      </w:r>
      <w:r w:rsidR="003A3910">
        <w:rPr>
          <w:rFonts w:ascii="Times New Roman" w:hAnsi="Times New Roman" w:cs="Times New Roman"/>
          <w:sz w:val="24"/>
          <w:szCs w:val="24"/>
        </w:rPr>
        <w:t>-</w:t>
      </w:r>
      <w:r w:rsidR="00B35CCB">
        <w:rPr>
          <w:rFonts w:ascii="Times New Roman" w:hAnsi="Times New Roman" w:cs="Times New Roman"/>
          <w:sz w:val="24"/>
          <w:szCs w:val="24"/>
        </w:rPr>
        <w:t>making</w:t>
      </w:r>
      <w:r w:rsidR="003A3910">
        <w:rPr>
          <w:rFonts w:ascii="Times New Roman" w:hAnsi="Times New Roman" w:cs="Times New Roman"/>
          <w:sz w:val="24"/>
          <w:szCs w:val="24"/>
        </w:rPr>
        <w:t>, which we regard</w:t>
      </w:r>
      <w:r w:rsidR="00B35CCB">
        <w:rPr>
          <w:rFonts w:ascii="Times New Roman" w:hAnsi="Times New Roman" w:cs="Times New Roman"/>
          <w:sz w:val="24"/>
          <w:szCs w:val="24"/>
        </w:rPr>
        <w:t xml:space="preserve"> in this context </w:t>
      </w:r>
      <w:r w:rsidR="00E56F55">
        <w:rPr>
          <w:rFonts w:ascii="Times New Roman" w:hAnsi="Times New Roman" w:cs="Times New Roman"/>
          <w:sz w:val="24"/>
          <w:szCs w:val="24"/>
        </w:rPr>
        <w:t xml:space="preserve">to be </w:t>
      </w:r>
      <w:r w:rsidR="00B35CCB">
        <w:rPr>
          <w:rFonts w:ascii="Times New Roman" w:hAnsi="Times New Roman" w:cs="Times New Roman"/>
          <w:sz w:val="24"/>
          <w:szCs w:val="24"/>
        </w:rPr>
        <w:t>primarily a cognitive process. That is, although the environment in which decision</w:t>
      </w:r>
      <w:r w:rsidR="007905DD">
        <w:rPr>
          <w:rFonts w:ascii="Times New Roman" w:hAnsi="Times New Roman" w:cs="Times New Roman"/>
          <w:sz w:val="24"/>
          <w:szCs w:val="24"/>
        </w:rPr>
        <w:t>s</w:t>
      </w:r>
      <w:r w:rsidR="00B35CCB">
        <w:rPr>
          <w:rFonts w:ascii="Times New Roman" w:hAnsi="Times New Roman" w:cs="Times New Roman"/>
          <w:sz w:val="24"/>
          <w:szCs w:val="24"/>
        </w:rPr>
        <w:t xml:space="preserve"> are taken </w:t>
      </w:r>
      <w:r w:rsidR="00C83F5B">
        <w:rPr>
          <w:rFonts w:ascii="Times New Roman" w:hAnsi="Times New Roman" w:cs="Times New Roman"/>
          <w:sz w:val="24"/>
          <w:szCs w:val="24"/>
        </w:rPr>
        <w:t xml:space="preserve">may </w:t>
      </w:r>
      <w:r w:rsidR="00E56F55">
        <w:rPr>
          <w:rFonts w:ascii="Times New Roman" w:hAnsi="Times New Roman" w:cs="Times New Roman"/>
          <w:sz w:val="24"/>
          <w:szCs w:val="24"/>
        </w:rPr>
        <w:t>sometimes</w:t>
      </w:r>
      <w:r w:rsidR="006862C5">
        <w:rPr>
          <w:rFonts w:ascii="Times New Roman" w:hAnsi="Times New Roman" w:cs="Times New Roman"/>
          <w:sz w:val="24"/>
          <w:szCs w:val="24"/>
        </w:rPr>
        <w:t xml:space="preserve"> be</w:t>
      </w:r>
      <w:r w:rsidR="00E56F55">
        <w:rPr>
          <w:rFonts w:ascii="Times New Roman" w:hAnsi="Times New Roman" w:cs="Times New Roman"/>
          <w:sz w:val="24"/>
          <w:szCs w:val="24"/>
        </w:rPr>
        <w:t xml:space="preserve"> </w:t>
      </w:r>
      <w:r w:rsidR="00B35CCB">
        <w:rPr>
          <w:rFonts w:ascii="Times New Roman" w:hAnsi="Times New Roman" w:cs="Times New Roman"/>
          <w:sz w:val="24"/>
          <w:szCs w:val="24"/>
        </w:rPr>
        <w:t>comprise</w:t>
      </w:r>
      <w:r w:rsidR="00C83F5B">
        <w:rPr>
          <w:rFonts w:ascii="Times New Roman" w:hAnsi="Times New Roman" w:cs="Times New Roman"/>
          <w:sz w:val="24"/>
          <w:szCs w:val="24"/>
        </w:rPr>
        <w:t xml:space="preserve">d </w:t>
      </w:r>
      <w:r w:rsidR="00B35CCB">
        <w:rPr>
          <w:rFonts w:ascii="Times New Roman" w:hAnsi="Times New Roman" w:cs="Times New Roman"/>
          <w:sz w:val="24"/>
          <w:szCs w:val="24"/>
        </w:rPr>
        <w:t xml:space="preserve">of groups of investors, the </w:t>
      </w:r>
      <w:r w:rsidR="00E56F55">
        <w:rPr>
          <w:rFonts w:ascii="Times New Roman" w:hAnsi="Times New Roman" w:cs="Times New Roman"/>
          <w:sz w:val="24"/>
          <w:szCs w:val="24"/>
        </w:rPr>
        <w:t xml:space="preserve">activity of reading </w:t>
      </w:r>
      <w:r w:rsidR="00C83F5B">
        <w:rPr>
          <w:rFonts w:ascii="Times New Roman" w:hAnsi="Times New Roman" w:cs="Times New Roman"/>
          <w:sz w:val="24"/>
          <w:szCs w:val="24"/>
        </w:rPr>
        <w:t>the narrative is essentially an individual cognitive process. Following this</w:t>
      </w:r>
      <w:r w:rsidR="00380A6F" w:rsidRPr="005D42BA">
        <w:rPr>
          <w:rFonts w:ascii="Times New Roman" w:hAnsi="Times New Roman" w:cs="Times New Roman"/>
          <w:sz w:val="24"/>
          <w:szCs w:val="24"/>
        </w:rPr>
        <w:t>, we mobilize theories from cognitive psych</w:t>
      </w:r>
      <w:r w:rsidR="008141E0">
        <w:rPr>
          <w:rFonts w:ascii="Times New Roman" w:hAnsi="Times New Roman" w:cs="Times New Roman"/>
          <w:sz w:val="24"/>
          <w:szCs w:val="24"/>
        </w:rPr>
        <w:t xml:space="preserve">ology that posit that </w:t>
      </w:r>
      <w:r w:rsidR="006862C5">
        <w:rPr>
          <w:rFonts w:ascii="Times New Roman" w:hAnsi="Times New Roman" w:cs="Times New Roman"/>
          <w:sz w:val="24"/>
          <w:szCs w:val="24"/>
        </w:rPr>
        <w:t xml:space="preserve">the </w:t>
      </w:r>
      <w:r w:rsidR="008141E0">
        <w:rPr>
          <w:rFonts w:ascii="Times New Roman" w:hAnsi="Times New Roman" w:cs="Times New Roman"/>
          <w:sz w:val="24"/>
          <w:szCs w:val="24"/>
        </w:rPr>
        <w:t>tone</w:t>
      </w:r>
      <w:r w:rsidR="00380A6F" w:rsidRPr="005D42BA">
        <w:rPr>
          <w:rFonts w:ascii="Times New Roman" w:hAnsi="Times New Roman" w:cs="Times New Roman"/>
          <w:sz w:val="24"/>
          <w:szCs w:val="24"/>
        </w:rPr>
        <w:t xml:space="preserve"> incorporated in managerial</w:t>
      </w:r>
      <w:r w:rsidR="00BE49B4" w:rsidRPr="005D42BA">
        <w:rPr>
          <w:rFonts w:ascii="Times New Roman" w:hAnsi="Times New Roman" w:cs="Times New Roman"/>
          <w:sz w:val="24"/>
          <w:szCs w:val="24"/>
        </w:rPr>
        <w:t xml:space="preserve"> qualitative disclosures</w:t>
      </w:r>
      <w:r w:rsidR="00380A6F" w:rsidRPr="005D42BA">
        <w:rPr>
          <w:rFonts w:ascii="Times New Roman" w:hAnsi="Times New Roman" w:cs="Times New Roman"/>
          <w:sz w:val="24"/>
          <w:szCs w:val="24"/>
        </w:rPr>
        <w:t xml:space="preserve">, such as </w:t>
      </w:r>
      <w:r w:rsidR="00BE49B4" w:rsidRPr="005D42BA">
        <w:rPr>
          <w:rFonts w:ascii="Times New Roman" w:hAnsi="Times New Roman" w:cs="Times New Roman"/>
          <w:sz w:val="24"/>
          <w:szCs w:val="24"/>
        </w:rPr>
        <w:t xml:space="preserve">those contained in </w:t>
      </w:r>
      <w:r w:rsidR="00380A6F" w:rsidRPr="005D42BA">
        <w:rPr>
          <w:rFonts w:ascii="Times New Roman" w:hAnsi="Times New Roman" w:cs="Times New Roman"/>
          <w:sz w:val="24"/>
          <w:szCs w:val="24"/>
        </w:rPr>
        <w:t>annual reports, influence</w:t>
      </w:r>
      <w:r w:rsidR="003010D9">
        <w:rPr>
          <w:rFonts w:ascii="Times New Roman" w:hAnsi="Times New Roman" w:cs="Times New Roman"/>
          <w:sz w:val="24"/>
          <w:szCs w:val="24"/>
        </w:rPr>
        <w:t>s</w:t>
      </w:r>
      <w:r w:rsidR="00380A6F" w:rsidRPr="005D42BA">
        <w:rPr>
          <w:rFonts w:ascii="Times New Roman" w:hAnsi="Times New Roman" w:cs="Times New Roman"/>
          <w:sz w:val="24"/>
          <w:szCs w:val="24"/>
        </w:rPr>
        <w:t xml:space="preserve"> attitude change (</w:t>
      </w:r>
      <w:proofErr w:type="spellStart"/>
      <w:r w:rsidR="00380A6F" w:rsidRPr="005D42BA">
        <w:rPr>
          <w:rFonts w:ascii="Times New Roman" w:hAnsi="Times New Roman" w:cs="Times New Roman"/>
          <w:sz w:val="24"/>
          <w:szCs w:val="24"/>
        </w:rPr>
        <w:t>Ajzen</w:t>
      </w:r>
      <w:proofErr w:type="spellEnd"/>
      <w:r w:rsidR="00380A6F" w:rsidRPr="005D42BA">
        <w:rPr>
          <w:rFonts w:ascii="Times New Roman" w:hAnsi="Times New Roman" w:cs="Times New Roman"/>
          <w:sz w:val="24"/>
          <w:szCs w:val="24"/>
        </w:rPr>
        <w:t xml:space="preserve"> &amp; </w:t>
      </w:r>
      <w:proofErr w:type="spellStart"/>
      <w:r w:rsidR="00380A6F" w:rsidRPr="005D42BA">
        <w:rPr>
          <w:rFonts w:ascii="Times New Roman" w:hAnsi="Times New Roman" w:cs="Times New Roman"/>
          <w:sz w:val="24"/>
          <w:szCs w:val="24"/>
        </w:rPr>
        <w:t>Fishbein</w:t>
      </w:r>
      <w:proofErr w:type="spellEnd"/>
      <w:r w:rsidR="00380A6F" w:rsidRPr="005D42BA">
        <w:rPr>
          <w:rFonts w:ascii="Times New Roman" w:hAnsi="Times New Roman" w:cs="Times New Roman"/>
          <w:sz w:val="24"/>
          <w:szCs w:val="24"/>
        </w:rPr>
        <w:t xml:space="preserve">, 2000; </w:t>
      </w:r>
      <w:proofErr w:type="spellStart"/>
      <w:r w:rsidR="00380A6F" w:rsidRPr="005D42BA">
        <w:rPr>
          <w:rFonts w:ascii="Times New Roman" w:hAnsi="Times New Roman" w:cs="Times New Roman"/>
          <w:sz w:val="24"/>
          <w:szCs w:val="24"/>
        </w:rPr>
        <w:t>Crano</w:t>
      </w:r>
      <w:proofErr w:type="spellEnd"/>
      <w:r w:rsidR="00380A6F" w:rsidRPr="005D42BA">
        <w:rPr>
          <w:rFonts w:ascii="Times New Roman" w:hAnsi="Times New Roman" w:cs="Times New Roman"/>
          <w:sz w:val="24"/>
          <w:szCs w:val="24"/>
        </w:rPr>
        <w:t xml:space="preserve"> &amp; </w:t>
      </w:r>
      <w:proofErr w:type="spellStart"/>
      <w:r w:rsidR="00380A6F" w:rsidRPr="005D42BA">
        <w:rPr>
          <w:rFonts w:ascii="Times New Roman" w:hAnsi="Times New Roman" w:cs="Times New Roman"/>
          <w:sz w:val="24"/>
          <w:szCs w:val="24"/>
        </w:rPr>
        <w:t>Prislin</w:t>
      </w:r>
      <w:proofErr w:type="spellEnd"/>
      <w:r w:rsidR="00380A6F" w:rsidRPr="005D42BA">
        <w:rPr>
          <w:rFonts w:ascii="Times New Roman" w:hAnsi="Times New Roman" w:cs="Times New Roman"/>
          <w:sz w:val="24"/>
          <w:szCs w:val="24"/>
        </w:rPr>
        <w:t xml:space="preserve">, 2006; </w:t>
      </w:r>
      <w:proofErr w:type="spellStart"/>
      <w:r w:rsidR="00380A6F" w:rsidRPr="005D42BA">
        <w:rPr>
          <w:rFonts w:ascii="Times New Roman" w:hAnsi="Times New Roman" w:cs="Times New Roman"/>
          <w:sz w:val="24"/>
          <w:szCs w:val="24"/>
        </w:rPr>
        <w:t>Perloff</w:t>
      </w:r>
      <w:proofErr w:type="spellEnd"/>
      <w:r w:rsidR="00380A6F" w:rsidRPr="005D42BA">
        <w:rPr>
          <w:rFonts w:ascii="Times New Roman" w:hAnsi="Times New Roman" w:cs="Times New Roman"/>
          <w:sz w:val="24"/>
          <w:szCs w:val="24"/>
        </w:rPr>
        <w:t xml:space="preserve">, 2010). </w:t>
      </w:r>
    </w:p>
    <w:p w:rsidR="00380A6F" w:rsidRPr="005D42BA" w:rsidRDefault="00380A6F" w:rsidP="00380A6F">
      <w:pPr>
        <w:spacing w:line="480" w:lineRule="auto"/>
        <w:ind w:firstLine="720"/>
        <w:rPr>
          <w:rFonts w:ascii="Times New Roman" w:hAnsi="Times New Roman" w:cs="Times New Roman"/>
          <w:sz w:val="24"/>
          <w:szCs w:val="24"/>
        </w:rPr>
      </w:pPr>
      <w:r w:rsidRPr="005D42BA">
        <w:rPr>
          <w:rFonts w:ascii="Times New Roman" w:hAnsi="Times New Roman" w:cs="Times New Roman"/>
          <w:sz w:val="24"/>
          <w:szCs w:val="24"/>
        </w:rPr>
        <w:lastRenderedPageBreak/>
        <w:t>The influence potential of texts is regarded primarily in psychology as informational influence, which is seen as cognitive responses to persuasive messages (Petty</w:t>
      </w:r>
      <w:r w:rsidR="0095090F">
        <w:rPr>
          <w:rFonts w:ascii="Times New Roman" w:hAnsi="Times New Roman" w:cs="Times New Roman"/>
          <w:sz w:val="24"/>
          <w:szCs w:val="24"/>
        </w:rPr>
        <w:t xml:space="preserve">, </w:t>
      </w:r>
      <w:proofErr w:type="spellStart"/>
      <w:r w:rsidR="0095090F">
        <w:rPr>
          <w:rFonts w:ascii="Times New Roman" w:hAnsi="Times New Roman" w:cs="Times New Roman"/>
          <w:sz w:val="24"/>
          <w:szCs w:val="24"/>
          <w:shd w:val="clear" w:color="auto" w:fill="FFFFFF"/>
        </w:rPr>
        <w:t>Cacioppo</w:t>
      </w:r>
      <w:proofErr w:type="spellEnd"/>
      <w:r w:rsidR="0095090F">
        <w:rPr>
          <w:rFonts w:ascii="Times New Roman" w:hAnsi="Times New Roman" w:cs="Times New Roman"/>
          <w:sz w:val="24"/>
          <w:szCs w:val="24"/>
          <w:shd w:val="clear" w:color="auto" w:fill="FFFFFF"/>
        </w:rPr>
        <w:t>, &amp;</w:t>
      </w:r>
      <w:r w:rsidR="0095090F" w:rsidRPr="005D42BA">
        <w:rPr>
          <w:rFonts w:ascii="Times New Roman" w:hAnsi="Times New Roman" w:cs="Times New Roman"/>
          <w:sz w:val="24"/>
          <w:szCs w:val="24"/>
          <w:shd w:val="clear" w:color="auto" w:fill="FFFFFF"/>
        </w:rPr>
        <w:t xml:space="preserve"> Schumann</w:t>
      </w:r>
      <w:r w:rsidRPr="005D42BA">
        <w:rPr>
          <w:rFonts w:ascii="Times New Roman" w:hAnsi="Times New Roman" w:cs="Times New Roman"/>
          <w:sz w:val="24"/>
          <w:szCs w:val="24"/>
        </w:rPr>
        <w:t xml:space="preserve">, 1983). According to the Elaboration Likelihood Model (ELM) put forward by Petty </w:t>
      </w:r>
      <w:r w:rsidR="0095090F">
        <w:rPr>
          <w:rFonts w:ascii="Times New Roman" w:hAnsi="Times New Roman" w:cs="Times New Roman"/>
          <w:sz w:val="24"/>
          <w:szCs w:val="24"/>
        </w:rPr>
        <w:t>and</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Cacioppo</w:t>
      </w:r>
      <w:proofErr w:type="spellEnd"/>
      <w:r w:rsidRPr="005D42BA">
        <w:rPr>
          <w:rFonts w:ascii="Times New Roman" w:hAnsi="Times New Roman" w:cs="Times New Roman"/>
          <w:sz w:val="24"/>
          <w:szCs w:val="24"/>
        </w:rPr>
        <w:t xml:space="preserve"> (1986), when actors are exposed to potentially persuasive communication and when they are attentive to this message, they engage in a cognitive structure change. This process encourages the creation of new cognitions that may </w:t>
      </w:r>
      <w:r w:rsidR="006E7788" w:rsidRPr="005D42BA">
        <w:rPr>
          <w:rFonts w:ascii="Times New Roman" w:hAnsi="Times New Roman" w:cs="Times New Roman"/>
          <w:sz w:val="24"/>
          <w:szCs w:val="24"/>
        </w:rPr>
        <w:t xml:space="preserve">then </w:t>
      </w:r>
      <w:r w:rsidRPr="005D42BA">
        <w:rPr>
          <w:rFonts w:ascii="Times New Roman" w:hAnsi="Times New Roman" w:cs="Times New Roman"/>
          <w:sz w:val="24"/>
          <w:szCs w:val="24"/>
        </w:rPr>
        <w:t xml:space="preserve">be adopted and stored in memory and, as a result, different responses </w:t>
      </w:r>
      <w:r w:rsidR="006862C5">
        <w:rPr>
          <w:rFonts w:ascii="Times New Roman" w:hAnsi="Times New Roman" w:cs="Times New Roman"/>
          <w:sz w:val="24"/>
          <w:szCs w:val="24"/>
        </w:rPr>
        <w:t>become</w:t>
      </w:r>
      <w:r w:rsidRPr="005D42BA">
        <w:rPr>
          <w:rFonts w:ascii="Times New Roman" w:hAnsi="Times New Roman" w:cs="Times New Roman"/>
          <w:sz w:val="24"/>
          <w:szCs w:val="24"/>
        </w:rPr>
        <w:t xml:space="preserve"> more salient than previously (</w:t>
      </w:r>
      <w:proofErr w:type="spellStart"/>
      <w:r w:rsidRPr="005D42BA">
        <w:rPr>
          <w:rFonts w:ascii="Times New Roman" w:hAnsi="Times New Roman" w:cs="Times New Roman"/>
          <w:sz w:val="24"/>
          <w:szCs w:val="24"/>
        </w:rPr>
        <w:t>Sussman</w:t>
      </w:r>
      <w:proofErr w:type="spellEnd"/>
      <w:r w:rsidRPr="005D42BA">
        <w:rPr>
          <w:rFonts w:ascii="Times New Roman" w:hAnsi="Times New Roman" w:cs="Times New Roman"/>
          <w:sz w:val="24"/>
          <w:szCs w:val="24"/>
        </w:rPr>
        <w:t xml:space="preserve"> &amp; </w:t>
      </w:r>
      <w:proofErr w:type="spellStart"/>
      <w:r w:rsidRPr="005D42BA">
        <w:rPr>
          <w:rFonts w:ascii="Times New Roman" w:hAnsi="Times New Roman" w:cs="Times New Roman"/>
          <w:sz w:val="24"/>
          <w:szCs w:val="24"/>
        </w:rPr>
        <w:t>Si</w:t>
      </w:r>
      <w:r w:rsidR="009B347D">
        <w:rPr>
          <w:rFonts w:ascii="Times New Roman" w:hAnsi="Times New Roman" w:cs="Times New Roman"/>
          <w:sz w:val="24"/>
          <w:szCs w:val="24"/>
        </w:rPr>
        <w:t>egal</w:t>
      </w:r>
      <w:proofErr w:type="spellEnd"/>
      <w:r w:rsidR="009B347D">
        <w:rPr>
          <w:rFonts w:ascii="Times New Roman" w:hAnsi="Times New Roman" w:cs="Times New Roman"/>
          <w:sz w:val="24"/>
          <w:szCs w:val="24"/>
        </w:rPr>
        <w:t xml:space="preserve"> 2003; Petty &amp; </w:t>
      </w:r>
      <w:proofErr w:type="spellStart"/>
      <w:r w:rsidR="009B347D">
        <w:rPr>
          <w:rFonts w:ascii="Times New Roman" w:hAnsi="Times New Roman" w:cs="Times New Roman"/>
          <w:sz w:val="24"/>
          <w:szCs w:val="24"/>
        </w:rPr>
        <w:t>Cacioppo</w:t>
      </w:r>
      <w:proofErr w:type="spellEnd"/>
      <w:r w:rsidR="009B347D">
        <w:rPr>
          <w:rFonts w:ascii="Times New Roman" w:hAnsi="Times New Roman" w:cs="Times New Roman"/>
          <w:sz w:val="24"/>
          <w:szCs w:val="24"/>
        </w:rPr>
        <w:t xml:space="preserve"> 2011</w:t>
      </w:r>
      <w:r w:rsidRPr="005D42BA">
        <w:rPr>
          <w:rFonts w:ascii="Times New Roman" w:hAnsi="Times New Roman" w:cs="Times New Roman"/>
          <w:sz w:val="24"/>
          <w:szCs w:val="24"/>
        </w:rPr>
        <w:t>). Put differently, influence is conceptualized as a cumulative series of signals in the text that, when read by the actor, gradually brings about co</w:t>
      </w:r>
      <w:r w:rsidR="006E7788" w:rsidRPr="005D42BA">
        <w:rPr>
          <w:rFonts w:ascii="Times New Roman" w:hAnsi="Times New Roman" w:cs="Times New Roman"/>
          <w:sz w:val="24"/>
          <w:szCs w:val="24"/>
        </w:rPr>
        <w:t>gnitive structure change and a</w:t>
      </w:r>
      <w:r w:rsidRPr="005D42BA">
        <w:rPr>
          <w:rFonts w:ascii="Times New Roman" w:hAnsi="Times New Roman" w:cs="Times New Roman"/>
          <w:sz w:val="24"/>
          <w:szCs w:val="24"/>
        </w:rPr>
        <w:t xml:space="preserve"> change in attitude.</w:t>
      </w:r>
    </w:p>
    <w:p w:rsidR="00380A6F" w:rsidRPr="00E56F55" w:rsidRDefault="00380A6F" w:rsidP="00380A6F">
      <w:pPr>
        <w:spacing w:line="480" w:lineRule="auto"/>
        <w:ind w:firstLine="720"/>
        <w:rPr>
          <w:rFonts w:ascii="Times New Roman" w:hAnsi="Times New Roman" w:cs="Times New Roman"/>
          <w:sz w:val="24"/>
          <w:szCs w:val="24"/>
        </w:rPr>
      </w:pPr>
      <w:r w:rsidRPr="005D42BA">
        <w:rPr>
          <w:rFonts w:ascii="Times New Roman" w:hAnsi="Times New Roman" w:cs="Times New Roman"/>
          <w:sz w:val="24"/>
          <w:szCs w:val="24"/>
        </w:rPr>
        <w:t xml:space="preserve">Further findings from experimental psychology and marketing are also relevant. Wilson and Miller (1968) document that repeated arguments become more persuasive, while Weiss (1969) finds that repeated exposure to a message is related to a higher degree of opinion formation. </w:t>
      </w:r>
      <w:r w:rsidR="006E7788" w:rsidRPr="005D42BA">
        <w:rPr>
          <w:rFonts w:ascii="Times New Roman" w:hAnsi="Times New Roman" w:cs="Times New Roman"/>
          <w:sz w:val="24"/>
          <w:szCs w:val="24"/>
        </w:rPr>
        <w:t>C</w:t>
      </w:r>
      <w:r w:rsidRPr="005D42BA">
        <w:rPr>
          <w:rFonts w:ascii="Times New Roman" w:hAnsi="Times New Roman" w:cs="Times New Roman"/>
          <w:sz w:val="24"/>
          <w:szCs w:val="24"/>
        </w:rPr>
        <w:t xml:space="preserve">ommenting on the existing literature, </w:t>
      </w:r>
      <w:proofErr w:type="spellStart"/>
      <w:r w:rsidRPr="005D42BA">
        <w:rPr>
          <w:rFonts w:ascii="Times New Roman" w:hAnsi="Times New Roman" w:cs="Times New Roman"/>
          <w:sz w:val="24"/>
          <w:szCs w:val="24"/>
        </w:rPr>
        <w:t>Mal</w:t>
      </w:r>
      <w:r w:rsidR="00775386" w:rsidRPr="005D42BA">
        <w:rPr>
          <w:rFonts w:ascii="Times New Roman" w:hAnsi="Times New Roman" w:cs="Times New Roman"/>
          <w:sz w:val="24"/>
          <w:szCs w:val="24"/>
        </w:rPr>
        <w:t>a</w:t>
      </w:r>
      <w:r w:rsidRPr="005D42BA">
        <w:rPr>
          <w:rFonts w:ascii="Times New Roman" w:hAnsi="Times New Roman" w:cs="Times New Roman"/>
          <w:sz w:val="24"/>
          <w:szCs w:val="24"/>
        </w:rPr>
        <w:t>viya</w:t>
      </w:r>
      <w:proofErr w:type="spellEnd"/>
      <w:r w:rsidR="0095090F">
        <w:rPr>
          <w:rFonts w:ascii="Times New Roman" w:hAnsi="Times New Roman" w:cs="Times New Roman"/>
          <w:sz w:val="24"/>
          <w:szCs w:val="24"/>
        </w:rPr>
        <w:t xml:space="preserve">, </w:t>
      </w:r>
      <w:r w:rsidR="0095090F" w:rsidRPr="005D42BA">
        <w:rPr>
          <w:rFonts w:ascii="Times New Roman" w:eastAsia="Times New Roman" w:hAnsi="Times New Roman" w:cs="Times New Roman"/>
          <w:sz w:val="24"/>
          <w:szCs w:val="24"/>
          <w:lang w:eastAsia="en-GB"/>
        </w:rPr>
        <w:t>Meyers</w:t>
      </w:r>
      <w:r w:rsidR="0095090F" w:rsidRPr="005D42BA">
        <w:rPr>
          <w:rFonts w:ascii="Cambria Math" w:eastAsia="Times New Roman" w:hAnsi="Cambria Math" w:cs="Cambria Math"/>
          <w:sz w:val="24"/>
          <w:szCs w:val="24"/>
          <w:lang w:eastAsia="en-GB"/>
        </w:rPr>
        <w:t>‐</w:t>
      </w:r>
      <w:r w:rsidR="0095090F">
        <w:rPr>
          <w:rFonts w:ascii="Times New Roman" w:eastAsia="Times New Roman" w:hAnsi="Times New Roman" w:cs="Times New Roman"/>
          <w:sz w:val="24"/>
          <w:szCs w:val="24"/>
          <w:lang w:eastAsia="en-GB"/>
        </w:rPr>
        <w:t>Levy, and</w:t>
      </w:r>
      <w:r w:rsidR="0095090F" w:rsidRPr="005D42BA">
        <w:rPr>
          <w:rFonts w:ascii="Times New Roman" w:eastAsia="Times New Roman" w:hAnsi="Times New Roman" w:cs="Times New Roman"/>
          <w:sz w:val="24"/>
          <w:szCs w:val="24"/>
          <w:lang w:eastAsia="en-GB"/>
        </w:rPr>
        <w:t xml:space="preserve"> </w:t>
      </w:r>
      <w:proofErr w:type="spellStart"/>
      <w:r w:rsidR="0095090F" w:rsidRPr="005D42BA">
        <w:rPr>
          <w:rFonts w:ascii="Times New Roman" w:eastAsia="Times New Roman" w:hAnsi="Times New Roman" w:cs="Times New Roman"/>
          <w:sz w:val="24"/>
          <w:szCs w:val="24"/>
          <w:lang w:eastAsia="en-GB"/>
        </w:rPr>
        <w:t>Sternthal</w:t>
      </w:r>
      <w:proofErr w:type="spellEnd"/>
      <w:r w:rsidRPr="005D42BA">
        <w:rPr>
          <w:rFonts w:ascii="Times New Roman" w:hAnsi="Times New Roman" w:cs="Times New Roman"/>
          <w:sz w:val="24"/>
          <w:szCs w:val="24"/>
        </w:rPr>
        <w:t xml:space="preserve"> (199</w:t>
      </w:r>
      <w:r w:rsidR="00775386" w:rsidRPr="005D42BA">
        <w:rPr>
          <w:rFonts w:ascii="Times New Roman" w:hAnsi="Times New Roman" w:cs="Times New Roman"/>
          <w:sz w:val="24"/>
          <w:szCs w:val="24"/>
        </w:rPr>
        <w:t>9</w:t>
      </w:r>
      <w:r w:rsidRPr="005D42BA">
        <w:rPr>
          <w:rFonts w:ascii="Times New Roman" w:hAnsi="Times New Roman" w:cs="Times New Roman"/>
          <w:sz w:val="24"/>
          <w:szCs w:val="24"/>
        </w:rPr>
        <w:t>) note that increasing the number of exposures to commercial</w:t>
      </w:r>
      <w:r w:rsidR="006E7788" w:rsidRPr="005D42BA">
        <w:rPr>
          <w:rFonts w:ascii="Times New Roman" w:hAnsi="Times New Roman" w:cs="Times New Roman"/>
          <w:sz w:val="24"/>
          <w:szCs w:val="24"/>
        </w:rPr>
        <w:t xml:space="preserve"> advertising</w:t>
      </w:r>
      <w:r w:rsidRPr="005D42BA">
        <w:rPr>
          <w:rFonts w:ascii="Times New Roman" w:hAnsi="Times New Roman" w:cs="Times New Roman"/>
          <w:sz w:val="24"/>
          <w:szCs w:val="24"/>
        </w:rPr>
        <w:t xml:space="preserve"> affects its persuasiveness. The literature acknowledges that the association between repetition and persuasion may be moderated by a number of factors, such as credibility of source or argument strength.  </w:t>
      </w:r>
    </w:p>
    <w:p w:rsidR="00BF5768" w:rsidRDefault="00BF5768" w:rsidP="00BF5768">
      <w:pPr>
        <w:spacing w:line="480" w:lineRule="auto"/>
        <w:ind w:firstLine="720"/>
        <w:rPr>
          <w:rFonts w:ascii="Times New Roman" w:hAnsi="Times New Roman" w:cs="Times New Roman"/>
          <w:sz w:val="24"/>
          <w:szCs w:val="24"/>
          <w:lang w:val="en-US"/>
        </w:rPr>
      </w:pPr>
      <w:r w:rsidRPr="00E56F55">
        <w:rPr>
          <w:rFonts w:ascii="Times New Roman" w:hAnsi="Times New Roman" w:cs="Times New Roman"/>
          <w:sz w:val="24"/>
          <w:szCs w:val="24"/>
        </w:rPr>
        <w:t xml:space="preserve">In the light of ELM, we conceptualize investors reading </w:t>
      </w:r>
      <w:r w:rsidR="00083AA5">
        <w:rPr>
          <w:rFonts w:ascii="Times New Roman" w:hAnsi="Times New Roman" w:cs="Times New Roman"/>
          <w:sz w:val="24"/>
          <w:szCs w:val="24"/>
        </w:rPr>
        <w:t xml:space="preserve">the narratives in the </w:t>
      </w:r>
      <w:r w:rsidRPr="00E56F55">
        <w:rPr>
          <w:rFonts w:ascii="Times New Roman" w:hAnsi="Times New Roman" w:cs="Times New Roman"/>
          <w:sz w:val="24"/>
          <w:szCs w:val="24"/>
        </w:rPr>
        <w:t>firms</w:t>
      </w:r>
      <w:r w:rsidR="006862C5">
        <w:rPr>
          <w:rFonts w:ascii="Times New Roman" w:hAnsi="Times New Roman" w:cs="Times New Roman"/>
          <w:sz w:val="24"/>
          <w:szCs w:val="24"/>
        </w:rPr>
        <w:t>’ reports</w:t>
      </w:r>
      <w:r w:rsidRPr="00E56F55">
        <w:rPr>
          <w:rFonts w:ascii="Times New Roman" w:hAnsi="Times New Roman" w:cs="Times New Roman"/>
          <w:sz w:val="24"/>
          <w:szCs w:val="24"/>
        </w:rPr>
        <w:t xml:space="preserve"> with the aim of deciding whether or not they should invest</w:t>
      </w:r>
      <w:r w:rsidR="006862C5">
        <w:rPr>
          <w:rFonts w:ascii="Times New Roman" w:hAnsi="Times New Roman" w:cs="Times New Roman"/>
          <w:sz w:val="24"/>
          <w:szCs w:val="24"/>
        </w:rPr>
        <w:t xml:space="preserve"> in</w:t>
      </w:r>
      <w:r w:rsidRPr="00E56F55">
        <w:rPr>
          <w:rFonts w:ascii="Times New Roman" w:hAnsi="Times New Roman" w:cs="Times New Roman"/>
          <w:sz w:val="24"/>
          <w:szCs w:val="24"/>
        </w:rPr>
        <w:t xml:space="preserve">, or alternatively, remove their investment from the firms in question as a case of engagement in the process of cognitive structure change. Thus, the relation between repetition and attitude change </w:t>
      </w:r>
      <w:r w:rsidR="00CE2425" w:rsidRPr="00E56F55">
        <w:rPr>
          <w:rFonts w:ascii="Times New Roman" w:hAnsi="Times New Roman" w:cs="Times New Roman"/>
          <w:sz w:val="24"/>
          <w:szCs w:val="24"/>
        </w:rPr>
        <w:t xml:space="preserve">emphasised in the literature </w:t>
      </w:r>
      <w:r w:rsidRPr="00E56F55">
        <w:rPr>
          <w:rFonts w:ascii="Times New Roman" w:hAnsi="Times New Roman" w:cs="Times New Roman"/>
          <w:sz w:val="24"/>
          <w:szCs w:val="24"/>
        </w:rPr>
        <w:t>also motivate</w:t>
      </w:r>
      <w:r w:rsidR="00E56F55">
        <w:rPr>
          <w:rFonts w:ascii="Times New Roman" w:hAnsi="Times New Roman" w:cs="Times New Roman"/>
          <w:sz w:val="24"/>
          <w:szCs w:val="24"/>
        </w:rPr>
        <w:t>s</w:t>
      </w:r>
      <w:r w:rsidRPr="00E56F55">
        <w:rPr>
          <w:rFonts w:ascii="Times New Roman" w:hAnsi="Times New Roman" w:cs="Times New Roman"/>
          <w:sz w:val="24"/>
          <w:szCs w:val="24"/>
        </w:rPr>
        <w:t xml:space="preserve"> us to consider frequency as an important factor in examining the market impact of annual report narratives. That is, the more often </w:t>
      </w:r>
      <w:r w:rsidR="00662D18">
        <w:rPr>
          <w:rFonts w:ascii="Times New Roman" w:hAnsi="Times New Roman" w:cs="Times New Roman"/>
          <w:color w:val="000000"/>
          <w:sz w:val="24"/>
          <w:szCs w:val="24"/>
        </w:rPr>
        <w:t>positive tone expressions</w:t>
      </w:r>
      <w:r w:rsidR="00E56F55">
        <w:rPr>
          <w:rFonts w:ascii="Times New Roman" w:hAnsi="Times New Roman" w:cs="Times New Roman"/>
          <w:sz w:val="24"/>
          <w:szCs w:val="24"/>
        </w:rPr>
        <w:t xml:space="preserve"> </w:t>
      </w:r>
      <w:r w:rsidRPr="00E56F55">
        <w:rPr>
          <w:rFonts w:ascii="Times New Roman" w:hAnsi="Times New Roman" w:cs="Times New Roman"/>
          <w:sz w:val="24"/>
          <w:szCs w:val="24"/>
        </w:rPr>
        <w:t xml:space="preserve">are mentioned in the text, the more likely </w:t>
      </w:r>
      <w:r w:rsidR="00662D18">
        <w:rPr>
          <w:rFonts w:ascii="Times New Roman" w:hAnsi="Times New Roman" w:cs="Times New Roman"/>
          <w:sz w:val="24"/>
          <w:szCs w:val="24"/>
        </w:rPr>
        <w:t xml:space="preserve">it is that they </w:t>
      </w:r>
      <w:r w:rsidRPr="00E56F55">
        <w:rPr>
          <w:rFonts w:ascii="Times New Roman" w:hAnsi="Times New Roman" w:cs="Times New Roman"/>
          <w:sz w:val="24"/>
          <w:szCs w:val="24"/>
        </w:rPr>
        <w:t>will be influential. Importantly, we do n</w:t>
      </w:r>
      <w:r w:rsidR="0078483B">
        <w:rPr>
          <w:rFonts w:ascii="Times New Roman" w:hAnsi="Times New Roman" w:cs="Times New Roman"/>
          <w:sz w:val="24"/>
          <w:szCs w:val="24"/>
        </w:rPr>
        <w:t xml:space="preserve">ot </w:t>
      </w:r>
      <w:r w:rsidR="0078483B">
        <w:rPr>
          <w:rFonts w:ascii="Times New Roman" w:hAnsi="Times New Roman" w:cs="Times New Roman"/>
          <w:sz w:val="24"/>
          <w:szCs w:val="24"/>
        </w:rPr>
        <w:lastRenderedPageBreak/>
        <w:t xml:space="preserve">theorize directly about the </w:t>
      </w:r>
      <w:r w:rsidR="0078483B">
        <w:rPr>
          <w:rFonts w:ascii="Times New Roman" w:hAnsi="Times New Roman" w:cs="Times New Roman"/>
          <w:sz w:val="24"/>
          <w:szCs w:val="24"/>
          <w:lang w:val="en-US"/>
        </w:rPr>
        <w:t>mechanisms</w:t>
      </w:r>
      <w:r>
        <w:rPr>
          <w:rFonts w:ascii="Times New Roman" w:hAnsi="Times New Roman" w:cs="Times New Roman"/>
          <w:sz w:val="24"/>
          <w:szCs w:val="24"/>
          <w:lang w:val="en-US"/>
        </w:rPr>
        <w:t xml:space="preserve"> that attribute market reaction to the narratives, but our</w:t>
      </w:r>
      <w:r w:rsidR="00382D71">
        <w:rPr>
          <w:rFonts w:ascii="Times New Roman" w:hAnsi="Times New Roman" w:cs="Times New Roman"/>
          <w:sz w:val="24"/>
          <w:szCs w:val="24"/>
          <w:lang w:val="en-US"/>
        </w:rPr>
        <w:t xml:space="preserve"> reading of the literature on</w:t>
      </w:r>
      <w:r>
        <w:rPr>
          <w:rFonts w:ascii="Times New Roman" w:hAnsi="Times New Roman" w:cs="Times New Roman"/>
          <w:sz w:val="24"/>
          <w:szCs w:val="24"/>
          <w:lang w:val="en-US"/>
        </w:rPr>
        <w:t xml:space="preserve"> informational influence directs our research design</w:t>
      </w:r>
      <w:r w:rsidR="00382D7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382D71">
        <w:rPr>
          <w:rFonts w:ascii="Times New Roman" w:hAnsi="Times New Roman" w:cs="Times New Roman"/>
          <w:sz w:val="24"/>
          <w:szCs w:val="24"/>
          <w:lang w:val="en-US"/>
        </w:rPr>
        <w:t>I</w:t>
      </w:r>
      <w:r>
        <w:rPr>
          <w:rFonts w:ascii="Times New Roman" w:hAnsi="Times New Roman" w:cs="Times New Roman"/>
          <w:sz w:val="24"/>
          <w:szCs w:val="24"/>
          <w:lang w:val="en-US"/>
        </w:rPr>
        <w:t xml:space="preserve">n particular, </w:t>
      </w:r>
      <w:r w:rsidR="00382D71">
        <w:rPr>
          <w:rFonts w:ascii="Times New Roman" w:hAnsi="Times New Roman" w:cs="Times New Roman"/>
          <w:sz w:val="24"/>
          <w:szCs w:val="24"/>
          <w:lang w:val="en-US"/>
        </w:rPr>
        <w:t xml:space="preserve">it </w:t>
      </w:r>
      <w:r>
        <w:rPr>
          <w:rFonts w:ascii="Times New Roman" w:hAnsi="Times New Roman" w:cs="Times New Roman"/>
          <w:sz w:val="24"/>
          <w:szCs w:val="24"/>
          <w:lang w:val="en-US"/>
        </w:rPr>
        <w:t xml:space="preserve">provides justification for choosing a measurement tool that relies on comparing frequencies of </w:t>
      </w:r>
      <w:r w:rsidR="0078483B">
        <w:rPr>
          <w:rFonts w:ascii="Times New Roman" w:hAnsi="Times New Roman" w:cs="Times New Roman"/>
          <w:color w:val="000000"/>
          <w:sz w:val="24"/>
          <w:szCs w:val="24"/>
        </w:rPr>
        <w:t>positive tone articulations</w:t>
      </w:r>
      <w:r>
        <w:rPr>
          <w:rFonts w:ascii="Times New Roman" w:hAnsi="Times New Roman" w:cs="Times New Roman"/>
          <w:sz w:val="24"/>
          <w:szCs w:val="24"/>
          <w:lang w:val="en-US"/>
        </w:rPr>
        <w:t xml:space="preserve">.   </w:t>
      </w:r>
    </w:p>
    <w:p w:rsidR="00380A6F" w:rsidRPr="005D42BA" w:rsidRDefault="00380A6F" w:rsidP="00380A6F">
      <w:pPr>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 xml:space="preserve">We operationalized our inquiry by programming </w:t>
      </w:r>
      <w:r w:rsidRPr="005D42BA">
        <w:rPr>
          <w:rFonts w:ascii="Times New Roman" w:eastAsia="MS Mincho" w:hAnsi="Times New Roman" w:cs="Times New Roman"/>
          <w:sz w:val="24"/>
          <w:szCs w:val="24"/>
        </w:rPr>
        <w:t>Henry’s (2008)</w:t>
      </w:r>
      <w:r w:rsidRPr="005D42BA">
        <w:rPr>
          <w:rFonts w:ascii="Times New Roman" w:hAnsi="Times New Roman" w:cs="Times New Roman"/>
          <w:sz w:val="24"/>
          <w:szCs w:val="24"/>
        </w:rPr>
        <w:t xml:space="preserve"> positiveness thesaurus into a content analysis software application called Diction.</w:t>
      </w:r>
      <w:r w:rsidRPr="005D42BA">
        <w:rPr>
          <w:rStyle w:val="Odwoanieprzypisudolnego"/>
          <w:rFonts w:ascii="Times New Roman" w:hAnsi="Times New Roman" w:cs="Times New Roman"/>
          <w:sz w:val="24"/>
          <w:szCs w:val="24"/>
        </w:rPr>
        <w:footnoteReference w:id="2"/>
      </w:r>
      <w:r w:rsidRPr="005D42BA">
        <w:rPr>
          <w:rFonts w:ascii="Times New Roman" w:hAnsi="Times New Roman" w:cs="Times New Roman"/>
          <w:sz w:val="24"/>
          <w:szCs w:val="24"/>
        </w:rPr>
        <w:t xml:space="preserve"> By doing so, we were able to measure the frequency with which positive words are </w:t>
      </w:r>
      <w:r w:rsidR="006E7788" w:rsidRPr="005D42BA">
        <w:rPr>
          <w:rFonts w:ascii="Times New Roman" w:hAnsi="Times New Roman" w:cs="Times New Roman"/>
          <w:sz w:val="24"/>
          <w:szCs w:val="24"/>
        </w:rPr>
        <w:t>found</w:t>
      </w:r>
      <w:r w:rsidRPr="005D42BA">
        <w:rPr>
          <w:rFonts w:ascii="Times New Roman" w:hAnsi="Times New Roman" w:cs="Times New Roman"/>
          <w:sz w:val="24"/>
          <w:szCs w:val="24"/>
        </w:rPr>
        <w:t xml:space="preserve"> in each of the annual report narratives. These frequencies were subsequently linked to abnormal returns around disclosure dates. We have examined two different event windows and two different statistical models against which abnormal returns are defined. Our null hypothesis is that market reaction is </w:t>
      </w:r>
      <w:r w:rsidRPr="005D42BA">
        <w:rPr>
          <w:rFonts w:ascii="Times New Roman" w:hAnsi="Times New Roman" w:cs="Times New Roman"/>
          <w:i/>
          <w:sz w:val="24"/>
          <w:szCs w:val="24"/>
        </w:rPr>
        <w:t>ceteris paribus</w:t>
      </w:r>
      <w:r w:rsidRPr="005D42BA">
        <w:rPr>
          <w:rFonts w:ascii="Times New Roman" w:hAnsi="Times New Roman" w:cs="Times New Roman"/>
          <w:sz w:val="24"/>
          <w:szCs w:val="24"/>
        </w:rPr>
        <w:t xml:space="preserve"> unrelated to the </w:t>
      </w:r>
      <w:r w:rsidR="008141E0">
        <w:rPr>
          <w:rFonts w:ascii="Times New Roman" w:hAnsi="Times New Roman" w:cs="Times New Roman"/>
          <w:sz w:val="24"/>
          <w:szCs w:val="24"/>
        </w:rPr>
        <w:t>tone</w:t>
      </w:r>
      <w:r w:rsidRPr="005D42BA">
        <w:rPr>
          <w:rFonts w:ascii="Times New Roman" w:hAnsi="Times New Roman" w:cs="Times New Roman"/>
          <w:sz w:val="24"/>
          <w:szCs w:val="24"/>
        </w:rPr>
        <w:t xml:space="preserve"> inherent in the narratives. A range of control variables has been collected and incorporated into the regressions in order to more cleanly isolate the influence of tone. </w:t>
      </w:r>
      <w:r w:rsidRPr="005D42BA">
        <w:rPr>
          <w:rFonts w:ascii="Times New Roman" w:hAnsi="Times New Roman" w:cs="Times New Roman"/>
          <w:sz w:val="24"/>
          <w:szCs w:val="24"/>
        </w:rPr>
        <w:tab/>
      </w:r>
    </w:p>
    <w:p w:rsidR="00380A6F" w:rsidRPr="005D42BA" w:rsidRDefault="00380A6F" w:rsidP="00294C7A">
      <w:pPr>
        <w:spacing w:line="480" w:lineRule="auto"/>
        <w:rPr>
          <w:rFonts w:ascii="Times New Roman" w:hAnsi="Times New Roman" w:cs="Times New Roman"/>
          <w:b/>
          <w:sz w:val="24"/>
          <w:szCs w:val="24"/>
        </w:rPr>
      </w:pPr>
    </w:p>
    <w:p w:rsidR="00294C7A" w:rsidRPr="004211B7" w:rsidRDefault="00294C7A" w:rsidP="004211B7">
      <w:pPr>
        <w:pStyle w:val="Akapitzlist"/>
        <w:numPr>
          <w:ilvl w:val="0"/>
          <w:numId w:val="13"/>
        </w:numPr>
        <w:spacing w:line="480" w:lineRule="auto"/>
        <w:rPr>
          <w:rFonts w:ascii="Times New Roman" w:hAnsi="Times New Roman" w:cs="Times New Roman"/>
          <w:b/>
          <w:sz w:val="24"/>
          <w:szCs w:val="24"/>
        </w:rPr>
      </w:pPr>
      <w:r w:rsidRPr="004211B7">
        <w:rPr>
          <w:rFonts w:ascii="Times New Roman" w:hAnsi="Times New Roman" w:cs="Times New Roman"/>
          <w:b/>
          <w:sz w:val="24"/>
          <w:szCs w:val="24"/>
        </w:rPr>
        <w:t>Methodology</w:t>
      </w:r>
    </w:p>
    <w:p w:rsidR="00294C7A" w:rsidRPr="005D42BA" w:rsidRDefault="00294C7A" w:rsidP="00294C7A">
      <w:pPr>
        <w:spacing w:after="0"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 xml:space="preserve">Since one of our main objectives is to measure market reaction around a specific event, that is the publication of an annual report, we employ event-study analysis which is suitable for the task at hand </w:t>
      </w:r>
      <w:r w:rsidR="00A3454A" w:rsidRPr="005D42BA">
        <w:rPr>
          <w:rFonts w:ascii="Times New Roman" w:hAnsi="Times New Roman" w:cs="Times New Roman"/>
          <w:sz w:val="24"/>
          <w:szCs w:val="24"/>
        </w:rPr>
        <w:t>(</w:t>
      </w:r>
      <w:r w:rsidRPr="005D42BA">
        <w:rPr>
          <w:rFonts w:ascii="Times New Roman" w:hAnsi="Times New Roman" w:cs="Times New Roman"/>
          <w:sz w:val="24"/>
          <w:szCs w:val="24"/>
        </w:rPr>
        <w:t>Brown and Warner</w:t>
      </w:r>
      <w:r w:rsidR="00A3454A" w:rsidRPr="005D42BA">
        <w:rPr>
          <w:rFonts w:ascii="Times New Roman" w:hAnsi="Times New Roman" w:cs="Times New Roman"/>
          <w:sz w:val="24"/>
          <w:szCs w:val="24"/>
        </w:rPr>
        <w:t>,</w:t>
      </w:r>
      <w:r w:rsidRPr="005D42BA">
        <w:rPr>
          <w:rFonts w:ascii="Times New Roman" w:hAnsi="Times New Roman" w:cs="Times New Roman"/>
          <w:sz w:val="24"/>
          <w:szCs w:val="24"/>
        </w:rPr>
        <w:t xml:space="preserve"> 1980</w:t>
      </w:r>
      <w:r w:rsidR="00A3454A" w:rsidRPr="005D42BA">
        <w:rPr>
          <w:rFonts w:ascii="Times New Roman" w:hAnsi="Times New Roman" w:cs="Times New Roman"/>
          <w:sz w:val="24"/>
          <w:szCs w:val="24"/>
        </w:rPr>
        <w:t>;</w:t>
      </w:r>
      <w:r w:rsidRPr="005D42BA">
        <w:rPr>
          <w:rFonts w:ascii="Times New Roman" w:hAnsi="Times New Roman" w:cs="Times New Roman"/>
          <w:sz w:val="24"/>
          <w:szCs w:val="24"/>
        </w:rPr>
        <w:t xml:space="preserve"> 1985). Its aim is to measure abnormal returns (</w:t>
      </w:r>
      <w:r w:rsidRPr="005D42BA">
        <w:rPr>
          <w:rFonts w:ascii="Times New Roman" w:hAnsi="Times New Roman" w:cs="Times New Roman"/>
          <w:i/>
          <w:sz w:val="24"/>
          <w:szCs w:val="24"/>
        </w:rPr>
        <w:t>AR</w:t>
      </w:r>
      <w:r w:rsidRPr="005D42BA">
        <w:rPr>
          <w:rFonts w:ascii="Times New Roman" w:hAnsi="Times New Roman" w:cs="Times New Roman"/>
          <w:sz w:val="24"/>
          <w:szCs w:val="24"/>
        </w:rPr>
        <w:t xml:space="preserve">s) that are directly attributable to certain occurrences. </w:t>
      </w:r>
      <w:r w:rsidR="005146EE" w:rsidRPr="005D42BA">
        <w:rPr>
          <w:rFonts w:ascii="Times New Roman" w:hAnsi="Times New Roman" w:cs="Times New Roman"/>
          <w:sz w:val="24"/>
          <w:szCs w:val="24"/>
        </w:rPr>
        <w:t>An</w:t>
      </w:r>
      <w:r w:rsidRPr="005D42BA">
        <w:rPr>
          <w:rFonts w:ascii="Times New Roman" w:hAnsi="Times New Roman" w:cs="Times New Roman"/>
          <w:sz w:val="24"/>
          <w:szCs w:val="24"/>
        </w:rPr>
        <w:t xml:space="preserve"> </w:t>
      </w:r>
      <w:r w:rsidRPr="005D42BA">
        <w:rPr>
          <w:rFonts w:ascii="Times New Roman" w:hAnsi="Times New Roman" w:cs="Times New Roman"/>
          <w:i/>
          <w:sz w:val="24"/>
          <w:szCs w:val="24"/>
        </w:rPr>
        <w:t xml:space="preserve">AR </w:t>
      </w:r>
      <w:r w:rsidRPr="005D42BA">
        <w:rPr>
          <w:rFonts w:ascii="Times New Roman" w:hAnsi="Times New Roman" w:cs="Times New Roman"/>
          <w:sz w:val="24"/>
          <w:szCs w:val="24"/>
        </w:rPr>
        <w:t xml:space="preserve">is defined as a deviation of the observed return from the return that would have materialized in absence of the event. Of course, </w:t>
      </w:r>
      <w:r w:rsidRPr="005D42BA">
        <w:rPr>
          <w:rFonts w:ascii="Times New Roman" w:hAnsi="Times New Roman" w:cs="Times New Roman"/>
          <w:sz w:val="24"/>
          <w:szCs w:val="24"/>
        </w:rPr>
        <w:lastRenderedPageBreak/>
        <w:t>there is no way of knowing with certainty what would have happened had the event not occurred. For this reason, instead of relying on an unknown hypothetical construct,</w:t>
      </w:r>
      <w:r w:rsidRPr="005D42BA">
        <w:rPr>
          <w:rFonts w:ascii="Times New Roman" w:hAnsi="Times New Roman" w:cs="Times New Roman"/>
          <w:i/>
          <w:sz w:val="24"/>
          <w:szCs w:val="24"/>
        </w:rPr>
        <w:t xml:space="preserve"> AR</w:t>
      </w:r>
      <w:r w:rsidRPr="005D42BA">
        <w:rPr>
          <w:rFonts w:ascii="Times New Roman" w:hAnsi="Times New Roman" w:cs="Times New Roman"/>
          <w:sz w:val="24"/>
          <w:szCs w:val="24"/>
        </w:rPr>
        <w:t xml:space="preserve">s typically gauge returns in excess of some pre-determined statistical benchmark. </w:t>
      </w:r>
    </w:p>
    <w:p w:rsidR="00294C7A" w:rsidRPr="005D42BA" w:rsidRDefault="00294C7A" w:rsidP="00294C7A">
      <w:pPr>
        <w:spacing w:after="0"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As Campbell</w:t>
      </w:r>
      <w:r w:rsidR="0095090F">
        <w:rPr>
          <w:rFonts w:ascii="Times New Roman" w:hAnsi="Times New Roman" w:cs="Times New Roman"/>
          <w:sz w:val="24"/>
          <w:szCs w:val="24"/>
        </w:rPr>
        <w:t>, Lo, and</w:t>
      </w:r>
      <w:r w:rsidR="0095090F" w:rsidRPr="005D42BA">
        <w:rPr>
          <w:rFonts w:ascii="Times New Roman" w:hAnsi="Times New Roman" w:cs="Times New Roman"/>
          <w:sz w:val="24"/>
          <w:szCs w:val="24"/>
        </w:rPr>
        <w:t xml:space="preserve"> </w:t>
      </w:r>
      <w:proofErr w:type="spellStart"/>
      <w:r w:rsidR="0095090F" w:rsidRPr="005D42BA">
        <w:rPr>
          <w:rFonts w:ascii="Times New Roman" w:hAnsi="Times New Roman" w:cs="Times New Roman"/>
          <w:sz w:val="24"/>
          <w:szCs w:val="24"/>
        </w:rPr>
        <w:t>MacKinley</w:t>
      </w:r>
      <w:proofErr w:type="spellEnd"/>
      <w:r w:rsidRPr="005D42BA">
        <w:rPr>
          <w:rFonts w:ascii="Times New Roman" w:hAnsi="Times New Roman" w:cs="Times New Roman"/>
          <w:sz w:val="24"/>
          <w:szCs w:val="24"/>
        </w:rPr>
        <w:t xml:space="preserve"> (1997) note, there are two commonly adopted benchmarks in the context of event-study analysis. The first assumes that</w:t>
      </w:r>
      <w:r w:rsidR="005146EE" w:rsidRPr="005D42BA">
        <w:rPr>
          <w:rFonts w:ascii="Times New Roman" w:hAnsi="Times New Roman" w:cs="Times New Roman"/>
          <w:sz w:val="24"/>
          <w:szCs w:val="24"/>
        </w:rPr>
        <w:t>,</w:t>
      </w:r>
      <w:r w:rsidRPr="005D42BA">
        <w:rPr>
          <w:rFonts w:ascii="Times New Roman" w:hAnsi="Times New Roman" w:cs="Times New Roman"/>
          <w:sz w:val="24"/>
          <w:szCs w:val="24"/>
        </w:rPr>
        <w:t xml:space="preserve"> under the null hypothesis of no market reaction</w:t>
      </w:r>
      <w:r w:rsidR="005146EE" w:rsidRPr="005D42BA">
        <w:rPr>
          <w:rFonts w:ascii="Times New Roman" w:hAnsi="Times New Roman" w:cs="Times New Roman"/>
          <w:sz w:val="24"/>
          <w:szCs w:val="24"/>
        </w:rPr>
        <w:t>,</w:t>
      </w:r>
      <w:r w:rsidRPr="005D42BA">
        <w:rPr>
          <w:rFonts w:ascii="Times New Roman" w:hAnsi="Times New Roman" w:cs="Times New Roman"/>
          <w:sz w:val="24"/>
          <w:szCs w:val="24"/>
        </w:rPr>
        <w:t xml:space="preserve"> the returns for a given event </w:t>
      </w:r>
      <w:proofErr w:type="spellStart"/>
      <w:r w:rsidRPr="005D42BA">
        <w:rPr>
          <w:rFonts w:ascii="Times New Roman" w:hAnsi="Times New Roman" w:cs="Times New Roman"/>
          <w:i/>
          <w:sz w:val="24"/>
          <w:szCs w:val="24"/>
        </w:rPr>
        <w:t>i</w:t>
      </w:r>
      <w:proofErr w:type="spellEnd"/>
      <w:r w:rsidRPr="005D42BA">
        <w:rPr>
          <w:rFonts w:ascii="Times New Roman" w:hAnsi="Times New Roman" w:cs="Times New Roman"/>
          <w:sz w:val="24"/>
          <w:szCs w:val="24"/>
        </w:rPr>
        <w:t xml:space="preserve"> are constant over time and equal to </w:t>
      </w:r>
      <w:proofErr w:type="spellStart"/>
      <w:r w:rsidRPr="005D42BA">
        <w:rPr>
          <w:rFonts w:ascii="Times New Roman" w:hAnsi="Times New Roman" w:cs="Times New Roman"/>
          <w:i/>
          <w:sz w:val="24"/>
          <w:szCs w:val="24"/>
        </w:rPr>
        <w:t>μ</w:t>
      </w:r>
      <w:r w:rsidRPr="005D42BA">
        <w:rPr>
          <w:rFonts w:ascii="Times New Roman" w:hAnsi="Times New Roman" w:cs="Times New Roman"/>
          <w:i/>
          <w:sz w:val="24"/>
          <w:szCs w:val="24"/>
          <w:vertAlign w:val="subscript"/>
        </w:rPr>
        <w:t>i</w:t>
      </w:r>
      <w:proofErr w:type="spellEnd"/>
      <w:r w:rsidRPr="005D42BA">
        <w:rPr>
          <w:rFonts w:ascii="Times New Roman" w:hAnsi="Times New Roman" w:cs="Times New Roman"/>
          <w:sz w:val="24"/>
          <w:szCs w:val="24"/>
        </w:rPr>
        <w:t>. This implies that</w:t>
      </w:r>
      <w:r w:rsidR="00382D71">
        <w:rPr>
          <w:rFonts w:ascii="Times New Roman" w:hAnsi="Times New Roman" w:cs="Times New Roman"/>
          <w:sz w:val="24"/>
          <w:szCs w:val="24"/>
        </w:rPr>
        <w:t>,</w:t>
      </w:r>
      <w:r w:rsidRPr="005D42BA">
        <w:rPr>
          <w:rFonts w:ascii="Times New Roman" w:hAnsi="Times New Roman" w:cs="Times New Roman"/>
          <w:sz w:val="24"/>
          <w:szCs w:val="24"/>
        </w:rPr>
        <w:t xml:space="preserve"> during the period surrounding the event, the mean-adjusted </w:t>
      </w:r>
      <w:r w:rsidRPr="005D42BA">
        <w:rPr>
          <w:rFonts w:ascii="Times New Roman" w:hAnsi="Times New Roman" w:cs="Times New Roman"/>
          <w:i/>
          <w:sz w:val="24"/>
          <w:szCs w:val="24"/>
        </w:rPr>
        <w:t>AR</w:t>
      </w:r>
      <w:r w:rsidRPr="005D42BA">
        <w:rPr>
          <w:rFonts w:ascii="Times New Roman" w:hAnsi="Times New Roman" w:cs="Times New Roman"/>
          <w:sz w:val="24"/>
          <w:szCs w:val="24"/>
        </w:rPr>
        <w:t>s can be defined as follows:</w:t>
      </w:r>
    </w:p>
    <w:p w:rsidR="00294C7A" w:rsidRPr="005D42BA" w:rsidRDefault="004049C7" w:rsidP="00294C7A">
      <w:pPr>
        <w:tabs>
          <w:tab w:val="left" w:pos="8364"/>
        </w:tabs>
        <w:spacing w:after="0" w:line="480" w:lineRule="auto"/>
        <w:ind w:firstLine="3119"/>
        <w:jc w:val="center"/>
        <w:rPr>
          <w:rFonts w:ascii="Times New Roman" w:eastAsia="MS Mincho" w:hAnsi="Times New Roman" w:cs="Times New Roman"/>
          <w:sz w:val="24"/>
          <w:szCs w:val="24"/>
        </w:rPr>
      </w:pPr>
      <m:oMath>
        <m:sSubSup>
          <m:sSubSupPr>
            <m:ctrlPr>
              <w:rPr>
                <w:rFonts w:ascii="Cambria Math" w:eastAsia="MS Mincho" w:hAnsi="Times New Roman" w:cs="Times New Roman"/>
                <w:i/>
                <w:sz w:val="24"/>
                <w:szCs w:val="24"/>
              </w:rPr>
            </m:ctrlPr>
          </m:sSubSupPr>
          <m:e>
            <m:r>
              <w:rPr>
                <w:rFonts w:ascii="Cambria Math" w:eastAsia="MS Mincho" w:hAnsi="Times New Roman" w:cs="Times New Roman"/>
                <w:sz w:val="24"/>
                <w:szCs w:val="24"/>
              </w:rPr>
              <m:t>AR</m:t>
            </m:r>
          </m:e>
          <m:sub>
            <m:r>
              <w:rPr>
                <w:rFonts w:ascii="Cambria Math" w:eastAsia="MS Mincho" w:hAnsi="Times New Roman" w:cs="Times New Roman"/>
                <w:sz w:val="24"/>
                <w:szCs w:val="24"/>
              </w:rPr>
              <m:t>i,t</m:t>
            </m:r>
          </m:sub>
          <m:sup>
            <m:r>
              <w:rPr>
                <w:rFonts w:ascii="Cambria Math" w:eastAsia="MS Mincho" w:hAnsi="Times New Roman" w:cs="Times New Roman"/>
                <w:sz w:val="24"/>
                <w:szCs w:val="24"/>
              </w:rPr>
              <m:t>MA</m:t>
            </m:r>
          </m:sup>
        </m:sSubSup>
        <m:r>
          <w:rPr>
            <w:rFonts w:ascii="Cambria Math" w:eastAsia="MS Mincho" w:hAnsi="Times New Roman" w:cs="Times New Roman"/>
            <w:sz w:val="24"/>
            <w:szCs w:val="24"/>
          </w:rPr>
          <m:t>=</m:t>
        </m:r>
        <m:sSub>
          <m:sSubPr>
            <m:ctrlPr>
              <w:rPr>
                <w:rFonts w:ascii="Cambria Math" w:eastAsia="MS Mincho" w:hAnsi="Times New Roman" w:cs="Times New Roman"/>
                <w:i/>
                <w:sz w:val="24"/>
                <w:szCs w:val="24"/>
              </w:rPr>
            </m:ctrlPr>
          </m:sSubPr>
          <m:e>
            <m:r>
              <w:rPr>
                <w:rFonts w:ascii="Cambria Math" w:eastAsia="MS Mincho" w:hAnsi="Cambria Math" w:cs="Times New Roman"/>
                <w:sz w:val="24"/>
                <w:szCs w:val="24"/>
              </w:rPr>
              <m:t>R</m:t>
            </m:r>
          </m:e>
          <m:sub>
            <m:r>
              <w:rPr>
                <w:rFonts w:ascii="Cambria Math" w:eastAsia="MS Mincho" w:hAnsi="Cambria Math" w:cs="Times New Roman"/>
                <w:sz w:val="24"/>
                <w:szCs w:val="24"/>
              </w:rPr>
              <m:t>i</m:t>
            </m:r>
            <m:r>
              <w:rPr>
                <w:rFonts w:ascii="Cambria Math" w:eastAsia="MS Mincho" w:hAnsi="Times New Roman" w:cs="Times New Roman"/>
                <w:sz w:val="24"/>
                <w:szCs w:val="24"/>
              </w:rPr>
              <m:t>,</m:t>
            </m:r>
            <m:r>
              <w:rPr>
                <w:rFonts w:ascii="Cambria Math" w:eastAsia="MS Mincho" w:hAnsi="Cambria Math" w:cs="Times New Roman"/>
                <w:sz w:val="24"/>
                <w:szCs w:val="24"/>
              </w:rPr>
              <m:t>t</m:t>
            </m:r>
          </m:sub>
        </m:sSub>
        <m:r>
          <w:rPr>
            <w:rFonts w:ascii="Times New Roman" w:eastAsia="MS Mincho" w:hAnsi="Times New Roman" w:cs="Times New Roman"/>
            <w:sz w:val="24"/>
            <w:szCs w:val="24"/>
          </w:rPr>
          <m:t>-</m:t>
        </m:r>
        <m:sSub>
          <m:sSubPr>
            <m:ctrlPr>
              <w:rPr>
                <w:rFonts w:ascii="Cambria Math" w:eastAsia="MS Mincho" w:hAnsi="Times New Roman" w:cs="Times New Roman"/>
                <w:i/>
                <w:sz w:val="24"/>
                <w:szCs w:val="24"/>
              </w:rPr>
            </m:ctrlPr>
          </m:sSubPr>
          <m:e>
            <m:acc>
              <m:accPr>
                <m:ctrlPr>
                  <w:rPr>
                    <w:rFonts w:ascii="Cambria Math" w:eastAsia="MS Mincho" w:hAnsi="Cambria Math" w:cs="Times New Roman"/>
                    <w:i/>
                    <w:sz w:val="24"/>
                    <w:szCs w:val="24"/>
                  </w:rPr>
                </m:ctrlPr>
              </m:accPr>
              <m:e>
                <m:r>
                  <w:rPr>
                    <w:rFonts w:ascii="Cambria Math" w:eastAsia="MS Mincho" w:hAnsi="Cambria Math" w:cs="Times New Roman"/>
                    <w:sz w:val="24"/>
                    <w:szCs w:val="24"/>
                  </w:rPr>
                  <m:t>μ</m:t>
                </m:r>
              </m:e>
            </m:acc>
          </m:e>
          <m:sub>
            <m:r>
              <w:rPr>
                <w:rFonts w:ascii="Cambria Math" w:eastAsia="MS Mincho" w:hAnsi="Cambria Math" w:cs="Times New Roman"/>
                <w:sz w:val="24"/>
                <w:szCs w:val="24"/>
              </w:rPr>
              <m:t>i</m:t>
            </m:r>
          </m:sub>
        </m:sSub>
      </m:oMath>
      <w:r w:rsidR="00294C7A" w:rsidRPr="005D42BA">
        <w:rPr>
          <w:rFonts w:ascii="Times New Roman" w:eastAsia="MS Mincho" w:hAnsi="Times New Roman" w:cs="Times New Roman"/>
          <w:sz w:val="24"/>
          <w:szCs w:val="24"/>
        </w:rPr>
        <w:tab/>
        <w:t>[1]</w:t>
      </w:r>
    </w:p>
    <w:p w:rsidR="00294C7A" w:rsidRPr="005D42BA" w:rsidRDefault="00294C7A" w:rsidP="00294C7A">
      <w:pPr>
        <w:tabs>
          <w:tab w:val="left" w:pos="8364"/>
        </w:tabs>
        <w:spacing w:line="480" w:lineRule="auto"/>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 xml:space="preserve">where </w:t>
      </w:r>
      <w:proofErr w:type="spellStart"/>
      <w:r w:rsidRPr="005D42BA">
        <w:rPr>
          <w:rFonts w:ascii="Times New Roman" w:eastAsia="MS Mincho" w:hAnsi="Times New Roman" w:cs="Times New Roman"/>
          <w:i/>
          <w:sz w:val="24"/>
          <w:szCs w:val="24"/>
        </w:rPr>
        <w:t>R</w:t>
      </w:r>
      <w:r w:rsidRPr="005D42BA">
        <w:rPr>
          <w:rFonts w:ascii="Times New Roman" w:eastAsia="MS Mincho" w:hAnsi="Times New Roman" w:cs="Times New Roman"/>
          <w:i/>
          <w:sz w:val="24"/>
          <w:szCs w:val="24"/>
          <w:vertAlign w:val="subscript"/>
        </w:rPr>
        <w:t>i,t</w:t>
      </w:r>
      <w:proofErr w:type="spellEnd"/>
      <w:r w:rsidRPr="005D42BA">
        <w:rPr>
          <w:rFonts w:ascii="Times New Roman" w:eastAsia="MS Mincho" w:hAnsi="Times New Roman" w:cs="Times New Roman"/>
          <w:sz w:val="24"/>
          <w:szCs w:val="24"/>
        </w:rPr>
        <w:t xml:space="preserve"> is the return on the relevant company for event </w:t>
      </w:r>
      <w:proofErr w:type="spellStart"/>
      <w:r w:rsidRPr="005D42BA">
        <w:rPr>
          <w:rFonts w:ascii="Times New Roman" w:eastAsia="MS Mincho" w:hAnsi="Times New Roman" w:cs="Times New Roman"/>
          <w:i/>
          <w:sz w:val="24"/>
          <w:szCs w:val="24"/>
        </w:rPr>
        <w:t>i</w:t>
      </w:r>
      <w:proofErr w:type="spellEnd"/>
      <w:r w:rsidRPr="005D42BA">
        <w:rPr>
          <w:rFonts w:ascii="Times New Roman" w:eastAsia="MS Mincho" w:hAnsi="Times New Roman" w:cs="Times New Roman"/>
          <w:sz w:val="24"/>
          <w:szCs w:val="24"/>
        </w:rPr>
        <w:t xml:space="preserve"> observed on day </w:t>
      </w:r>
      <w:r w:rsidRPr="005D42BA">
        <w:rPr>
          <w:rFonts w:ascii="Times New Roman" w:eastAsia="MS Mincho" w:hAnsi="Times New Roman" w:cs="Times New Roman"/>
          <w:i/>
          <w:sz w:val="24"/>
          <w:szCs w:val="24"/>
        </w:rPr>
        <w:t>t</w:t>
      </w:r>
      <w:r w:rsidRPr="005D42BA">
        <w:rPr>
          <w:rFonts w:ascii="Times New Roman" w:eastAsia="MS Mincho" w:hAnsi="Times New Roman" w:cs="Times New Roman"/>
          <w:sz w:val="24"/>
          <w:szCs w:val="24"/>
        </w:rPr>
        <w:t xml:space="preserve"> and where </w:t>
      </w:r>
      <m:oMath>
        <m:sSub>
          <m:sSubPr>
            <m:ctrlPr>
              <w:rPr>
                <w:rFonts w:ascii="Cambria Math" w:eastAsia="MS Mincho" w:hAnsi="Times New Roman" w:cs="Times New Roman"/>
                <w:i/>
                <w:sz w:val="24"/>
                <w:szCs w:val="24"/>
              </w:rPr>
            </m:ctrlPr>
          </m:sSubPr>
          <m:e>
            <m:acc>
              <m:accPr>
                <m:ctrlPr>
                  <w:rPr>
                    <w:rFonts w:ascii="Cambria Math" w:eastAsia="MS Mincho" w:hAnsi="Cambria Math" w:cs="Times New Roman"/>
                    <w:i/>
                    <w:sz w:val="24"/>
                    <w:szCs w:val="24"/>
                  </w:rPr>
                </m:ctrlPr>
              </m:accPr>
              <m:e>
                <m:r>
                  <w:rPr>
                    <w:rFonts w:ascii="Cambria Math" w:eastAsia="MS Mincho" w:hAnsi="Cambria Math" w:cs="Times New Roman"/>
                    <w:sz w:val="24"/>
                    <w:szCs w:val="24"/>
                  </w:rPr>
                  <m:t>μ</m:t>
                </m:r>
              </m:e>
            </m:acc>
          </m:e>
          <m:sub>
            <m:r>
              <w:rPr>
                <w:rFonts w:ascii="Cambria Math" w:eastAsia="MS Mincho" w:hAnsi="Cambria Math" w:cs="Times New Roman"/>
                <w:sz w:val="24"/>
                <w:szCs w:val="24"/>
              </w:rPr>
              <m:t>i</m:t>
            </m:r>
          </m:sub>
        </m:sSub>
      </m:oMath>
      <w:r w:rsidRPr="005D42BA">
        <w:rPr>
          <w:rFonts w:ascii="Times New Roman" w:hAnsi="Times New Roman" w:cs="Times New Roman"/>
          <w:sz w:val="24"/>
          <w:szCs w:val="24"/>
          <w:vertAlign w:val="subscript"/>
        </w:rPr>
        <w:t xml:space="preserve">  </w:t>
      </w:r>
      <w:r w:rsidRPr="005D42BA">
        <w:rPr>
          <w:rFonts w:ascii="Times New Roman" w:hAnsi="Times New Roman" w:cs="Times New Roman"/>
          <w:sz w:val="24"/>
          <w:szCs w:val="24"/>
        </w:rPr>
        <w:t>has been estimated as an average return on that company during a period preceding the event window. The second methodological approach accounts for the systematic risk of a security and overall stock market fluctuation. It estimates a single factor model</w:t>
      </w:r>
      <w:r w:rsidR="00B87A6A" w:rsidRPr="005D42BA">
        <w:rPr>
          <w:rFonts w:ascii="Times New Roman" w:hAnsi="Times New Roman" w:cs="Times New Roman"/>
          <w:sz w:val="24"/>
          <w:szCs w:val="24"/>
        </w:rPr>
        <w:t>,</w:t>
      </w:r>
      <w:r w:rsidRPr="005D42BA">
        <w:rPr>
          <w:rFonts w:ascii="Times New Roman" w:hAnsi="Times New Roman" w:cs="Times New Roman"/>
          <w:sz w:val="24"/>
          <w:szCs w:val="24"/>
        </w:rPr>
        <w:t xml:space="preserve"> where stock returns are regressed against a stock market index </w:t>
      </w:r>
      <w:r w:rsidRPr="005D42BA">
        <w:rPr>
          <w:rFonts w:ascii="Times New Roman" w:hAnsi="Times New Roman" w:cs="Times New Roman"/>
          <w:i/>
          <w:sz w:val="24"/>
          <w:szCs w:val="24"/>
        </w:rPr>
        <w:t>R</w:t>
      </w:r>
      <w:r w:rsidRPr="005D42BA">
        <w:rPr>
          <w:rFonts w:ascii="Times New Roman" w:hAnsi="Times New Roman" w:cs="Times New Roman"/>
          <w:i/>
          <w:sz w:val="24"/>
          <w:szCs w:val="24"/>
          <w:vertAlign w:val="subscript"/>
        </w:rPr>
        <w:t>M</w:t>
      </w:r>
      <w:r w:rsidRPr="005D42BA">
        <w:rPr>
          <w:rFonts w:ascii="Times New Roman" w:hAnsi="Times New Roman" w:cs="Times New Roman"/>
          <w:sz w:val="24"/>
          <w:szCs w:val="24"/>
        </w:rPr>
        <w:t xml:space="preserve">, as follows: </w:t>
      </w: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m:t>
            </m:r>
            <m:r>
              <w:rPr>
                <w:rFonts w:ascii="Cambria Math" w:hAnsi="Times New Roman" w:cs="Times New Roman"/>
                <w:sz w:val="24"/>
                <w:szCs w:val="24"/>
              </w:rPr>
              <m:t>,</m:t>
            </m:r>
            <m:r>
              <w:rPr>
                <w:rFonts w:ascii="Cambria Math" w:hAnsi="Cambria Math" w:cs="Times New Roman"/>
                <w:sz w:val="24"/>
                <w:szCs w:val="24"/>
              </w:rPr>
              <m:t>t</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i</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i</m:t>
            </m:r>
          </m:sub>
        </m:sSub>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t</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m:t>
            </m:r>
            <m:r>
              <w:rPr>
                <w:rFonts w:ascii="Cambria Math" w:hAnsi="Times New Roman" w:cs="Times New Roman"/>
                <w:sz w:val="24"/>
                <w:szCs w:val="24"/>
              </w:rPr>
              <m:t>,</m:t>
            </m:r>
            <m:r>
              <w:rPr>
                <w:rFonts w:ascii="Cambria Math" w:hAnsi="Cambria Math" w:cs="Times New Roman"/>
                <w:sz w:val="24"/>
                <w:szCs w:val="24"/>
              </w:rPr>
              <m:t>t</m:t>
            </m:r>
          </m:sub>
        </m:sSub>
      </m:oMath>
      <w:r w:rsidRPr="005D42BA">
        <w:rPr>
          <w:rFonts w:ascii="Times New Roman" w:eastAsiaTheme="minorEastAsia" w:hAnsi="Times New Roman" w:cs="Times New Roman"/>
          <w:sz w:val="24"/>
          <w:szCs w:val="24"/>
        </w:rPr>
        <w:t xml:space="preserve">. The estimation is based on data recorded immediately prior to the event window and FTSE350 approximates here the market portfolio. Collecting the parameter estimates, we are able to compute market-model-adjusted </w:t>
      </w:r>
      <w:r w:rsidRPr="005D42BA">
        <w:rPr>
          <w:rFonts w:ascii="Times New Roman" w:eastAsiaTheme="minorEastAsia" w:hAnsi="Times New Roman" w:cs="Times New Roman"/>
          <w:i/>
          <w:sz w:val="24"/>
          <w:szCs w:val="24"/>
        </w:rPr>
        <w:t>AR</w:t>
      </w:r>
      <w:r w:rsidRPr="005D42BA">
        <w:rPr>
          <w:rFonts w:ascii="Times New Roman" w:eastAsiaTheme="minorEastAsia" w:hAnsi="Times New Roman" w:cs="Times New Roman"/>
          <w:sz w:val="24"/>
          <w:szCs w:val="24"/>
        </w:rPr>
        <w:t>s in the temporal proximity of the event:</w:t>
      </w:r>
    </w:p>
    <w:p w:rsidR="00294C7A" w:rsidRPr="005D42BA" w:rsidRDefault="004049C7" w:rsidP="00294C7A">
      <w:pPr>
        <w:tabs>
          <w:tab w:val="left" w:pos="8364"/>
        </w:tabs>
        <w:spacing w:after="0" w:line="480" w:lineRule="auto"/>
        <w:ind w:firstLine="3119"/>
        <w:jc w:val="center"/>
        <w:rPr>
          <w:rFonts w:ascii="Times New Roman" w:eastAsia="MS Mincho" w:hAnsi="Times New Roman" w:cs="Times New Roman"/>
          <w:sz w:val="24"/>
          <w:szCs w:val="24"/>
        </w:rPr>
      </w:pPr>
      <m:oMath>
        <m:sSubSup>
          <m:sSubSupPr>
            <m:ctrlPr>
              <w:rPr>
                <w:rFonts w:ascii="Cambria Math" w:eastAsia="MS Mincho" w:hAnsi="Times New Roman" w:cs="Times New Roman"/>
                <w:i/>
                <w:sz w:val="24"/>
                <w:szCs w:val="24"/>
              </w:rPr>
            </m:ctrlPr>
          </m:sSubSupPr>
          <m:e>
            <m:r>
              <w:rPr>
                <w:rFonts w:ascii="Cambria Math" w:eastAsia="MS Mincho" w:hAnsi="Times New Roman" w:cs="Times New Roman"/>
                <w:sz w:val="24"/>
                <w:szCs w:val="24"/>
              </w:rPr>
              <m:t>AR</m:t>
            </m:r>
          </m:e>
          <m:sub>
            <m:r>
              <w:rPr>
                <w:rFonts w:ascii="Cambria Math" w:eastAsia="MS Mincho" w:hAnsi="Times New Roman" w:cs="Times New Roman"/>
                <w:sz w:val="24"/>
                <w:szCs w:val="24"/>
              </w:rPr>
              <m:t>i,t</m:t>
            </m:r>
          </m:sub>
          <m:sup>
            <m:r>
              <w:rPr>
                <w:rFonts w:ascii="Cambria Math" w:eastAsia="MS Mincho" w:hAnsi="Times New Roman" w:cs="Times New Roman"/>
                <w:sz w:val="24"/>
                <w:szCs w:val="24"/>
              </w:rPr>
              <m:t>MM</m:t>
            </m:r>
          </m:sup>
        </m:sSubSup>
        <m:r>
          <w:rPr>
            <w:rFonts w:ascii="Cambria Math" w:eastAsia="MS Mincho" w:hAnsi="Times New Roman" w:cs="Times New Roman"/>
            <w:sz w:val="24"/>
            <w:szCs w:val="24"/>
          </w:rPr>
          <m:t>=</m:t>
        </m:r>
        <m:sSub>
          <m:sSubPr>
            <m:ctrlPr>
              <w:rPr>
                <w:rFonts w:ascii="Cambria Math" w:eastAsia="MS Mincho" w:hAnsi="Times New Roman" w:cs="Times New Roman"/>
                <w:i/>
                <w:sz w:val="24"/>
                <w:szCs w:val="24"/>
              </w:rPr>
            </m:ctrlPr>
          </m:sSubPr>
          <m:e>
            <m:r>
              <w:rPr>
                <w:rFonts w:ascii="Cambria Math" w:eastAsia="MS Mincho" w:hAnsi="Cambria Math" w:cs="Times New Roman"/>
                <w:sz w:val="24"/>
                <w:szCs w:val="24"/>
              </w:rPr>
              <m:t>R</m:t>
            </m:r>
          </m:e>
          <m:sub>
            <m:r>
              <w:rPr>
                <w:rFonts w:ascii="Cambria Math" w:eastAsia="MS Mincho" w:hAnsi="Cambria Math" w:cs="Times New Roman"/>
                <w:sz w:val="24"/>
                <w:szCs w:val="24"/>
              </w:rPr>
              <m:t>i</m:t>
            </m:r>
            <m:r>
              <w:rPr>
                <w:rFonts w:ascii="Cambria Math" w:eastAsia="MS Mincho" w:hAnsi="Times New Roman" w:cs="Times New Roman"/>
                <w:sz w:val="24"/>
                <w:szCs w:val="24"/>
              </w:rPr>
              <m:t>,</m:t>
            </m:r>
            <m:r>
              <w:rPr>
                <w:rFonts w:ascii="Cambria Math" w:eastAsia="MS Mincho" w:hAnsi="Cambria Math" w:cs="Times New Roman"/>
                <w:sz w:val="24"/>
                <w:szCs w:val="24"/>
              </w:rPr>
              <m:t>t</m:t>
            </m:r>
          </m:sub>
        </m:sSub>
        <m:r>
          <w:rPr>
            <w:rFonts w:ascii="Times New Roman" w:eastAsia="MS Mincho" w:hAnsi="Times New Roman" w:cs="Times New Roman"/>
            <w:sz w:val="24"/>
            <w:szCs w:val="24"/>
          </w:rPr>
          <m:t>-</m:t>
        </m:r>
        <m:r>
          <w:rPr>
            <w:rFonts w:ascii="Cambria Math" w:eastAsia="MS Mincho" w:hAnsi="Times New Roman" w:cs="Times New Roman"/>
            <w:sz w:val="24"/>
            <w:szCs w:val="24"/>
          </w:rPr>
          <m:t>(</m:t>
        </m:r>
        <m:sSub>
          <m:sSubPr>
            <m:ctrlPr>
              <w:rPr>
                <w:rFonts w:ascii="Cambria Math" w:eastAsia="MS Mincho" w:hAnsi="Cambria Math" w:cs="Times New Roman"/>
                <w:i/>
                <w:sz w:val="24"/>
                <w:szCs w:val="24"/>
              </w:rPr>
            </m:ctrlPr>
          </m:sSubPr>
          <m:e>
            <m:acc>
              <m:accPr>
                <m:ctrlPr>
                  <w:rPr>
                    <w:rFonts w:ascii="Cambria Math" w:eastAsia="MS Mincho" w:hAnsi="Cambria Math" w:cs="Times New Roman"/>
                    <w:i/>
                    <w:sz w:val="24"/>
                    <w:szCs w:val="24"/>
                  </w:rPr>
                </m:ctrlPr>
              </m:accPr>
              <m:e>
                <m:r>
                  <w:rPr>
                    <w:rFonts w:ascii="Cambria Math" w:eastAsia="MS Mincho" w:hAnsi="Cambria Math" w:cs="Times New Roman"/>
                    <w:sz w:val="24"/>
                    <w:szCs w:val="24"/>
                  </w:rPr>
                  <m:t>α</m:t>
                </m:r>
              </m:e>
            </m:acc>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acc>
              <m:accPr>
                <m:ctrlPr>
                  <w:rPr>
                    <w:rFonts w:ascii="Cambria Math" w:eastAsia="MS Mincho" w:hAnsi="Cambria Math" w:cs="Times New Roman"/>
                    <w:i/>
                    <w:sz w:val="24"/>
                    <w:szCs w:val="24"/>
                  </w:rPr>
                </m:ctrlPr>
              </m:accPr>
              <m:e>
                <m:r>
                  <w:rPr>
                    <w:rFonts w:ascii="Cambria Math" w:eastAsia="MS Mincho" w:hAnsi="Cambria Math" w:cs="Times New Roman"/>
                    <w:sz w:val="24"/>
                    <w:szCs w:val="24"/>
                  </w:rPr>
                  <m:t>β</m:t>
                </m:r>
              </m:e>
            </m:acc>
          </m:e>
          <m:sub>
            <m:r>
              <w:rPr>
                <w:rFonts w:ascii="Cambria Math" w:eastAsia="MS Mincho" w:hAnsi="Cambria Math" w:cs="Times New Roman"/>
                <w:sz w:val="24"/>
                <w:szCs w:val="24"/>
              </w:rPr>
              <m:t>i</m:t>
            </m:r>
          </m:sub>
        </m:sSub>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R</m:t>
            </m:r>
          </m:e>
          <m:sub>
            <m:r>
              <w:rPr>
                <w:rFonts w:ascii="Cambria Math" w:eastAsia="MS Mincho" w:hAnsi="Cambria Math" w:cs="Times New Roman"/>
                <w:sz w:val="24"/>
                <w:szCs w:val="24"/>
              </w:rPr>
              <m:t>M,t</m:t>
            </m:r>
          </m:sub>
        </m:sSub>
        <m:r>
          <w:rPr>
            <w:rFonts w:ascii="Cambria Math" w:eastAsia="MS Mincho" w:hAnsi="Cambria Math" w:cs="Times New Roman"/>
            <w:sz w:val="24"/>
            <w:szCs w:val="24"/>
          </w:rPr>
          <m:t>)</m:t>
        </m:r>
      </m:oMath>
      <w:r w:rsidR="00294C7A" w:rsidRPr="005D42BA">
        <w:rPr>
          <w:rFonts w:ascii="Times New Roman" w:eastAsia="MS Mincho" w:hAnsi="Times New Roman" w:cs="Times New Roman"/>
          <w:sz w:val="24"/>
          <w:szCs w:val="24"/>
        </w:rPr>
        <w:tab/>
        <w:t>[2]</w:t>
      </w:r>
    </w:p>
    <w:p w:rsidR="00294C7A" w:rsidRPr="005D42BA" w:rsidRDefault="00294C7A" w:rsidP="00294C7A">
      <w:pPr>
        <w:tabs>
          <w:tab w:val="left" w:pos="8364"/>
        </w:tabs>
        <w:spacing w:line="480" w:lineRule="auto"/>
        <w:ind w:firstLine="720"/>
        <w:jc w:val="both"/>
        <w:rPr>
          <w:rFonts w:ascii="Times New Roman" w:hAnsi="Times New Roman" w:cs="Times New Roman"/>
          <w:sz w:val="24"/>
          <w:szCs w:val="24"/>
        </w:rPr>
      </w:pPr>
      <w:r w:rsidRPr="005D42BA">
        <w:rPr>
          <w:rFonts w:ascii="Times New Roman" w:eastAsia="MS Mincho" w:hAnsi="Times New Roman" w:cs="Times New Roman"/>
          <w:sz w:val="24"/>
          <w:szCs w:val="24"/>
        </w:rPr>
        <w:t>The timeframe we select to estimate our event-specific parameters (</w:t>
      </w:r>
      <w:proofErr w:type="spellStart"/>
      <w:r w:rsidRPr="005D42BA">
        <w:rPr>
          <w:rFonts w:ascii="Times New Roman" w:eastAsia="MS Mincho" w:hAnsi="Times New Roman" w:cs="Times New Roman"/>
          <w:i/>
          <w:sz w:val="24"/>
          <w:szCs w:val="24"/>
        </w:rPr>
        <w:t>μ</w:t>
      </w:r>
      <w:r w:rsidRPr="005D42BA">
        <w:rPr>
          <w:rFonts w:ascii="Times New Roman" w:eastAsia="MS Mincho" w:hAnsi="Times New Roman" w:cs="Times New Roman"/>
          <w:i/>
          <w:sz w:val="24"/>
          <w:szCs w:val="24"/>
          <w:vertAlign w:val="subscript"/>
        </w:rPr>
        <w:t>i</w:t>
      </w:r>
      <w:proofErr w:type="spellEnd"/>
      <w:r w:rsidRPr="005D42BA">
        <w:rPr>
          <w:rFonts w:ascii="Times New Roman" w:eastAsia="MS Mincho" w:hAnsi="Times New Roman" w:cs="Times New Roman"/>
          <w:i/>
          <w:sz w:val="24"/>
          <w:szCs w:val="24"/>
        </w:rPr>
        <w:t xml:space="preserve">, </w:t>
      </w:r>
      <w:proofErr w:type="spellStart"/>
      <w:r w:rsidRPr="005D42BA">
        <w:rPr>
          <w:rFonts w:ascii="Times New Roman" w:eastAsia="MS Mincho" w:hAnsi="Times New Roman" w:cs="Times New Roman"/>
          <w:i/>
          <w:sz w:val="24"/>
          <w:szCs w:val="24"/>
        </w:rPr>
        <w:t>α</w:t>
      </w:r>
      <w:r w:rsidRPr="005D42BA">
        <w:rPr>
          <w:rFonts w:ascii="Times New Roman" w:eastAsia="MS Mincho" w:hAnsi="Times New Roman" w:cs="Times New Roman"/>
          <w:i/>
          <w:sz w:val="24"/>
          <w:szCs w:val="24"/>
          <w:vertAlign w:val="subscript"/>
        </w:rPr>
        <w:t>i</w:t>
      </w:r>
      <w:proofErr w:type="spellEnd"/>
      <w:r w:rsidRPr="005D42BA">
        <w:rPr>
          <w:rFonts w:ascii="Times New Roman" w:eastAsia="MS Mincho" w:hAnsi="Times New Roman" w:cs="Times New Roman"/>
          <w:i/>
          <w:sz w:val="24"/>
          <w:szCs w:val="24"/>
        </w:rPr>
        <w:t xml:space="preserve">, </w:t>
      </w:r>
      <w:r w:rsidRPr="005D42BA">
        <w:rPr>
          <w:rFonts w:ascii="Times New Roman" w:eastAsia="MS Mincho" w:hAnsi="Times New Roman" w:cs="Times New Roman"/>
          <w:sz w:val="24"/>
          <w:szCs w:val="24"/>
        </w:rPr>
        <w:t xml:space="preserve">and </w:t>
      </w:r>
      <w:proofErr w:type="spellStart"/>
      <w:r w:rsidRPr="005D42BA">
        <w:rPr>
          <w:rFonts w:ascii="Times New Roman" w:eastAsia="MS Mincho" w:hAnsi="Times New Roman" w:cs="Times New Roman"/>
          <w:i/>
          <w:sz w:val="24"/>
          <w:szCs w:val="24"/>
        </w:rPr>
        <w:t>β</w:t>
      </w:r>
      <w:r w:rsidRPr="005D42BA">
        <w:rPr>
          <w:rFonts w:ascii="Times New Roman" w:eastAsia="MS Mincho" w:hAnsi="Times New Roman" w:cs="Times New Roman"/>
          <w:i/>
          <w:sz w:val="24"/>
          <w:szCs w:val="24"/>
          <w:vertAlign w:val="subscript"/>
        </w:rPr>
        <w:t>i</w:t>
      </w:r>
      <w:proofErr w:type="spellEnd"/>
      <w:r w:rsidRPr="005D42BA">
        <w:rPr>
          <w:rFonts w:ascii="Times New Roman" w:eastAsia="MS Mincho" w:hAnsi="Times New Roman" w:cs="Times New Roman"/>
          <w:sz w:val="24"/>
          <w:szCs w:val="24"/>
        </w:rPr>
        <w:t xml:space="preserve">) begins 201 trading days before the event and ends 2 days before the event. In other words, we use a </w:t>
      </w:r>
      <w:r w:rsidR="000F008D" w:rsidRPr="005D42BA">
        <w:rPr>
          <w:rFonts w:ascii="Times New Roman" w:eastAsia="MS Mincho" w:hAnsi="Times New Roman" w:cs="Times New Roman"/>
          <w:sz w:val="24"/>
          <w:szCs w:val="24"/>
        </w:rPr>
        <w:t xml:space="preserve">200-day </w:t>
      </w:r>
      <w:r w:rsidRPr="005D42BA">
        <w:rPr>
          <w:rFonts w:ascii="Times New Roman" w:eastAsia="MS Mincho" w:hAnsi="Times New Roman" w:cs="Times New Roman"/>
          <w:sz w:val="24"/>
          <w:szCs w:val="24"/>
        </w:rPr>
        <w:t>estimation window</w:t>
      </w:r>
      <w:r w:rsidR="000F008D" w:rsidRPr="005D42BA">
        <w:rPr>
          <w:rFonts w:ascii="Times New Roman" w:eastAsia="MS Mincho" w:hAnsi="Times New Roman" w:cs="Times New Roman"/>
          <w:sz w:val="24"/>
          <w:szCs w:val="24"/>
        </w:rPr>
        <w:t xml:space="preserve"> (-201,-2)</w:t>
      </w:r>
      <w:r w:rsidRPr="005D42BA">
        <w:rPr>
          <w:rFonts w:ascii="Times New Roman" w:eastAsia="MS Mincho" w:hAnsi="Times New Roman" w:cs="Times New Roman"/>
          <w:sz w:val="24"/>
          <w:szCs w:val="24"/>
        </w:rPr>
        <w:t>, relative to the first annual report dissemination date (</w:t>
      </w:r>
      <w:r w:rsidRPr="005D42BA">
        <w:rPr>
          <w:rFonts w:ascii="Times New Roman" w:eastAsia="MS Mincho" w:hAnsi="Times New Roman" w:cs="Times New Roman"/>
          <w:i/>
          <w:sz w:val="24"/>
          <w:szCs w:val="24"/>
        </w:rPr>
        <w:t>Day</w:t>
      </w:r>
      <w:r w:rsidRPr="005D42BA">
        <w:rPr>
          <w:rFonts w:ascii="Times New Roman" w:eastAsia="MS Mincho" w:hAnsi="Times New Roman" w:cs="Times New Roman"/>
          <w:sz w:val="24"/>
          <w:szCs w:val="24"/>
        </w:rPr>
        <w:t xml:space="preserve"> 0). Had this window been any longer, one would run the risk </w:t>
      </w:r>
      <w:r w:rsidR="005146EE" w:rsidRPr="005D42BA">
        <w:rPr>
          <w:rFonts w:ascii="Times New Roman" w:eastAsia="MS Mincho" w:hAnsi="Times New Roman" w:cs="Times New Roman"/>
          <w:sz w:val="24"/>
          <w:szCs w:val="24"/>
        </w:rPr>
        <w:t>of</w:t>
      </w:r>
      <w:r w:rsidRPr="005D42BA">
        <w:rPr>
          <w:rFonts w:ascii="Times New Roman" w:eastAsia="MS Mincho" w:hAnsi="Times New Roman" w:cs="Times New Roman"/>
          <w:sz w:val="24"/>
          <w:szCs w:val="24"/>
        </w:rPr>
        <w:t xml:space="preserve"> the previous year’s report disclosure </w:t>
      </w:r>
      <w:r w:rsidR="005146EE" w:rsidRPr="005D42BA">
        <w:rPr>
          <w:rFonts w:ascii="Times New Roman" w:eastAsia="MS Mincho" w:hAnsi="Times New Roman" w:cs="Times New Roman"/>
          <w:sz w:val="24"/>
          <w:szCs w:val="24"/>
        </w:rPr>
        <w:t>being</w:t>
      </w:r>
      <w:r w:rsidRPr="005D42BA">
        <w:rPr>
          <w:rFonts w:ascii="Times New Roman" w:eastAsia="MS Mincho" w:hAnsi="Times New Roman" w:cs="Times New Roman"/>
          <w:sz w:val="24"/>
          <w:szCs w:val="24"/>
        </w:rPr>
        <w:t xml:space="preserve"> incorporated within it. Consequently, its usefulness as an event-neutral benchmark would have been invalidated. On the other hand, shortening the estimation span would lead to less precise statistical inferences. With regard to examination of the impact of the </w:t>
      </w:r>
      <w:r w:rsidRPr="005D42BA">
        <w:rPr>
          <w:rFonts w:ascii="Times New Roman" w:eastAsia="MS Mincho" w:hAnsi="Times New Roman" w:cs="Times New Roman"/>
          <w:sz w:val="24"/>
          <w:szCs w:val="24"/>
        </w:rPr>
        <w:lastRenderedPageBreak/>
        <w:t xml:space="preserve">report release itself, we choose to focus on two short periods, namely (-1,1) and (-1,5). Since the windows are relatively narrow, the probability that major confounding events will occur during these ephemeral timeframes is minute, thereby reducing the likelihood of contaminated results. It is worth noting that prior studies focusing on earnings announcements used event windows of comparable length (see for instance </w:t>
      </w:r>
      <w:r w:rsidRPr="005D42BA">
        <w:rPr>
          <w:rFonts w:ascii="Times New Roman" w:hAnsi="Times New Roman" w:cs="Times New Roman"/>
          <w:sz w:val="24"/>
          <w:szCs w:val="24"/>
        </w:rPr>
        <w:t xml:space="preserve">Francis </w:t>
      </w:r>
      <w:r w:rsidRPr="005D42BA">
        <w:rPr>
          <w:rFonts w:ascii="Times New Roman" w:hAnsi="Times New Roman" w:cs="Times New Roman"/>
          <w:i/>
          <w:sz w:val="24"/>
          <w:szCs w:val="24"/>
        </w:rPr>
        <w:t>et al.</w:t>
      </w:r>
      <w:r w:rsidR="0095090F">
        <w:rPr>
          <w:rFonts w:ascii="Times New Roman" w:hAnsi="Times New Roman" w:cs="Times New Roman"/>
          <w:sz w:val="24"/>
          <w:szCs w:val="24"/>
        </w:rPr>
        <w:t xml:space="preserve"> (2002: 519), </w:t>
      </w:r>
      <w:proofErr w:type="spellStart"/>
      <w:r w:rsidR="0095090F">
        <w:rPr>
          <w:rFonts w:ascii="Times New Roman" w:hAnsi="Times New Roman" w:cs="Times New Roman"/>
          <w:sz w:val="24"/>
          <w:szCs w:val="24"/>
        </w:rPr>
        <w:t>Scharnd</w:t>
      </w:r>
      <w:proofErr w:type="spellEnd"/>
      <w:r w:rsidR="0095090F">
        <w:rPr>
          <w:rFonts w:ascii="Times New Roman" w:hAnsi="Times New Roman" w:cs="Times New Roman"/>
          <w:sz w:val="24"/>
          <w:szCs w:val="24"/>
        </w:rPr>
        <w:t xml:space="preserve"> &amp;</w:t>
      </w:r>
      <w:r w:rsidRPr="005D42BA">
        <w:rPr>
          <w:rFonts w:ascii="Times New Roman" w:hAnsi="Times New Roman" w:cs="Times New Roman"/>
          <w:sz w:val="24"/>
          <w:szCs w:val="24"/>
        </w:rPr>
        <w:t xml:space="preserve"> Walther (2000: 169)). </w:t>
      </w:r>
    </w:p>
    <w:p w:rsidR="00294C7A" w:rsidRPr="005D42BA" w:rsidRDefault="00294C7A" w:rsidP="00294C7A">
      <w:pPr>
        <w:tabs>
          <w:tab w:val="left" w:pos="8364"/>
        </w:tabs>
        <w:spacing w:line="480" w:lineRule="auto"/>
        <w:ind w:firstLine="720"/>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 xml:space="preserve">In the next step of our analysis, we cumulate the abnormal returns over time for each event within the relevant period to arrive at </w:t>
      </w:r>
      <w:r w:rsidR="00382D71">
        <w:rPr>
          <w:rFonts w:ascii="Times New Roman" w:eastAsia="MS Mincho" w:hAnsi="Times New Roman" w:cs="Times New Roman"/>
          <w:sz w:val="24"/>
          <w:szCs w:val="24"/>
        </w:rPr>
        <w:t xml:space="preserve">the </w:t>
      </w:r>
      <w:r w:rsidRPr="005D42BA">
        <w:rPr>
          <w:rFonts w:ascii="Times New Roman" w:eastAsia="MS Mincho" w:hAnsi="Times New Roman" w:cs="Times New Roman"/>
          <w:sz w:val="24"/>
          <w:szCs w:val="24"/>
        </w:rPr>
        <w:t>cumulative abnormal return:</w:t>
      </w:r>
    </w:p>
    <w:p w:rsidR="00294C7A" w:rsidRPr="005D42BA" w:rsidRDefault="004049C7" w:rsidP="00294C7A">
      <w:pPr>
        <w:tabs>
          <w:tab w:val="left" w:pos="8364"/>
        </w:tabs>
        <w:spacing w:after="0" w:line="480" w:lineRule="auto"/>
        <w:ind w:firstLine="3119"/>
        <w:jc w:val="center"/>
        <w:rPr>
          <w:rFonts w:ascii="Times New Roman" w:eastAsia="MS Mincho" w:hAnsi="Times New Roman" w:cs="Times New Roman"/>
          <w:sz w:val="24"/>
          <w:szCs w:val="24"/>
        </w:rPr>
      </w:pPr>
      <m:oMath>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CAR_X</m:t>
            </m:r>
          </m:e>
          <m:sub>
            <m:r>
              <w:rPr>
                <w:rFonts w:ascii="Cambria Math" w:eastAsia="MS Mincho" w:hAnsi="Cambria Math" w:cs="Times New Roman"/>
                <w:sz w:val="24"/>
                <w:szCs w:val="24"/>
              </w:rPr>
              <m:t>i</m:t>
            </m:r>
          </m:sub>
        </m:sSub>
        <m:d>
          <m:dPr>
            <m:ctrlPr>
              <w:rPr>
                <w:rFonts w:ascii="Cambria Math" w:eastAsia="MS Mincho" w:hAnsi="Cambria Math" w:cs="Times New Roman"/>
                <w:i/>
                <w:sz w:val="24"/>
                <w:szCs w:val="24"/>
              </w:rPr>
            </m:ctrlPr>
          </m:dPr>
          <m:e>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t</m:t>
                </m:r>
              </m:e>
              <m:sub>
                <m:r>
                  <w:rPr>
                    <w:rFonts w:ascii="Cambria Math" w:eastAsia="MS Mincho" w:hAnsi="Cambria Math" w:cs="Times New Roman"/>
                    <w:sz w:val="24"/>
                    <w:szCs w:val="24"/>
                  </w:rPr>
                  <m:t>1</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t</m:t>
                </m:r>
              </m:e>
              <m:sub>
                <m:r>
                  <w:rPr>
                    <w:rFonts w:ascii="Cambria Math" w:eastAsia="MS Mincho" w:hAnsi="Cambria Math" w:cs="Times New Roman"/>
                    <w:sz w:val="24"/>
                    <w:szCs w:val="24"/>
                  </w:rPr>
                  <m:t>2</m:t>
                </m:r>
              </m:sub>
            </m:sSub>
          </m:e>
        </m:d>
        <m:r>
          <w:rPr>
            <w:rFonts w:ascii="Cambria Math" w:eastAsia="MS Mincho" w:hAnsi="Cambria Math" w:cs="Times New Roman"/>
            <w:sz w:val="24"/>
            <w:szCs w:val="24"/>
          </w:rPr>
          <m:t>=</m:t>
        </m:r>
        <m:nary>
          <m:naryPr>
            <m:chr m:val="∑"/>
            <m:limLoc m:val="undOvr"/>
            <m:ctrlPr>
              <w:rPr>
                <w:rFonts w:ascii="Cambria Math" w:eastAsia="MS Mincho" w:hAnsi="Cambria Math" w:cs="Times New Roman"/>
                <w:i/>
                <w:sz w:val="24"/>
                <w:szCs w:val="24"/>
              </w:rPr>
            </m:ctrlPr>
          </m:naryPr>
          <m:sub>
            <m:r>
              <w:rPr>
                <w:rFonts w:ascii="Cambria Math" w:eastAsia="MS Mincho" w:hAnsi="Cambria Math" w:cs="Times New Roman"/>
                <w:sz w:val="24"/>
                <w:szCs w:val="24"/>
              </w:rPr>
              <m:t>j=</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t</m:t>
                </m:r>
              </m:e>
              <m:sub>
                <m:r>
                  <w:rPr>
                    <w:rFonts w:ascii="Cambria Math" w:eastAsia="MS Mincho" w:hAnsi="Cambria Math" w:cs="Times New Roman"/>
                    <w:sz w:val="24"/>
                    <w:szCs w:val="24"/>
                  </w:rPr>
                  <m:t>1</m:t>
                </m:r>
              </m:sub>
            </m:sSub>
          </m:sub>
          <m:sup>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t</m:t>
                </m:r>
              </m:e>
              <m:sub>
                <m:r>
                  <w:rPr>
                    <w:rFonts w:ascii="Cambria Math" w:eastAsia="MS Mincho" w:hAnsi="Cambria Math" w:cs="Times New Roman"/>
                    <w:sz w:val="24"/>
                    <w:szCs w:val="24"/>
                  </w:rPr>
                  <m:t>2</m:t>
                </m:r>
              </m:sub>
            </m:sSub>
          </m:sup>
          <m:e>
            <m:sSubSup>
              <m:sSubSupPr>
                <m:ctrlPr>
                  <w:rPr>
                    <w:rFonts w:ascii="Cambria Math" w:eastAsia="MS Mincho" w:hAnsi="Cambria Math" w:cs="Times New Roman"/>
                    <w:i/>
                    <w:sz w:val="24"/>
                    <w:szCs w:val="24"/>
                  </w:rPr>
                </m:ctrlPr>
              </m:sSubSupPr>
              <m:e>
                <m:r>
                  <w:rPr>
                    <w:rFonts w:ascii="Cambria Math" w:eastAsia="MS Mincho" w:hAnsi="Cambria Math" w:cs="Times New Roman"/>
                    <w:sz w:val="24"/>
                    <w:szCs w:val="24"/>
                  </w:rPr>
                  <m:t>AR</m:t>
                </m:r>
              </m:e>
              <m:sub>
                <m:r>
                  <w:rPr>
                    <w:rFonts w:ascii="Cambria Math" w:eastAsia="MS Mincho" w:hAnsi="Cambria Math" w:cs="Times New Roman"/>
                    <w:sz w:val="24"/>
                    <w:szCs w:val="24"/>
                  </w:rPr>
                  <m:t>i,j</m:t>
                </m:r>
              </m:sub>
              <m:sup>
                <m:r>
                  <w:rPr>
                    <w:rFonts w:ascii="Cambria Math" w:eastAsia="MS Mincho" w:hAnsi="Cambria Math" w:cs="Times New Roman"/>
                    <w:sz w:val="24"/>
                    <w:szCs w:val="24"/>
                  </w:rPr>
                  <m:t>X</m:t>
                </m:r>
              </m:sup>
            </m:sSubSup>
          </m:e>
        </m:nary>
      </m:oMath>
      <w:r w:rsidR="00294C7A" w:rsidRPr="005D42BA">
        <w:rPr>
          <w:rFonts w:ascii="Times New Roman" w:eastAsia="MS Mincho" w:hAnsi="Times New Roman" w:cs="Times New Roman"/>
          <w:sz w:val="24"/>
          <w:szCs w:val="24"/>
        </w:rPr>
        <w:tab/>
        <w:t>[3]</w:t>
      </w:r>
    </w:p>
    <w:p w:rsidR="00294C7A" w:rsidRPr="005D42BA" w:rsidRDefault="00294C7A" w:rsidP="00294C7A">
      <w:pPr>
        <w:tabs>
          <w:tab w:val="left" w:pos="8364"/>
        </w:tabs>
        <w:spacing w:after="0" w:line="480" w:lineRule="auto"/>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 xml:space="preserve">where </w:t>
      </w:r>
      <w:r w:rsidRPr="005D42BA">
        <w:rPr>
          <w:rFonts w:ascii="Times New Roman" w:eastAsia="MS Mincho" w:hAnsi="Times New Roman" w:cs="Times New Roman"/>
          <w:i/>
          <w:sz w:val="24"/>
          <w:szCs w:val="24"/>
        </w:rPr>
        <w:t>X</w:t>
      </w:r>
      <w:r w:rsidRPr="005D42BA">
        <w:rPr>
          <w:rFonts w:ascii="Times New Roman" w:eastAsia="MS Mincho" w:hAnsi="Times New Roman" w:cs="Times New Roman"/>
          <w:sz w:val="24"/>
          <w:szCs w:val="24"/>
        </w:rPr>
        <w:t xml:space="preserve"> can take the value of either </w:t>
      </w:r>
      <w:r w:rsidRPr="005D42BA">
        <w:rPr>
          <w:rFonts w:ascii="Times New Roman" w:eastAsia="MS Mincho" w:hAnsi="Times New Roman" w:cs="Times New Roman"/>
          <w:i/>
          <w:sz w:val="24"/>
          <w:szCs w:val="24"/>
        </w:rPr>
        <w:t>MA</w:t>
      </w:r>
      <w:r w:rsidRPr="005D42BA">
        <w:rPr>
          <w:rFonts w:ascii="Times New Roman" w:eastAsia="MS Mincho" w:hAnsi="Times New Roman" w:cs="Times New Roman"/>
          <w:sz w:val="24"/>
          <w:szCs w:val="24"/>
        </w:rPr>
        <w:t xml:space="preserve"> or </w:t>
      </w:r>
      <w:r w:rsidRPr="005D42BA">
        <w:rPr>
          <w:rFonts w:ascii="Times New Roman" w:eastAsia="MS Mincho" w:hAnsi="Times New Roman" w:cs="Times New Roman"/>
          <w:i/>
          <w:sz w:val="24"/>
          <w:szCs w:val="24"/>
        </w:rPr>
        <w:t>MM</w:t>
      </w:r>
      <w:r w:rsidRPr="005D42BA">
        <w:rPr>
          <w:rFonts w:ascii="Times New Roman" w:eastAsia="MS Mincho" w:hAnsi="Times New Roman" w:cs="Times New Roman"/>
          <w:sz w:val="24"/>
          <w:szCs w:val="24"/>
        </w:rPr>
        <w:t xml:space="preserve"> depending on whether the </w:t>
      </w:r>
      <w:r w:rsidRPr="005D42BA">
        <w:rPr>
          <w:rFonts w:ascii="Times New Roman" w:eastAsia="MS Mincho" w:hAnsi="Times New Roman" w:cs="Times New Roman"/>
          <w:i/>
          <w:sz w:val="24"/>
          <w:szCs w:val="24"/>
        </w:rPr>
        <w:t>AR</w:t>
      </w:r>
      <w:r w:rsidRPr="005D42BA">
        <w:rPr>
          <w:rFonts w:ascii="Times New Roman" w:eastAsia="MS Mincho" w:hAnsi="Times New Roman" w:cs="Times New Roman"/>
          <w:sz w:val="24"/>
          <w:szCs w:val="24"/>
        </w:rPr>
        <w:t xml:space="preserve">s are mean- or market-model-adjusted. The parameter </w:t>
      </w:r>
      <w:r w:rsidRPr="005D42BA">
        <w:rPr>
          <w:rFonts w:ascii="Times New Roman" w:eastAsia="MS Mincho" w:hAnsi="Times New Roman" w:cs="Times New Roman"/>
          <w:i/>
          <w:sz w:val="24"/>
          <w:szCs w:val="24"/>
        </w:rPr>
        <w:t>t</w:t>
      </w:r>
      <w:r w:rsidRPr="005D42BA">
        <w:rPr>
          <w:rFonts w:ascii="Times New Roman" w:eastAsia="MS Mincho" w:hAnsi="Times New Roman" w:cs="Times New Roman"/>
          <w:i/>
          <w:sz w:val="24"/>
          <w:szCs w:val="24"/>
          <w:vertAlign w:val="subscript"/>
        </w:rPr>
        <w:t>1</w:t>
      </w:r>
      <w:r w:rsidRPr="005D42BA">
        <w:rPr>
          <w:rFonts w:ascii="Times New Roman" w:eastAsia="MS Mincho" w:hAnsi="Times New Roman" w:cs="Times New Roman"/>
          <w:sz w:val="24"/>
          <w:szCs w:val="24"/>
        </w:rPr>
        <w:t xml:space="preserve"> denotes the beginning of the event window, or </w:t>
      </w:r>
      <w:r w:rsidRPr="005D42BA">
        <w:rPr>
          <w:rFonts w:ascii="Times New Roman" w:eastAsia="MS Mincho" w:hAnsi="Times New Roman" w:cs="Times New Roman"/>
          <w:i/>
          <w:sz w:val="24"/>
          <w:szCs w:val="24"/>
        </w:rPr>
        <w:t>Day -1</w:t>
      </w:r>
      <w:r w:rsidRPr="005D42BA">
        <w:rPr>
          <w:rFonts w:ascii="Times New Roman" w:eastAsia="MS Mincho" w:hAnsi="Times New Roman" w:cs="Times New Roman"/>
          <w:sz w:val="24"/>
          <w:szCs w:val="24"/>
        </w:rPr>
        <w:t xml:space="preserve"> in our case, while </w:t>
      </w:r>
      <w:r w:rsidRPr="005D42BA">
        <w:rPr>
          <w:rFonts w:ascii="Times New Roman" w:eastAsia="MS Mincho" w:hAnsi="Times New Roman" w:cs="Times New Roman"/>
          <w:i/>
          <w:sz w:val="24"/>
          <w:szCs w:val="24"/>
        </w:rPr>
        <w:t>t</w:t>
      </w:r>
      <w:r w:rsidRPr="005D42BA">
        <w:rPr>
          <w:rFonts w:ascii="Times New Roman" w:eastAsia="MS Mincho" w:hAnsi="Times New Roman" w:cs="Times New Roman"/>
          <w:i/>
          <w:sz w:val="24"/>
          <w:szCs w:val="24"/>
          <w:vertAlign w:val="subscript"/>
        </w:rPr>
        <w:t>2</w:t>
      </w:r>
      <w:r w:rsidRPr="005D42BA">
        <w:rPr>
          <w:rFonts w:ascii="Times New Roman" w:eastAsia="MS Mincho" w:hAnsi="Times New Roman" w:cs="Times New Roman"/>
          <w:sz w:val="24"/>
          <w:szCs w:val="24"/>
        </w:rPr>
        <w:t xml:space="preserve"> can take a value of either +1 or +5 depending on the specification. </w:t>
      </w:r>
      <w:r w:rsidRPr="005D42BA">
        <w:rPr>
          <w:rFonts w:ascii="Times New Roman" w:eastAsia="MS Mincho" w:hAnsi="Times New Roman" w:cs="Times New Roman"/>
          <w:i/>
          <w:sz w:val="24"/>
          <w:szCs w:val="24"/>
        </w:rPr>
        <w:t>CAR_X</w:t>
      </w:r>
      <w:r w:rsidRPr="005D42BA">
        <w:rPr>
          <w:rFonts w:ascii="Times New Roman" w:eastAsia="MS Mincho" w:hAnsi="Times New Roman" w:cs="Times New Roman"/>
          <w:sz w:val="24"/>
          <w:szCs w:val="24"/>
        </w:rPr>
        <w:t xml:space="preserve"> can be simply interpreted as the totality of market reaction associated with publication of a particular annual report. </w:t>
      </w:r>
      <w:r w:rsidR="00AD1FDB">
        <w:rPr>
          <w:rFonts w:ascii="Times New Roman" w:eastAsia="MS Mincho" w:hAnsi="Times New Roman" w:cs="Times New Roman"/>
          <w:sz w:val="24"/>
          <w:szCs w:val="24"/>
        </w:rPr>
        <w:t xml:space="preserve">In other words, CARs capture the response of investors to the information contained in both the annual financial statements and the narratives. </w:t>
      </w:r>
    </w:p>
    <w:p w:rsidR="00294C7A" w:rsidRPr="005D42BA" w:rsidRDefault="00294C7A" w:rsidP="00294C7A">
      <w:pPr>
        <w:spacing w:after="0" w:line="480" w:lineRule="auto"/>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ab/>
      </w:r>
      <w:r w:rsidR="00AD1FDB">
        <w:rPr>
          <w:rFonts w:ascii="Times New Roman" w:eastAsia="MS Mincho" w:hAnsi="Times New Roman" w:cs="Times New Roman"/>
          <w:sz w:val="24"/>
          <w:szCs w:val="24"/>
        </w:rPr>
        <w:t>To disentangle the impact of qualitative information from that of quantitative data and company characteristics, we perform regression analysis. More specifically, o</w:t>
      </w:r>
      <w:r w:rsidRPr="005D42BA">
        <w:rPr>
          <w:rFonts w:ascii="Times New Roman" w:eastAsia="MS Mincho" w:hAnsi="Times New Roman" w:cs="Times New Roman"/>
          <w:sz w:val="24"/>
          <w:szCs w:val="24"/>
        </w:rPr>
        <w:t>ur estimate of market response is linked to the positiveness of the descriptive part of the report and other control variables. More formally, we try to fit the following regression to our data:</w:t>
      </w:r>
    </w:p>
    <w:p w:rsidR="00294C7A" w:rsidRPr="005D42BA" w:rsidRDefault="00294C7A" w:rsidP="00294C7A">
      <w:pPr>
        <w:tabs>
          <w:tab w:val="left" w:pos="8364"/>
        </w:tabs>
        <w:spacing w:after="0" w:line="480" w:lineRule="auto"/>
        <w:rPr>
          <w:rFonts w:ascii="Times New Roman" w:eastAsia="MS Mincho" w:hAnsi="Times New Roman" w:cs="Times New Roman"/>
          <w:sz w:val="24"/>
          <w:szCs w:val="24"/>
        </w:rPr>
      </w:pPr>
      <w:r w:rsidRPr="005D42BA">
        <w:rPr>
          <w:rFonts w:ascii="Times New Roman" w:eastAsia="MS Mincho" w:hAnsi="Times New Roman" w:cs="Times New Roman"/>
          <w:sz w:val="24"/>
          <w:szCs w:val="24"/>
        </w:rPr>
        <w:t xml:space="preserve"> </w:t>
      </w:r>
      <m:oMath>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CAR_X</m:t>
            </m:r>
          </m:e>
          <m:sub>
            <m:r>
              <w:rPr>
                <w:rFonts w:ascii="Cambria Math" w:eastAsia="MS Mincho" w:hAnsi="Cambria Math" w:cs="Times New Roman"/>
                <w:sz w:val="24"/>
                <w:szCs w:val="24"/>
              </w:rPr>
              <m:t>i</m:t>
            </m:r>
          </m:sub>
        </m:sSub>
        <m:d>
          <m:dPr>
            <m:ctrlPr>
              <w:rPr>
                <w:rFonts w:ascii="Cambria Math" w:eastAsia="MS Mincho" w:hAnsi="Cambria Math" w:cs="Times New Roman"/>
                <w:i/>
                <w:sz w:val="24"/>
                <w:szCs w:val="24"/>
              </w:rPr>
            </m:ctrlPr>
          </m:dPr>
          <m:e>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t</m:t>
                </m:r>
              </m:e>
              <m:sub>
                <m:r>
                  <w:rPr>
                    <w:rFonts w:ascii="Cambria Math" w:eastAsia="MS Mincho" w:hAnsi="Cambria Math" w:cs="Times New Roman"/>
                    <w:sz w:val="24"/>
                    <w:szCs w:val="24"/>
                  </w:rPr>
                  <m:t>1</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t</m:t>
                </m:r>
              </m:e>
              <m:sub>
                <m:r>
                  <w:rPr>
                    <w:rFonts w:ascii="Cambria Math" w:eastAsia="MS Mincho" w:hAnsi="Cambria Math" w:cs="Times New Roman"/>
                    <w:sz w:val="24"/>
                    <w:szCs w:val="24"/>
                  </w:rPr>
                  <m:t>2</m:t>
                </m:r>
              </m:sub>
            </m:sSub>
          </m:e>
        </m:d>
        <m:r>
          <w:rPr>
            <w:rFonts w:ascii="Cambria Math" w:eastAsia="MS Mincho" w:hAnsi="Cambria Math" w:cs="Times New Roman"/>
            <w:sz w:val="24"/>
            <w:szCs w:val="24"/>
          </w:rPr>
          <m:t>= α+</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β</m:t>
            </m:r>
          </m:e>
          <m:sub>
            <m:r>
              <w:rPr>
                <w:rFonts w:ascii="Cambria Math" w:eastAsia="MS Mincho" w:hAnsi="Cambria Math" w:cs="Times New Roman"/>
                <w:sz w:val="24"/>
                <w:szCs w:val="24"/>
              </w:rPr>
              <m:t>1</m:t>
            </m:r>
          </m:sub>
        </m:sSub>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Positiveness</m:t>
            </m:r>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β</m:t>
            </m:r>
          </m:e>
          <m:sub>
            <m:r>
              <w:rPr>
                <w:rFonts w:ascii="Cambria Math" w:eastAsia="MS Mincho" w:hAnsi="Cambria Math" w:cs="Times New Roman"/>
                <w:sz w:val="24"/>
                <w:szCs w:val="24"/>
              </w:rPr>
              <m:t>2</m:t>
            </m:r>
          </m:sub>
        </m:sSub>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Size</m:t>
            </m:r>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β</m:t>
            </m:r>
          </m:e>
          <m:sub>
            <m:r>
              <w:rPr>
                <w:rFonts w:ascii="Cambria Math" w:eastAsia="MS Mincho" w:hAnsi="Cambria Math" w:cs="Times New Roman"/>
                <w:sz w:val="24"/>
                <w:szCs w:val="24"/>
              </w:rPr>
              <m:t>3</m:t>
            </m:r>
          </m:sub>
        </m:sSub>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Book_to_Market</m:t>
            </m:r>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oMath>
    </w:p>
    <w:p w:rsidR="00294C7A" w:rsidRPr="005D42BA" w:rsidRDefault="00294C7A" w:rsidP="00294C7A">
      <w:pPr>
        <w:tabs>
          <w:tab w:val="left" w:pos="8505"/>
        </w:tabs>
        <w:spacing w:after="0" w:line="480" w:lineRule="auto"/>
        <w:ind w:left="851" w:firstLine="850"/>
        <w:rPr>
          <w:rFonts w:ascii="Times New Roman" w:eastAsia="MS Mincho" w:hAnsi="Times New Roman" w:cs="Times New Roman"/>
          <w:sz w:val="24"/>
          <w:szCs w:val="24"/>
        </w:rPr>
      </w:pPr>
      <m:oMath>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β</m:t>
                </m:r>
              </m:e>
              <m:sub>
                <m:r>
                  <w:rPr>
                    <w:rFonts w:ascii="Cambria Math" w:eastAsia="MS Mincho" w:hAnsi="Cambria Math" w:cs="Times New Roman"/>
                    <w:sz w:val="24"/>
                    <w:szCs w:val="24"/>
                  </w:rPr>
                  <m:t>4</m:t>
                </m:r>
              </m:sub>
            </m:sSub>
            <m:r>
              <w:rPr>
                <w:rFonts w:ascii="Cambria Math" w:eastAsia="MS Mincho" w:hAnsi="Cambria Math" w:cs="Times New Roman"/>
                <w:sz w:val="24"/>
                <w:szCs w:val="24"/>
              </w:rPr>
              <m:t>Earnings_Surprise</m:t>
            </m:r>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β</m:t>
            </m:r>
          </m:e>
          <m:sub>
            <m:r>
              <w:rPr>
                <w:rFonts w:ascii="Cambria Math" w:eastAsia="MS Mincho" w:hAnsi="Cambria Math" w:cs="Times New Roman"/>
                <w:sz w:val="24"/>
                <w:szCs w:val="24"/>
              </w:rPr>
              <m:t>5</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Sales</m:t>
            </m:r>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β</m:t>
            </m:r>
          </m:e>
          <m:sub>
            <m:r>
              <w:rPr>
                <w:rFonts w:ascii="Cambria Math" w:eastAsia="MS Mincho" w:hAnsi="Cambria Math" w:cs="Times New Roman"/>
                <w:sz w:val="24"/>
                <w:szCs w:val="24"/>
              </w:rPr>
              <m:t>6</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Leverage</m:t>
            </m:r>
          </m:e>
          <m:sub>
            <m:r>
              <w:rPr>
                <w:rFonts w:ascii="Cambria Math" w:eastAsia="MS Mincho" w:hAnsi="Cambria Math" w:cs="Times New Roman"/>
                <w:sz w:val="24"/>
                <w:szCs w:val="24"/>
              </w:rPr>
              <m:t>i</m:t>
            </m:r>
          </m:sub>
        </m:sSub>
        <m:r>
          <w:rPr>
            <w:rFonts w:ascii="Cambria Math" w:eastAsia="MS Mincho" w:hAnsi="Cambria Math" w:cs="Times New Roman"/>
            <w:sz w:val="24"/>
            <w:szCs w:val="24"/>
          </w:rPr>
          <m:t>+</m:t>
        </m:r>
        <m:sSub>
          <m:sSubPr>
            <m:ctrlPr>
              <w:rPr>
                <w:rFonts w:ascii="Cambria Math" w:eastAsia="MS Mincho" w:hAnsi="Cambria Math" w:cs="Times New Roman"/>
                <w:i/>
                <w:sz w:val="24"/>
                <w:szCs w:val="24"/>
              </w:rPr>
            </m:ctrlPr>
          </m:sSubPr>
          <m:e>
            <m:r>
              <w:rPr>
                <w:rFonts w:ascii="Cambria Math" w:eastAsia="MS Mincho" w:hAnsi="Cambria Math" w:cs="Times New Roman"/>
                <w:sz w:val="24"/>
                <w:szCs w:val="24"/>
              </w:rPr>
              <m:t>ε</m:t>
            </m:r>
          </m:e>
          <m:sub>
            <m:r>
              <w:rPr>
                <w:rFonts w:ascii="Cambria Math" w:eastAsia="MS Mincho" w:hAnsi="Cambria Math" w:cs="Times New Roman"/>
                <w:sz w:val="24"/>
                <w:szCs w:val="24"/>
              </w:rPr>
              <m:t>i</m:t>
            </m:r>
          </m:sub>
        </m:sSub>
      </m:oMath>
      <w:r w:rsidRPr="005D42BA">
        <w:rPr>
          <w:rFonts w:ascii="Times New Roman" w:eastAsia="MS Mincho" w:hAnsi="Times New Roman" w:cs="Times New Roman"/>
          <w:sz w:val="24"/>
          <w:szCs w:val="24"/>
        </w:rPr>
        <w:tab/>
        <w:t>[4]</w:t>
      </w:r>
    </w:p>
    <w:p w:rsidR="00294C7A" w:rsidRPr="005D42BA" w:rsidRDefault="00294C7A" w:rsidP="00294C7A">
      <w:pPr>
        <w:spacing w:after="0" w:line="480" w:lineRule="auto"/>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 xml:space="preserve">Detailed definitions of the </w:t>
      </w:r>
      <w:r w:rsidR="00C27C69">
        <w:rPr>
          <w:rFonts w:ascii="Times New Roman" w:eastAsia="MS Mincho" w:hAnsi="Times New Roman" w:cs="Times New Roman"/>
          <w:sz w:val="24"/>
          <w:szCs w:val="24"/>
        </w:rPr>
        <w:t>explanatory</w:t>
      </w:r>
      <w:r w:rsidRPr="005D42BA">
        <w:rPr>
          <w:rFonts w:ascii="Times New Roman" w:eastAsia="MS Mincho" w:hAnsi="Times New Roman" w:cs="Times New Roman"/>
          <w:sz w:val="24"/>
          <w:szCs w:val="24"/>
        </w:rPr>
        <w:t xml:space="preserve"> variables are provided in Table </w:t>
      </w:r>
      <w:r w:rsidR="00F813F1">
        <w:rPr>
          <w:rFonts w:ascii="Times New Roman" w:eastAsia="MS Mincho" w:hAnsi="Times New Roman" w:cs="Times New Roman"/>
          <w:sz w:val="24"/>
          <w:szCs w:val="24"/>
        </w:rPr>
        <w:t>1</w:t>
      </w:r>
      <w:r w:rsidRPr="005D42BA">
        <w:rPr>
          <w:rFonts w:ascii="Times New Roman" w:eastAsia="MS Mincho" w:hAnsi="Times New Roman" w:cs="Times New Roman"/>
          <w:sz w:val="24"/>
          <w:szCs w:val="24"/>
        </w:rPr>
        <w:t xml:space="preserve">. In our empirical inquiry we try different values of </w:t>
      </w:r>
      <w:r w:rsidRPr="005D42BA">
        <w:rPr>
          <w:rFonts w:ascii="Times New Roman" w:eastAsia="MS Mincho" w:hAnsi="Times New Roman" w:cs="Times New Roman"/>
          <w:i/>
          <w:sz w:val="24"/>
          <w:szCs w:val="24"/>
        </w:rPr>
        <w:t>X</w:t>
      </w:r>
      <w:r w:rsidRPr="005D42BA">
        <w:rPr>
          <w:rFonts w:ascii="Times New Roman" w:eastAsia="MS Mincho" w:hAnsi="Times New Roman" w:cs="Times New Roman"/>
          <w:sz w:val="24"/>
          <w:szCs w:val="24"/>
        </w:rPr>
        <w:t xml:space="preserve"> and </w:t>
      </w:r>
      <w:r w:rsidRPr="005D42BA">
        <w:rPr>
          <w:rFonts w:ascii="Times New Roman" w:eastAsia="MS Mincho" w:hAnsi="Times New Roman" w:cs="Times New Roman"/>
          <w:i/>
          <w:sz w:val="24"/>
          <w:szCs w:val="24"/>
        </w:rPr>
        <w:t>t</w:t>
      </w:r>
      <w:r w:rsidRPr="005D42BA">
        <w:rPr>
          <w:rFonts w:ascii="Times New Roman" w:eastAsia="MS Mincho" w:hAnsi="Times New Roman" w:cs="Times New Roman"/>
          <w:i/>
          <w:sz w:val="24"/>
          <w:szCs w:val="24"/>
          <w:vertAlign w:val="subscript"/>
        </w:rPr>
        <w:t>2</w:t>
      </w:r>
      <w:r w:rsidRPr="005D42BA">
        <w:rPr>
          <w:rFonts w:ascii="Times New Roman" w:eastAsia="MS Mincho" w:hAnsi="Times New Roman" w:cs="Times New Roman"/>
          <w:sz w:val="24"/>
          <w:szCs w:val="24"/>
        </w:rPr>
        <w:t xml:space="preserve">. Furthermore, in some of the specifications we restrict some of the </w:t>
      </w:r>
      <w:r w:rsidRPr="005D42BA">
        <w:rPr>
          <w:rFonts w:ascii="Times New Roman" w:eastAsia="MS Mincho" w:hAnsi="Times New Roman" w:cs="Times New Roman"/>
          <w:i/>
          <w:sz w:val="24"/>
          <w:szCs w:val="24"/>
        </w:rPr>
        <w:t>β</w:t>
      </w:r>
      <w:r w:rsidRPr="005D42BA">
        <w:rPr>
          <w:rFonts w:ascii="Calibri" w:eastAsia="MS Mincho" w:hAnsi="Calibri" w:cs="Times New Roman"/>
          <w:sz w:val="24"/>
          <w:szCs w:val="24"/>
        </w:rPr>
        <w:t xml:space="preserve"> </w:t>
      </w:r>
      <w:r w:rsidRPr="005D42BA">
        <w:rPr>
          <w:rFonts w:ascii="Times New Roman" w:eastAsia="MS Mincho" w:hAnsi="Times New Roman" w:cs="Times New Roman"/>
          <w:sz w:val="24"/>
          <w:szCs w:val="24"/>
        </w:rPr>
        <w:t xml:space="preserve">coefficients to be equal to zero. </w:t>
      </w:r>
    </w:p>
    <w:p w:rsidR="00294C7A" w:rsidRPr="005D42BA" w:rsidRDefault="00F813F1" w:rsidP="00294C7A">
      <w:pPr>
        <w:tabs>
          <w:tab w:val="left" w:pos="8364"/>
        </w:tabs>
        <w:spacing w:line="480" w:lineRule="auto"/>
        <w:ind w:firstLine="720"/>
        <w:jc w:val="center"/>
        <w:rPr>
          <w:rFonts w:ascii="Times New Roman" w:eastAsia="MS Mincho" w:hAnsi="Times New Roman" w:cs="Times New Roman"/>
          <w:sz w:val="24"/>
          <w:szCs w:val="24"/>
        </w:rPr>
      </w:pPr>
      <w:r>
        <w:rPr>
          <w:rFonts w:ascii="Times New Roman" w:eastAsia="MS Mincho" w:hAnsi="Times New Roman" w:cs="Times New Roman"/>
          <w:sz w:val="24"/>
          <w:szCs w:val="24"/>
        </w:rPr>
        <w:t>[Table 1</w:t>
      </w:r>
      <w:r w:rsidR="00294C7A" w:rsidRPr="005D42BA">
        <w:rPr>
          <w:rFonts w:ascii="Times New Roman" w:eastAsia="MS Mincho" w:hAnsi="Times New Roman" w:cs="Times New Roman"/>
          <w:sz w:val="24"/>
          <w:szCs w:val="24"/>
        </w:rPr>
        <w:t xml:space="preserve"> about here]</w:t>
      </w:r>
    </w:p>
    <w:p w:rsidR="005A2CD6" w:rsidRPr="005D42BA" w:rsidRDefault="005A2CD6" w:rsidP="00294C7A">
      <w:pPr>
        <w:tabs>
          <w:tab w:val="left" w:pos="8364"/>
        </w:tabs>
        <w:spacing w:line="480" w:lineRule="auto"/>
        <w:ind w:firstLine="720"/>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lastRenderedPageBreak/>
        <w:t xml:space="preserve">The key </w:t>
      </w:r>
      <w:proofErr w:type="spellStart"/>
      <w:r w:rsidRPr="005D42BA">
        <w:rPr>
          <w:rFonts w:ascii="Times New Roman" w:eastAsia="MS Mincho" w:hAnsi="Times New Roman" w:cs="Times New Roman"/>
          <w:sz w:val="24"/>
          <w:szCs w:val="24"/>
        </w:rPr>
        <w:t>regressor</w:t>
      </w:r>
      <w:proofErr w:type="spellEnd"/>
      <w:r w:rsidRPr="005D42BA">
        <w:rPr>
          <w:rFonts w:ascii="Times New Roman" w:eastAsia="MS Mincho" w:hAnsi="Times New Roman" w:cs="Times New Roman"/>
          <w:sz w:val="24"/>
          <w:szCs w:val="24"/>
        </w:rPr>
        <w:t xml:space="preserve"> in equation [4] is </w:t>
      </w:r>
      <w:r w:rsidRPr="005D42BA">
        <w:rPr>
          <w:rFonts w:ascii="Times New Roman" w:eastAsia="MS Mincho" w:hAnsi="Times New Roman" w:cs="Times New Roman"/>
          <w:i/>
          <w:sz w:val="24"/>
          <w:szCs w:val="24"/>
        </w:rPr>
        <w:t>Positiveness</w:t>
      </w:r>
      <w:r w:rsidRPr="005D42BA">
        <w:rPr>
          <w:rFonts w:ascii="Times New Roman" w:eastAsia="MS Mincho" w:hAnsi="Times New Roman" w:cs="Times New Roman"/>
          <w:sz w:val="24"/>
          <w:szCs w:val="24"/>
        </w:rPr>
        <w:t xml:space="preserve">, which is defined as the fraction of positive words in the text of </w:t>
      </w:r>
      <w:r w:rsidR="005146EE" w:rsidRPr="005D42BA">
        <w:rPr>
          <w:rFonts w:ascii="Times New Roman" w:eastAsia="MS Mincho" w:hAnsi="Times New Roman" w:cs="Times New Roman"/>
          <w:sz w:val="24"/>
          <w:szCs w:val="24"/>
        </w:rPr>
        <w:t xml:space="preserve">an </w:t>
      </w:r>
      <w:r w:rsidRPr="005D42BA">
        <w:rPr>
          <w:rFonts w:ascii="Times New Roman" w:eastAsia="MS Mincho" w:hAnsi="Times New Roman" w:cs="Times New Roman"/>
          <w:sz w:val="24"/>
          <w:szCs w:val="24"/>
        </w:rPr>
        <w:t xml:space="preserve">annual report narrative. A large number of studies </w:t>
      </w:r>
      <w:r w:rsidR="005146EE" w:rsidRPr="005D42BA">
        <w:rPr>
          <w:rFonts w:ascii="Times New Roman" w:eastAsia="MS Mincho" w:hAnsi="Times New Roman" w:cs="Times New Roman"/>
          <w:sz w:val="24"/>
          <w:szCs w:val="24"/>
        </w:rPr>
        <w:t xml:space="preserve">have </w:t>
      </w:r>
      <w:r w:rsidRPr="005D42BA">
        <w:rPr>
          <w:rFonts w:ascii="Times New Roman" w:eastAsia="MS Mincho" w:hAnsi="Times New Roman" w:cs="Times New Roman"/>
          <w:sz w:val="24"/>
          <w:szCs w:val="24"/>
        </w:rPr>
        <w:t xml:space="preserve">utilized variables constructed by dividing </w:t>
      </w:r>
      <w:r w:rsidR="005146EE" w:rsidRPr="005D42BA">
        <w:rPr>
          <w:rFonts w:ascii="Times New Roman" w:eastAsia="MS Mincho" w:hAnsi="Times New Roman" w:cs="Times New Roman"/>
          <w:sz w:val="24"/>
          <w:szCs w:val="24"/>
        </w:rPr>
        <w:t xml:space="preserve">the </w:t>
      </w:r>
      <w:r w:rsidRPr="005D42BA">
        <w:rPr>
          <w:rFonts w:ascii="Times New Roman" w:eastAsia="MS Mincho" w:hAnsi="Times New Roman" w:cs="Times New Roman"/>
          <w:sz w:val="24"/>
          <w:szCs w:val="24"/>
        </w:rPr>
        <w:t>number of words falling into a given t</w:t>
      </w:r>
      <w:r w:rsidR="00341619">
        <w:rPr>
          <w:rFonts w:ascii="Times New Roman" w:eastAsia="MS Mincho" w:hAnsi="Times New Roman" w:cs="Times New Roman"/>
          <w:sz w:val="24"/>
          <w:szCs w:val="24"/>
        </w:rPr>
        <w:t>one</w:t>
      </w:r>
      <w:r w:rsidRPr="005D42BA">
        <w:rPr>
          <w:rFonts w:ascii="Times New Roman" w:eastAsia="MS Mincho" w:hAnsi="Times New Roman" w:cs="Times New Roman"/>
          <w:sz w:val="24"/>
          <w:szCs w:val="24"/>
        </w:rPr>
        <w:t xml:space="preserve"> category by the total number of words in the documents. Examples of papers that operationalized measures of positiveness/optimism constructed in that manner include Feldman</w:t>
      </w:r>
      <w:r w:rsidR="0095090F">
        <w:rPr>
          <w:rFonts w:ascii="Times New Roman" w:eastAsia="MS Mincho" w:hAnsi="Times New Roman" w:cs="Times New Roman"/>
          <w:sz w:val="24"/>
          <w:szCs w:val="24"/>
        </w:rPr>
        <w:t xml:space="preserve">, </w:t>
      </w:r>
      <w:proofErr w:type="spellStart"/>
      <w:r w:rsidR="0095090F">
        <w:rPr>
          <w:rFonts w:ascii="Times New Roman" w:hAnsi="Times New Roman" w:cs="Times New Roman"/>
          <w:sz w:val="24"/>
          <w:szCs w:val="24"/>
        </w:rPr>
        <w:t>Govindaraj</w:t>
      </w:r>
      <w:proofErr w:type="spellEnd"/>
      <w:r w:rsidR="0095090F">
        <w:rPr>
          <w:rFonts w:ascii="Times New Roman" w:hAnsi="Times New Roman" w:cs="Times New Roman"/>
          <w:sz w:val="24"/>
          <w:szCs w:val="24"/>
        </w:rPr>
        <w:t xml:space="preserve">, </w:t>
      </w:r>
      <w:proofErr w:type="spellStart"/>
      <w:r w:rsidR="0095090F">
        <w:rPr>
          <w:rFonts w:ascii="Times New Roman" w:hAnsi="Times New Roman" w:cs="Times New Roman"/>
          <w:sz w:val="24"/>
          <w:szCs w:val="24"/>
        </w:rPr>
        <w:t>Livnat</w:t>
      </w:r>
      <w:proofErr w:type="spellEnd"/>
      <w:r w:rsidR="0095090F">
        <w:rPr>
          <w:rFonts w:ascii="Times New Roman" w:hAnsi="Times New Roman" w:cs="Times New Roman"/>
          <w:sz w:val="24"/>
          <w:szCs w:val="24"/>
        </w:rPr>
        <w:t>,</w:t>
      </w:r>
      <w:r w:rsidR="0095090F" w:rsidRPr="005D42BA">
        <w:rPr>
          <w:rFonts w:ascii="Times New Roman" w:hAnsi="Times New Roman" w:cs="Times New Roman"/>
          <w:sz w:val="24"/>
          <w:szCs w:val="24"/>
        </w:rPr>
        <w:t xml:space="preserve"> </w:t>
      </w:r>
      <w:r w:rsidR="0095090F">
        <w:rPr>
          <w:rFonts w:ascii="Times New Roman" w:hAnsi="Times New Roman" w:cs="Times New Roman"/>
          <w:sz w:val="24"/>
          <w:szCs w:val="24"/>
        </w:rPr>
        <w:t xml:space="preserve">and </w:t>
      </w:r>
      <w:r w:rsidR="0095090F" w:rsidRPr="005D42BA">
        <w:rPr>
          <w:rFonts w:ascii="Times New Roman" w:hAnsi="Times New Roman" w:cs="Times New Roman"/>
          <w:sz w:val="24"/>
          <w:szCs w:val="24"/>
        </w:rPr>
        <w:t>Segal</w:t>
      </w:r>
      <w:r w:rsidRPr="005D42BA">
        <w:rPr>
          <w:rFonts w:ascii="Times New Roman" w:eastAsia="MS Mincho" w:hAnsi="Times New Roman" w:cs="Times New Roman"/>
          <w:sz w:val="24"/>
          <w:szCs w:val="24"/>
        </w:rPr>
        <w:t xml:space="preserve"> (2008), Kothari</w:t>
      </w:r>
      <w:r w:rsidR="0095090F">
        <w:rPr>
          <w:rFonts w:ascii="Times New Roman" w:eastAsia="MS Mincho" w:hAnsi="Times New Roman" w:cs="Times New Roman"/>
          <w:sz w:val="24"/>
          <w:szCs w:val="24"/>
        </w:rPr>
        <w:t xml:space="preserve">, </w:t>
      </w:r>
      <w:r w:rsidR="0095090F">
        <w:rPr>
          <w:rFonts w:ascii="Times New Roman" w:hAnsi="Times New Roman" w:cs="Times New Roman"/>
          <w:sz w:val="24"/>
          <w:szCs w:val="24"/>
        </w:rPr>
        <w:t>Li, and</w:t>
      </w:r>
      <w:r w:rsidR="0095090F" w:rsidRPr="005D42BA">
        <w:rPr>
          <w:rFonts w:ascii="Times New Roman" w:hAnsi="Times New Roman" w:cs="Times New Roman"/>
          <w:sz w:val="24"/>
          <w:szCs w:val="24"/>
        </w:rPr>
        <w:t xml:space="preserve"> Short</w:t>
      </w:r>
      <w:r w:rsidRPr="005D42BA">
        <w:rPr>
          <w:rFonts w:ascii="Times New Roman" w:eastAsia="MS Mincho" w:hAnsi="Times New Roman" w:cs="Times New Roman"/>
          <w:sz w:val="24"/>
          <w:szCs w:val="24"/>
        </w:rPr>
        <w:t xml:space="preserve"> (2009), Henry (2006), </w:t>
      </w:r>
      <w:proofErr w:type="spellStart"/>
      <w:r w:rsidRPr="005D42BA">
        <w:rPr>
          <w:rFonts w:ascii="Times New Roman" w:eastAsia="MS Mincho" w:hAnsi="Times New Roman" w:cs="Times New Roman"/>
          <w:sz w:val="24"/>
          <w:szCs w:val="24"/>
        </w:rPr>
        <w:t>Cicon</w:t>
      </w:r>
      <w:proofErr w:type="spellEnd"/>
      <w:r w:rsidR="0095090F">
        <w:rPr>
          <w:rFonts w:ascii="Times New Roman" w:eastAsia="MS Mincho" w:hAnsi="Times New Roman" w:cs="Times New Roman"/>
          <w:sz w:val="24"/>
          <w:szCs w:val="24"/>
        </w:rPr>
        <w:t xml:space="preserve">, </w:t>
      </w:r>
      <w:r w:rsidR="0095090F">
        <w:rPr>
          <w:rFonts w:ascii="Times New Roman" w:hAnsi="Times New Roman" w:cs="Times New Roman"/>
          <w:sz w:val="24"/>
          <w:szCs w:val="24"/>
        </w:rPr>
        <w:t>Clarke, Ferris,</w:t>
      </w:r>
      <w:r w:rsidR="0095090F" w:rsidRPr="005D42BA">
        <w:rPr>
          <w:rFonts w:ascii="Times New Roman" w:hAnsi="Times New Roman" w:cs="Times New Roman"/>
          <w:sz w:val="24"/>
          <w:szCs w:val="24"/>
        </w:rPr>
        <w:t xml:space="preserve"> </w:t>
      </w:r>
      <w:r w:rsidR="0095090F">
        <w:rPr>
          <w:rFonts w:ascii="Times New Roman" w:hAnsi="Times New Roman" w:cs="Times New Roman"/>
          <w:sz w:val="24"/>
          <w:szCs w:val="24"/>
        </w:rPr>
        <w:t xml:space="preserve">and </w:t>
      </w:r>
      <w:proofErr w:type="spellStart"/>
      <w:r w:rsidR="0095090F" w:rsidRPr="005D42BA">
        <w:rPr>
          <w:rFonts w:ascii="Times New Roman" w:hAnsi="Times New Roman" w:cs="Times New Roman"/>
          <w:sz w:val="24"/>
          <w:szCs w:val="24"/>
        </w:rPr>
        <w:t>Jayaraman</w:t>
      </w:r>
      <w:proofErr w:type="spellEnd"/>
      <w:r w:rsidRPr="005D42BA">
        <w:rPr>
          <w:rFonts w:ascii="Times New Roman" w:eastAsia="MS Mincho" w:hAnsi="Times New Roman" w:cs="Times New Roman"/>
          <w:sz w:val="24"/>
          <w:szCs w:val="24"/>
        </w:rPr>
        <w:t xml:space="preserve"> (2014), Wisniewski and Moro (2014), Ferguson</w:t>
      </w:r>
      <w:r w:rsidR="0095090F">
        <w:rPr>
          <w:rFonts w:ascii="Times New Roman" w:eastAsia="MS Mincho" w:hAnsi="Times New Roman" w:cs="Times New Roman"/>
          <w:sz w:val="24"/>
          <w:szCs w:val="24"/>
        </w:rPr>
        <w:t xml:space="preserve">, </w:t>
      </w:r>
      <w:r w:rsidR="0095090F">
        <w:rPr>
          <w:rFonts w:ascii="Times New Roman" w:hAnsi="Times New Roman" w:cs="Times New Roman"/>
          <w:sz w:val="24"/>
          <w:szCs w:val="24"/>
        </w:rPr>
        <w:t>Philip,</w:t>
      </w:r>
      <w:r w:rsidR="0095090F" w:rsidRPr="005D42BA">
        <w:rPr>
          <w:rFonts w:ascii="Times New Roman" w:hAnsi="Times New Roman" w:cs="Times New Roman"/>
          <w:sz w:val="24"/>
          <w:szCs w:val="24"/>
        </w:rPr>
        <w:t xml:space="preserve"> Lam, </w:t>
      </w:r>
      <w:r w:rsidR="0095090F">
        <w:rPr>
          <w:rFonts w:ascii="Times New Roman" w:hAnsi="Times New Roman" w:cs="Times New Roman"/>
          <w:sz w:val="24"/>
          <w:szCs w:val="24"/>
        </w:rPr>
        <w:t>&amp;</w:t>
      </w:r>
      <w:r w:rsidR="0095090F" w:rsidRPr="005D42BA">
        <w:rPr>
          <w:rFonts w:ascii="Times New Roman" w:hAnsi="Times New Roman" w:cs="Times New Roman"/>
          <w:sz w:val="24"/>
          <w:szCs w:val="24"/>
        </w:rPr>
        <w:t xml:space="preserve"> </w:t>
      </w:r>
      <w:proofErr w:type="spellStart"/>
      <w:r w:rsidR="0095090F" w:rsidRPr="005D42BA">
        <w:rPr>
          <w:rFonts w:ascii="Times New Roman" w:hAnsi="Times New Roman" w:cs="Times New Roman"/>
          <w:sz w:val="24"/>
          <w:szCs w:val="24"/>
        </w:rPr>
        <w:t>Guo</w:t>
      </w:r>
      <w:proofErr w:type="spellEnd"/>
      <w:r w:rsidRPr="005D42BA">
        <w:rPr>
          <w:rFonts w:ascii="Times New Roman" w:eastAsia="MS Mincho" w:hAnsi="Times New Roman" w:cs="Times New Roman"/>
          <w:sz w:val="24"/>
          <w:szCs w:val="24"/>
        </w:rPr>
        <w:t xml:space="preserve"> (2015). Cho</w:t>
      </w:r>
      <w:r w:rsidR="008C2C2B">
        <w:rPr>
          <w:rFonts w:ascii="Times New Roman" w:eastAsia="MS Mincho" w:hAnsi="Times New Roman" w:cs="Times New Roman"/>
          <w:sz w:val="24"/>
          <w:szCs w:val="24"/>
        </w:rPr>
        <w:t xml:space="preserve">, </w:t>
      </w:r>
      <w:proofErr w:type="spellStart"/>
      <w:r w:rsidR="008C2C2B" w:rsidRPr="005D42BA">
        <w:rPr>
          <w:rFonts w:ascii="Times New Roman" w:hAnsi="Times New Roman" w:cs="Times New Roman"/>
          <w:sz w:val="24"/>
          <w:szCs w:val="24"/>
        </w:rPr>
        <w:t>Roertd</w:t>
      </w:r>
      <w:proofErr w:type="spellEnd"/>
      <w:r w:rsidR="008C2C2B" w:rsidRPr="005D42BA">
        <w:rPr>
          <w:rFonts w:ascii="Times New Roman" w:hAnsi="Times New Roman" w:cs="Times New Roman"/>
          <w:sz w:val="24"/>
          <w:szCs w:val="24"/>
        </w:rPr>
        <w:t xml:space="preserve">, </w:t>
      </w:r>
      <w:r w:rsidR="008C2C2B">
        <w:rPr>
          <w:rFonts w:ascii="Times New Roman" w:hAnsi="Times New Roman" w:cs="Times New Roman"/>
          <w:sz w:val="24"/>
          <w:szCs w:val="24"/>
        </w:rPr>
        <w:t>and</w:t>
      </w:r>
      <w:r w:rsidR="008C2C2B" w:rsidRPr="005D42BA">
        <w:rPr>
          <w:rFonts w:ascii="Times New Roman" w:hAnsi="Times New Roman" w:cs="Times New Roman"/>
          <w:sz w:val="24"/>
          <w:szCs w:val="24"/>
        </w:rPr>
        <w:t xml:space="preserve"> Patten</w:t>
      </w:r>
      <w:r w:rsidRPr="005D42BA">
        <w:rPr>
          <w:rFonts w:ascii="Times New Roman" w:eastAsia="MS Mincho" w:hAnsi="Times New Roman" w:cs="Times New Roman"/>
          <w:sz w:val="24"/>
          <w:szCs w:val="24"/>
        </w:rPr>
        <w:t xml:space="preserve"> (2010) use the optimism score as a dependent variable to model the biases in corporate environmental disclosures. At this s</w:t>
      </w:r>
      <w:r w:rsidR="00382D71">
        <w:rPr>
          <w:rFonts w:ascii="Times New Roman" w:eastAsia="MS Mincho" w:hAnsi="Times New Roman" w:cs="Times New Roman"/>
          <w:sz w:val="24"/>
          <w:szCs w:val="24"/>
        </w:rPr>
        <w:t>tage it must</w:t>
      </w:r>
      <w:r w:rsidRPr="005D42BA">
        <w:rPr>
          <w:rFonts w:ascii="Times New Roman" w:eastAsia="MS Mincho" w:hAnsi="Times New Roman" w:cs="Times New Roman"/>
          <w:sz w:val="24"/>
          <w:szCs w:val="24"/>
        </w:rPr>
        <w:t xml:space="preserve"> be mentioned that a number of studies also employ a tone variable, which is typically defined as an unadjusted or scaled difference between positive and negative words (see for</w:t>
      </w:r>
      <w:r w:rsidR="008C2C2B">
        <w:rPr>
          <w:rFonts w:ascii="Times New Roman" w:eastAsia="MS Mincho" w:hAnsi="Times New Roman" w:cs="Times New Roman"/>
          <w:sz w:val="24"/>
          <w:szCs w:val="24"/>
        </w:rPr>
        <w:t xml:space="preserve"> instance Henry, 2008; Henry &amp;</w:t>
      </w:r>
      <w:r w:rsidRPr="005D42BA">
        <w:rPr>
          <w:rFonts w:ascii="Times New Roman" w:eastAsia="MS Mincho" w:hAnsi="Times New Roman" w:cs="Times New Roman"/>
          <w:sz w:val="24"/>
          <w:szCs w:val="24"/>
        </w:rPr>
        <w:t xml:space="preserve"> Leone, 2009; Frankel </w:t>
      </w:r>
      <w:r w:rsidRPr="005D42BA">
        <w:rPr>
          <w:rFonts w:ascii="Times New Roman" w:eastAsia="MS Mincho" w:hAnsi="Times New Roman" w:cs="Times New Roman"/>
          <w:i/>
          <w:sz w:val="24"/>
          <w:szCs w:val="24"/>
        </w:rPr>
        <w:t>et al.</w:t>
      </w:r>
      <w:r w:rsidRPr="005D42BA">
        <w:rPr>
          <w:rFonts w:ascii="Times New Roman" w:eastAsia="MS Mincho" w:hAnsi="Times New Roman" w:cs="Times New Roman"/>
          <w:sz w:val="24"/>
          <w:szCs w:val="24"/>
        </w:rPr>
        <w:t>, 2010). We construct our own version of the tone variable and report the results based on it in the Further Considerations section.</w:t>
      </w:r>
    </w:p>
    <w:p w:rsidR="008C5C9A" w:rsidRDefault="00294C7A" w:rsidP="00294C7A">
      <w:pPr>
        <w:tabs>
          <w:tab w:val="left" w:pos="8364"/>
        </w:tabs>
        <w:spacing w:line="480" w:lineRule="auto"/>
        <w:ind w:firstLine="720"/>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 xml:space="preserve">The text considered in our study runs from the beginning of the document up to and including the independent auditors’ report. </w:t>
      </w:r>
      <w:r w:rsidR="00B03A6B">
        <w:rPr>
          <w:rFonts w:ascii="Times New Roman" w:eastAsia="MS Mincho" w:hAnsi="Times New Roman" w:cs="Times New Roman"/>
          <w:sz w:val="24"/>
          <w:szCs w:val="24"/>
        </w:rPr>
        <w:t>Inclusion of</w:t>
      </w:r>
      <w:r w:rsidR="005F6414">
        <w:rPr>
          <w:rFonts w:ascii="Times New Roman" w:eastAsia="MS Mincho" w:hAnsi="Times New Roman" w:cs="Times New Roman"/>
          <w:sz w:val="24"/>
          <w:szCs w:val="24"/>
        </w:rPr>
        <w:t xml:space="preserve"> auditors’ reports</w:t>
      </w:r>
      <w:r w:rsidR="00B03A6B">
        <w:rPr>
          <w:rFonts w:ascii="Times New Roman" w:eastAsia="MS Mincho" w:hAnsi="Times New Roman" w:cs="Times New Roman"/>
          <w:sz w:val="24"/>
          <w:szCs w:val="24"/>
        </w:rPr>
        <w:t xml:space="preserve"> is justified on the basis that</w:t>
      </w:r>
      <w:r w:rsidR="005F6414">
        <w:rPr>
          <w:rFonts w:ascii="Times New Roman" w:eastAsia="MS Mincho" w:hAnsi="Times New Roman" w:cs="Times New Roman"/>
          <w:sz w:val="24"/>
          <w:szCs w:val="24"/>
        </w:rPr>
        <w:t xml:space="preserve"> they include new important information published concurrently with </w:t>
      </w:r>
      <w:r w:rsidR="00B03A6B">
        <w:rPr>
          <w:rFonts w:ascii="Times New Roman" w:eastAsia="MS Mincho" w:hAnsi="Times New Roman" w:cs="Times New Roman"/>
          <w:sz w:val="24"/>
          <w:szCs w:val="24"/>
        </w:rPr>
        <w:t>the rest of the annual report</w:t>
      </w:r>
      <w:r w:rsidR="005F6414">
        <w:rPr>
          <w:rFonts w:ascii="Times New Roman" w:eastAsia="MS Mincho" w:hAnsi="Times New Roman" w:cs="Times New Roman"/>
          <w:sz w:val="24"/>
          <w:szCs w:val="24"/>
        </w:rPr>
        <w:t xml:space="preserve"> and, just like the rem</w:t>
      </w:r>
      <w:r w:rsidR="00382D71">
        <w:rPr>
          <w:rFonts w:ascii="Times New Roman" w:eastAsia="MS Mincho" w:hAnsi="Times New Roman" w:cs="Times New Roman"/>
          <w:sz w:val="24"/>
          <w:szCs w:val="24"/>
        </w:rPr>
        <w:t>a</w:t>
      </w:r>
      <w:r w:rsidR="005F6414">
        <w:rPr>
          <w:rFonts w:ascii="Times New Roman" w:eastAsia="MS Mincho" w:hAnsi="Times New Roman" w:cs="Times New Roman"/>
          <w:sz w:val="24"/>
          <w:szCs w:val="24"/>
        </w:rPr>
        <w:t>inder of the narrative</w:t>
      </w:r>
      <w:r w:rsidR="00B03A6B">
        <w:rPr>
          <w:rFonts w:ascii="Times New Roman" w:eastAsia="MS Mincho" w:hAnsi="Times New Roman" w:cs="Times New Roman"/>
          <w:sz w:val="24"/>
          <w:szCs w:val="24"/>
        </w:rPr>
        <w:t>s</w:t>
      </w:r>
      <w:r w:rsidR="005F6414">
        <w:rPr>
          <w:rFonts w:ascii="Times New Roman" w:eastAsia="MS Mincho" w:hAnsi="Times New Roman" w:cs="Times New Roman"/>
          <w:sz w:val="24"/>
          <w:szCs w:val="24"/>
        </w:rPr>
        <w:t xml:space="preserve">, express opinions that are not </w:t>
      </w:r>
      <w:r w:rsidR="00B03A6B">
        <w:rPr>
          <w:rFonts w:ascii="Times New Roman" w:eastAsia="MS Mincho" w:hAnsi="Times New Roman" w:cs="Times New Roman"/>
          <w:sz w:val="24"/>
          <w:szCs w:val="24"/>
        </w:rPr>
        <w:t xml:space="preserve">subject to </w:t>
      </w:r>
      <w:r w:rsidR="00A0448B">
        <w:rPr>
          <w:rFonts w:ascii="Times New Roman" w:eastAsia="MS Mincho" w:hAnsi="Times New Roman" w:cs="Times New Roman"/>
          <w:sz w:val="24"/>
          <w:szCs w:val="24"/>
        </w:rPr>
        <w:t xml:space="preserve">a </w:t>
      </w:r>
      <w:r w:rsidR="00B03A6B">
        <w:rPr>
          <w:rFonts w:ascii="Times New Roman" w:eastAsia="MS Mincho" w:hAnsi="Times New Roman" w:cs="Times New Roman"/>
          <w:sz w:val="24"/>
          <w:szCs w:val="24"/>
        </w:rPr>
        <w:t>rigorous audit</w:t>
      </w:r>
      <w:r w:rsidR="005F6414">
        <w:rPr>
          <w:rFonts w:ascii="Times New Roman" w:eastAsia="MS Mincho" w:hAnsi="Times New Roman" w:cs="Times New Roman"/>
          <w:sz w:val="24"/>
          <w:szCs w:val="24"/>
        </w:rPr>
        <w:t xml:space="preserve">. </w:t>
      </w:r>
      <w:r w:rsidRPr="005D42BA">
        <w:rPr>
          <w:rFonts w:ascii="Times New Roman" w:eastAsia="MS Mincho" w:hAnsi="Times New Roman" w:cs="Times New Roman"/>
          <w:sz w:val="24"/>
          <w:szCs w:val="24"/>
        </w:rPr>
        <w:t xml:space="preserve">Financial statements and notes to the accounts are omitted from the calculation of our tone measure, as the contents of these sections has to comply with regulatory requirements and is carefully audited, leaving little scope for linguistic </w:t>
      </w:r>
      <w:r w:rsidR="005D42BA" w:rsidRPr="005D42BA">
        <w:rPr>
          <w:rFonts w:ascii="Times New Roman" w:eastAsia="MS Mincho" w:hAnsi="Times New Roman" w:cs="Times New Roman"/>
          <w:sz w:val="24"/>
          <w:szCs w:val="24"/>
        </w:rPr>
        <w:t>manoeuvring</w:t>
      </w:r>
      <w:r w:rsidRPr="005D42BA">
        <w:rPr>
          <w:rFonts w:ascii="Times New Roman" w:eastAsia="MS Mincho" w:hAnsi="Times New Roman" w:cs="Times New Roman"/>
          <w:sz w:val="24"/>
          <w:szCs w:val="24"/>
        </w:rPr>
        <w:t xml:space="preserve">. </w:t>
      </w:r>
      <w:r w:rsidR="001C69C3">
        <w:rPr>
          <w:rFonts w:ascii="Times New Roman" w:eastAsia="MS Mincho" w:hAnsi="Times New Roman" w:cs="Times New Roman"/>
          <w:sz w:val="24"/>
          <w:szCs w:val="24"/>
        </w:rPr>
        <w:t xml:space="preserve">In our study, we use </w:t>
      </w:r>
      <w:r w:rsidR="001C69C3" w:rsidRPr="005D42BA">
        <w:rPr>
          <w:rFonts w:ascii="Times New Roman" w:eastAsia="MS Mincho" w:hAnsi="Times New Roman" w:cs="Times New Roman"/>
          <w:sz w:val="24"/>
          <w:szCs w:val="24"/>
        </w:rPr>
        <w:t>Henry</w:t>
      </w:r>
      <w:r w:rsidR="001C69C3">
        <w:rPr>
          <w:rFonts w:ascii="Times New Roman" w:eastAsia="MS Mincho" w:hAnsi="Times New Roman" w:cs="Times New Roman"/>
          <w:sz w:val="24"/>
          <w:szCs w:val="24"/>
        </w:rPr>
        <w:t>’s</w:t>
      </w:r>
      <w:r w:rsidR="001C69C3" w:rsidRPr="005D42BA">
        <w:rPr>
          <w:rFonts w:ascii="Times New Roman" w:eastAsia="MS Mincho" w:hAnsi="Times New Roman" w:cs="Times New Roman"/>
          <w:sz w:val="24"/>
          <w:szCs w:val="24"/>
        </w:rPr>
        <w:t xml:space="preserve"> (2008: 387)</w:t>
      </w:r>
      <w:r w:rsidRPr="005D42BA">
        <w:rPr>
          <w:rFonts w:ascii="Times New Roman" w:eastAsia="MS Mincho" w:hAnsi="Times New Roman" w:cs="Times New Roman"/>
          <w:sz w:val="24"/>
          <w:szCs w:val="24"/>
        </w:rPr>
        <w:t xml:space="preserve"> thesaurus of 105 positive words </w:t>
      </w:r>
      <w:r w:rsidR="001C69C3">
        <w:rPr>
          <w:rFonts w:ascii="Times New Roman" w:eastAsia="MS Mincho" w:hAnsi="Times New Roman" w:cs="Times New Roman"/>
          <w:sz w:val="24"/>
          <w:szCs w:val="24"/>
        </w:rPr>
        <w:t>(see Appendix I)</w:t>
      </w:r>
      <w:r w:rsidRPr="005D42BA">
        <w:rPr>
          <w:rFonts w:ascii="Times New Roman" w:eastAsia="MS Mincho" w:hAnsi="Times New Roman" w:cs="Times New Roman"/>
          <w:sz w:val="24"/>
          <w:szCs w:val="24"/>
        </w:rPr>
        <w:t xml:space="preserve"> </w:t>
      </w:r>
      <w:r w:rsidR="001C69C3">
        <w:rPr>
          <w:rFonts w:ascii="Times New Roman" w:eastAsia="MS Mincho" w:hAnsi="Times New Roman" w:cs="Times New Roman"/>
          <w:sz w:val="24"/>
          <w:szCs w:val="24"/>
        </w:rPr>
        <w:t xml:space="preserve">that </w:t>
      </w:r>
      <w:r w:rsidRPr="005D42BA">
        <w:rPr>
          <w:rFonts w:ascii="Times New Roman" w:eastAsia="MS Mincho" w:hAnsi="Times New Roman" w:cs="Times New Roman"/>
          <w:sz w:val="24"/>
          <w:szCs w:val="24"/>
        </w:rPr>
        <w:t xml:space="preserve">has been developed with the purpose of analyzing texts residing in the domain of accounting and financial reporting. </w:t>
      </w:r>
      <w:r w:rsidR="001C69C3">
        <w:rPr>
          <w:rFonts w:ascii="Times New Roman" w:eastAsia="MS Mincho" w:hAnsi="Times New Roman" w:cs="Times New Roman"/>
          <w:sz w:val="24"/>
          <w:szCs w:val="24"/>
        </w:rPr>
        <w:t>Following Henry (2008) and Henry and</w:t>
      </w:r>
      <w:r w:rsidR="001C69C3" w:rsidRPr="005D42BA">
        <w:rPr>
          <w:rFonts w:ascii="Times New Roman" w:eastAsia="MS Mincho" w:hAnsi="Times New Roman" w:cs="Times New Roman"/>
          <w:sz w:val="24"/>
          <w:szCs w:val="24"/>
        </w:rPr>
        <w:t xml:space="preserve"> Leone </w:t>
      </w:r>
      <w:r w:rsidR="001C69C3">
        <w:rPr>
          <w:rFonts w:ascii="Times New Roman" w:eastAsia="MS Mincho" w:hAnsi="Times New Roman" w:cs="Times New Roman"/>
          <w:sz w:val="24"/>
          <w:szCs w:val="24"/>
        </w:rPr>
        <w:t>(</w:t>
      </w:r>
      <w:r w:rsidR="001C69C3" w:rsidRPr="005D42BA">
        <w:rPr>
          <w:rFonts w:ascii="Times New Roman" w:eastAsia="MS Mincho" w:hAnsi="Times New Roman" w:cs="Times New Roman"/>
          <w:sz w:val="24"/>
          <w:szCs w:val="24"/>
        </w:rPr>
        <w:t>2009</w:t>
      </w:r>
      <w:r w:rsidR="001C69C3">
        <w:rPr>
          <w:rFonts w:ascii="Times New Roman" w:eastAsia="MS Mincho" w:hAnsi="Times New Roman" w:cs="Times New Roman"/>
          <w:sz w:val="24"/>
          <w:szCs w:val="24"/>
        </w:rPr>
        <w:t>), we calculate t</w:t>
      </w:r>
      <w:r w:rsidR="001C69C3" w:rsidRPr="005D42BA">
        <w:rPr>
          <w:rFonts w:ascii="Times New Roman" w:eastAsia="MS Mincho" w:hAnsi="Times New Roman" w:cs="Times New Roman"/>
          <w:sz w:val="24"/>
          <w:szCs w:val="24"/>
        </w:rPr>
        <w:t>he frequencies o</w:t>
      </w:r>
      <w:r w:rsidR="001C69C3">
        <w:rPr>
          <w:rFonts w:ascii="Times New Roman" w:eastAsia="MS Mincho" w:hAnsi="Times New Roman" w:cs="Times New Roman"/>
          <w:sz w:val="24"/>
          <w:szCs w:val="24"/>
        </w:rPr>
        <w:t>f positive words</w:t>
      </w:r>
      <w:r w:rsidR="001C69C3" w:rsidRPr="005D42BA">
        <w:rPr>
          <w:rFonts w:ascii="Times New Roman" w:eastAsia="MS Mincho" w:hAnsi="Times New Roman" w:cs="Times New Roman"/>
          <w:sz w:val="24"/>
          <w:szCs w:val="24"/>
        </w:rPr>
        <w:t xml:space="preserve"> based on a user-defined dictionary in the computer-aided text analysis program called Diction.</w:t>
      </w:r>
    </w:p>
    <w:p w:rsidR="00294C7A" w:rsidRPr="005D42BA" w:rsidRDefault="00294C7A" w:rsidP="00294C7A">
      <w:pPr>
        <w:tabs>
          <w:tab w:val="left" w:pos="8364"/>
        </w:tabs>
        <w:spacing w:line="480" w:lineRule="auto"/>
        <w:ind w:firstLine="720"/>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lastRenderedPageBreak/>
        <w:t>As this wordlist is context-specific and uses specialized language, the problem created by polysemy (words with several different meanings) is partially mitigated.</w:t>
      </w:r>
      <w:r w:rsidR="005E4239" w:rsidRPr="005D42BA">
        <w:rPr>
          <w:rStyle w:val="Odwoanieprzypisudolnego"/>
          <w:rFonts w:ascii="Times New Roman" w:eastAsia="MS Mincho" w:hAnsi="Times New Roman" w:cs="Times New Roman"/>
          <w:sz w:val="24"/>
          <w:szCs w:val="24"/>
        </w:rPr>
        <w:footnoteReference w:id="3"/>
      </w:r>
      <w:r w:rsidRPr="005D42BA">
        <w:rPr>
          <w:rFonts w:ascii="Times New Roman" w:eastAsia="MS Mincho" w:hAnsi="Times New Roman" w:cs="Times New Roman"/>
          <w:sz w:val="24"/>
          <w:szCs w:val="24"/>
        </w:rPr>
        <w:t xml:space="preserve"> Henry and Leone (2009) document empirically that, when analyzing earnings press releases, this particular word corpus is</w:t>
      </w:r>
      <w:r w:rsidR="00142BA7" w:rsidRPr="005D42BA">
        <w:rPr>
          <w:rFonts w:ascii="Times New Roman" w:eastAsia="MS Mincho" w:hAnsi="Times New Roman" w:cs="Times New Roman"/>
          <w:sz w:val="24"/>
          <w:szCs w:val="24"/>
        </w:rPr>
        <w:t xml:space="preserve"> more powerful than the more general alternatives. This is because it does not include words that are </w:t>
      </w:r>
      <w:r w:rsidR="00142BA7" w:rsidRPr="005D42BA">
        <w:rPr>
          <w:rFonts w:ascii="Times New Roman" w:hAnsi="Times New Roman" w:cs="Times New Roman"/>
          <w:sz w:val="24"/>
          <w:szCs w:val="24"/>
        </w:rPr>
        <w:t>irrelevant in the context of financial disclosure and does not misclassify domain-specific terms.</w:t>
      </w:r>
      <w:r w:rsidRPr="005D42BA">
        <w:rPr>
          <w:rFonts w:ascii="Times New Roman" w:eastAsia="MS Mincho" w:hAnsi="Times New Roman" w:cs="Times New Roman"/>
          <w:sz w:val="24"/>
          <w:szCs w:val="24"/>
        </w:rPr>
        <w:t xml:space="preserve"> </w:t>
      </w:r>
      <w:r w:rsidR="009366B0" w:rsidRPr="005D42BA">
        <w:rPr>
          <w:rFonts w:ascii="Times New Roman" w:eastAsia="MS Mincho" w:hAnsi="Times New Roman" w:cs="Times New Roman"/>
          <w:sz w:val="24"/>
          <w:szCs w:val="24"/>
        </w:rPr>
        <w:t xml:space="preserve">Although the thesaurus has been developed by </w:t>
      </w:r>
      <w:r w:rsidR="00724868" w:rsidRPr="005D42BA">
        <w:rPr>
          <w:rFonts w:ascii="Times New Roman" w:eastAsia="MS Mincho" w:hAnsi="Times New Roman" w:cs="Times New Roman"/>
          <w:sz w:val="24"/>
          <w:szCs w:val="24"/>
        </w:rPr>
        <w:t>a US</w:t>
      </w:r>
      <w:r w:rsidR="009366B0" w:rsidRPr="005D42BA">
        <w:rPr>
          <w:rFonts w:ascii="Times New Roman" w:eastAsia="MS Mincho" w:hAnsi="Times New Roman" w:cs="Times New Roman"/>
          <w:sz w:val="24"/>
          <w:szCs w:val="24"/>
        </w:rPr>
        <w:t xml:space="preserve"> researcher, we believe that it is applicable to the UK market, as it does not include words related to culture or regulations. Furthermore, some British companies may be cross-listed in the US or </w:t>
      </w:r>
      <w:r w:rsidR="00F20321" w:rsidRPr="005D42BA">
        <w:rPr>
          <w:rFonts w:ascii="Times New Roman" w:eastAsia="MS Mincho" w:hAnsi="Times New Roman" w:cs="Times New Roman"/>
          <w:sz w:val="24"/>
          <w:szCs w:val="24"/>
        </w:rPr>
        <w:t xml:space="preserve">be </w:t>
      </w:r>
      <w:r w:rsidR="009366B0" w:rsidRPr="005D42BA">
        <w:rPr>
          <w:rFonts w:ascii="Times New Roman" w:eastAsia="MS Mincho" w:hAnsi="Times New Roman" w:cs="Times New Roman"/>
          <w:sz w:val="24"/>
          <w:szCs w:val="24"/>
        </w:rPr>
        <w:t xml:space="preserve">willing to attract American capital, which would induce </w:t>
      </w:r>
      <w:r w:rsidR="00F20321" w:rsidRPr="005D42BA">
        <w:rPr>
          <w:rFonts w:ascii="Times New Roman" w:eastAsia="MS Mincho" w:hAnsi="Times New Roman" w:cs="Times New Roman"/>
          <w:sz w:val="24"/>
          <w:szCs w:val="24"/>
        </w:rPr>
        <w:t xml:space="preserve">a </w:t>
      </w:r>
      <w:r w:rsidR="00142BA7" w:rsidRPr="005D42BA">
        <w:rPr>
          <w:rFonts w:ascii="Times New Roman" w:eastAsia="MS Mincho" w:hAnsi="Times New Roman" w:cs="Times New Roman"/>
          <w:sz w:val="24"/>
          <w:szCs w:val="24"/>
        </w:rPr>
        <w:t>large degree of</w:t>
      </w:r>
      <w:r w:rsidR="009366B0" w:rsidRPr="005D42BA">
        <w:rPr>
          <w:rFonts w:ascii="Times New Roman" w:eastAsia="MS Mincho" w:hAnsi="Times New Roman" w:cs="Times New Roman"/>
          <w:sz w:val="24"/>
          <w:szCs w:val="24"/>
        </w:rPr>
        <w:t xml:space="preserve"> </w:t>
      </w:r>
      <w:r w:rsidR="00724868" w:rsidRPr="005D42BA">
        <w:rPr>
          <w:rFonts w:ascii="Times New Roman" w:eastAsia="MS Mincho" w:hAnsi="Times New Roman" w:cs="Times New Roman"/>
          <w:sz w:val="24"/>
          <w:szCs w:val="24"/>
        </w:rPr>
        <w:t>language</w:t>
      </w:r>
      <w:r w:rsidR="009366B0" w:rsidRPr="005D42BA">
        <w:rPr>
          <w:rFonts w:ascii="Times New Roman" w:eastAsia="MS Mincho" w:hAnsi="Times New Roman" w:cs="Times New Roman"/>
          <w:sz w:val="24"/>
          <w:szCs w:val="24"/>
        </w:rPr>
        <w:t xml:space="preserve"> compatibility</w:t>
      </w:r>
      <w:r w:rsidR="00382D71">
        <w:rPr>
          <w:rFonts w:ascii="Times New Roman" w:eastAsia="MS Mincho" w:hAnsi="Times New Roman" w:cs="Times New Roman"/>
          <w:sz w:val="24"/>
          <w:szCs w:val="24"/>
        </w:rPr>
        <w:t xml:space="preserve"> on</w:t>
      </w:r>
      <w:r w:rsidR="00724868" w:rsidRPr="005D42BA">
        <w:rPr>
          <w:rFonts w:ascii="Times New Roman" w:eastAsia="MS Mincho" w:hAnsi="Times New Roman" w:cs="Times New Roman"/>
          <w:sz w:val="24"/>
          <w:szCs w:val="24"/>
        </w:rPr>
        <w:t xml:space="preserve"> </w:t>
      </w:r>
      <w:r w:rsidR="005146EE" w:rsidRPr="005D42BA">
        <w:rPr>
          <w:rFonts w:ascii="Times New Roman" w:eastAsia="MS Mincho" w:hAnsi="Times New Roman" w:cs="Times New Roman"/>
          <w:sz w:val="24"/>
          <w:szCs w:val="24"/>
        </w:rPr>
        <w:t>both</w:t>
      </w:r>
      <w:r w:rsidR="00724868" w:rsidRPr="005D42BA">
        <w:rPr>
          <w:rFonts w:ascii="Times New Roman" w:eastAsia="MS Mincho" w:hAnsi="Times New Roman" w:cs="Times New Roman"/>
          <w:sz w:val="24"/>
          <w:szCs w:val="24"/>
        </w:rPr>
        <w:t xml:space="preserve"> sides of the Atlantic</w:t>
      </w:r>
      <w:r w:rsidR="009366B0" w:rsidRPr="005D42BA">
        <w:rPr>
          <w:rFonts w:ascii="Times New Roman" w:eastAsia="MS Mincho" w:hAnsi="Times New Roman" w:cs="Times New Roman"/>
          <w:sz w:val="24"/>
          <w:szCs w:val="24"/>
        </w:rPr>
        <w:t xml:space="preserve">. </w:t>
      </w:r>
      <w:r w:rsidRPr="005D42BA">
        <w:rPr>
          <w:rFonts w:ascii="Times New Roman" w:eastAsia="MS Mincho" w:hAnsi="Times New Roman" w:cs="Times New Roman"/>
          <w:sz w:val="24"/>
          <w:szCs w:val="24"/>
        </w:rPr>
        <w:t xml:space="preserve">If the market reacts </w:t>
      </w:r>
      <w:r w:rsidR="005D42BA" w:rsidRPr="005D42BA">
        <w:rPr>
          <w:rFonts w:ascii="Times New Roman" w:eastAsia="MS Mincho" w:hAnsi="Times New Roman" w:cs="Times New Roman"/>
          <w:sz w:val="24"/>
          <w:szCs w:val="24"/>
        </w:rPr>
        <w:t>favourably</w:t>
      </w:r>
      <w:r w:rsidRPr="005D42BA">
        <w:rPr>
          <w:rFonts w:ascii="Times New Roman" w:eastAsia="MS Mincho" w:hAnsi="Times New Roman" w:cs="Times New Roman"/>
          <w:sz w:val="24"/>
          <w:szCs w:val="24"/>
        </w:rPr>
        <w:t xml:space="preserve"> to positive words printed in reports, one would expect the </w:t>
      </w:r>
      <w:r w:rsidRPr="005D42BA">
        <w:rPr>
          <w:rFonts w:ascii="Times New Roman" w:eastAsia="MS Mincho" w:hAnsi="Times New Roman" w:cs="Times New Roman"/>
          <w:i/>
          <w:sz w:val="24"/>
          <w:szCs w:val="24"/>
        </w:rPr>
        <w:t>β</w:t>
      </w:r>
      <w:r w:rsidRPr="005D42BA">
        <w:rPr>
          <w:rFonts w:ascii="Times New Roman" w:eastAsia="MS Mincho" w:hAnsi="Times New Roman" w:cs="Times New Roman"/>
          <w:i/>
          <w:sz w:val="24"/>
          <w:szCs w:val="24"/>
          <w:vertAlign w:val="subscript"/>
        </w:rPr>
        <w:t>1</w:t>
      </w:r>
      <w:r w:rsidRPr="005D42BA">
        <w:rPr>
          <w:rFonts w:ascii="Times New Roman" w:eastAsia="MS Mincho" w:hAnsi="Times New Roman" w:cs="Times New Roman"/>
          <w:sz w:val="24"/>
          <w:szCs w:val="24"/>
        </w:rPr>
        <w:t xml:space="preserve"> coefficient in regression [4] to be positive and statistically significant. Further details on the remaining variables appearing in equation [4] are given in the section that follows. </w:t>
      </w:r>
    </w:p>
    <w:p w:rsidR="00294C7A" w:rsidRPr="005D42BA" w:rsidRDefault="00294C7A" w:rsidP="00294C7A">
      <w:pPr>
        <w:tabs>
          <w:tab w:val="left" w:pos="8364"/>
        </w:tabs>
        <w:spacing w:line="480" w:lineRule="auto"/>
        <w:ind w:firstLine="720"/>
        <w:jc w:val="both"/>
        <w:rPr>
          <w:rFonts w:ascii="Times New Roman" w:eastAsia="MS Mincho" w:hAnsi="Times New Roman" w:cs="Times New Roman"/>
          <w:sz w:val="24"/>
          <w:szCs w:val="24"/>
        </w:rPr>
      </w:pPr>
    </w:p>
    <w:p w:rsidR="00294C7A" w:rsidRPr="004211B7" w:rsidRDefault="00294C7A" w:rsidP="004211B7">
      <w:pPr>
        <w:pStyle w:val="Akapitzlist"/>
        <w:numPr>
          <w:ilvl w:val="0"/>
          <w:numId w:val="13"/>
        </w:numPr>
        <w:tabs>
          <w:tab w:val="left" w:pos="8364"/>
        </w:tabs>
        <w:spacing w:line="480" w:lineRule="auto"/>
        <w:jc w:val="both"/>
        <w:rPr>
          <w:rFonts w:ascii="Times New Roman" w:eastAsia="MS Mincho" w:hAnsi="Times New Roman" w:cs="Times New Roman"/>
          <w:b/>
          <w:sz w:val="24"/>
          <w:szCs w:val="24"/>
        </w:rPr>
      </w:pPr>
      <w:r w:rsidRPr="004211B7">
        <w:rPr>
          <w:rFonts w:ascii="Times New Roman" w:eastAsia="MS Mincho" w:hAnsi="Times New Roman" w:cs="Times New Roman"/>
          <w:b/>
          <w:sz w:val="24"/>
          <w:szCs w:val="24"/>
        </w:rPr>
        <w:t>Data</w:t>
      </w:r>
    </w:p>
    <w:p w:rsidR="00294C7A" w:rsidRDefault="00294C7A" w:rsidP="003A0A5B">
      <w:pPr>
        <w:spacing w:line="480" w:lineRule="auto"/>
        <w:jc w:val="both"/>
        <w:rPr>
          <w:rFonts w:ascii="Times New Roman" w:eastAsia="MS Mincho" w:hAnsi="Times New Roman" w:cs="Times New Roman"/>
          <w:sz w:val="24"/>
          <w:szCs w:val="24"/>
        </w:rPr>
      </w:pPr>
      <w:r w:rsidRPr="005D42BA">
        <w:rPr>
          <w:rFonts w:ascii="Times New Roman" w:eastAsia="MS Mincho" w:hAnsi="Times New Roman" w:cs="Times New Roman"/>
          <w:sz w:val="24"/>
          <w:szCs w:val="24"/>
        </w:rPr>
        <w:t>The companies included in our sample are constituents of the FTSE350 stock market index. From the complete list, we have eliminated 72 companies whose operations fell within the financial services domain.</w:t>
      </w:r>
      <w:r w:rsidR="00C239A5" w:rsidRPr="005D42BA">
        <w:rPr>
          <w:rStyle w:val="Odwoanieprzypisudolnego"/>
          <w:rFonts w:ascii="Times New Roman" w:eastAsia="MS Mincho" w:hAnsi="Times New Roman" w:cs="Times New Roman"/>
          <w:sz w:val="24"/>
          <w:szCs w:val="24"/>
        </w:rPr>
        <w:footnoteReference w:id="4"/>
      </w:r>
      <w:r w:rsidRPr="005D42BA">
        <w:rPr>
          <w:rFonts w:ascii="Times New Roman" w:eastAsia="MS Mincho" w:hAnsi="Times New Roman" w:cs="Times New Roman"/>
          <w:sz w:val="24"/>
          <w:szCs w:val="24"/>
        </w:rPr>
        <w:t xml:space="preserve"> Firms that were merged during our sample period were also excluded, as were those with an insufficient number of annual reports or information on financial performance. Our final sample consists of 209 companies listed on the London Stock Exchange. For this group of companies</w:t>
      </w:r>
      <w:r w:rsidR="00382D71">
        <w:rPr>
          <w:rFonts w:ascii="Times New Roman" w:eastAsia="MS Mincho" w:hAnsi="Times New Roman" w:cs="Times New Roman"/>
          <w:sz w:val="24"/>
          <w:szCs w:val="24"/>
        </w:rPr>
        <w:t>,</w:t>
      </w:r>
      <w:r w:rsidRPr="005D42BA">
        <w:rPr>
          <w:rFonts w:ascii="Times New Roman" w:eastAsia="MS Mincho" w:hAnsi="Times New Roman" w:cs="Times New Roman"/>
          <w:sz w:val="24"/>
          <w:szCs w:val="24"/>
        </w:rPr>
        <w:t xml:space="preserve"> we </w:t>
      </w:r>
      <w:r w:rsidR="00962BD1">
        <w:rPr>
          <w:rFonts w:ascii="Times New Roman" w:eastAsia="MS Mincho" w:hAnsi="Times New Roman" w:cs="Times New Roman"/>
          <w:sz w:val="24"/>
          <w:szCs w:val="24"/>
        </w:rPr>
        <w:t xml:space="preserve">manually </w:t>
      </w:r>
      <w:r w:rsidR="00A32AA2">
        <w:rPr>
          <w:rFonts w:ascii="Times New Roman" w:eastAsia="MS Mincho" w:hAnsi="Times New Roman" w:cs="Times New Roman"/>
          <w:sz w:val="24"/>
          <w:szCs w:val="24"/>
        </w:rPr>
        <w:t>downloaded</w:t>
      </w:r>
      <w:r w:rsidRPr="005D42BA">
        <w:rPr>
          <w:rFonts w:ascii="Times New Roman" w:eastAsia="MS Mincho" w:hAnsi="Times New Roman" w:cs="Times New Roman"/>
          <w:sz w:val="24"/>
          <w:szCs w:val="24"/>
        </w:rPr>
        <w:t xml:space="preserve"> available annual reports </w:t>
      </w:r>
      <w:r w:rsidRPr="005D42BA">
        <w:rPr>
          <w:rFonts w:ascii="Times New Roman" w:eastAsia="MS Mincho" w:hAnsi="Times New Roman" w:cs="Times New Roman"/>
          <w:sz w:val="24"/>
          <w:szCs w:val="24"/>
        </w:rPr>
        <w:lastRenderedPageBreak/>
        <w:t xml:space="preserve">published between January 2006 and June 2013 from corporate web pages, Morningstar and Bloomberg. At the end of this process we had 1,410 observations, on which more detail is provided in Appendix </w:t>
      </w:r>
      <w:r w:rsidR="00400B3A" w:rsidRPr="005D42BA">
        <w:rPr>
          <w:rFonts w:ascii="Times New Roman" w:eastAsia="MS Mincho" w:hAnsi="Times New Roman" w:cs="Times New Roman"/>
          <w:sz w:val="24"/>
          <w:szCs w:val="24"/>
        </w:rPr>
        <w:t xml:space="preserve">II </w:t>
      </w:r>
      <w:r w:rsidRPr="005D42BA">
        <w:rPr>
          <w:rFonts w:ascii="Times New Roman" w:eastAsia="MS Mincho" w:hAnsi="Times New Roman" w:cs="Times New Roman"/>
          <w:sz w:val="24"/>
          <w:szCs w:val="24"/>
        </w:rPr>
        <w:t xml:space="preserve">to this paper. The publication date for a given report is assumed to be the date on which the report appeared either on Bloomberg or Morningstar, whichever occurred earlier. It should be noted that UK annual reports are almost invariably disseminated as </w:t>
      </w:r>
      <w:proofErr w:type="spellStart"/>
      <w:r w:rsidRPr="005D42BA">
        <w:rPr>
          <w:rFonts w:ascii="Times New Roman" w:eastAsia="MS Mincho" w:hAnsi="Times New Roman" w:cs="Times New Roman"/>
          <w:sz w:val="24"/>
          <w:szCs w:val="24"/>
        </w:rPr>
        <w:t>pdf</w:t>
      </w:r>
      <w:proofErr w:type="spellEnd"/>
      <w:r w:rsidRPr="005D42BA">
        <w:rPr>
          <w:rFonts w:ascii="Times New Roman" w:eastAsia="MS Mincho" w:hAnsi="Times New Roman" w:cs="Times New Roman"/>
          <w:sz w:val="24"/>
          <w:szCs w:val="24"/>
        </w:rPr>
        <w:t xml:space="preserve"> files, which necessitates conversion to the plain text format required for content analysis. The converted files were checked manually to ensure consistency. Finally, we obtained data on company stock prices, market capitalization, book-to-market ratios, and financial indicators from </w:t>
      </w:r>
      <w:proofErr w:type="spellStart"/>
      <w:r w:rsidRPr="005D42BA">
        <w:rPr>
          <w:rFonts w:ascii="Times New Roman" w:eastAsia="MS Mincho" w:hAnsi="Times New Roman" w:cs="Times New Roman"/>
          <w:sz w:val="24"/>
          <w:szCs w:val="24"/>
        </w:rPr>
        <w:t>Datastream</w:t>
      </w:r>
      <w:proofErr w:type="spellEnd"/>
      <w:r w:rsidRPr="005D42BA">
        <w:rPr>
          <w:rFonts w:ascii="Times New Roman" w:eastAsia="MS Mincho" w:hAnsi="Times New Roman" w:cs="Times New Roman"/>
          <w:sz w:val="24"/>
          <w:szCs w:val="24"/>
        </w:rPr>
        <w:t>.</w:t>
      </w:r>
    </w:p>
    <w:p w:rsidR="00CC5173" w:rsidRPr="005D42BA" w:rsidRDefault="00CC5173" w:rsidP="00CC5173">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[Table 1 about here]</w:t>
      </w:r>
    </w:p>
    <w:p w:rsidR="00294C7A" w:rsidRPr="005D42BA" w:rsidRDefault="00294C7A" w:rsidP="00294C7A">
      <w:pPr>
        <w:spacing w:line="480" w:lineRule="auto"/>
        <w:jc w:val="both"/>
        <w:rPr>
          <w:rFonts w:ascii="Times New Roman" w:hAnsi="Times New Roman" w:cs="Times New Roman"/>
          <w:sz w:val="24"/>
          <w:szCs w:val="24"/>
        </w:rPr>
      </w:pPr>
      <w:r w:rsidRPr="005D42BA">
        <w:rPr>
          <w:rFonts w:ascii="Times New Roman" w:hAnsi="Times New Roman" w:cs="Times New Roman"/>
          <w:b/>
          <w:sz w:val="24"/>
          <w:szCs w:val="24"/>
        </w:rPr>
        <w:tab/>
      </w:r>
      <w:r w:rsidRPr="005D42BA">
        <w:rPr>
          <w:rFonts w:ascii="Times New Roman" w:hAnsi="Times New Roman" w:cs="Times New Roman"/>
          <w:sz w:val="24"/>
          <w:szCs w:val="24"/>
        </w:rPr>
        <w:t xml:space="preserve">In addition to cumulative abnormal returns and the </w:t>
      </w:r>
      <w:r w:rsidRPr="005D42BA">
        <w:rPr>
          <w:rFonts w:ascii="Times New Roman" w:hAnsi="Times New Roman" w:cs="Times New Roman"/>
          <w:i/>
          <w:sz w:val="24"/>
          <w:szCs w:val="24"/>
        </w:rPr>
        <w:t>Positiveness</w:t>
      </w:r>
      <w:r w:rsidRPr="005D42BA">
        <w:rPr>
          <w:rFonts w:ascii="Times New Roman" w:hAnsi="Times New Roman" w:cs="Times New Roman"/>
          <w:sz w:val="24"/>
          <w:szCs w:val="24"/>
        </w:rPr>
        <w:t xml:space="preserve"> measure, which have already been described in some detail above, this study employs a range of other variables which act as controls (see Table </w:t>
      </w:r>
      <w:r w:rsidR="00F813F1">
        <w:rPr>
          <w:rFonts w:ascii="Times New Roman" w:hAnsi="Times New Roman" w:cs="Times New Roman"/>
          <w:sz w:val="24"/>
          <w:szCs w:val="24"/>
        </w:rPr>
        <w:t>1</w:t>
      </w:r>
      <w:r w:rsidRPr="005D42BA">
        <w:rPr>
          <w:rFonts w:ascii="Times New Roman" w:hAnsi="Times New Roman" w:cs="Times New Roman"/>
          <w:sz w:val="24"/>
          <w:szCs w:val="24"/>
        </w:rPr>
        <w:t>). Firstly, the extant liter</w:t>
      </w:r>
      <w:r w:rsidR="00382D71">
        <w:rPr>
          <w:rFonts w:ascii="Times New Roman" w:hAnsi="Times New Roman" w:cs="Times New Roman"/>
          <w:sz w:val="24"/>
          <w:szCs w:val="24"/>
        </w:rPr>
        <w:t>ature documents that small</w:t>
      </w:r>
      <w:r w:rsidRPr="005D42BA">
        <w:rPr>
          <w:rFonts w:ascii="Times New Roman" w:hAnsi="Times New Roman" w:cs="Times New Roman"/>
          <w:sz w:val="24"/>
          <w:szCs w:val="24"/>
        </w:rPr>
        <w:t xml:space="preserve"> companies tend to generate higher returns (</w:t>
      </w:r>
      <w:proofErr w:type="spellStart"/>
      <w:r w:rsidRPr="005D42BA">
        <w:rPr>
          <w:rFonts w:ascii="Times New Roman" w:hAnsi="Times New Roman" w:cs="Times New Roman"/>
          <w:sz w:val="24"/>
          <w:szCs w:val="24"/>
        </w:rPr>
        <w:t>Banz</w:t>
      </w:r>
      <w:proofErr w:type="spellEnd"/>
      <w:r w:rsidRPr="005D42BA">
        <w:rPr>
          <w:rFonts w:ascii="Times New Roman" w:hAnsi="Times New Roman" w:cs="Times New Roman"/>
          <w:sz w:val="24"/>
          <w:szCs w:val="24"/>
        </w:rPr>
        <w:t xml:space="preserve">, 1981; </w:t>
      </w:r>
      <w:proofErr w:type="spellStart"/>
      <w:r w:rsidRPr="005D42BA">
        <w:rPr>
          <w:rFonts w:ascii="Times New Roman" w:hAnsi="Times New Roman" w:cs="Times New Roman"/>
          <w:sz w:val="24"/>
          <w:szCs w:val="24"/>
        </w:rPr>
        <w:t>Fama</w:t>
      </w:r>
      <w:proofErr w:type="spellEnd"/>
      <w:r w:rsidRPr="005D42BA">
        <w:rPr>
          <w:rFonts w:ascii="Times New Roman" w:hAnsi="Times New Roman" w:cs="Times New Roman"/>
          <w:sz w:val="24"/>
          <w:szCs w:val="24"/>
        </w:rPr>
        <w:t xml:space="preserve"> and French, 1992). </w:t>
      </w:r>
      <w:r w:rsidR="009620C3" w:rsidRPr="005D42BA">
        <w:rPr>
          <w:rFonts w:ascii="Times New Roman" w:hAnsi="Times New Roman" w:cs="Times New Roman"/>
          <w:sz w:val="24"/>
          <w:szCs w:val="24"/>
        </w:rPr>
        <w:t xml:space="preserve">Secondly, the seminal </w:t>
      </w:r>
      <w:r w:rsidR="008A7A25" w:rsidRPr="005D42BA">
        <w:rPr>
          <w:rFonts w:ascii="Times New Roman" w:hAnsi="Times New Roman" w:cs="Times New Roman"/>
          <w:sz w:val="24"/>
          <w:szCs w:val="24"/>
        </w:rPr>
        <w:t>work</w:t>
      </w:r>
      <w:r w:rsidR="009620C3" w:rsidRPr="005D42BA">
        <w:rPr>
          <w:rFonts w:ascii="Times New Roman" w:hAnsi="Times New Roman" w:cs="Times New Roman"/>
          <w:sz w:val="24"/>
          <w:szCs w:val="24"/>
        </w:rPr>
        <w:t xml:space="preserve"> of Rosenberg</w:t>
      </w:r>
      <w:r w:rsidR="008C2C2B">
        <w:rPr>
          <w:rFonts w:ascii="Times New Roman" w:hAnsi="Times New Roman" w:cs="Times New Roman"/>
          <w:sz w:val="24"/>
          <w:szCs w:val="24"/>
        </w:rPr>
        <w:t>, Reid, and</w:t>
      </w:r>
      <w:r w:rsidR="008C2C2B" w:rsidRPr="005D42BA">
        <w:rPr>
          <w:rFonts w:ascii="Times New Roman" w:hAnsi="Times New Roman" w:cs="Times New Roman"/>
          <w:sz w:val="24"/>
          <w:szCs w:val="24"/>
        </w:rPr>
        <w:t xml:space="preserve"> </w:t>
      </w:r>
      <w:proofErr w:type="spellStart"/>
      <w:r w:rsidR="008C2C2B" w:rsidRPr="005D42BA">
        <w:rPr>
          <w:rFonts w:ascii="Times New Roman" w:hAnsi="Times New Roman" w:cs="Times New Roman"/>
          <w:sz w:val="24"/>
          <w:szCs w:val="24"/>
        </w:rPr>
        <w:t>Lanstein</w:t>
      </w:r>
      <w:proofErr w:type="spellEnd"/>
      <w:r w:rsidR="009620C3" w:rsidRPr="005D42BA">
        <w:rPr>
          <w:rFonts w:ascii="Times New Roman" w:hAnsi="Times New Roman" w:cs="Times New Roman"/>
          <w:sz w:val="24"/>
          <w:szCs w:val="24"/>
        </w:rPr>
        <w:t xml:space="preserve"> (1985) ha</w:t>
      </w:r>
      <w:r w:rsidR="008A7A25" w:rsidRPr="005D42BA">
        <w:rPr>
          <w:rFonts w:ascii="Times New Roman" w:hAnsi="Times New Roman" w:cs="Times New Roman"/>
          <w:sz w:val="24"/>
          <w:szCs w:val="24"/>
        </w:rPr>
        <w:t>s discovered a robust relationship between companies’</w:t>
      </w:r>
      <w:r w:rsidR="009620C3" w:rsidRPr="005D42BA">
        <w:rPr>
          <w:rFonts w:ascii="Times New Roman" w:hAnsi="Times New Roman" w:cs="Times New Roman"/>
          <w:sz w:val="24"/>
          <w:szCs w:val="24"/>
        </w:rPr>
        <w:t xml:space="preserve"> book-to-market ratios </w:t>
      </w:r>
      <w:r w:rsidR="008A7A25" w:rsidRPr="005D42BA">
        <w:rPr>
          <w:rFonts w:ascii="Times New Roman" w:hAnsi="Times New Roman" w:cs="Times New Roman"/>
          <w:sz w:val="24"/>
          <w:szCs w:val="24"/>
        </w:rPr>
        <w:t>and rewards earned by investors</w:t>
      </w:r>
      <w:r w:rsidR="009620C3" w:rsidRPr="005D42BA">
        <w:rPr>
          <w:rFonts w:ascii="Times New Roman" w:hAnsi="Times New Roman" w:cs="Times New Roman"/>
          <w:sz w:val="24"/>
          <w:szCs w:val="24"/>
        </w:rPr>
        <w:t>.</w:t>
      </w:r>
      <w:r w:rsidR="008A7A25" w:rsidRPr="005D42BA">
        <w:rPr>
          <w:rFonts w:ascii="Times New Roman" w:hAnsi="Times New Roman" w:cs="Times New Roman"/>
          <w:sz w:val="24"/>
          <w:szCs w:val="24"/>
        </w:rPr>
        <w:t xml:space="preserve"> We</w:t>
      </w:r>
      <w:r w:rsidR="005A28F2">
        <w:rPr>
          <w:rFonts w:ascii="Times New Roman" w:hAnsi="Times New Roman" w:cs="Times New Roman"/>
          <w:sz w:val="24"/>
          <w:szCs w:val="24"/>
        </w:rPr>
        <w:t xml:space="preserve"> consequently incorporate the natural logarithm of</w:t>
      </w:r>
      <w:r w:rsidR="008A7A25" w:rsidRPr="005D42BA">
        <w:rPr>
          <w:rFonts w:ascii="Times New Roman" w:hAnsi="Times New Roman" w:cs="Times New Roman"/>
          <w:sz w:val="24"/>
          <w:szCs w:val="24"/>
        </w:rPr>
        <w:t xml:space="preserve"> market capitalization and book-to-market ratios of companies in our set of regressors, which </w:t>
      </w:r>
      <w:r w:rsidR="003F0F0C" w:rsidRPr="005D42BA">
        <w:rPr>
          <w:rFonts w:ascii="Times New Roman" w:hAnsi="Times New Roman" w:cs="Times New Roman"/>
          <w:sz w:val="24"/>
          <w:szCs w:val="24"/>
        </w:rPr>
        <w:t>aligns with</w:t>
      </w:r>
      <w:r w:rsidR="008A7A25" w:rsidRPr="005D42BA">
        <w:rPr>
          <w:rFonts w:ascii="Times New Roman" w:hAnsi="Times New Roman" w:cs="Times New Roman"/>
          <w:sz w:val="24"/>
          <w:szCs w:val="24"/>
        </w:rPr>
        <w:t xml:space="preserve"> </w:t>
      </w:r>
      <w:r w:rsidR="003F0F0C" w:rsidRPr="005D42BA">
        <w:rPr>
          <w:rFonts w:ascii="Times New Roman" w:hAnsi="Times New Roman" w:cs="Times New Roman"/>
          <w:sz w:val="24"/>
          <w:szCs w:val="24"/>
        </w:rPr>
        <w:t xml:space="preserve">the argument of </w:t>
      </w:r>
      <w:proofErr w:type="spellStart"/>
      <w:r w:rsidR="008A7A25" w:rsidRPr="005D42BA">
        <w:rPr>
          <w:rFonts w:ascii="Times New Roman" w:hAnsi="Times New Roman" w:cs="Times New Roman"/>
          <w:sz w:val="24"/>
          <w:szCs w:val="24"/>
        </w:rPr>
        <w:t>Fama</w:t>
      </w:r>
      <w:proofErr w:type="spellEnd"/>
      <w:r w:rsidR="008A7A25" w:rsidRPr="005D42BA">
        <w:rPr>
          <w:rFonts w:ascii="Times New Roman" w:hAnsi="Times New Roman" w:cs="Times New Roman"/>
          <w:sz w:val="24"/>
          <w:szCs w:val="24"/>
        </w:rPr>
        <w:t xml:space="preserve"> and French (1993)</w:t>
      </w:r>
      <w:r w:rsidR="003F0F0C" w:rsidRPr="005D42BA">
        <w:rPr>
          <w:rFonts w:ascii="Times New Roman" w:hAnsi="Times New Roman" w:cs="Times New Roman"/>
          <w:sz w:val="24"/>
          <w:szCs w:val="24"/>
        </w:rPr>
        <w:t>,</w:t>
      </w:r>
      <w:r w:rsidR="008A7A25" w:rsidRPr="005D42BA">
        <w:rPr>
          <w:rFonts w:ascii="Times New Roman" w:hAnsi="Times New Roman" w:cs="Times New Roman"/>
          <w:sz w:val="24"/>
          <w:szCs w:val="24"/>
        </w:rPr>
        <w:t xml:space="preserve"> </w:t>
      </w:r>
      <w:r w:rsidR="003F0F0C" w:rsidRPr="005D42BA">
        <w:rPr>
          <w:rFonts w:ascii="Times New Roman" w:hAnsi="Times New Roman" w:cs="Times New Roman"/>
          <w:sz w:val="24"/>
          <w:szCs w:val="24"/>
        </w:rPr>
        <w:t>who argue that these</w:t>
      </w:r>
      <w:r w:rsidR="008A7A25" w:rsidRPr="005D42BA">
        <w:rPr>
          <w:rFonts w:ascii="Times New Roman" w:hAnsi="Times New Roman" w:cs="Times New Roman"/>
          <w:sz w:val="24"/>
          <w:szCs w:val="24"/>
        </w:rPr>
        <w:t xml:space="preserve"> </w:t>
      </w:r>
      <w:r w:rsidR="003F0F0C" w:rsidRPr="005D42BA">
        <w:rPr>
          <w:rFonts w:ascii="Times New Roman" w:hAnsi="Times New Roman" w:cs="Times New Roman"/>
          <w:sz w:val="24"/>
          <w:szCs w:val="24"/>
        </w:rPr>
        <w:t>two can be considered the most important</w:t>
      </w:r>
      <w:r w:rsidR="008A7A25" w:rsidRPr="005D42BA">
        <w:rPr>
          <w:rFonts w:ascii="Times New Roman" w:hAnsi="Times New Roman" w:cs="Times New Roman"/>
          <w:sz w:val="24"/>
          <w:szCs w:val="24"/>
        </w:rPr>
        <w:t xml:space="preserve"> risk factors</w:t>
      </w:r>
      <w:r w:rsidR="003F0F0C" w:rsidRPr="005D42BA">
        <w:rPr>
          <w:rFonts w:ascii="Times New Roman" w:hAnsi="Times New Roman" w:cs="Times New Roman"/>
          <w:sz w:val="24"/>
          <w:szCs w:val="24"/>
        </w:rPr>
        <w:t xml:space="preserve"> for stocks.</w:t>
      </w:r>
      <w:r w:rsidR="008A7A25" w:rsidRPr="005D42BA">
        <w:rPr>
          <w:rFonts w:ascii="Times New Roman" w:hAnsi="Times New Roman" w:cs="Times New Roman"/>
          <w:sz w:val="24"/>
          <w:szCs w:val="24"/>
        </w:rPr>
        <w:t xml:space="preserve"> </w:t>
      </w:r>
      <w:r w:rsidRPr="005D42BA">
        <w:rPr>
          <w:rFonts w:ascii="Times New Roman" w:hAnsi="Times New Roman" w:cs="Times New Roman"/>
          <w:sz w:val="24"/>
          <w:szCs w:val="24"/>
        </w:rPr>
        <w:t xml:space="preserve">The beta of security is not taken to be an explanatory factor, as the </w:t>
      </w:r>
      <w:r w:rsidRPr="005D42BA">
        <w:rPr>
          <w:rFonts w:ascii="Times New Roman" w:hAnsi="Times New Roman" w:cs="Times New Roman"/>
          <w:i/>
          <w:sz w:val="24"/>
          <w:szCs w:val="24"/>
        </w:rPr>
        <w:t>CAR_MM</w:t>
      </w:r>
      <w:r w:rsidRPr="005D42BA">
        <w:rPr>
          <w:rFonts w:ascii="Times New Roman" w:hAnsi="Times New Roman" w:cs="Times New Roman"/>
          <w:sz w:val="24"/>
          <w:szCs w:val="24"/>
        </w:rPr>
        <w:t xml:space="preserve"> dependent variable has already been purged of the influences of the general market. </w:t>
      </w:r>
    </w:p>
    <w:p w:rsidR="00F50108" w:rsidRPr="005D42BA" w:rsidRDefault="00294C7A" w:rsidP="00294C7A">
      <w:pPr>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Furthermore, we try to account for financial figures which are released concurrently with the narrative. Our earnings surprise measure is based on an increase of earnings over a sim</w:t>
      </w:r>
      <w:r w:rsidR="00382D71">
        <w:rPr>
          <w:rFonts w:ascii="Times New Roman" w:hAnsi="Times New Roman" w:cs="Times New Roman"/>
          <w:sz w:val="24"/>
          <w:szCs w:val="24"/>
        </w:rPr>
        <w:t>ple random walk forecast. This</w:t>
      </w:r>
      <w:r w:rsidRPr="005D42BA">
        <w:rPr>
          <w:rFonts w:ascii="Times New Roman" w:hAnsi="Times New Roman" w:cs="Times New Roman"/>
          <w:sz w:val="24"/>
          <w:szCs w:val="24"/>
        </w:rPr>
        <w:t xml:space="preserve"> definition is dictated primarily by data availability and is similar to that used in Wisniewski (2004) and </w:t>
      </w:r>
      <w:proofErr w:type="spellStart"/>
      <w:r w:rsidRPr="005D42BA">
        <w:rPr>
          <w:rFonts w:ascii="Times New Roman" w:hAnsi="Times New Roman" w:cs="Times New Roman"/>
          <w:sz w:val="24"/>
          <w:szCs w:val="24"/>
        </w:rPr>
        <w:t>Sponholtz</w:t>
      </w:r>
      <w:proofErr w:type="spellEnd"/>
      <w:r w:rsidRPr="005D42BA">
        <w:rPr>
          <w:rFonts w:ascii="Times New Roman" w:hAnsi="Times New Roman" w:cs="Times New Roman"/>
          <w:sz w:val="24"/>
          <w:szCs w:val="24"/>
        </w:rPr>
        <w:t xml:space="preserve"> (2008). It </w:t>
      </w:r>
      <w:r w:rsidR="00382D71">
        <w:rPr>
          <w:rFonts w:ascii="Times New Roman" w:hAnsi="Times New Roman" w:cs="Times New Roman"/>
          <w:sz w:val="24"/>
          <w:szCs w:val="24"/>
        </w:rPr>
        <w:t>should</w:t>
      </w:r>
      <w:r w:rsidRPr="005D42BA">
        <w:rPr>
          <w:rFonts w:ascii="Times New Roman" w:hAnsi="Times New Roman" w:cs="Times New Roman"/>
          <w:sz w:val="24"/>
          <w:szCs w:val="24"/>
        </w:rPr>
        <w:t xml:space="preserve"> be noted that Hughes and Ricks </w:t>
      </w:r>
      <w:r w:rsidRPr="005D42BA">
        <w:rPr>
          <w:rFonts w:ascii="Times New Roman" w:hAnsi="Times New Roman" w:cs="Times New Roman"/>
          <w:sz w:val="24"/>
          <w:szCs w:val="24"/>
        </w:rPr>
        <w:lastRenderedPageBreak/>
        <w:t xml:space="preserve">(1987) report that an earnings surprise based on a simplistic seasonal random walk benchmark outperforms that derived from analyst forecasts, in that it is more closely linked to abnormal returns around the dissemination date. The numerator of </w:t>
      </w:r>
      <w:proofErr w:type="spellStart"/>
      <w:r w:rsidRPr="005D42BA">
        <w:rPr>
          <w:rFonts w:ascii="Times New Roman" w:hAnsi="Times New Roman" w:cs="Times New Roman"/>
          <w:i/>
          <w:sz w:val="24"/>
          <w:szCs w:val="24"/>
        </w:rPr>
        <w:t>Earnings_Surprise</w:t>
      </w:r>
      <w:proofErr w:type="spellEnd"/>
      <w:r w:rsidRPr="005D42BA">
        <w:rPr>
          <w:rFonts w:ascii="Times New Roman" w:hAnsi="Times New Roman" w:cs="Times New Roman"/>
          <w:sz w:val="24"/>
          <w:szCs w:val="24"/>
        </w:rPr>
        <w:t xml:space="preserve"> is divided by stock price, which coheres with the approach used in Easton and </w:t>
      </w:r>
      <w:proofErr w:type="spellStart"/>
      <w:r w:rsidRPr="005D42BA">
        <w:rPr>
          <w:rFonts w:ascii="Times New Roman" w:hAnsi="Times New Roman" w:cs="Times New Roman"/>
          <w:sz w:val="24"/>
          <w:szCs w:val="24"/>
        </w:rPr>
        <w:t>Zmijewski</w:t>
      </w:r>
      <w:proofErr w:type="spellEnd"/>
      <w:r w:rsidRPr="005D42BA">
        <w:rPr>
          <w:rFonts w:ascii="Times New Roman" w:hAnsi="Times New Roman" w:cs="Times New Roman"/>
          <w:sz w:val="24"/>
          <w:szCs w:val="24"/>
        </w:rPr>
        <w:t xml:space="preserve"> (1989), </w:t>
      </w:r>
      <w:proofErr w:type="spellStart"/>
      <w:r w:rsidRPr="005D42BA">
        <w:rPr>
          <w:rFonts w:ascii="Times New Roman" w:hAnsi="Times New Roman" w:cs="Times New Roman"/>
          <w:sz w:val="24"/>
          <w:szCs w:val="24"/>
        </w:rPr>
        <w:t>DeFond</w:t>
      </w:r>
      <w:proofErr w:type="spellEnd"/>
      <w:r w:rsidRPr="005D42BA">
        <w:rPr>
          <w:rFonts w:ascii="Times New Roman" w:hAnsi="Times New Roman" w:cs="Times New Roman"/>
          <w:sz w:val="24"/>
          <w:szCs w:val="24"/>
        </w:rPr>
        <w:t xml:space="preserve"> and Park (2001), </w:t>
      </w:r>
      <w:proofErr w:type="spellStart"/>
      <w:r w:rsidRPr="005D42BA">
        <w:rPr>
          <w:rFonts w:ascii="Times New Roman" w:hAnsi="Times New Roman" w:cs="Times New Roman"/>
          <w:sz w:val="24"/>
          <w:szCs w:val="24"/>
        </w:rPr>
        <w:t>Bartov</w:t>
      </w:r>
      <w:proofErr w:type="spellEnd"/>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Givoly</w:t>
      </w:r>
      <w:proofErr w:type="spellEnd"/>
      <w:r w:rsidRPr="005D42BA">
        <w:rPr>
          <w:rFonts w:ascii="Times New Roman" w:hAnsi="Times New Roman" w:cs="Times New Roman"/>
          <w:sz w:val="24"/>
          <w:szCs w:val="24"/>
        </w:rPr>
        <w:t xml:space="preserve">, and </w:t>
      </w:r>
      <w:proofErr w:type="spellStart"/>
      <w:r w:rsidRPr="005D42BA">
        <w:rPr>
          <w:rFonts w:ascii="Times New Roman" w:hAnsi="Times New Roman" w:cs="Times New Roman"/>
          <w:sz w:val="24"/>
          <w:szCs w:val="24"/>
        </w:rPr>
        <w:t>Hayn</w:t>
      </w:r>
      <w:proofErr w:type="spellEnd"/>
      <w:r w:rsidRPr="005D42BA">
        <w:rPr>
          <w:rFonts w:ascii="Times New Roman" w:hAnsi="Times New Roman" w:cs="Times New Roman"/>
          <w:sz w:val="24"/>
          <w:szCs w:val="24"/>
        </w:rPr>
        <w:t xml:space="preserve"> (2002) and Brown and </w:t>
      </w:r>
      <w:proofErr w:type="spellStart"/>
      <w:r w:rsidRPr="005D42BA">
        <w:rPr>
          <w:rFonts w:ascii="Times New Roman" w:hAnsi="Times New Roman" w:cs="Times New Roman"/>
          <w:sz w:val="24"/>
          <w:szCs w:val="24"/>
        </w:rPr>
        <w:t>Caylor</w:t>
      </w:r>
      <w:proofErr w:type="spellEnd"/>
      <w:r w:rsidRPr="005D42BA">
        <w:rPr>
          <w:rFonts w:ascii="Times New Roman" w:hAnsi="Times New Roman" w:cs="Times New Roman"/>
          <w:sz w:val="24"/>
          <w:szCs w:val="24"/>
        </w:rPr>
        <w:t xml:space="preserve"> (2005). We also control for an increase in financial leverage</w:t>
      </w:r>
      <w:r w:rsidR="00F50108" w:rsidRPr="005D42BA">
        <w:rPr>
          <w:rFonts w:ascii="Times New Roman" w:hAnsi="Times New Roman" w:cs="Times New Roman"/>
          <w:sz w:val="24"/>
          <w:szCs w:val="24"/>
        </w:rPr>
        <w:t>,</w:t>
      </w:r>
      <w:r w:rsidRPr="005D42BA">
        <w:rPr>
          <w:rFonts w:ascii="Times New Roman" w:hAnsi="Times New Roman" w:cs="Times New Roman"/>
          <w:sz w:val="24"/>
          <w:szCs w:val="24"/>
        </w:rPr>
        <w:t xml:space="preserve"> which</w:t>
      </w:r>
      <w:r w:rsidR="00F50108" w:rsidRPr="005D42BA">
        <w:rPr>
          <w:rFonts w:ascii="Times New Roman" w:hAnsi="Times New Roman" w:cs="Times New Roman"/>
          <w:sz w:val="24"/>
          <w:szCs w:val="24"/>
        </w:rPr>
        <w:t xml:space="preserve"> according to </w:t>
      </w:r>
      <w:proofErr w:type="spellStart"/>
      <w:r w:rsidR="00F50108" w:rsidRPr="005D42BA">
        <w:rPr>
          <w:rFonts w:ascii="Times New Roman" w:hAnsi="Times New Roman" w:cs="Times New Roman"/>
          <w:sz w:val="24"/>
          <w:szCs w:val="24"/>
        </w:rPr>
        <w:t>Bhandari</w:t>
      </w:r>
      <w:proofErr w:type="spellEnd"/>
      <w:r w:rsidR="00F50108" w:rsidRPr="005D42BA">
        <w:rPr>
          <w:rFonts w:ascii="Times New Roman" w:hAnsi="Times New Roman" w:cs="Times New Roman"/>
          <w:sz w:val="24"/>
          <w:szCs w:val="24"/>
        </w:rPr>
        <w:t xml:space="preserve"> (1988) is </w:t>
      </w:r>
      <w:r w:rsidR="00F50108" w:rsidRPr="005D42BA">
        <w:rPr>
          <w:rFonts w:ascii="Times New Roman" w:hAnsi="Times New Roman" w:cs="Times New Roman"/>
          <w:i/>
          <w:sz w:val="24"/>
          <w:szCs w:val="24"/>
        </w:rPr>
        <w:t xml:space="preserve">ceteris paribus </w:t>
      </w:r>
      <w:r w:rsidR="00F50108" w:rsidRPr="005D42BA">
        <w:rPr>
          <w:rFonts w:ascii="Times New Roman" w:hAnsi="Times New Roman" w:cs="Times New Roman"/>
          <w:sz w:val="24"/>
          <w:szCs w:val="24"/>
        </w:rPr>
        <w:t>positively related to stock returns</w:t>
      </w:r>
      <w:r w:rsidRPr="005D42BA">
        <w:rPr>
          <w:rFonts w:ascii="Times New Roman" w:hAnsi="Times New Roman" w:cs="Times New Roman"/>
          <w:sz w:val="24"/>
          <w:szCs w:val="24"/>
        </w:rPr>
        <w:t xml:space="preserve">. </w:t>
      </w:r>
      <w:r w:rsidR="00F50108" w:rsidRPr="005D42BA">
        <w:rPr>
          <w:rFonts w:ascii="Times New Roman" w:hAnsi="Times New Roman" w:cs="Times New Roman"/>
          <w:sz w:val="24"/>
          <w:szCs w:val="24"/>
        </w:rPr>
        <w:t xml:space="preserve">Finally, we include the percentage change in sales in </w:t>
      </w:r>
      <w:r w:rsidR="00382D71">
        <w:rPr>
          <w:rFonts w:ascii="Times New Roman" w:hAnsi="Times New Roman" w:cs="Times New Roman"/>
          <w:sz w:val="24"/>
          <w:szCs w:val="24"/>
        </w:rPr>
        <w:t xml:space="preserve">our </w:t>
      </w:r>
      <w:r w:rsidR="00F50108" w:rsidRPr="005D42BA">
        <w:rPr>
          <w:rFonts w:ascii="Times New Roman" w:hAnsi="Times New Roman" w:cs="Times New Roman"/>
          <w:sz w:val="24"/>
          <w:szCs w:val="24"/>
        </w:rPr>
        <w:t xml:space="preserve">set of regressors. </w:t>
      </w:r>
      <w:r w:rsidR="003B218C" w:rsidRPr="005D42BA">
        <w:rPr>
          <w:rFonts w:ascii="Times New Roman" w:hAnsi="Times New Roman" w:cs="Times New Roman"/>
          <w:sz w:val="24"/>
          <w:szCs w:val="24"/>
        </w:rPr>
        <w:t>This inclusion is motivated by the findings of Jordan</w:t>
      </w:r>
      <w:r w:rsidR="008C2C2B">
        <w:rPr>
          <w:rFonts w:ascii="Times New Roman" w:hAnsi="Times New Roman" w:cs="Times New Roman"/>
          <w:sz w:val="24"/>
          <w:szCs w:val="24"/>
        </w:rPr>
        <w:t>, Waldron, and</w:t>
      </w:r>
      <w:r w:rsidR="008C2C2B" w:rsidRPr="005D42BA">
        <w:rPr>
          <w:rFonts w:ascii="Times New Roman" w:hAnsi="Times New Roman" w:cs="Times New Roman"/>
          <w:sz w:val="24"/>
          <w:szCs w:val="24"/>
        </w:rPr>
        <w:t xml:space="preserve"> Clark</w:t>
      </w:r>
      <w:r w:rsidR="003B218C" w:rsidRPr="005D42BA">
        <w:rPr>
          <w:rFonts w:ascii="Times New Roman" w:hAnsi="Times New Roman" w:cs="Times New Roman"/>
          <w:sz w:val="24"/>
          <w:szCs w:val="24"/>
        </w:rPr>
        <w:t xml:space="preserve"> (2007) who show that s</w:t>
      </w:r>
      <w:r w:rsidR="00F50108" w:rsidRPr="005D42BA">
        <w:rPr>
          <w:rFonts w:ascii="Times New Roman" w:hAnsi="Times New Roman" w:cs="Times New Roman"/>
          <w:sz w:val="24"/>
          <w:szCs w:val="24"/>
        </w:rPr>
        <w:t>ales predict stock prices</w:t>
      </w:r>
      <w:r w:rsidR="003B218C" w:rsidRPr="005D42BA">
        <w:rPr>
          <w:rFonts w:ascii="Times New Roman" w:hAnsi="Times New Roman" w:cs="Times New Roman"/>
          <w:sz w:val="24"/>
          <w:szCs w:val="24"/>
        </w:rPr>
        <w:t xml:space="preserve"> and Barbee</w:t>
      </w:r>
      <w:r w:rsidR="008C2C2B">
        <w:rPr>
          <w:rFonts w:ascii="Times New Roman" w:hAnsi="Times New Roman" w:cs="Times New Roman"/>
          <w:sz w:val="24"/>
          <w:szCs w:val="24"/>
        </w:rPr>
        <w:t xml:space="preserve">, </w:t>
      </w:r>
      <w:proofErr w:type="spellStart"/>
      <w:r w:rsidR="008C2C2B">
        <w:rPr>
          <w:rFonts w:ascii="Times New Roman" w:hAnsi="Times New Roman" w:cs="Times New Roman"/>
          <w:sz w:val="24"/>
          <w:szCs w:val="24"/>
        </w:rPr>
        <w:t>Mukherji</w:t>
      </w:r>
      <w:proofErr w:type="spellEnd"/>
      <w:r w:rsidR="008C2C2B">
        <w:rPr>
          <w:rFonts w:ascii="Times New Roman" w:hAnsi="Times New Roman" w:cs="Times New Roman"/>
          <w:sz w:val="24"/>
          <w:szCs w:val="24"/>
        </w:rPr>
        <w:t>, and</w:t>
      </w:r>
      <w:r w:rsidR="008C2C2B" w:rsidRPr="005D42BA">
        <w:rPr>
          <w:rFonts w:ascii="Times New Roman" w:hAnsi="Times New Roman" w:cs="Times New Roman"/>
          <w:sz w:val="24"/>
          <w:szCs w:val="24"/>
        </w:rPr>
        <w:t xml:space="preserve"> Raines</w:t>
      </w:r>
      <w:r w:rsidR="003B218C" w:rsidRPr="005D42BA">
        <w:rPr>
          <w:rFonts w:ascii="Times New Roman" w:hAnsi="Times New Roman" w:cs="Times New Roman"/>
          <w:sz w:val="24"/>
          <w:szCs w:val="24"/>
        </w:rPr>
        <w:t xml:space="preserve"> (1996) who found that sales yield is one of the strongest determinants of returns. </w:t>
      </w:r>
    </w:p>
    <w:p w:rsidR="00294C7A" w:rsidRPr="005D42BA" w:rsidRDefault="00F813F1" w:rsidP="00294C7A">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[Table 2 about here]</w:t>
      </w:r>
    </w:p>
    <w:p w:rsidR="00294C7A" w:rsidRPr="005D42BA" w:rsidRDefault="00F813F1" w:rsidP="00294C7A">
      <w:pPr>
        <w:tabs>
          <w:tab w:val="left" w:pos="709"/>
        </w:tabs>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Table 2</w:t>
      </w:r>
      <w:r w:rsidR="00294C7A" w:rsidRPr="005D42BA">
        <w:rPr>
          <w:rFonts w:ascii="Times New Roman" w:hAnsi="Times New Roman" w:cs="Times New Roman"/>
          <w:sz w:val="24"/>
          <w:szCs w:val="24"/>
        </w:rPr>
        <w:t xml:space="preserve"> presents summary statistics for the variables used in our study. The magnitude of </w:t>
      </w:r>
      <w:r w:rsidR="00294C7A" w:rsidRPr="005D42BA">
        <w:rPr>
          <w:rFonts w:ascii="Times New Roman" w:hAnsi="Times New Roman" w:cs="Times New Roman"/>
          <w:i/>
          <w:sz w:val="24"/>
          <w:szCs w:val="24"/>
        </w:rPr>
        <w:t>CAR</w:t>
      </w:r>
      <w:r w:rsidR="00294C7A" w:rsidRPr="005D42BA">
        <w:rPr>
          <w:rFonts w:ascii="Times New Roman" w:hAnsi="Times New Roman" w:cs="Times New Roman"/>
          <w:sz w:val="24"/>
          <w:szCs w:val="24"/>
        </w:rPr>
        <w:t xml:space="preserve">s is, on average, close to zero. This is not entirely unexpected, as some disclosures will be perceived as good news and others as bad news, cancelling each other out in the averaging process. The mean of our linguistic variable indicates that one in every 209 words appears in our positive tone thesaurus. Furthermore, companies were confronted with falling earnings per share, which can be linked to the occurrence of deep recession during our sample period. </w:t>
      </w:r>
      <w:r w:rsidR="00382D71">
        <w:rPr>
          <w:rFonts w:ascii="Times New Roman" w:hAnsi="Times New Roman" w:cs="Times New Roman"/>
          <w:sz w:val="24"/>
          <w:szCs w:val="24"/>
        </w:rPr>
        <w:t>The s</w:t>
      </w:r>
      <w:r w:rsidR="00294C7A" w:rsidRPr="005D42BA">
        <w:rPr>
          <w:rFonts w:ascii="Times New Roman" w:hAnsi="Times New Roman" w:cs="Times New Roman"/>
          <w:sz w:val="24"/>
          <w:szCs w:val="24"/>
        </w:rPr>
        <w:t>evere impact of the credit crunch is also mirrored in falling financial leverage, as enterprises struggled to access credit due to the banking sector’s distress. Even in these difficult circumstances, our sample companies managed to increase their sa</w:t>
      </w:r>
      <w:r w:rsidR="005B3B77">
        <w:rPr>
          <w:rFonts w:ascii="Times New Roman" w:hAnsi="Times New Roman" w:cs="Times New Roman"/>
          <w:sz w:val="24"/>
          <w:szCs w:val="24"/>
        </w:rPr>
        <w:t>les volumes, perhaps at the expense</w:t>
      </w:r>
      <w:r w:rsidR="00294C7A" w:rsidRPr="005D42BA">
        <w:rPr>
          <w:rFonts w:ascii="Times New Roman" w:hAnsi="Times New Roman" w:cs="Times New Roman"/>
          <w:sz w:val="24"/>
          <w:szCs w:val="24"/>
        </w:rPr>
        <w:t xml:space="preserve"> of falling profit margins.  </w:t>
      </w:r>
    </w:p>
    <w:p w:rsidR="00294C7A" w:rsidRPr="005D42BA" w:rsidRDefault="00F813F1" w:rsidP="00294C7A">
      <w:pPr>
        <w:tabs>
          <w:tab w:val="left" w:pos="709"/>
        </w:tabs>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[Table 3</w:t>
      </w:r>
      <w:r w:rsidR="00294C7A" w:rsidRPr="005D42BA">
        <w:rPr>
          <w:rFonts w:ascii="Times New Roman" w:hAnsi="Times New Roman" w:cs="Times New Roman"/>
          <w:sz w:val="24"/>
          <w:szCs w:val="24"/>
        </w:rPr>
        <w:t xml:space="preserve"> about here]</w:t>
      </w:r>
    </w:p>
    <w:p w:rsidR="00294C7A" w:rsidRPr="005D42BA" w:rsidRDefault="00294C7A" w:rsidP="00294C7A">
      <w:pPr>
        <w:tabs>
          <w:tab w:val="left" w:pos="709"/>
        </w:tabs>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The correlation matrix between va</w:t>
      </w:r>
      <w:r w:rsidR="00F813F1">
        <w:rPr>
          <w:rFonts w:ascii="Times New Roman" w:hAnsi="Times New Roman" w:cs="Times New Roman"/>
          <w:sz w:val="24"/>
          <w:szCs w:val="24"/>
        </w:rPr>
        <w:t>riables is reported in Table 3</w:t>
      </w:r>
      <w:r w:rsidRPr="005D42BA">
        <w:rPr>
          <w:rFonts w:ascii="Times New Roman" w:hAnsi="Times New Roman" w:cs="Times New Roman"/>
          <w:sz w:val="24"/>
          <w:szCs w:val="24"/>
        </w:rPr>
        <w:t xml:space="preserve">. Most importantly, the Pearson correlation coefficients between positiveness of text and magnitude of market reaction </w:t>
      </w:r>
      <w:r w:rsidRPr="005D42BA">
        <w:rPr>
          <w:rFonts w:ascii="Times New Roman" w:hAnsi="Times New Roman" w:cs="Times New Roman"/>
          <w:sz w:val="24"/>
          <w:szCs w:val="24"/>
        </w:rPr>
        <w:lastRenderedPageBreak/>
        <w:t xml:space="preserve">are positive and statistically significant. This preliminary result attests to the fact that the manner in which annual report narratives are written is not immaterial to stock market participants and that it could possibly convey valuable information. Secondly, correlations between explanatory variables are relatively low, indicating that </w:t>
      </w:r>
      <w:proofErr w:type="spellStart"/>
      <w:r w:rsidRPr="005D42BA">
        <w:rPr>
          <w:rFonts w:ascii="Times New Roman" w:hAnsi="Times New Roman" w:cs="Times New Roman"/>
          <w:sz w:val="24"/>
          <w:szCs w:val="24"/>
        </w:rPr>
        <w:t>multicollinearity</w:t>
      </w:r>
      <w:proofErr w:type="spellEnd"/>
      <w:r w:rsidRPr="005D42BA">
        <w:rPr>
          <w:rFonts w:ascii="Times New Roman" w:hAnsi="Times New Roman" w:cs="Times New Roman"/>
          <w:sz w:val="24"/>
          <w:szCs w:val="24"/>
        </w:rPr>
        <w:t xml:space="preserve"> is not likely to be a problem in the empirical models that follow. In cases where association between the regressors is strong, standard errors of the regression parameter estimates are inflated. </w:t>
      </w:r>
      <w:proofErr w:type="spellStart"/>
      <w:r w:rsidRPr="005D42BA">
        <w:rPr>
          <w:rFonts w:ascii="Times New Roman" w:eastAsia="Calibri" w:hAnsi="Times New Roman" w:cs="Times New Roman"/>
          <w:sz w:val="24"/>
          <w:szCs w:val="24"/>
        </w:rPr>
        <w:t>Chatterjee</w:t>
      </w:r>
      <w:proofErr w:type="spellEnd"/>
      <w:r w:rsidRPr="005D42BA">
        <w:rPr>
          <w:rFonts w:ascii="Times New Roman" w:eastAsia="Calibri" w:hAnsi="Times New Roman" w:cs="Times New Roman"/>
          <w:sz w:val="24"/>
          <w:szCs w:val="24"/>
        </w:rPr>
        <w:t xml:space="preserve"> and Price (1991) argue that </w:t>
      </w:r>
      <w:r w:rsidRPr="005D42BA">
        <w:rPr>
          <w:rFonts w:ascii="Times New Roman" w:hAnsi="Times New Roman" w:cs="Times New Roman"/>
          <w:sz w:val="24"/>
          <w:szCs w:val="24"/>
        </w:rPr>
        <w:t xml:space="preserve">Variance Inflation Factors (VIFs) in excess of 10 are symptomatic of estimation problems. We find that the highest VIF in the regressions reported in this paper is 1.27, dispelling any apprehensions about this potential issue.    </w:t>
      </w:r>
    </w:p>
    <w:p w:rsidR="00294C7A" w:rsidRPr="005D42BA" w:rsidRDefault="00294C7A" w:rsidP="00294C7A">
      <w:pPr>
        <w:tabs>
          <w:tab w:val="left" w:pos="709"/>
        </w:tabs>
        <w:spacing w:line="480" w:lineRule="auto"/>
        <w:jc w:val="both"/>
        <w:rPr>
          <w:rFonts w:ascii="Times New Roman" w:hAnsi="Times New Roman" w:cs="Times New Roman"/>
          <w:b/>
          <w:sz w:val="24"/>
          <w:szCs w:val="24"/>
        </w:rPr>
      </w:pPr>
    </w:p>
    <w:p w:rsidR="00294C7A" w:rsidRPr="004211B7" w:rsidRDefault="00294C7A" w:rsidP="004211B7">
      <w:pPr>
        <w:pStyle w:val="Akapitzlist"/>
        <w:numPr>
          <w:ilvl w:val="0"/>
          <w:numId w:val="13"/>
        </w:numPr>
        <w:tabs>
          <w:tab w:val="left" w:pos="709"/>
        </w:tabs>
        <w:spacing w:line="480" w:lineRule="auto"/>
        <w:jc w:val="both"/>
        <w:rPr>
          <w:rFonts w:ascii="Times New Roman" w:hAnsi="Times New Roman" w:cs="Times New Roman"/>
          <w:b/>
          <w:sz w:val="24"/>
          <w:szCs w:val="24"/>
        </w:rPr>
      </w:pPr>
      <w:r w:rsidRPr="004211B7">
        <w:rPr>
          <w:rFonts w:ascii="Times New Roman" w:hAnsi="Times New Roman" w:cs="Times New Roman"/>
          <w:b/>
          <w:sz w:val="24"/>
          <w:szCs w:val="24"/>
        </w:rPr>
        <w:t>Empirical Results</w:t>
      </w:r>
    </w:p>
    <w:p w:rsidR="00294C7A" w:rsidRPr="005D42BA" w:rsidRDefault="00294C7A" w:rsidP="00294C7A">
      <w:pPr>
        <w:tabs>
          <w:tab w:val="left" w:pos="709"/>
        </w:tabs>
        <w:spacing w:after="0" w:line="480" w:lineRule="auto"/>
        <w:jc w:val="both"/>
        <w:rPr>
          <w:rFonts w:ascii="Times New Roman" w:hAnsi="Times New Roman" w:cs="Times New Roman"/>
          <w:sz w:val="24"/>
          <w:szCs w:val="24"/>
        </w:rPr>
      </w:pPr>
      <w:r w:rsidRPr="005D42BA">
        <w:rPr>
          <w:rFonts w:ascii="Times New Roman" w:hAnsi="Times New Roman" w:cs="Times New Roman"/>
          <w:sz w:val="24"/>
          <w:szCs w:val="24"/>
        </w:rPr>
        <w:tab/>
        <w:t>In what follows, we analy</w:t>
      </w:r>
      <w:r w:rsidR="00D31127" w:rsidRPr="005D42BA">
        <w:rPr>
          <w:rFonts w:ascii="Times New Roman" w:hAnsi="Times New Roman" w:cs="Times New Roman"/>
          <w:sz w:val="24"/>
          <w:szCs w:val="24"/>
        </w:rPr>
        <w:t>z</w:t>
      </w:r>
      <w:r w:rsidRPr="005D42BA">
        <w:rPr>
          <w:rFonts w:ascii="Times New Roman" w:hAnsi="Times New Roman" w:cs="Times New Roman"/>
          <w:sz w:val="24"/>
          <w:szCs w:val="24"/>
        </w:rPr>
        <w:t>e different variations of the regression spe</w:t>
      </w:r>
      <w:r w:rsidR="00F813F1">
        <w:rPr>
          <w:rFonts w:ascii="Times New Roman" w:hAnsi="Times New Roman" w:cs="Times New Roman"/>
          <w:sz w:val="24"/>
          <w:szCs w:val="24"/>
        </w:rPr>
        <w:t>cified in equation [4]. Table 4</w:t>
      </w:r>
      <w:r w:rsidRPr="005D42BA">
        <w:rPr>
          <w:rFonts w:ascii="Times New Roman" w:hAnsi="Times New Roman" w:cs="Times New Roman"/>
          <w:sz w:val="24"/>
          <w:szCs w:val="24"/>
        </w:rPr>
        <w:t xml:space="preserve"> reports the results where the dependent variable is defined as the cumulative abnormal return calculated using the mean</w:t>
      </w:r>
      <w:r w:rsidR="00F813F1">
        <w:rPr>
          <w:rFonts w:ascii="Times New Roman" w:hAnsi="Times New Roman" w:cs="Times New Roman"/>
          <w:sz w:val="24"/>
          <w:szCs w:val="24"/>
        </w:rPr>
        <w:t>-adjusted model, while Table 5</w:t>
      </w:r>
      <w:r w:rsidRPr="005D42BA">
        <w:rPr>
          <w:rFonts w:ascii="Times New Roman" w:hAnsi="Times New Roman" w:cs="Times New Roman"/>
          <w:sz w:val="24"/>
          <w:szCs w:val="24"/>
        </w:rPr>
        <w:t xml:space="preserve"> focuses on market-model-adjusted CARs. Each of the tables consists of two panels, as two different lengths of the event window are examined. For each panel, three regressions are presented – one with no control variables, one which takes into account company characteristics and one which also incorporates financial performance measures. </w:t>
      </w:r>
    </w:p>
    <w:p w:rsidR="00294C7A" w:rsidRPr="005D42BA" w:rsidRDefault="00F813F1" w:rsidP="00294C7A">
      <w:pPr>
        <w:tabs>
          <w:tab w:val="left" w:pos="709"/>
        </w:tabs>
        <w:spacing w:after="0" w:line="480" w:lineRule="auto"/>
        <w:jc w:val="center"/>
        <w:rPr>
          <w:rFonts w:ascii="Times New Roman" w:hAnsi="Times New Roman" w:cs="Times New Roman"/>
          <w:sz w:val="24"/>
          <w:szCs w:val="24"/>
        </w:rPr>
      </w:pPr>
      <w:r>
        <w:rPr>
          <w:rFonts w:ascii="Times New Roman" w:hAnsi="Times New Roman" w:cs="Times New Roman"/>
          <w:sz w:val="24"/>
          <w:szCs w:val="24"/>
        </w:rPr>
        <w:t>[Table 4</w:t>
      </w:r>
      <w:r w:rsidR="00294C7A" w:rsidRPr="005D42BA">
        <w:rPr>
          <w:rFonts w:ascii="Times New Roman" w:hAnsi="Times New Roman" w:cs="Times New Roman"/>
          <w:sz w:val="24"/>
          <w:szCs w:val="24"/>
        </w:rPr>
        <w:t xml:space="preserve"> about here]</w:t>
      </w:r>
    </w:p>
    <w:p w:rsidR="00294C7A" w:rsidRPr="005D42BA" w:rsidRDefault="00F813F1" w:rsidP="00294C7A">
      <w:pPr>
        <w:tabs>
          <w:tab w:val="left" w:pos="709"/>
        </w:tabs>
        <w:spacing w:line="480" w:lineRule="auto"/>
        <w:jc w:val="center"/>
        <w:rPr>
          <w:rFonts w:ascii="Times New Roman" w:hAnsi="Times New Roman" w:cs="Times New Roman"/>
          <w:sz w:val="24"/>
          <w:szCs w:val="24"/>
        </w:rPr>
      </w:pPr>
      <w:r>
        <w:rPr>
          <w:rFonts w:ascii="Times New Roman" w:hAnsi="Times New Roman" w:cs="Times New Roman"/>
          <w:sz w:val="24"/>
          <w:szCs w:val="24"/>
        </w:rPr>
        <w:t>[Table 5</w:t>
      </w:r>
      <w:r w:rsidR="00294C7A" w:rsidRPr="005D42BA">
        <w:rPr>
          <w:rFonts w:ascii="Times New Roman" w:hAnsi="Times New Roman" w:cs="Times New Roman"/>
          <w:sz w:val="24"/>
          <w:szCs w:val="24"/>
        </w:rPr>
        <w:t xml:space="preserve"> about here]</w:t>
      </w:r>
    </w:p>
    <w:p w:rsidR="00294C7A"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The most notable finding arising from these tables is that the </w:t>
      </w:r>
      <w:r w:rsidRPr="005D42BA">
        <w:rPr>
          <w:rFonts w:ascii="Times New Roman" w:hAnsi="Times New Roman" w:cs="Times New Roman"/>
          <w:i/>
          <w:sz w:val="24"/>
          <w:szCs w:val="24"/>
        </w:rPr>
        <w:t>Positiveness</w:t>
      </w:r>
      <w:r w:rsidRPr="005D42BA">
        <w:rPr>
          <w:rFonts w:ascii="Times New Roman" w:hAnsi="Times New Roman" w:cs="Times New Roman"/>
          <w:sz w:val="24"/>
          <w:szCs w:val="24"/>
        </w:rPr>
        <w:t xml:space="preserve"> measure carries a positive coefficient and is statistically significant in all regression specifications. This has several important ramifications. Firstly, the narrative of annual reports is to some extent </w:t>
      </w:r>
      <w:r w:rsidR="004B3BE0">
        <w:rPr>
          <w:rFonts w:ascii="Times New Roman" w:hAnsi="Times New Roman" w:cs="Times New Roman"/>
          <w:sz w:val="24"/>
          <w:szCs w:val="24"/>
        </w:rPr>
        <w:t>flexible</w:t>
      </w:r>
      <w:r w:rsidRPr="005D42BA">
        <w:rPr>
          <w:rFonts w:ascii="Times New Roman" w:hAnsi="Times New Roman" w:cs="Times New Roman"/>
          <w:sz w:val="24"/>
          <w:szCs w:val="24"/>
        </w:rPr>
        <w:t xml:space="preserve"> and could potentially be manipulated by management. Shin (1994) considers a </w:t>
      </w:r>
      <w:r w:rsidRPr="005D42BA">
        <w:rPr>
          <w:rFonts w:ascii="Times New Roman" w:hAnsi="Times New Roman" w:cs="Times New Roman"/>
          <w:sz w:val="24"/>
          <w:szCs w:val="24"/>
        </w:rPr>
        <w:lastRenderedPageBreak/>
        <w:t>theoretical model in which firms that operate in an informationally asymmetric environment could manage the disclosure of facts by suppressing negative news. By the same token, Hildebrandt and Snyder (1981), Rutherford (2005) and Henry (2008) allude to the possible existence of the “Pollyanna effect” (positivity bias) in parts of annual reports. It is conceivable that management will use a report as a marketing tool and suffer from overconfidence when writing their own reviews. The unjustified overuse of optimistic language could undermine the usefulness of information extracted from linguistic features. However, our results indicate that, despite all these real-life complications, the tone of annual reports can still be viewed as price-sensitive in nature.</w:t>
      </w:r>
    </w:p>
    <w:p w:rsidR="00905CA8" w:rsidRDefault="00294C7A" w:rsidP="00905CA8">
      <w:pPr>
        <w:spacing w:after="120" w:line="480" w:lineRule="auto"/>
        <w:jc w:val="both"/>
        <w:rPr>
          <w:rFonts w:ascii="Times New Roman" w:hAnsi="Times New Roman" w:cs="Times New Roman"/>
          <w:color w:val="000000"/>
          <w:sz w:val="24"/>
          <w:szCs w:val="24"/>
        </w:rPr>
      </w:pPr>
      <w:r w:rsidRPr="005D42BA">
        <w:rPr>
          <w:rFonts w:ascii="Times New Roman" w:hAnsi="Times New Roman" w:cs="Times New Roman"/>
          <w:sz w:val="24"/>
          <w:szCs w:val="24"/>
        </w:rPr>
        <w:tab/>
      </w:r>
      <w:r w:rsidR="00905CA8">
        <w:rPr>
          <w:rFonts w:ascii="Times New Roman" w:hAnsi="Times New Roman" w:cs="Times New Roman"/>
          <w:color w:val="000000"/>
          <w:sz w:val="24"/>
          <w:szCs w:val="24"/>
        </w:rPr>
        <w:t>It is helpful to consider the implications of our findings from the investors’ and market</w:t>
      </w:r>
      <w:r w:rsidR="005B3B77">
        <w:rPr>
          <w:rFonts w:ascii="Times New Roman" w:hAnsi="Times New Roman" w:cs="Times New Roman"/>
          <w:color w:val="000000"/>
          <w:sz w:val="24"/>
          <w:szCs w:val="24"/>
        </w:rPr>
        <w:t>’s</w:t>
      </w:r>
      <w:r w:rsidR="00905CA8">
        <w:rPr>
          <w:rFonts w:ascii="Times New Roman" w:hAnsi="Times New Roman" w:cs="Times New Roman"/>
          <w:color w:val="000000"/>
          <w:sz w:val="24"/>
          <w:szCs w:val="24"/>
        </w:rPr>
        <w:t xml:space="preserve"> perspective</w:t>
      </w:r>
      <w:r w:rsidR="00A9558B">
        <w:rPr>
          <w:rFonts w:ascii="Times New Roman" w:hAnsi="Times New Roman" w:cs="Times New Roman"/>
          <w:color w:val="000000"/>
          <w:sz w:val="24"/>
          <w:szCs w:val="24"/>
        </w:rPr>
        <w:t>s</w:t>
      </w:r>
      <w:r w:rsidR="00905CA8">
        <w:rPr>
          <w:rFonts w:ascii="Times New Roman" w:hAnsi="Times New Roman" w:cs="Times New Roman"/>
          <w:color w:val="000000"/>
          <w:sz w:val="24"/>
          <w:szCs w:val="24"/>
        </w:rPr>
        <w:t xml:space="preserve">. According to the Efficient Market Hypothesis proposed by </w:t>
      </w:r>
      <w:proofErr w:type="spellStart"/>
      <w:r w:rsidR="00905CA8">
        <w:rPr>
          <w:rFonts w:ascii="Times New Roman" w:hAnsi="Times New Roman" w:cs="Times New Roman"/>
          <w:color w:val="000000"/>
          <w:sz w:val="24"/>
          <w:szCs w:val="24"/>
        </w:rPr>
        <w:t>Fama</w:t>
      </w:r>
      <w:proofErr w:type="spellEnd"/>
      <w:r w:rsidR="00905CA8">
        <w:rPr>
          <w:rFonts w:ascii="Times New Roman" w:hAnsi="Times New Roman" w:cs="Times New Roman"/>
          <w:color w:val="000000"/>
          <w:sz w:val="24"/>
          <w:szCs w:val="24"/>
        </w:rPr>
        <w:t xml:space="preserve"> (1970)</w:t>
      </w:r>
      <w:r w:rsidR="005B3B77">
        <w:rPr>
          <w:rFonts w:ascii="Times New Roman" w:hAnsi="Times New Roman" w:cs="Times New Roman"/>
          <w:color w:val="000000"/>
          <w:sz w:val="24"/>
          <w:szCs w:val="24"/>
        </w:rPr>
        <w:t>,</w:t>
      </w:r>
      <w:r w:rsidR="00905CA8">
        <w:rPr>
          <w:rFonts w:ascii="Times New Roman" w:hAnsi="Times New Roman" w:cs="Times New Roman"/>
          <w:color w:val="000000"/>
          <w:sz w:val="24"/>
          <w:szCs w:val="24"/>
        </w:rPr>
        <w:t xml:space="preserve"> stock prices already reflect all available information and change only in response to disclosure of previously unknown facts. Consequently, if markets were efficient and the positiveness expressed in narratives was perceived to merely capture different degrees of impression management, rational investors would dismiss it as being uninformative. If, on the other hand, the tone conveyed new important information, discerning market participants would revise their assessment of the company’s fundamental value. The discrepancy between fundamental value and market price will induce them to trade. In cases </w:t>
      </w:r>
      <w:r w:rsidR="005B3B77">
        <w:rPr>
          <w:rFonts w:ascii="Times New Roman" w:hAnsi="Times New Roman" w:cs="Times New Roman"/>
          <w:color w:val="000000"/>
          <w:sz w:val="24"/>
          <w:szCs w:val="24"/>
        </w:rPr>
        <w:t xml:space="preserve">in which the </w:t>
      </w:r>
      <w:r w:rsidR="00905CA8">
        <w:rPr>
          <w:rFonts w:ascii="Times New Roman" w:hAnsi="Times New Roman" w:cs="Times New Roman"/>
          <w:color w:val="000000"/>
          <w:sz w:val="24"/>
          <w:szCs w:val="24"/>
        </w:rPr>
        <w:t xml:space="preserve">positiveness level turned out to be above expectations, the revised fundamental value would surpass the pre-disclosure market price, leading to a simultaneous lack of supply and excess demand for the company’s stocks. The price will need to rise immediately until demand and supply are equalized. In a scenario where </w:t>
      </w:r>
      <w:r w:rsidR="005B3B77">
        <w:rPr>
          <w:rFonts w:ascii="Times New Roman" w:hAnsi="Times New Roman" w:cs="Times New Roman"/>
          <w:color w:val="000000"/>
          <w:sz w:val="24"/>
          <w:szCs w:val="24"/>
        </w:rPr>
        <w:t xml:space="preserve">the </w:t>
      </w:r>
      <w:r w:rsidR="00905CA8">
        <w:rPr>
          <w:rFonts w:ascii="Times New Roman" w:hAnsi="Times New Roman" w:cs="Times New Roman"/>
          <w:color w:val="000000"/>
          <w:sz w:val="24"/>
          <w:szCs w:val="24"/>
        </w:rPr>
        <w:t xml:space="preserve">positiveness level was below expectations, the excess of sellers relative to buyers would cause a stock price decline. Several caveats need to be mentioned at this stage. Firstly, for the abovementioned mechanism to work, market participants need to have a general understanding of managerial behaviour and motives, in order to rationally formulate their </w:t>
      </w:r>
      <w:r w:rsidR="00905CA8">
        <w:rPr>
          <w:rFonts w:ascii="Times New Roman" w:hAnsi="Times New Roman" w:cs="Times New Roman"/>
          <w:color w:val="000000"/>
          <w:sz w:val="24"/>
          <w:szCs w:val="24"/>
        </w:rPr>
        <w:lastRenderedPageBreak/>
        <w:t>expectations of narrative positiveness level</w:t>
      </w:r>
      <w:r w:rsidR="005B3B77">
        <w:rPr>
          <w:rFonts w:ascii="Times New Roman" w:hAnsi="Times New Roman" w:cs="Times New Roman"/>
          <w:color w:val="000000"/>
          <w:sz w:val="24"/>
          <w:szCs w:val="24"/>
        </w:rPr>
        <w:t>s</w:t>
      </w:r>
      <w:r w:rsidR="00905CA8">
        <w:rPr>
          <w:rFonts w:ascii="Times New Roman" w:hAnsi="Times New Roman" w:cs="Times New Roman"/>
          <w:color w:val="000000"/>
          <w:sz w:val="24"/>
          <w:szCs w:val="24"/>
        </w:rPr>
        <w:t xml:space="preserve">. Secondly, one may argue that the reaction observed can be attributed to noise traders who trade on irrelevant information. However, if this was the case, one would expect smart money to swiftly correct the mispricing that arises as a result. Since the effect of positiveness is not eliminated in our longer event windows, we are inclined to conclude that it is indeed material in nature. </w:t>
      </w:r>
    </w:p>
    <w:p w:rsidR="00FF10F0" w:rsidRPr="005D42BA" w:rsidRDefault="00905CA8" w:rsidP="00FF10F0">
      <w:pPr>
        <w:tabs>
          <w:tab w:val="left" w:pos="709"/>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4B3BE0">
        <w:rPr>
          <w:rFonts w:ascii="Times New Roman" w:hAnsi="Times New Roman" w:cs="Times New Roman"/>
          <w:sz w:val="24"/>
          <w:szCs w:val="24"/>
        </w:rPr>
        <w:t>I</w:t>
      </w:r>
      <w:r>
        <w:rPr>
          <w:rFonts w:ascii="Times New Roman" w:hAnsi="Times New Roman" w:cs="Times New Roman"/>
          <w:sz w:val="24"/>
          <w:szCs w:val="24"/>
        </w:rPr>
        <w:t xml:space="preserve">t </w:t>
      </w:r>
      <w:r w:rsidR="005B3B77">
        <w:rPr>
          <w:rFonts w:ascii="Times New Roman" w:hAnsi="Times New Roman" w:cs="Times New Roman"/>
          <w:sz w:val="24"/>
          <w:szCs w:val="24"/>
        </w:rPr>
        <w:t xml:space="preserve">should </w:t>
      </w:r>
      <w:r>
        <w:rPr>
          <w:rFonts w:ascii="Times New Roman" w:hAnsi="Times New Roman" w:cs="Times New Roman"/>
          <w:sz w:val="24"/>
          <w:szCs w:val="24"/>
        </w:rPr>
        <w:t>also be mentioned that o</w:t>
      </w:r>
      <w:r w:rsidR="00294C7A" w:rsidRPr="005D42BA">
        <w:rPr>
          <w:rFonts w:ascii="Times New Roman" w:hAnsi="Times New Roman" w:cs="Times New Roman"/>
          <w:sz w:val="24"/>
          <w:szCs w:val="24"/>
        </w:rPr>
        <w:t xml:space="preserve">ur findings are of interest from the point of view of the UK’s regulatory framework. </w:t>
      </w:r>
      <w:r w:rsidR="009777A8" w:rsidRPr="009777A8">
        <w:rPr>
          <w:rFonts w:ascii="Times New Roman" w:hAnsi="Times New Roman" w:cs="Times New Roman"/>
          <w:sz w:val="24"/>
          <w:szCs w:val="24"/>
        </w:rPr>
        <w:t>As we have alluded to earlier, UK regulations against potentially misleading disclosure do not appear to be adequately deterrent from the point of view of management, partially due to issuer-only liability (</w:t>
      </w:r>
      <w:proofErr w:type="spellStart"/>
      <w:r w:rsidR="009777A8" w:rsidRPr="009777A8">
        <w:rPr>
          <w:rFonts w:ascii="Times New Roman" w:hAnsi="Times New Roman" w:cs="Times New Roman"/>
          <w:sz w:val="24"/>
          <w:szCs w:val="24"/>
        </w:rPr>
        <w:t>Ferran</w:t>
      </w:r>
      <w:proofErr w:type="spellEnd"/>
      <w:r w:rsidR="009777A8" w:rsidRPr="009777A8">
        <w:rPr>
          <w:rFonts w:ascii="Times New Roman" w:hAnsi="Times New Roman" w:cs="Times New Roman"/>
          <w:sz w:val="24"/>
          <w:szCs w:val="24"/>
        </w:rPr>
        <w:t>, 2009). Furthermore, in the US, SEC (1998) provides more detailed guidance on word usage and writing style.</w:t>
      </w:r>
      <w:r w:rsidR="00294C7A" w:rsidRPr="005D42BA">
        <w:rPr>
          <w:rFonts w:ascii="Times New Roman" w:hAnsi="Times New Roman" w:cs="Times New Roman"/>
          <w:sz w:val="24"/>
          <w:szCs w:val="24"/>
        </w:rPr>
        <w:t xml:space="preserve"> Despite this, our finding that the tone of disclosure determines market response </w:t>
      </w:r>
      <w:r w:rsidR="005B3B77">
        <w:rPr>
          <w:rFonts w:ascii="Times New Roman" w:hAnsi="Times New Roman" w:cs="Times New Roman"/>
          <w:sz w:val="24"/>
          <w:szCs w:val="24"/>
        </w:rPr>
        <w:t>is</w:t>
      </w:r>
      <w:r w:rsidR="00294C7A" w:rsidRPr="005D42BA">
        <w:rPr>
          <w:rFonts w:ascii="Times New Roman" w:hAnsi="Times New Roman" w:cs="Times New Roman"/>
          <w:sz w:val="24"/>
          <w:szCs w:val="24"/>
        </w:rPr>
        <w:t xml:space="preserve"> mirrored </w:t>
      </w:r>
      <w:r w:rsidR="005B3B77">
        <w:rPr>
          <w:rFonts w:ascii="Times New Roman" w:hAnsi="Times New Roman" w:cs="Times New Roman"/>
          <w:sz w:val="24"/>
          <w:szCs w:val="24"/>
        </w:rPr>
        <w:t>by</w:t>
      </w:r>
      <w:r w:rsidR="00294C7A" w:rsidRPr="005D42BA">
        <w:rPr>
          <w:rFonts w:ascii="Times New Roman" w:hAnsi="Times New Roman" w:cs="Times New Roman"/>
          <w:sz w:val="24"/>
          <w:szCs w:val="24"/>
        </w:rPr>
        <w:t xml:space="preserve"> those obtained for US earnings press r</w:t>
      </w:r>
      <w:r w:rsidR="008C2C2B">
        <w:rPr>
          <w:rFonts w:ascii="Times New Roman" w:hAnsi="Times New Roman" w:cs="Times New Roman"/>
          <w:sz w:val="24"/>
          <w:szCs w:val="24"/>
        </w:rPr>
        <w:t>eleases (Henry, 2008; Demers &amp;</w:t>
      </w:r>
      <w:r w:rsidR="00294C7A" w:rsidRPr="005D42BA">
        <w:rPr>
          <w:rFonts w:ascii="Times New Roman" w:hAnsi="Times New Roman" w:cs="Times New Roman"/>
          <w:sz w:val="24"/>
          <w:szCs w:val="24"/>
        </w:rPr>
        <w:t xml:space="preserve"> Vega, 2010; Davis </w:t>
      </w:r>
      <w:r w:rsidR="00294C7A" w:rsidRPr="005D42BA">
        <w:rPr>
          <w:rFonts w:ascii="Times New Roman" w:hAnsi="Times New Roman" w:cs="Times New Roman"/>
          <w:i/>
          <w:sz w:val="24"/>
          <w:szCs w:val="24"/>
        </w:rPr>
        <w:t>et al.</w:t>
      </w:r>
      <w:r w:rsidR="00294C7A" w:rsidRPr="005D42BA">
        <w:rPr>
          <w:rFonts w:ascii="Times New Roman" w:hAnsi="Times New Roman" w:cs="Times New Roman"/>
          <w:sz w:val="24"/>
          <w:szCs w:val="24"/>
        </w:rPr>
        <w:t xml:space="preserve">, 2012). </w:t>
      </w:r>
      <w:r w:rsidR="00FF10F0" w:rsidRPr="005D42BA">
        <w:rPr>
          <w:rFonts w:ascii="Times New Roman" w:hAnsi="Times New Roman" w:cs="Times New Roman"/>
          <w:sz w:val="24"/>
          <w:szCs w:val="24"/>
        </w:rPr>
        <w:t>This observation leads us to believe that reluctance to put excessive spin on facts may not be rooted solely in regulatory boundaries, but also in fear of potentially costly reputational loss.</w:t>
      </w:r>
    </w:p>
    <w:p w:rsidR="00294C7A"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The coefficients on the </w:t>
      </w:r>
      <w:r w:rsidRPr="005D42BA">
        <w:rPr>
          <w:rFonts w:ascii="Times New Roman" w:hAnsi="Times New Roman" w:cs="Times New Roman"/>
          <w:i/>
          <w:sz w:val="24"/>
          <w:szCs w:val="24"/>
        </w:rPr>
        <w:t xml:space="preserve">Size </w:t>
      </w:r>
      <w:r w:rsidRPr="005D42BA">
        <w:rPr>
          <w:rFonts w:ascii="Times New Roman" w:hAnsi="Times New Roman" w:cs="Times New Roman"/>
          <w:sz w:val="24"/>
          <w:szCs w:val="24"/>
        </w:rPr>
        <w:t xml:space="preserve">variable are always negative and statistically significant for longer event windows, which is consistent with the effect propounded by </w:t>
      </w:r>
      <w:proofErr w:type="spellStart"/>
      <w:r w:rsidRPr="005D42BA">
        <w:rPr>
          <w:rFonts w:ascii="Times New Roman" w:hAnsi="Times New Roman" w:cs="Times New Roman"/>
          <w:sz w:val="24"/>
          <w:szCs w:val="24"/>
        </w:rPr>
        <w:t>Banz</w:t>
      </w:r>
      <w:proofErr w:type="spellEnd"/>
      <w:r w:rsidRPr="005D42BA">
        <w:rPr>
          <w:rFonts w:ascii="Times New Roman" w:hAnsi="Times New Roman" w:cs="Times New Roman"/>
          <w:sz w:val="24"/>
          <w:szCs w:val="24"/>
        </w:rPr>
        <w:t xml:space="preserve"> (1981). There are several reasons why investors may demand higher compensation when committing to low capitalization stocks. Firstly, less information is available on these firms (</w:t>
      </w:r>
      <w:proofErr w:type="spellStart"/>
      <w:r w:rsidRPr="005D42BA">
        <w:rPr>
          <w:rFonts w:ascii="Times New Roman" w:hAnsi="Times New Roman" w:cs="Times New Roman"/>
          <w:sz w:val="24"/>
          <w:szCs w:val="24"/>
        </w:rPr>
        <w:t>Atiase</w:t>
      </w:r>
      <w:proofErr w:type="spellEnd"/>
      <w:r w:rsidRPr="005D42BA">
        <w:rPr>
          <w:rFonts w:ascii="Times New Roman" w:hAnsi="Times New Roman" w:cs="Times New Roman"/>
          <w:sz w:val="24"/>
          <w:szCs w:val="24"/>
        </w:rPr>
        <w:t>, 1985; Freeman, 1987) and analysts are reluctant to follow them (</w:t>
      </w:r>
      <w:proofErr w:type="spellStart"/>
      <w:r w:rsidRPr="005D42BA">
        <w:rPr>
          <w:rFonts w:ascii="Times New Roman" w:hAnsi="Times New Roman" w:cs="Times New Roman"/>
          <w:sz w:val="24"/>
          <w:szCs w:val="24"/>
        </w:rPr>
        <w:t>Arbel</w:t>
      </w:r>
      <w:proofErr w:type="spellEnd"/>
      <w:r w:rsidR="00E615F3">
        <w:rPr>
          <w:rFonts w:ascii="Times New Roman" w:hAnsi="Times New Roman" w:cs="Times New Roman"/>
          <w:sz w:val="24"/>
          <w:szCs w:val="24"/>
        </w:rPr>
        <w:t xml:space="preserve">, </w:t>
      </w:r>
      <w:proofErr w:type="spellStart"/>
      <w:r w:rsidR="00E615F3" w:rsidRPr="005D42BA">
        <w:rPr>
          <w:rFonts w:ascii="Times New Roman" w:hAnsi="Times New Roman" w:cs="Times New Roman"/>
          <w:sz w:val="24"/>
          <w:szCs w:val="24"/>
        </w:rPr>
        <w:t>Carvell</w:t>
      </w:r>
      <w:proofErr w:type="spellEnd"/>
      <w:r w:rsidR="00E615F3" w:rsidRPr="005D42BA">
        <w:rPr>
          <w:rFonts w:ascii="Times New Roman" w:hAnsi="Times New Roman" w:cs="Times New Roman"/>
          <w:sz w:val="24"/>
          <w:szCs w:val="24"/>
        </w:rPr>
        <w:t xml:space="preserve">, </w:t>
      </w:r>
      <w:r w:rsidR="00E615F3">
        <w:rPr>
          <w:rFonts w:ascii="Times New Roman" w:hAnsi="Times New Roman" w:cs="Times New Roman"/>
          <w:sz w:val="24"/>
          <w:szCs w:val="24"/>
        </w:rPr>
        <w:t>&amp;</w:t>
      </w:r>
      <w:r w:rsidR="00E615F3" w:rsidRPr="005D42BA">
        <w:rPr>
          <w:rFonts w:ascii="Times New Roman" w:hAnsi="Times New Roman" w:cs="Times New Roman"/>
          <w:sz w:val="24"/>
          <w:szCs w:val="24"/>
        </w:rPr>
        <w:t xml:space="preserve"> </w:t>
      </w:r>
      <w:proofErr w:type="spellStart"/>
      <w:r w:rsidR="00E615F3" w:rsidRPr="005D42BA">
        <w:rPr>
          <w:rFonts w:ascii="Times New Roman" w:hAnsi="Times New Roman" w:cs="Times New Roman"/>
          <w:sz w:val="24"/>
          <w:szCs w:val="24"/>
        </w:rPr>
        <w:t>Strebel</w:t>
      </w:r>
      <w:proofErr w:type="spellEnd"/>
      <w:r w:rsidR="00E615F3" w:rsidRPr="005D42BA">
        <w:rPr>
          <w:rFonts w:ascii="Times New Roman" w:hAnsi="Times New Roman" w:cs="Times New Roman"/>
          <w:sz w:val="24"/>
          <w:szCs w:val="24"/>
        </w:rPr>
        <w:t xml:space="preserve">, </w:t>
      </w:r>
      <w:r w:rsidRPr="005D42BA">
        <w:rPr>
          <w:rFonts w:ascii="Times New Roman" w:hAnsi="Times New Roman" w:cs="Times New Roman"/>
          <w:sz w:val="24"/>
          <w:szCs w:val="24"/>
        </w:rPr>
        <w:t>1983; Gilbert</w:t>
      </w:r>
      <w:r w:rsidR="00E615F3">
        <w:rPr>
          <w:rFonts w:ascii="Times New Roman" w:hAnsi="Times New Roman" w:cs="Times New Roman"/>
          <w:sz w:val="24"/>
          <w:szCs w:val="24"/>
        </w:rPr>
        <w:t xml:space="preserve">, </w:t>
      </w:r>
      <w:proofErr w:type="spellStart"/>
      <w:r w:rsidR="00E615F3" w:rsidRPr="005D42BA">
        <w:rPr>
          <w:rFonts w:ascii="Times New Roman" w:hAnsi="Times New Roman" w:cs="Times New Roman"/>
          <w:sz w:val="24"/>
          <w:szCs w:val="24"/>
        </w:rPr>
        <w:t>Tourani-Rad</w:t>
      </w:r>
      <w:proofErr w:type="spellEnd"/>
      <w:r w:rsidR="00E615F3" w:rsidRPr="005D42BA">
        <w:rPr>
          <w:rFonts w:ascii="Times New Roman" w:hAnsi="Times New Roman" w:cs="Times New Roman"/>
          <w:sz w:val="24"/>
          <w:szCs w:val="24"/>
        </w:rPr>
        <w:t xml:space="preserve">, </w:t>
      </w:r>
      <w:r w:rsidR="00E615F3">
        <w:rPr>
          <w:rFonts w:ascii="Times New Roman" w:hAnsi="Times New Roman" w:cs="Times New Roman"/>
          <w:sz w:val="24"/>
          <w:szCs w:val="24"/>
        </w:rPr>
        <w:t>&amp;</w:t>
      </w:r>
      <w:r w:rsidR="00E615F3" w:rsidRPr="005D42BA">
        <w:rPr>
          <w:rFonts w:ascii="Times New Roman" w:hAnsi="Times New Roman" w:cs="Times New Roman"/>
          <w:sz w:val="24"/>
          <w:szCs w:val="24"/>
        </w:rPr>
        <w:t xml:space="preserve"> Wisniewski</w:t>
      </w:r>
      <w:r w:rsidRPr="005D42BA">
        <w:rPr>
          <w:rFonts w:ascii="Times New Roman" w:hAnsi="Times New Roman" w:cs="Times New Roman"/>
          <w:sz w:val="24"/>
          <w:szCs w:val="24"/>
        </w:rPr>
        <w:t>, 2006). Secondly, size is an important determinant of the likelihood of bankruptcy (</w:t>
      </w:r>
      <w:proofErr w:type="spellStart"/>
      <w:r w:rsidRPr="005D42BA">
        <w:rPr>
          <w:rFonts w:ascii="Times New Roman" w:hAnsi="Times New Roman" w:cs="Times New Roman"/>
          <w:sz w:val="24"/>
          <w:szCs w:val="24"/>
        </w:rPr>
        <w:t>Shumway</w:t>
      </w:r>
      <w:proofErr w:type="spellEnd"/>
      <w:r w:rsidRPr="005D42BA">
        <w:rPr>
          <w:rFonts w:ascii="Times New Roman" w:hAnsi="Times New Roman" w:cs="Times New Roman"/>
          <w:sz w:val="24"/>
          <w:szCs w:val="24"/>
        </w:rPr>
        <w:t>, 2001), with large multinationals being more diversified and less risky. Finally, small caps are associated with higher transaction costs (</w:t>
      </w:r>
      <w:proofErr w:type="spellStart"/>
      <w:r w:rsidRPr="005D42BA">
        <w:rPr>
          <w:rFonts w:ascii="Times New Roman" w:hAnsi="Times New Roman" w:cs="Times New Roman"/>
          <w:sz w:val="24"/>
          <w:szCs w:val="24"/>
        </w:rPr>
        <w:t>Lesmond</w:t>
      </w:r>
      <w:proofErr w:type="spellEnd"/>
      <w:r w:rsidR="003D14DF">
        <w:rPr>
          <w:rFonts w:ascii="Times New Roman" w:hAnsi="Times New Roman" w:cs="Times New Roman"/>
          <w:sz w:val="24"/>
          <w:szCs w:val="24"/>
        </w:rPr>
        <w:t>, Ogden, &amp;</w:t>
      </w:r>
      <w:r w:rsidR="003D14DF" w:rsidRPr="005D42BA">
        <w:rPr>
          <w:rFonts w:ascii="Times New Roman" w:hAnsi="Times New Roman" w:cs="Times New Roman"/>
          <w:sz w:val="24"/>
          <w:szCs w:val="24"/>
        </w:rPr>
        <w:t xml:space="preserve"> </w:t>
      </w:r>
      <w:proofErr w:type="spellStart"/>
      <w:r w:rsidR="003D14DF" w:rsidRPr="005D42BA">
        <w:rPr>
          <w:rFonts w:ascii="Times New Roman" w:hAnsi="Times New Roman" w:cs="Times New Roman"/>
          <w:sz w:val="24"/>
          <w:szCs w:val="24"/>
        </w:rPr>
        <w:t>Trzcinka</w:t>
      </w:r>
      <w:proofErr w:type="spellEnd"/>
      <w:r w:rsidRPr="005D42BA">
        <w:rPr>
          <w:rFonts w:ascii="Times New Roman" w:hAnsi="Times New Roman" w:cs="Times New Roman"/>
          <w:sz w:val="24"/>
          <w:szCs w:val="24"/>
        </w:rPr>
        <w:t>, 1999) and are more strongly affected by the illiquidity problem (</w:t>
      </w:r>
      <w:proofErr w:type="spellStart"/>
      <w:r w:rsidRPr="005D42BA">
        <w:rPr>
          <w:rFonts w:ascii="Times New Roman" w:hAnsi="Times New Roman" w:cs="Times New Roman"/>
          <w:sz w:val="24"/>
          <w:szCs w:val="24"/>
        </w:rPr>
        <w:t>Amihud</w:t>
      </w:r>
      <w:proofErr w:type="spellEnd"/>
      <w:r w:rsidRPr="005D42BA">
        <w:rPr>
          <w:rFonts w:ascii="Times New Roman" w:hAnsi="Times New Roman" w:cs="Times New Roman"/>
          <w:sz w:val="24"/>
          <w:szCs w:val="24"/>
        </w:rPr>
        <w:t xml:space="preserve">, 2002). Book-to-market ratios, on the other hand, have almost no explanatory power in our regressions, possibly due to the short span of our event windows. </w:t>
      </w:r>
    </w:p>
    <w:p w:rsidR="00AC2318"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b/>
          <w:sz w:val="24"/>
          <w:szCs w:val="24"/>
        </w:rPr>
        <w:lastRenderedPageBreak/>
        <w:tab/>
      </w:r>
      <w:r w:rsidRPr="005D42BA">
        <w:rPr>
          <w:rFonts w:ascii="Times New Roman" w:hAnsi="Times New Roman" w:cs="Times New Roman"/>
          <w:sz w:val="24"/>
          <w:szCs w:val="24"/>
        </w:rPr>
        <w:t xml:space="preserve">Our findings for </w:t>
      </w:r>
      <w:proofErr w:type="spellStart"/>
      <w:r w:rsidRPr="005D42BA">
        <w:rPr>
          <w:rFonts w:ascii="Times New Roman" w:hAnsi="Times New Roman" w:cs="Times New Roman"/>
          <w:i/>
          <w:sz w:val="24"/>
          <w:szCs w:val="24"/>
        </w:rPr>
        <w:t>Earnings_Surprise</w:t>
      </w:r>
      <w:proofErr w:type="spellEnd"/>
      <w:r w:rsidRPr="005D42BA">
        <w:rPr>
          <w:rFonts w:ascii="Times New Roman" w:hAnsi="Times New Roman" w:cs="Times New Roman"/>
          <w:sz w:val="24"/>
          <w:szCs w:val="24"/>
        </w:rPr>
        <w:t xml:space="preserve"> are in line with those of Lev (1989) who argued that the relationship between accounting earnings and stock market returns is weak and unstable over time. Most likely, financial figures from annual reports do not engender a strong market response because they are merely</w:t>
      </w:r>
      <w:r w:rsidR="00206682" w:rsidRPr="005D42BA">
        <w:rPr>
          <w:rFonts w:ascii="Times New Roman" w:hAnsi="Times New Roman" w:cs="Times New Roman"/>
          <w:sz w:val="24"/>
          <w:szCs w:val="24"/>
        </w:rPr>
        <w:t xml:space="preserve"> an aggregation of the interim</w:t>
      </w:r>
      <w:r w:rsidRPr="005D42BA">
        <w:rPr>
          <w:rFonts w:ascii="Times New Roman" w:hAnsi="Times New Roman" w:cs="Times New Roman"/>
          <w:sz w:val="24"/>
          <w:szCs w:val="24"/>
        </w:rPr>
        <w:t xml:space="preserve"> results that firms have published earlier. </w:t>
      </w:r>
      <w:r w:rsidR="00206682" w:rsidRPr="005D42BA">
        <w:rPr>
          <w:rFonts w:ascii="Times New Roman" w:hAnsi="Times New Roman" w:cs="Times New Roman"/>
          <w:sz w:val="24"/>
          <w:szCs w:val="24"/>
        </w:rPr>
        <w:t xml:space="preserve">This explanation would be in line with Ball and Brown (1968), who observe that about 85 to 90 percent of the information contained in annual report </w:t>
      </w:r>
      <w:r w:rsidR="0008224F" w:rsidRPr="005D42BA">
        <w:rPr>
          <w:rFonts w:ascii="Times New Roman" w:hAnsi="Times New Roman" w:cs="Times New Roman"/>
          <w:sz w:val="24"/>
          <w:szCs w:val="24"/>
        </w:rPr>
        <w:t>income statement</w:t>
      </w:r>
      <w:r w:rsidR="002618B8" w:rsidRPr="005D42BA">
        <w:rPr>
          <w:rFonts w:ascii="Times New Roman" w:hAnsi="Times New Roman" w:cs="Times New Roman"/>
          <w:sz w:val="24"/>
          <w:szCs w:val="24"/>
        </w:rPr>
        <w:t>s</w:t>
      </w:r>
      <w:r w:rsidR="0008224F" w:rsidRPr="005D42BA">
        <w:rPr>
          <w:rFonts w:ascii="Times New Roman" w:hAnsi="Times New Roman" w:cs="Times New Roman"/>
          <w:sz w:val="24"/>
          <w:szCs w:val="24"/>
        </w:rPr>
        <w:t xml:space="preserve"> has been captured by reports released beforehand. </w:t>
      </w:r>
    </w:p>
    <w:p w:rsidR="00294C7A" w:rsidRPr="005D42BA" w:rsidRDefault="00AC2318" w:rsidP="00294C7A">
      <w:pPr>
        <w:tabs>
          <w:tab w:val="left" w:pos="709"/>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1110B9" w:rsidRPr="005D42BA">
        <w:rPr>
          <w:rFonts w:ascii="Times New Roman" w:hAnsi="Times New Roman" w:cs="Times New Roman"/>
          <w:sz w:val="24"/>
          <w:szCs w:val="24"/>
        </w:rPr>
        <w:t xml:space="preserve">One caveat that needs to be mentioned </w:t>
      </w:r>
      <w:r w:rsidR="004E363E" w:rsidRPr="005D42BA">
        <w:rPr>
          <w:rFonts w:ascii="Times New Roman" w:hAnsi="Times New Roman" w:cs="Times New Roman"/>
          <w:sz w:val="24"/>
          <w:szCs w:val="24"/>
        </w:rPr>
        <w:t xml:space="preserve">here </w:t>
      </w:r>
      <w:r w:rsidR="001110B9" w:rsidRPr="005D42BA">
        <w:rPr>
          <w:rFonts w:ascii="Times New Roman" w:hAnsi="Times New Roman" w:cs="Times New Roman"/>
          <w:sz w:val="24"/>
          <w:szCs w:val="24"/>
        </w:rPr>
        <w:t>is that although</w:t>
      </w:r>
      <w:r>
        <w:rPr>
          <w:rFonts w:ascii="Times New Roman" w:hAnsi="Times New Roman" w:cs="Times New Roman"/>
          <w:sz w:val="24"/>
          <w:szCs w:val="24"/>
        </w:rPr>
        <w:t xml:space="preserve"> up to 2007 preliminary statements of annual results</w:t>
      </w:r>
      <w:r w:rsidR="001110B9" w:rsidRPr="005D42BA">
        <w:rPr>
          <w:rFonts w:ascii="Times New Roman" w:hAnsi="Times New Roman" w:cs="Times New Roman"/>
          <w:sz w:val="24"/>
          <w:szCs w:val="24"/>
        </w:rPr>
        <w:t xml:space="preserve"> announcements were mandatory, they became voluntary </w:t>
      </w:r>
      <w:r w:rsidR="005B3B77">
        <w:rPr>
          <w:rFonts w:ascii="Times New Roman" w:hAnsi="Times New Roman" w:cs="Times New Roman"/>
          <w:sz w:val="24"/>
          <w:szCs w:val="24"/>
        </w:rPr>
        <w:t>due to</w:t>
      </w:r>
      <w:r>
        <w:rPr>
          <w:rFonts w:ascii="Times New Roman" w:hAnsi="Times New Roman" w:cs="Times New Roman"/>
          <w:sz w:val="24"/>
          <w:szCs w:val="24"/>
        </w:rPr>
        <w:t xml:space="preserve"> changes in Listing Rules.</w:t>
      </w:r>
      <w:r w:rsidR="001110B9" w:rsidRPr="005D42BA">
        <w:rPr>
          <w:rFonts w:ascii="Times New Roman" w:hAnsi="Times New Roman" w:cs="Times New Roman"/>
          <w:sz w:val="24"/>
          <w:szCs w:val="24"/>
        </w:rPr>
        <w:t xml:space="preserve"> </w:t>
      </w:r>
      <w:r>
        <w:rPr>
          <w:rFonts w:ascii="Times New Roman" w:hAnsi="Times New Roman" w:cs="Times New Roman"/>
          <w:sz w:val="24"/>
          <w:szCs w:val="24"/>
        </w:rPr>
        <w:t>We have tested whether this regulatory change ha</w:t>
      </w:r>
      <w:r w:rsidR="00930B07">
        <w:rPr>
          <w:rFonts w:ascii="Times New Roman" w:hAnsi="Times New Roman" w:cs="Times New Roman"/>
          <w:sz w:val="24"/>
          <w:szCs w:val="24"/>
        </w:rPr>
        <w:t>d</w:t>
      </w:r>
      <w:r>
        <w:rPr>
          <w:rFonts w:ascii="Times New Roman" w:hAnsi="Times New Roman" w:cs="Times New Roman"/>
          <w:sz w:val="24"/>
          <w:szCs w:val="24"/>
        </w:rPr>
        <w:t xml:space="preserve"> implications for the </w:t>
      </w:r>
      <w:r>
        <w:rPr>
          <w:rFonts w:ascii="Times New Roman" w:hAnsi="Times New Roman" w:cs="Times New Roman"/>
          <w:color w:val="000000"/>
          <w:sz w:val="24"/>
          <w:szCs w:val="24"/>
        </w:rPr>
        <w:t xml:space="preserve">stability of coefficients on the variables </w:t>
      </w:r>
      <w:r w:rsidR="00930B07">
        <w:rPr>
          <w:rFonts w:ascii="Times New Roman" w:hAnsi="Times New Roman" w:cs="Times New Roman"/>
          <w:color w:val="000000"/>
          <w:sz w:val="24"/>
          <w:szCs w:val="24"/>
        </w:rPr>
        <w:t xml:space="preserve">derived from </w:t>
      </w:r>
      <w:r>
        <w:rPr>
          <w:rFonts w:ascii="Times New Roman" w:hAnsi="Times New Roman" w:cs="Times New Roman"/>
          <w:color w:val="000000"/>
          <w:sz w:val="24"/>
          <w:szCs w:val="24"/>
        </w:rPr>
        <w:t xml:space="preserve">financial statements </w:t>
      </w:r>
      <w:r w:rsidR="00930B07">
        <w:rPr>
          <w:rFonts w:ascii="Times New Roman" w:hAnsi="Times New Roman" w:cs="Times New Roman"/>
          <w:color w:val="000000"/>
          <w:sz w:val="24"/>
          <w:szCs w:val="24"/>
        </w:rPr>
        <w:t xml:space="preserve">data </w:t>
      </w:r>
      <w:r>
        <w:rPr>
          <w:rFonts w:ascii="Times New Roman" w:hAnsi="Times New Roman" w:cs="Times New Roman"/>
          <w:color w:val="000000"/>
          <w:sz w:val="24"/>
          <w:szCs w:val="24"/>
        </w:rPr>
        <w:t>(</w:t>
      </w:r>
      <w:proofErr w:type="spellStart"/>
      <w:r>
        <w:rPr>
          <w:rFonts w:ascii="Times New Roman" w:hAnsi="Times New Roman" w:cs="Times New Roman"/>
          <w:i/>
          <w:color w:val="000000"/>
          <w:sz w:val="24"/>
          <w:szCs w:val="24"/>
        </w:rPr>
        <w:t>Earnings_Surprise</w:t>
      </w:r>
      <w:proofErr w:type="spellEnd"/>
      <w:r>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sym w:font="Symbol" w:char="F044"/>
      </w:r>
      <w:r>
        <w:rPr>
          <w:rFonts w:ascii="Times New Roman" w:hAnsi="Times New Roman" w:cs="Times New Roman"/>
          <w:i/>
          <w:color w:val="000000"/>
          <w:sz w:val="24"/>
          <w:szCs w:val="24"/>
        </w:rPr>
        <w:t xml:space="preserve">%Sales, </w:t>
      </w:r>
      <w:r>
        <w:rPr>
          <w:rFonts w:ascii="Times New Roman" w:hAnsi="Times New Roman" w:cs="Times New Roman"/>
          <w:color w:val="000000"/>
          <w:sz w:val="24"/>
          <w:szCs w:val="24"/>
        </w:rPr>
        <w:t xml:space="preserve">and </w:t>
      </w:r>
      <w:r>
        <w:rPr>
          <w:rFonts w:ascii="Times New Roman" w:hAnsi="Times New Roman" w:cs="Times New Roman"/>
          <w:i/>
          <w:color w:val="000000"/>
          <w:sz w:val="24"/>
          <w:szCs w:val="24"/>
        </w:rPr>
        <w:sym w:font="Symbol" w:char="F044"/>
      </w:r>
      <w:r>
        <w:rPr>
          <w:rFonts w:ascii="Times New Roman" w:hAnsi="Times New Roman" w:cs="Times New Roman"/>
          <w:i/>
          <w:color w:val="000000"/>
          <w:sz w:val="24"/>
          <w:szCs w:val="24"/>
        </w:rPr>
        <w:t>Leverage</w:t>
      </w:r>
      <w:r>
        <w:rPr>
          <w:rFonts w:ascii="Times New Roman" w:hAnsi="Times New Roman" w:cs="Times New Roman"/>
          <w:color w:val="000000"/>
          <w:sz w:val="24"/>
          <w:szCs w:val="24"/>
        </w:rPr>
        <w:t>). Our tests [not reported] revealed that the null hypothesis of coefficient constancy could not be rejected.</w:t>
      </w:r>
      <w:r>
        <w:rPr>
          <w:rStyle w:val="Odwoanieprzypisudolnego"/>
          <w:rFonts w:ascii="Times New Roman" w:hAnsi="Times New Roman" w:cs="Times New Roman"/>
          <w:color w:val="000000"/>
          <w:sz w:val="24"/>
          <w:szCs w:val="24"/>
        </w:rPr>
        <w:footnoteReference w:id="5"/>
      </w:r>
      <w:r>
        <w:rPr>
          <w:rFonts w:ascii="Times New Roman" w:hAnsi="Times New Roman" w:cs="Times New Roman"/>
          <w:color w:val="000000"/>
          <w:sz w:val="24"/>
          <w:szCs w:val="24"/>
        </w:rPr>
        <w:t xml:space="preserve"> </w:t>
      </w:r>
      <w:r w:rsidR="002618B8" w:rsidRPr="005D42BA">
        <w:rPr>
          <w:rFonts w:ascii="Times New Roman" w:hAnsi="Times New Roman" w:cs="Times New Roman"/>
          <w:sz w:val="24"/>
          <w:szCs w:val="24"/>
        </w:rPr>
        <w:t>Even</w:t>
      </w:r>
      <w:r w:rsidR="00930B07">
        <w:rPr>
          <w:rFonts w:ascii="Times New Roman" w:eastAsia="MS Mincho" w:hAnsi="Times New Roman" w:cs="Times New Roman"/>
          <w:sz w:val="24"/>
          <w:szCs w:val="24"/>
        </w:rPr>
        <w:t xml:space="preserve"> though </w:t>
      </w:r>
      <w:r w:rsidR="002618B8" w:rsidRPr="005D42BA">
        <w:rPr>
          <w:rFonts w:ascii="Times New Roman" w:eastAsia="MS Mincho" w:hAnsi="Times New Roman" w:cs="Times New Roman"/>
          <w:sz w:val="24"/>
          <w:szCs w:val="24"/>
        </w:rPr>
        <w:t xml:space="preserve">disclosure </w:t>
      </w:r>
      <w:r w:rsidR="00930B07">
        <w:rPr>
          <w:rFonts w:ascii="Times New Roman" w:eastAsia="MS Mincho" w:hAnsi="Times New Roman" w:cs="Times New Roman"/>
          <w:sz w:val="24"/>
          <w:szCs w:val="24"/>
        </w:rPr>
        <w:t xml:space="preserve">of preliminary statements </w:t>
      </w:r>
      <w:r w:rsidR="002618B8" w:rsidRPr="005D42BA">
        <w:rPr>
          <w:rFonts w:ascii="Times New Roman" w:eastAsia="MS Mincho" w:hAnsi="Times New Roman" w:cs="Times New Roman"/>
          <w:sz w:val="24"/>
          <w:szCs w:val="24"/>
        </w:rPr>
        <w:t xml:space="preserve">may have, </w:t>
      </w:r>
      <w:r w:rsidR="004E363E" w:rsidRPr="005D42BA">
        <w:rPr>
          <w:rFonts w:ascii="Times New Roman" w:eastAsia="MS Mincho" w:hAnsi="Times New Roman" w:cs="Times New Roman"/>
          <w:sz w:val="24"/>
          <w:szCs w:val="24"/>
        </w:rPr>
        <w:t xml:space="preserve">at least </w:t>
      </w:r>
      <w:r w:rsidR="002618B8" w:rsidRPr="005D42BA">
        <w:rPr>
          <w:rFonts w:ascii="Times New Roman" w:eastAsia="MS Mincho" w:hAnsi="Times New Roman" w:cs="Times New Roman"/>
          <w:sz w:val="24"/>
          <w:szCs w:val="24"/>
        </w:rPr>
        <w:t xml:space="preserve">in the latter part of our sample, an element of voluntariness, </w:t>
      </w:r>
      <w:r w:rsidR="00930B07">
        <w:rPr>
          <w:rFonts w:ascii="Times New Roman" w:hAnsi="Times New Roman" w:cs="Times New Roman"/>
          <w:sz w:val="24"/>
          <w:szCs w:val="24"/>
        </w:rPr>
        <w:t>Disclosure and Trans</w:t>
      </w:r>
      <w:r w:rsidR="005B3B77">
        <w:rPr>
          <w:rFonts w:ascii="Times New Roman" w:hAnsi="Times New Roman" w:cs="Times New Roman"/>
          <w:sz w:val="24"/>
          <w:szCs w:val="24"/>
        </w:rPr>
        <w:t>parency Rules (DTR 4.2.2) required</w:t>
      </w:r>
      <w:r w:rsidR="00930B07">
        <w:rPr>
          <w:rFonts w:ascii="Times New Roman" w:hAnsi="Times New Roman" w:cs="Times New Roman"/>
          <w:sz w:val="24"/>
          <w:szCs w:val="24"/>
        </w:rPr>
        <w:t xml:space="preserve"> companies to disclose </w:t>
      </w:r>
      <w:r w:rsidR="002618B8" w:rsidRPr="005D42BA">
        <w:rPr>
          <w:rFonts w:ascii="Times New Roman" w:eastAsia="MS Mincho" w:hAnsi="Times New Roman" w:cs="Times New Roman"/>
          <w:sz w:val="24"/>
          <w:szCs w:val="24"/>
        </w:rPr>
        <w:t>half-yearly reports</w:t>
      </w:r>
      <w:r w:rsidR="00930B07">
        <w:rPr>
          <w:rFonts w:ascii="Times New Roman" w:eastAsia="MS Mincho" w:hAnsi="Times New Roman" w:cs="Times New Roman"/>
          <w:sz w:val="24"/>
          <w:szCs w:val="24"/>
        </w:rPr>
        <w:t xml:space="preserve">. Many issuers also published quarterly results. </w:t>
      </w:r>
      <w:r w:rsidR="00294C7A" w:rsidRPr="005D42BA">
        <w:rPr>
          <w:rFonts w:ascii="Times New Roman" w:hAnsi="Times New Roman" w:cs="Times New Roman"/>
          <w:sz w:val="24"/>
          <w:szCs w:val="24"/>
        </w:rPr>
        <w:t>Conseq</w:t>
      </w:r>
      <w:r w:rsidR="00930B07">
        <w:rPr>
          <w:rFonts w:ascii="Times New Roman" w:hAnsi="Times New Roman" w:cs="Times New Roman"/>
          <w:sz w:val="24"/>
          <w:szCs w:val="24"/>
        </w:rPr>
        <w:t>uently, annual financial statements</w:t>
      </w:r>
      <w:r w:rsidR="00294C7A" w:rsidRPr="005D42BA">
        <w:rPr>
          <w:rFonts w:ascii="Times New Roman" w:hAnsi="Times New Roman" w:cs="Times New Roman"/>
          <w:sz w:val="24"/>
          <w:szCs w:val="24"/>
        </w:rPr>
        <w:t xml:space="preserve"> </w:t>
      </w:r>
      <w:r w:rsidR="0008224F" w:rsidRPr="005D42BA">
        <w:rPr>
          <w:rFonts w:ascii="Times New Roman" w:hAnsi="Times New Roman" w:cs="Times New Roman"/>
          <w:sz w:val="24"/>
          <w:szCs w:val="24"/>
        </w:rPr>
        <w:t xml:space="preserve">(unlike narratives) </w:t>
      </w:r>
      <w:r w:rsidR="00294C7A" w:rsidRPr="005D42BA">
        <w:rPr>
          <w:rFonts w:ascii="Times New Roman" w:hAnsi="Times New Roman" w:cs="Times New Roman"/>
          <w:sz w:val="24"/>
          <w:szCs w:val="24"/>
        </w:rPr>
        <w:t>could</w:t>
      </w:r>
      <w:r w:rsidR="00237D99">
        <w:rPr>
          <w:rFonts w:ascii="Times New Roman" w:hAnsi="Times New Roman" w:cs="Times New Roman"/>
          <w:sz w:val="24"/>
          <w:szCs w:val="24"/>
        </w:rPr>
        <w:t xml:space="preserve"> be viewed as stale news, which </w:t>
      </w:r>
      <w:r w:rsidR="00294C7A" w:rsidRPr="005D42BA">
        <w:rPr>
          <w:rFonts w:ascii="Times New Roman" w:hAnsi="Times New Roman" w:cs="Times New Roman"/>
          <w:sz w:val="24"/>
          <w:szCs w:val="24"/>
        </w:rPr>
        <w:t xml:space="preserve">should be irrelevant to the price formation process in informationally efficient markets. Perhaps this is also the reason why increases in sales and leverage are invariably statistically insignificant in our model specifications.  </w:t>
      </w:r>
    </w:p>
    <w:p w:rsidR="00294C7A"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The </w:t>
      </w:r>
      <w:r w:rsidRPr="005D42BA">
        <w:rPr>
          <w:rFonts w:ascii="Times New Roman" w:hAnsi="Times New Roman" w:cs="Times New Roman"/>
          <w:i/>
          <w:sz w:val="24"/>
          <w:szCs w:val="24"/>
        </w:rPr>
        <w:t>F</w:t>
      </w:r>
      <w:r w:rsidRPr="005D42BA">
        <w:rPr>
          <w:rFonts w:ascii="Times New Roman" w:hAnsi="Times New Roman" w:cs="Times New Roman"/>
          <w:sz w:val="24"/>
          <w:szCs w:val="24"/>
        </w:rPr>
        <w:t>-statistics for the regressions indicate that the factors considered are jointly important from a statistical point of view. However, this</w:t>
      </w:r>
      <w:r w:rsidR="00F82935" w:rsidRPr="005D42BA">
        <w:rPr>
          <w:rFonts w:ascii="Times New Roman" w:hAnsi="Times New Roman" w:cs="Times New Roman"/>
          <w:sz w:val="24"/>
          <w:szCs w:val="24"/>
        </w:rPr>
        <w:t xml:space="preserve"> o</w:t>
      </w:r>
      <w:r w:rsidR="005B3B77">
        <w:rPr>
          <w:rFonts w:ascii="Times New Roman" w:hAnsi="Times New Roman" w:cs="Times New Roman"/>
          <w:sz w:val="24"/>
          <w:szCs w:val="24"/>
        </w:rPr>
        <w:t>bservation must be tempered by</w:t>
      </w:r>
      <w:r w:rsidRPr="005D42BA">
        <w:rPr>
          <w:rFonts w:ascii="Times New Roman" w:hAnsi="Times New Roman" w:cs="Times New Roman"/>
          <w:sz w:val="24"/>
          <w:szCs w:val="24"/>
        </w:rPr>
        <w:t xml:space="preserve"> the fact that the R-squared coefficients a</w:t>
      </w:r>
      <w:r w:rsidR="005B3B77">
        <w:rPr>
          <w:rFonts w:ascii="Times New Roman" w:hAnsi="Times New Roman" w:cs="Times New Roman"/>
          <w:sz w:val="24"/>
          <w:szCs w:val="24"/>
        </w:rPr>
        <w:t>re relatively low. It is a well-</w:t>
      </w:r>
      <w:r w:rsidRPr="005D42BA">
        <w:rPr>
          <w:rFonts w:ascii="Times New Roman" w:hAnsi="Times New Roman" w:cs="Times New Roman"/>
          <w:sz w:val="24"/>
          <w:szCs w:val="24"/>
        </w:rPr>
        <w:t xml:space="preserve">established empirical finding that stock markets are excessively volatile compared to underlying fundamentals. </w:t>
      </w:r>
      <w:proofErr w:type="spellStart"/>
      <w:r w:rsidRPr="005D42BA">
        <w:rPr>
          <w:rFonts w:ascii="Times New Roman" w:hAnsi="Times New Roman" w:cs="Times New Roman"/>
          <w:sz w:val="24"/>
          <w:szCs w:val="24"/>
        </w:rPr>
        <w:t>Shiller</w:t>
      </w:r>
      <w:proofErr w:type="spellEnd"/>
      <w:r w:rsidRPr="005D42BA">
        <w:rPr>
          <w:rFonts w:ascii="Times New Roman" w:hAnsi="Times New Roman" w:cs="Times New Roman"/>
          <w:sz w:val="24"/>
          <w:szCs w:val="24"/>
        </w:rPr>
        <w:t xml:space="preserve"> (1981) </w:t>
      </w:r>
      <w:r w:rsidRPr="005D42BA">
        <w:rPr>
          <w:rFonts w:ascii="Times New Roman" w:hAnsi="Times New Roman" w:cs="Times New Roman"/>
          <w:sz w:val="24"/>
          <w:szCs w:val="24"/>
        </w:rPr>
        <w:lastRenderedPageBreak/>
        <w:t xml:space="preserve">argues that price volatility is about five to thirteen times higher than that justified by a dividend-based valuation model. Returns are often a manifestation of the fickle sentiments of the investing public and can be orthogonal to the economic performance of companies. As a result, the impact of genuine fundamental drivers is intertwined with and obscured by noise, resulting in low values of the goodness of fit measures. This problem transcends our study and is a more general issue that has troubled financial economists since time immemorial. </w:t>
      </w:r>
    </w:p>
    <w:p w:rsidR="004211B7" w:rsidRDefault="004211B7" w:rsidP="00294C7A">
      <w:pPr>
        <w:tabs>
          <w:tab w:val="left" w:pos="709"/>
        </w:tabs>
        <w:spacing w:line="480" w:lineRule="auto"/>
        <w:jc w:val="both"/>
        <w:rPr>
          <w:rFonts w:ascii="Times New Roman" w:hAnsi="Times New Roman" w:cs="Times New Roman"/>
          <w:sz w:val="24"/>
          <w:szCs w:val="24"/>
        </w:rPr>
      </w:pPr>
    </w:p>
    <w:p w:rsidR="00294C7A" w:rsidRPr="004211B7" w:rsidRDefault="00294C7A" w:rsidP="004211B7">
      <w:pPr>
        <w:pStyle w:val="Akapitzlist"/>
        <w:numPr>
          <w:ilvl w:val="0"/>
          <w:numId w:val="13"/>
        </w:numPr>
        <w:tabs>
          <w:tab w:val="left" w:pos="709"/>
        </w:tabs>
        <w:spacing w:line="480" w:lineRule="auto"/>
        <w:jc w:val="both"/>
        <w:rPr>
          <w:rFonts w:ascii="Times New Roman" w:hAnsi="Times New Roman" w:cs="Times New Roman"/>
          <w:b/>
          <w:sz w:val="24"/>
          <w:szCs w:val="24"/>
        </w:rPr>
      </w:pPr>
      <w:r w:rsidRPr="004211B7">
        <w:rPr>
          <w:rFonts w:ascii="Times New Roman" w:hAnsi="Times New Roman" w:cs="Times New Roman"/>
          <w:b/>
          <w:sz w:val="24"/>
          <w:szCs w:val="24"/>
        </w:rPr>
        <w:t>Further Considerations</w:t>
      </w:r>
    </w:p>
    <w:p w:rsidR="00EA3D62"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One possible extension of this study could be to investigate the market impact of words with negative connotations. To probe this issue, we use Henry’s (2008:387) negativity thesaurus incorporating 85 words and measure the frequency with which these words appear in the qualitative parts of annual reports. We discover that most of our market reaction measures are negatively correlated with this frequency; however, these correlations are statistically insignificant. This clearly shows that positive words have greater explanatory power. </w:t>
      </w:r>
      <w:r w:rsidR="00EA3D62" w:rsidRPr="005D42BA">
        <w:rPr>
          <w:rFonts w:ascii="Times New Roman" w:hAnsi="Times New Roman" w:cs="Times New Roman"/>
          <w:sz w:val="24"/>
          <w:szCs w:val="24"/>
        </w:rPr>
        <w:tab/>
      </w:r>
      <w:r w:rsidRPr="005D42BA">
        <w:rPr>
          <w:rFonts w:ascii="Times New Roman" w:hAnsi="Times New Roman" w:cs="Times New Roman"/>
          <w:sz w:val="24"/>
          <w:szCs w:val="24"/>
        </w:rPr>
        <w:t>Perhaps investors do not believe that managers would voluntarily disclose bad news in narrative text, unless forced to do so by regulators. Managers are often remunerated by share or call option compensation schemes, which give</w:t>
      </w:r>
      <w:r w:rsidR="005B3B77">
        <w:rPr>
          <w:rFonts w:ascii="Times New Roman" w:hAnsi="Times New Roman" w:cs="Times New Roman"/>
          <w:sz w:val="24"/>
          <w:szCs w:val="24"/>
        </w:rPr>
        <w:t>s</w:t>
      </w:r>
      <w:r w:rsidRPr="005D42BA">
        <w:rPr>
          <w:rFonts w:ascii="Times New Roman" w:hAnsi="Times New Roman" w:cs="Times New Roman"/>
          <w:sz w:val="24"/>
          <w:szCs w:val="24"/>
        </w:rPr>
        <w:t xml:space="preserve"> them incentives to suppress </w:t>
      </w:r>
      <w:r w:rsidR="005D42BA" w:rsidRPr="005D42BA">
        <w:rPr>
          <w:rFonts w:ascii="Times New Roman" w:hAnsi="Times New Roman" w:cs="Times New Roman"/>
          <w:sz w:val="24"/>
          <w:szCs w:val="24"/>
        </w:rPr>
        <w:t>unfavourable</w:t>
      </w:r>
      <w:r w:rsidRPr="005D42BA">
        <w:rPr>
          <w:rFonts w:ascii="Times New Roman" w:hAnsi="Times New Roman" w:cs="Times New Roman"/>
          <w:sz w:val="24"/>
          <w:szCs w:val="24"/>
        </w:rPr>
        <w:t xml:space="preserve"> information. </w:t>
      </w:r>
      <w:r w:rsidR="0051713E" w:rsidRPr="005D42BA">
        <w:rPr>
          <w:rFonts w:ascii="Times New Roman" w:hAnsi="Times New Roman" w:cs="Times New Roman"/>
          <w:sz w:val="24"/>
          <w:szCs w:val="24"/>
        </w:rPr>
        <w:t xml:space="preserve">These </w:t>
      </w:r>
      <w:r w:rsidR="00803573" w:rsidRPr="005D42BA">
        <w:rPr>
          <w:rFonts w:ascii="Times New Roman" w:hAnsi="Times New Roman" w:cs="Times New Roman"/>
          <w:sz w:val="24"/>
          <w:szCs w:val="24"/>
        </w:rPr>
        <w:t>motivations</w:t>
      </w:r>
      <w:r w:rsidR="0051713E" w:rsidRPr="005D42BA">
        <w:rPr>
          <w:rFonts w:ascii="Times New Roman" w:hAnsi="Times New Roman" w:cs="Times New Roman"/>
          <w:sz w:val="24"/>
          <w:szCs w:val="24"/>
        </w:rPr>
        <w:t xml:space="preserve"> are likely to be weakened during option granting periods when the desire to negotiate the lowest strike on the calls may dominate</w:t>
      </w:r>
      <w:r w:rsidR="005B3B77">
        <w:rPr>
          <w:rFonts w:ascii="Times New Roman" w:hAnsi="Times New Roman" w:cs="Times New Roman"/>
          <w:sz w:val="24"/>
          <w:szCs w:val="24"/>
        </w:rPr>
        <w:t>.</w:t>
      </w:r>
      <w:r w:rsidR="0051713E" w:rsidRPr="005D42BA">
        <w:rPr>
          <w:rFonts w:ascii="Times New Roman" w:hAnsi="Times New Roman" w:cs="Times New Roman"/>
          <w:sz w:val="24"/>
          <w:szCs w:val="24"/>
        </w:rPr>
        <w:t xml:space="preserve"> </w:t>
      </w:r>
      <w:r w:rsidR="005B3B77">
        <w:rPr>
          <w:rFonts w:ascii="Times New Roman" w:hAnsi="Times New Roman" w:cs="Times New Roman"/>
          <w:sz w:val="24"/>
          <w:szCs w:val="24"/>
        </w:rPr>
        <w:t>H</w:t>
      </w:r>
      <w:r w:rsidR="0051713E" w:rsidRPr="005D42BA">
        <w:rPr>
          <w:rFonts w:ascii="Times New Roman" w:hAnsi="Times New Roman" w:cs="Times New Roman"/>
          <w:sz w:val="24"/>
          <w:szCs w:val="24"/>
        </w:rPr>
        <w:t>owever</w:t>
      </w:r>
      <w:r w:rsidR="005B3B77">
        <w:rPr>
          <w:rFonts w:ascii="Times New Roman" w:hAnsi="Times New Roman" w:cs="Times New Roman"/>
          <w:sz w:val="24"/>
          <w:szCs w:val="24"/>
        </w:rPr>
        <w:t>,</w:t>
      </w:r>
      <w:r w:rsidR="0051713E" w:rsidRPr="005D42BA">
        <w:rPr>
          <w:rFonts w:ascii="Times New Roman" w:hAnsi="Times New Roman" w:cs="Times New Roman"/>
          <w:sz w:val="24"/>
          <w:szCs w:val="24"/>
        </w:rPr>
        <w:t xml:space="preserve"> it is safe to assume that </w:t>
      </w:r>
      <w:r w:rsidR="0051713E" w:rsidRPr="005D42BA">
        <w:rPr>
          <w:rFonts w:ascii="Times New Roman" w:eastAsia="MS Mincho" w:hAnsi="Times New Roman" w:cs="Times New Roman"/>
          <w:sz w:val="24"/>
          <w:szCs w:val="24"/>
        </w:rPr>
        <w:t xml:space="preserve">managerial compensation increases with the stock price during </w:t>
      </w:r>
      <w:r w:rsidR="00A20E11" w:rsidRPr="005D42BA">
        <w:rPr>
          <w:rFonts w:ascii="Times New Roman" w:eastAsia="MS Mincho" w:hAnsi="Times New Roman" w:cs="Times New Roman"/>
          <w:sz w:val="24"/>
          <w:szCs w:val="24"/>
        </w:rPr>
        <w:t xml:space="preserve">the </w:t>
      </w:r>
      <w:r w:rsidR="0051713E" w:rsidRPr="005D42BA">
        <w:rPr>
          <w:rFonts w:ascii="Times New Roman" w:eastAsia="MS Mincho" w:hAnsi="Times New Roman" w:cs="Times New Roman"/>
          <w:sz w:val="24"/>
          <w:szCs w:val="24"/>
        </w:rPr>
        <w:t xml:space="preserve">majority of periods. </w:t>
      </w:r>
      <w:r w:rsidR="00803573" w:rsidRPr="005D42BA">
        <w:rPr>
          <w:rFonts w:ascii="Times New Roman" w:hAnsi="Times New Roman" w:cs="Times New Roman"/>
          <w:sz w:val="24"/>
          <w:szCs w:val="24"/>
        </w:rPr>
        <w:t>Due to the existence of this incentive, it is</w:t>
      </w:r>
      <w:r w:rsidRPr="005D42BA">
        <w:rPr>
          <w:rFonts w:ascii="Times New Roman" w:hAnsi="Times New Roman" w:cs="Times New Roman"/>
          <w:sz w:val="24"/>
          <w:szCs w:val="24"/>
        </w:rPr>
        <w:t xml:space="preserve"> likely that the influence of bad news would be more apparent </w:t>
      </w:r>
      <w:r w:rsidR="000B1066">
        <w:rPr>
          <w:rFonts w:ascii="Times New Roman" w:hAnsi="Times New Roman" w:cs="Times New Roman"/>
          <w:sz w:val="24"/>
          <w:szCs w:val="24"/>
        </w:rPr>
        <w:t>in</w:t>
      </w:r>
      <w:r w:rsidRPr="005D42BA">
        <w:rPr>
          <w:rFonts w:ascii="Times New Roman" w:hAnsi="Times New Roman" w:cs="Times New Roman"/>
          <w:sz w:val="24"/>
          <w:szCs w:val="24"/>
        </w:rPr>
        <w:t xml:space="preserve"> financial statements rather than </w:t>
      </w:r>
      <w:r w:rsidR="000B1066">
        <w:rPr>
          <w:rFonts w:ascii="Times New Roman" w:hAnsi="Times New Roman" w:cs="Times New Roman"/>
          <w:sz w:val="24"/>
          <w:szCs w:val="24"/>
        </w:rPr>
        <w:t>in</w:t>
      </w:r>
      <w:r w:rsidRPr="005D42BA">
        <w:rPr>
          <w:rFonts w:ascii="Times New Roman" w:hAnsi="Times New Roman" w:cs="Times New Roman"/>
          <w:sz w:val="24"/>
          <w:szCs w:val="24"/>
        </w:rPr>
        <w:t xml:space="preserve"> </w:t>
      </w:r>
      <w:r w:rsidR="00F82935" w:rsidRPr="005D42BA">
        <w:rPr>
          <w:rFonts w:ascii="Times New Roman" w:hAnsi="Times New Roman" w:cs="Times New Roman"/>
          <w:sz w:val="24"/>
          <w:szCs w:val="24"/>
        </w:rPr>
        <w:t xml:space="preserve">the </w:t>
      </w:r>
      <w:r w:rsidRPr="005D42BA">
        <w:rPr>
          <w:rFonts w:ascii="Times New Roman" w:hAnsi="Times New Roman" w:cs="Times New Roman"/>
          <w:sz w:val="24"/>
          <w:szCs w:val="24"/>
        </w:rPr>
        <w:t xml:space="preserve">narrative. Davis and Tama-Sweet (2012) argue that managers tend to publish pessimistic narratives in outlets with the lowest impact and it is doubtful whether an annual report is such an outlet. </w:t>
      </w:r>
    </w:p>
    <w:p w:rsidR="00294C7A" w:rsidRPr="005D42BA" w:rsidRDefault="00C36D1D"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lastRenderedPageBreak/>
        <w:tab/>
      </w:r>
      <w:r w:rsidR="00EA3D62" w:rsidRPr="005D42BA">
        <w:rPr>
          <w:rFonts w:ascii="Times New Roman" w:hAnsi="Times New Roman" w:cs="Times New Roman"/>
          <w:sz w:val="24"/>
          <w:szCs w:val="24"/>
        </w:rPr>
        <w:t xml:space="preserve">We are also not </w:t>
      </w:r>
      <w:r w:rsidR="000B1066">
        <w:rPr>
          <w:rFonts w:ascii="Times New Roman" w:hAnsi="Times New Roman" w:cs="Times New Roman"/>
          <w:sz w:val="24"/>
          <w:szCs w:val="24"/>
        </w:rPr>
        <w:t xml:space="preserve">the </w:t>
      </w:r>
      <w:r w:rsidR="00EA3D62" w:rsidRPr="005D42BA">
        <w:rPr>
          <w:rFonts w:ascii="Times New Roman" w:hAnsi="Times New Roman" w:cs="Times New Roman"/>
          <w:sz w:val="24"/>
          <w:szCs w:val="24"/>
        </w:rPr>
        <w:t xml:space="preserve">first to claim that </w:t>
      </w:r>
      <w:r w:rsidR="00EA3D62" w:rsidRPr="005D42BA">
        <w:rPr>
          <w:rFonts w:ascii="Times New Roman" w:eastAsia="MS Mincho" w:hAnsi="Times New Roman" w:cs="Times New Roman"/>
          <w:sz w:val="24"/>
          <w:szCs w:val="24"/>
        </w:rPr>
        <w:t xml:space="preserve">positive statements in UK annual reports are </w:t>
      </w:r>
      <w:r w:rsidR="00A320C7" w:rsidRPr="005D42BA">
        <w:rPr>
          <w:rFonts w:ascii="Times New Roman" w:eastAsia="MS Mincho" w:hAnsi="Times New Roman" w:cs="Times New Roman"/>
          <w:sz w:val="24"/>
          <w:szCs w:val="24"/>
        </w:rPr>
        <w:t>more informative compared to</w:t>
      </w:r>
      <w:r w:rsidR="00EA3D62" w:rsidRPr="005D42BA">
        <w:rPr>
          <w:rFonts w:ascii="Times New Roman" w:eastAsia="MS Mincho" w:hAnsi="Times New Roman" w:cs="Times New Roman"/>
          <w:sz w:val="24"/>
          <w:szCs w:val="24"/>
        </w:rPr>
        <w:t xml:space="preserve"> negative ones. </w:t>
      </w:r>
      <w:proofErr w:type="spellStart"/>
      <w:r w:rsidR="00EA3D62" w:rsidRPr="005D42BA">
        <w:rPr>
          <w:rFonts w:ascii="Times New Roman" w:eastAsia="MS Mincho" w:hAnsi="Times New Roman" w:cs="Times New Roman"/>
          <w:sz w:val="24"/>
          <w:szCs w:val="24"/>
        </w:rPr>
        <w:t>Schleicher</w:t>
      </w:r>
      <w:proofErr w:type="spellEnd"/>
      <w:r w:rsidR="00EA3D62" w:rsidRPr="005D42BA">
        <w:rPr>
          <w:rFonts w:ascii="Times New Roman" w:eastAsia="MS Mincho" w:hAnsi="Times New Roman" w:cs="Times New Roman"/>
          <w:sz w:val="24"/>
          <w:szCs w:val="24"/>
        </w:rPr>
        <w:t xml:space="preserve"> and Walker (2010), who examined the outlook section in </w:t>
      </w:r>
      <w:r w:rsidR="00A320C7" w:rsidRPr="005D42BA">
        <w:rPr>
          <w:rFonts w:ascii="Times New Roman" w:eastAsia="MS Mincho" w:hAnsi="Times New Roman" w:cs="Times New Roman"/>
          <w:sz w:val="24"/>
          <w:szCs w:val="24"/>
        </w:rPr>
        <w:t>c</w:t>
      </w:r>
      <w:r w:rsidR="00EA3D62" w:rsidRPr="005D42BA">
        <w:rPr>
          <w:rFonts w:ascii="Times New Roman" w:eastAsia="MS Mincho" w:hAnsi="Times New Roman" w:cs="Times New Roman"/>
          <w:sz w:val="24"/>
          <w:szCs w:val="24"/>
        </w:rPr>
        <w:t>hairm</w:t>
      </w:r>
      <w:r w:rsidR="00A320C7" w:rsidRPr="005D42BA">
        <w:rPr>
          <w:rFonts w:ascii="Times New Roman" w:eastAsia="MS Mincho" w:hAnsi="Times New Roman" w:cs="Times New Roman"/>
          <w:sz w:val="24"/>
          <w:szCs w:val="24"/>
        </w:rPr>
        <w:t>e</w:t>
      </w:r>
      <w:r w:rsidR="00EA3D62" w:rsidRPr="005D42BA">
        <w:rPr>
          <w:rFonts w:ascii="Times New Roman" w:eastAsia="MS Mincho" w:hAnsi="Times New Roman" w:cs="Times New Roman"/>
          <w:sz w:val="24"/>
          <w:szCs w:val="24"/>
        </w:rPr>
        <w:t>n’s statements in conjunction with managerial incentives, found that tone is biased primarily by manipulating the number of negative statements (p. 388). Therefore the fact that negative words ha</w:t>
      </w:r>
      <w:r w:rsidRPr="005D42BA">
        <w:rPr>
          <w:rFonts w:ascii="Times New Roman" w:eastAsia="MS Mincho" w:hAnsi="Times New Roman" w:cs="Times New Roman"/>
          <w:sz w:val="24"/>
          <w:szCs w:val="24"/>
        </w:rPr>
        <w:t>ve less impact on the market</w:t>
      </w:r>
      <w:r w:rsidR="00EA3D62" w:rsidRPr="005D42BA">
        <w:rPr>
          <w:rFonts w:ascii="Times New Roman" w:eastAsia="MS Mincho" w:hAnsi="Times New Roman" w:cs="Times New Roman"/>
          <w:sz w:val="24"/>
          <w:szCs w:val="24"/>
        </w:rPr>
        <w:t xml:space="preserve"> attest</w:t>
      </w:r>
      <w:r w:rsidRPr="005D42BA">
        <w:rPr>
          <w:rFonts w:ascii="Times New Roman" w:eastAsia="MS Mincho" w:hAnsi="Times New Roman" w:cs="Times New Roman"/>
          <w:sz w:val="24"/>
          <w:szCs w:val="24"/>
        </w:rPr>
        <w:t>s</w:t>
      </w:r>
      <w:r w:rsidR="00EA3D62" w:rsidRPr="005D42BA">
        <w:rPr>
          <w:rFonts w:ascii="Times New Roman" w:eastAsia="MS Mincho" w:hAnsi="Times New Roman" w:cs="Times New Roman"/>
          <w:sz w:val="24"/>
          <w:szCs w:val="24"/>
        </w:rPr>
        <w:t xml:space="preserve"> to investors</w:t>
      </w:r>
      <w:r w:rsidR="00A320C7" w:rsidRPr="005D42BA">
        <w:rPr>
          <w:rFonts w:ascii="Times New Roman" w:eastAsia="MS Mincho" w:hAnsi="Times New Roman" w:cs="Times New Roman"/>
          <w:sz w:val="24"/>
          <w:szCs w:val="24"/>
        </w:rPr>
        <w:t>’</w:t>
      </w:r>
      <w:r w:rsidR="00EA3D62" w:rsidRPr="005D42BA">
        <w:rPr>
          <w:rFonts w:ascii="Times New Roman" w:eastAsia="MS Mincho" w:hAnsi="Times New Roman" w:cs="Times New Roman"/>
          <w:sz w:val="24"/>
          <w:szCs w:val="24"/>
        </w:rPr>
        <w:t xml:space="preserve"> rationality. </w:t>
      </w:r>
      <w:r w:rsidR="00294C7A" w:rsidRPr="005D42BA">
        <w:rPr>
          <w:rFonts w:ascii="Times New Roman" w:hAnsi="Times New Roman" w:cs="Times New Roman"/>
          <w:sz w:val="24"/>
          <w:szCs w:val="24"/>
        </w:rPr>
        <w:t xml:space="preserve">There are also some parallels to the world of politics – Wisniewski and Moro (2014) find that policy makers are unlikely to draft pessimistic communiqués related to meetings in which they themselves have participated. As a result of these considerations, we believe that </w:t>
      </w:r>
      <w:r w:rsidR="00341619">
        <w:rPr>
          <w:rFonts w:ascii="Times New Roman" w:hAnsi="Times New Roman" w:cs="Times New Roman"/>
          <w:sz w:val="24"/>
          <w:szCs w:val="24"/>
        </w:rPr>
        <w:t xml:space="preserve">tone </w:t>
      </w:r>
      <w:r w:rsidR="00294C7A" w:rsidRPr="005D42BA">
        <w:rPr>
          <w:rFonts w:ascii="Times New Roman" w:hAnsi="Times New Roman" w:cs="Times New Roman"/>
          <w:sz w:val="24"/>
          <w:szCs w:val="24"/>
        </w:rPr>
        <w:t xml:space="preserve">is more accurately measured by different shades of optimism rather than pessimism.  </w:t>
      </w:r>
    </w:p>
    <w:p w:rsidR="00EA3D62" w:rsidRPr="005D42BA" w:rsidRDefault="00EA3D62"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On an intuitive level, some may argue that positive words may be overrated, since </w:t>
      </w:r>
      <w:r w:rsidR="00C36D1D" w:rsidRPr="005D42BA">
        <w:rPr>
          <w:rFonts w:ascii="Times New Roman" w:hAnsi="Times New Roman" w:cs="Times New Roman"/>
          <w:sz w:val="24"/>
          <w:szCs w:val="24"/>
        </w:rPr>
        <w:t>managers have the proclivity to get involved in</w:t>
      </w:r>
      <w:r w:rsidR="00C36D1D" w:rsidRPr="005D42BA">
        <w:rPr>
          <w:rFonts w:ascii="Times New Roman" w:eastAsia="MS Mincho" w:hAnsi="Times New Roman" w:cs="Times New Roman"/>
          <w:sz w:val="24"/>
          <w:szCs w:val="24"/>
        </w:rPr>
        <w:t xml:space="preserve"> ‘</w:t>
      </w:r>
      <w:r w:rsidR="005D42BA" w:rsidRPr="005D42BA">
        <w:rPr>
          <w:rFonts w:ascii="Times New Roman" w:eastAsia="MS Mincho" w:hAnsi="Times New Roman" w:cs="Times New Roman"/>
          <w:sz w:val="24"/>
          <w:szCs w:val="24"/>
        </w:rPr>
        <w:t>sugar-coating</w:t>
      </w:r>
      <w:r w:rsidR="00C36D1D" w:rsidRPr="005D42BA">
        <w:rPr>
          <w:rFonts w:ascii="Times New Roman" w:eastAsia="MS Mincho" w:hAnsi="Times New Roman" w:cs="Times New Roman"/>
          <w:sz w:val="24"/>
          <w:szCs w:val="24"/>
        </w:rPr>
        <w:t xml:space="preserve"> rituals’. However, rational investors are expected to fully anticipate such </w:t>
      </w:r>
      <w:r w:rsidR="005D42BA" w:rsidRPr="005D42BA">
        <w:rPr>
          <w:rFonts w:ascii="Times New Roman" w:eastAsia="MS Mincho" w:hAnsi="Times New Roman" w:cs="Times New Roman"/>
          <w:sz w:val="24"/>
          <w:szCs w:val="24"/>
        </w:rPr>
        <w:t>behaviour</w:t>
      </w:r>
      <w:r w:rsidR="00C36D1D" w:rsidRPr="005D42BA">
        <w:rPr>
          <w:rFonts w:ascii="Times New Roman" w:eastAsia="MS Mincho" w:hAnsi="Times New Roman" w:cs="Times New Roman"/>
          <w:sz w:val="24"/>
          <w:szCs w:val="24"/>
        </w:rPr>
        <w:t xml:space="preserve">. Whenever managers fail to engage in such rituals, it may be a very strong signal </w:t>
      </w:r>
      <w:r w:rsidR="00A320C7" w:rsidRPr="005D42BA">
        <w:rPr>
          <w:rFonts w:ascii="Times New Roman" w:eastAsia="MS Mincho" w:hAnsi="Times New Roman" w:cs="Times New Roman"/>
          <w:sz w:val="24"/>
          <w:szCs w:val="24"/>
        </w:rPr>
        <w:t>to</w:t>
      </w:r>
      <w:r w:rsidR="00C36D1D" w:rsidRPr="005D42BA">
        <w:rPr>
          <w:rFonts w:ascii="Times New Roman" w:eastAsia="MS Mincho" w:hAnsi="Times New Roman" w:cs="Times New Roman"/>
          <w:sz w:val="24"/>
          <w:szCs w:val="24"/>
        </w:rPr>
        <w:t xml:space="preserve"> shareholders that there may be serious problems on the horizon. </w:t>
      </w:r>
      <w:r w:rsidR="00C36D1D" w:rsidRPr="00185321">
        <w:rPr>
          <w:rFonts w:ascii="Times New Roman" w:eastAsia="MS Mincho" w:hAnsi="Times New Roman" w:cs="Times New Roman"/>
          <w:sz w:val="24"/>
          <w:szCs w:val="24"/>
        </w:rPr>
        <w:t>Consequently, this can give rise to a strong correlation between the degree of positiveness and market reaction.</w:t>
      </w:r>
    </w:p>
    <w:p w:rsidR="00294C7A"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Notwithstanding some of the aforementioned problems, we proceeded to construct an index which aggregates the frequencies of both positive and negative words. The practical issue is that the two thesauruses considered have different word counts, which unavoidably leads to the measured positive and negative word frequencies having different sample means and standard deviations. In order to make sure that both carry the same weight in the aggregation, we convert these frequencies into </w:t>
      </w:r>
      <w:r w:rsidRPr="005D42BA">
        <w:rPr>
          <w:rFonts w:ascii="Times New Roman" w:hAnsi="Times New Roman" w:cs="Times New Roman"/>
          <w:i/>
          <w:sz w:val="24"/>
          <w:szCs w:val="24"/>
        </w:rPr>
        <w:t>z</w:t>
      </w:r>
      <w:r w:rsidRPr="005D42BA">
        <w:rPr>
          <w:rFonts w:ascii="Times New Roman" w:hAnsi="Times New Roman" w:cs="Times New Roman"/>
          <w:sz w:val="24"/>
          <w:szCs w:val="24"/>
        </w:rPr>
        <w:t>-scores.</w:t>
      </w:r>
      <w:r w:rsidRPr="005D42BA">
        <w:rPr>
          <w:rStyle w:val="Odwoanieprzypisudolnego"/>
          <w:rFonts w:ascii="Times New Roman" w:hAnsi="Times New Roman" w:cs="Times New Roman"/>
          <w:sz w:val="24"/>
          <w:szCs w:val="24"/>
        </w:rPr>
        <w:footnoteReference w:id="6"/>
      </w:r>
      <w:r w:rsidRPr="005D42BA">
        <w:rPr>
          <w:rFonts w:ascii="Times New Roman" w:hAnsi="Times New Roman" w:cs="Times New Roman"/>
          <w:sz w:val="24"/>
          <w:szCs w:val="24"/>
        </w:rPr>
        <w:t xml:space="preserve"> Consequently, we construct the following index:</w:t>
      </w:r>
    </w:p>
    <w:p w:rsidR="00294C7A" w:rsidRPr="005D42BA" w:rsidRDefault="004049C7" w:rsidP="00294C7A">
      <w:pPr>
        <w:tabs>
          <w:tab w:val="left" w:pos="709"/>
        </w:tabs>
        <w:spacing w:line="48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Tone</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Positivity_z</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Negativity_z</m:t>
              </m:r>
            </m:e>
            <m:sub>
              <m:r>
                <w:rPr>
                  <w:rFonts w:ascii="Cambria Math" w:hAnsi="Cambria Math" w:cs="Times New Roman"/>
                  <w:sz w:val="24"/>
                  <w:szCs w:val="24"/>
                </w:rPr>
                <m:t>i</m:t>
              </m:r>
            </m:sub>
          </m:sSub>
        </m:oMath>
      </m:oMathPara>
    </w:p>
    <w:p w:rsidR="00294C7A" w:rsidRPr="005D42BA" w:rsidRDefault="00294C7A" w:rsidP="00294C7A">
      <w:pPr>
        <w:tabs>
          <w:tab w:val="left" w:pos="709"/>
        </w:tabs>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lastRenderedPageBreak/>
        <w:t xml:space="preserve">Subsequently, we use the </w:t>
      </w:r>
      <w:r w:rsidRPr="005D42BA">
        <w:rPr>
          <w:rFonts w:ascii="Times New Roman" w:hAnsi="Times New Roman" w:cs="Times New Roman"/>
          <w:i/>
          <w:sz w:val="24"/>
          <w:szCs w:val="24"/>
        </w:rPr>
        <w:t>Tone</w:t>
      </w:r>
      <w:r w:rsidRPr="005D42BA">
        <w:rPr>
          <w:rFonts w:ascii="Times New Roman" w:hAnsi="Times New Roman" w:cs="Times New Roman"/>
          <w:sz w:val="24"/>
          <w:szCs w:val="24"/>
        </w:rPr>
        <w:t xml:space="preserve"> variable in our market impact regressions instead of the </w:t>
      </w:r>
      <w:r w:rsidRPr="005D42BA">
        <w:rPr>
          <w:rFonts w:ascii="Times New Roman" w:hAnsi="Times New Roman" w:cs="Times New Roman"/>
          <w:i/>
          <w:sz w:val="24"/>
          <w:szCs w:val="24"/>
        </w:rPr>
        <w:t>Positivity</w:t>
      </w:r>
      <w:r w:rsidRPr="005D42BA">
        <w:rPr>
          <w:rFonts w:ascii="Times New Roman" w:hAnsi="Times New Roman" w:cs="Times New Roman"/>
          <w:sz w:val="24"/>
          <w:szCs w:val="24"/>
        </w:rPr>
        <w:t xml:space="preserve"> indicator. T</w:t>
      </w:r>
      <w:r w:rsidR="00F813F1">
        <w:rPr>
          <w:rFonts w:ascii="Times New Roman" w:hAnsi="Times New Roman" w:cs="Times New Roman"/>
          <w:sz w:val="24"/>
          <w:szCs w:val="24"/>
        </w:rPr>
        <w:t>he results presented in Table 6</w:t>
      </w:r>
      <w:r w:rsidRPr="005D42BA">
        <w:rPr>
          <w:rFonts w:ascii="Times New Roman" w:hAnsi="Times New Roman" w:cs="Times New Roman"/>
          <w:sz w:val="24"/>
          <w:szCs w:val="24"/>
        </w:rPr>
        <w:t xml:space="preserve"> reassure us that the statistical significance of the </w:t>
      </w:r>
      <w:r w:rsidR="00341619">
        <w:rPr>
          <w:rFonts w:ascii="Times New Roman" w:hAnsi="Times New Roman" w:cs="Times New Roman"/>
          <w:sz w:val="24"/>
          <w:szCs w:val="24"/>
        </w:rPr>
        <w:t>tone</w:t>
      </w:r>
      <w:r w:rsidRPr="005D42BA">
        <w:rPr>
          <w:rFonts w:ascii="Times New Roman" w:hAnsi="Times New Roman" w:cs="Times New Roman"/>
          <w:sz w:val="24"/>
          <w:szCs w:val="24"/>
        </w:rPr>
        <w:t xml:space="preserve"> conveyed by a narrative is maintained, regardless of how this sentiment is defined. </w:t>
      </w:r>
    </w:p>
    <w:p w:rsidR="00294C7A" w:rsidRPr="005D42BA" w:rsidRDefault="00294C7A" w:rsidP="00294C7A">
      <w:pPr>
        <w:tabs>
          <w:tab w:val="left" w:pos="709"/>
        </w:tabs>
        <w:spacing w:line="480" w:lineRule="auto"/>
        <w:jc w:val="center"/>
        <w:rPr>
          <w:rFonts w:ascii="Times New Roman" w:hAnsi="Times New Roman" w:cs="Times New Roman"/>
          <w:sz w:val="24"/>
          <w:szCs w:val="24"/>
        </w:rPr>
      </w:pPr>
      <w:r w:rsidRPr="005D42BA">
        <w:rPr>
          <w:rFonts w:ascii="Times New Roman" w:hAnsi="Times New Roman" w:cs="Times New Roman"/>
          <w:sz w:val="24"/>
          <w:szCs w:val="24"/>
        </w:rPr>
        <w:t xml:space="preserve">[Table </w:t>
      </w:r>
      <w:r w:rsidR="00F813F1">
        <w:rPr>
          <w:rFonts w:ascii="Times New Roman" w:hAnsi="Times New Roman" w:cs="Times New Roman"/>
          <w:sz w:val="24"/>
          <w:szCs w:val="24"/>
        </w:rPr>
        <w:t>6</w:t>
      </w:r>
      <w:r w:rsidRPr="005D42BA">
        <w:rPr>
          <w:rFonts w:ascii="Times New Roman" w:hAnsi="Times New Roman" w:cs="Times New Roman"/>
          <w:sz w:val="24"/>
          <w:szCs w:val="24"/>
        </w:rPr>
        <w:t xml:space="preserve"> about here]</w:t>
      </w:r>
    </w:p>
    <w:p w:rsidR="00294C7A" w:rsidRPr="005D42BA" w:rsidRDefault="00C96176" w:rsidP="00294C7A">
      <w:pPr>
        <w:tabs>
          <w:tab w:val="left" w:pos="709"/>
        </w:tabs>
        <w:spacing w:line="480" w:lineRule="auto"/>
        <w:jc w:val="both"/>
        <w:rPr>
          <w:rFonts w:ascii="Times New Roman" w:eastAsia="MS Mincho" w:hAnsi="Times New Roman" w:cs="Times New Roman"/>
          <w:sz w:val="24"/>
          <w:szCs w:val="24"/>
        </w:rPr>
      </w:pPr>
      <w:r w:rsidRPr="005D42BA">
        <w:rPr>
          <w:rFonts w:ascii="Times New Roman" w:hAnsi="Times New Roman" w:cs="Times New Roman"/>
          <w:sz w:val="24"/>
          <w:szCs w:val="24"/>
        </w:rPr>
        <w:tab/>
        <w:t xml:space="preserve">Another potential problem is that our sample incorporates both a period of expansion and a subsequent recession sparked by the banking crisis. In order to control for this fact, we have constructed a dummy variable which takes </w:t>
      </w:r>
      <w:r w:rsidRPr="005D42BA">
        <w:rPr>
          <w:rFonts w:ascii="Times New Roman" w:eastAsia="MS Mincho" w:hAnsi="Times New Roman" w:cs="Times New Roman"/>
          <w:sz w:val="24"/>
          <w:szCs w:val="24"/>
        </w:rPr>
        <w:t>a value of 1 if the annual report was published after 15</w:t>
      </w:r>
      <w:r w:rsidRPr="005D42BA">
        <w:rPr>
          <w:rFonts w:ascii="Times New Roman" w:eastAsia="MS Mincho" w:hAnsi="Times New Roman" w:cs="Times New Roman"/>
          <w:sz w:val="24"/>
          <w:szCs w:val="24"/>
          <w:vertAlign w:val="superscript"/>
        </w:rPr>
        <w:t>th</w:t>
      </w:r>
      <w:r w:rsidRPr="005D42BA">
        <w:rPr>
          <w:rFonts w:ascii="Times New Roman" w:eastAsia="MS Mincho" w:hAnsi="Times New Roman" w:cs="Times New Roman"/>
          <w:sz w:val="24"/>
          <w:szCs w:val="24"/>
        </w:rPr>
        <w:t xml:space="preserve"> September 2008 (collapse of Lehman Brothers) and a value of 0 otherwise. This variable, however, prove</w:t>
      </w:r>
      <w:r w:rsidR="00EE6D3D" w:rsidRPr="005D42BA">
        <w:rPr>
          <w:rFonts w:ascii="Times New Roman" w:eastAsia="MS Mincho" w:hAnsi="Times New Roman" w:cs="Times New Roman"/>
          <w:sz w:val="24"/>
          <w:szCs w:val="24"/>
        </w:rPr>
        <w:t>d</w:t>
      </w:r>
      <w:r w:rsidRPr="005D42BA">
        <w:rPr>
          <w:rFonts w:ascii="Times New Roman" w:eastAsia="MS Mincho" w:hAnsi="Times New Roman" w:cs="Times New Roman"/>
          <w:sz w:val="24"/>
          <w:szCs w:val="24"/>
        </w:rPr>
        <w:t xml:space="preserve"> insignificant in our regressions and does not alter the strength of the relationship between </w:t>
      </w:r>
      <w:r w:rsidRPr="005D42BA">
        <w:rPr>
          <w:rFonts w:ascii="Times New Roman" w:eastAsia="MS Mincho" w:hAnsi="Times New Roman" w:cs="Times New Roman"/>
          <w:i/>
          <w:sz w:val="24"/>
          <w:szCs w:val="24"/>
        </w:rPr>
        <w:t xml:space="preserve">Positiveness </w:t>
      </w:r>
      <w:r w:rsidRPr="005D42BA">
        <w:rPr>
          <w:rFonts w:ascii="Times New Roman" w:eastAsia="MS Mincho" w:hAnsi="Times New Roman" w:cs="Times New Roman"/>
          <w:sz w:val="24"/>
          <w:szCs w:val="24"/>
        </w:rPr>
        <w:t xml:space="preserve">and </w:t>
      </w:r>
      <w:r w:rsidRPr="005D42BA">
        <w:rPr>
          <w:rFonts w:ascii="Times New Roman" w:eastAsia="MS Mincho" w:hAnsi="Times New Roman" w:cs="Times New Roman"/>
          <w:i/>
          <w:sz w:val="24"/>
          <w:szCs w:val="24"/>
        </w:rPr>
        <w:t>CAR</w:t>
      </w:r>
      <w:r w:rsidRPr="005D42BA">
        <w:rPr>
          <w:rFonts w:ascii="Times New Roman" w:eastAsia="MS Mincho" w:hAnsi="Times New Roman" w:cs="Times New Roman"/>
          <w:sz w:val="24"/>
          <w:szCs w:val="24"/>
        </w:rPr>
        <w:t>s. Furthermore</w:t>
      </w:r>
      <w:r w:rsidR="004B3BE0">
        <w:rPr>
          <w:rFonts w:ascii="Times New Roman" w:eastAsia="MS Mincho" w:hAnsi="Times New Roman" w:cs="Times New Roman"/>
          <w:sz w:val="24"/>
          <w:szCs w:val="24"/>
        </w:rPr>
        <w:t>,</w:t>
      </w:r>
      <w:r w:rsidRPr="005D42BA">
        <w:rPr>
          <w:rFonts w:ascii="Times New Roman" w:eastAsia="MS Mincho" w:hAnsi="Times New Roman" w:cs="Times New Roman"/>
          <w:sz w:val="24"/>
          <w:szCs w:val="24"/>
        </w:rPr>
        <w:t xml:space="preserve"> we note that the correlations between different measures of market reaction and </w:t>
      </w:r>
      <w:r w:rsidR="00EE6D3D" w:rsidRPr="005D42BA">
        <w:rPr>
          <w:rFonts w:ascii="Times New Roman" w:eastAsia="MS Mincho" w:hAnsi="Times New Roman" w:cs="Times New Roman"/>
          <w:sz w:val="24"/>
          <w:szCs w:val="24"/>
        </w:rPr>
        <w:t>upbeat</w:t>
      </w:r>
      <w:r w:rsidRPr="005D42BA">
        <w:rPr>
          <w:rFonts w:ascii="Times New Roman" w:eastAsia="MS Mincho" w:hAnsi="Times New Roman" w:cs="Times New Roman"/>
          <w:sz w:val="24"/>
          <w:szCs w:val="24"/>
        </w:rPr>
        <w:t xml:space="preserve"> </w:t>
      </w:r>
      <w:r w:rsidR="00341619">
        <w:rPr>
          <w:rFonts w:ascii="Times New Roman" w:eastAsia="MS Mincho" w:hAnsi="Times New Roman" w:cs="Times New Roman"/>
          <w:sz w:val="24"/>
          <w:szCs w:val="24"/>
        </w:rPr>
        <w:t xml:space="preserve">tone </w:t>
      </w:r>
      <w:r w:rsidRPr="005D42BA">
        <w:rPr>
          <w:rFonts w:ascii="Times New Roman" w:eastAsia="MS Mincho" w:hAnsi="Times New Roman" w:cs="Times New Roman"/>
          <w:sz w:val="24"/>
          <w:szCs w:val="24"/>
        </w:rPr>
        <w:t xml:space="preserve">are always positive, irrespective </w:t>
      </w:r>
      <w:r w:rsidR="00A320C7" w:rsidRPr="005D42BA">
        <w:rPr>
          <w:rFonts w:ascii="Times New Roman" w:eastAsia="MS Mincho" w:hAnsi="Times New Roman" w:cs="Times New Roman"/>
          <w:sz w:val="24"/>
          <w:szCs w:val="24"/>
        </w:rPr>
        <w:t xml:space="preserve">of </w:t>
      </w:r>
      <w:r w:rsidRPr="005D42BA">
        <w:rPr>
          <w:rFonts w:ascii="Times New Roman" w:eastAsia="MS Mincho" w:hAnsi="Times New Roman" w:cs="Times New Roman"/>
          <w:sz w:val="24"/>
          <w:szCs w:val="24"/>
        </w:rPr>
        <w:t xml:space="preserve">whether we look at the boom or bust sub-sample.  </w:t>
      </w:r>
    </w:p>
    <w:p w:rsidR="00FA15FE" w:rsidRPr="005D42BA" w:rsidRDefault="00FA15FE" w:rsidP="00294C7A">
      <w:pPr>
        <w:tabs>
          <w:tab w:val="left" w:pos="709"/>
        </w:tabs>
        <w:spacing w:line="480" w:lineRule="auto"/>
        <w:jc w:val="both"/>
        <w:rPr>
          <w:rFonts w:ascii="Times New Roman" w:hAnsi="Times New Roman" w:cs="Times New Roman"/>
          <w:sz w:val="24"/>
          <w:szCs w:val="24"/>
        </w:rPr>
      </w:pPr>
    </w:p>
    <w:p w:rsidR="00294C7A" w:rsidRPr="004211B7" w:rsidRDefault="00294C7A" w:rsidP="004211B7">
      <w:pPr>
        <w:pStyle w:val="Akapitzlist"/>
        <w:numPr>
          <w:ilvl w:val="0"/>
          <w:numId w:val="13"/>
        </w:numPr>
        <w:tabs>
          <w:tab w:val="left" w:pos="709"/>
        </w:tabs>
        <w:spacing w:line="480" w:lineRule="auto"/>
        <w:jc w:val="both"/>
        <w:rPr>
          <w:rFonts w:ascii="Times New Roman" w:hAnsi="Times New Roman" w:cs="Times New Roman"/>
          <w:b/>
          <w:sz w:val="24"/>
          <w:szCs w:val="24"/>
        </w:rPr>
      </w:pPr>
      <w:r w:rsidRPr="004211B7">
        <w:rPr>
          <w:rFonts w:ascii="Times New Roman" w:hAnsi="Times New Roman" w:cs="Times New Roman"/>
          <w:b/>
          <w:sz w:val="24"/>
          <w:szCs w:val="24"/>
        </w:rPr>
        <w:t>Conclusions</w:t>
      </w:r>
    </w:p>
    <w:p w:rsidR="00294C7A" w:rsidRPr="005D42BA" w:rsidRDefault="00294C7A" w:rsidP="00294C7A">
      <w:pPr>
        <w:spacing w:line="480" w:lineRule="auto"/>
        <w:ind w:firstLine="720"/>
        <w:jc w:val="both"/>
        <w:rPr>
          <w:rFonts w:ascii="Times New Roman" w:hAnsi="Times New Roman" w:cs="Times New Roman"/>
          <w:sz w:val="24"/>
          <w:szCs w:val="24"/>
        </w:rPr>
      </w:pPr>
      <w:r w:rsidRPr="005D42BA">
        <w:rPr>
          <w:rFonts w:ascii="Times New Roman" w:hAnsi="Times New Roman" w:cs="Times New Roman"/>
          <w:sz w:val="24"/>
          <w:szCs w:val="24"/>
        </w:rPr>
        <w:t xml:space="preserve">Our results indicate that the </w:t>
      </w:r>
      <w:r w:rsidR="00A9558B">
        <w:rPr>
          <w:rFonts w:ascii="Times New Roman" w:hAnsi="Times New Roman" w:cs="Times New Roman"/>
          <w:sz w:val="24"/>
          <w:szCs w:val="24"/>
        </w:rPr>
        <w:t>positiveness</w:t>
      </w:r>
      <w:r w:rsidRPr="005D42BA">
        <w:rPr>
          <w:rFonts w:ascii="Times New Roman" w:hAnsi="Times New Roman" w:cs="Times New Roman"/>
          <w:sz w:val="24"/>
          <w:szCs w:val="24"/>
        </w:rPr>
        <w:t xml:space="preserve"> inherent in qualitativ</w:t>
      </w:r>
      <w:r w:rsidR="007C1EED" w:rsidRPr="005D42BA">
        <w:rPr>
          <w:rFonts w:ascii="Times New Roman" w:hAnsi="Times New Roman" w:cs="Times New Roman"/>
          <w:sz w:val="24"/>
          <w:szCs w:val="24"/>
        </w:rPr>
        <w:t>e parts of annual reports,</w:t>
      </w:r>
      <w:r w:rsidRPr="005D42BA">
        <w:rPr>
          <w:rFonts w:ascii="Times New Roman" w:hAnsi="Times New Roman" w:cs="Times New Roman"/>
          <w:sz w:val="24"/>
          <w:szCs w:val="24"/>
        </w:rPr>
        <w:t xml:space="preserve"> ha</w:t>
      </w:r>
      <w:r w:rsidR="00A9558B">
        <w:rPr>
          <w:rFonts w:ascii="Times New Roman" w:hAnsi="Times New Roman" w:cs="Times New Roman"/>
          <w:sz w:val="24"/>
          <w:szCs w:val="24"/>
        </w:rPr>
        <w:t>s</w:t>
      </w:r>
      <w:r w:rsidRPr="005D42BA">
        <w:rPr>
          <w:rFonts w:ascii="Times New Roman" w:hAnsi="Times New Roman" w:cs="Times New Roman"/>
          <w:sz w:val="24"/>
          <w:szCs w:val="24"/>
        </w:rPr>
        <w:t xml:space="preserve"> a statistically significant association with abnormal returns around disclosure dates. More specifically, an upbeat tone typically induces statistically significant stock price increases. These results, that join a growing body of empirical evidence about the impact of narrative-based elements on markets, call for further and more</w:t>
      </w:r>
      <w:r w:rsidR="006A6B11" w:rsidRPr="005D42BA">
        <w:rPr>
          <w:rFonts w:ascii="Times New Roman" w:hAnsi="Times New Roman" w:cs="Times New Roman"/>
          <w:sz w:val="24"/>
          <w:szCs w:val="24"/>
        </w:rPr>
        <w:t xml:space="preserve"> detailed examination of qualitative</w:t>
      </w:r>
      <w:r w:rsidRPr="005D42BA">
        <w:rPr>
          <w:rFonts w:ascii="Times New Roman" w:hAnsi="Times New Roman" w:cs="Times New Roman"/>
          <w:sz w:val="24"/>
          <w:szCs w:val="24"/>
        </w:rPr>
        <w:t xml:space="preserve"> parts of annual reports by both academics and practitioners. In particular, our findings affirm the usefulness of text-analysis software in revealing hidden characteristics of text</w:t>
      </w:r>
      <w:r w:rsidR="00A320C7" w:rsidRPr="005D42BA">
        <w:rPr>
          <w:rFonts w:ascii="Times New Roman" w:hAnsi="Times New Roman" w:cs="Times New Roman"/>
          <w:sz w:val="24"/>
          <w:szCs w:val="24"/>
        </w:rPr>
        <w:t>s</w:t>
      </w:r>
      <w:r w:rsidRPr="005D42BA">
        <w:rPr>
          <w:rFonts w:ascii="Times New Roman" w:hAnsi="Times New Roman" w:cs="Times New Roman"/>
          <w:sz w:val="24"/>
          <w:szCs w:val="24"/>
        </w:rPr>
        <w:t xml:space="preserve"> and thus suggest that such software tools may be fruitfully employed by investors and regulators alike. Computerized computational linguistic approaches to analyzing annual report narratives can be particularly helpful considering how voluminous these documents are. Previous studies focused </w:t>
      </w:r>
      <w:r w:rsidRPr="005D42BA">
        <w:rPr>
          <w:rFonts w:ascii="Times New Roman" w:hAnsi="Times New Roman" w:cs="Times New Roman"/>
          <w:sz w:val="24"/>
          <w:szCs w:val="24"/>
        </w:rPr>
        <w:lastRenderedPageBreak/>
        <w:t xml:space="preserve">on shorter items, however reliable assessment of linguistic style in short documents is a rather problematic undertaking. </w:t>
      </w:r>
    </w:p>
    <w:p w:rsidR="00B22E85" w:rsidRPr="00D90DA5" w:rsidRDefault="00B22E85" w:rsidP="00B22E8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There are </w:t>
      </w:r>
      <w:r w:rsidR="000B1066">
        <w:rPr>
          <w:rFonts w:ascii="Times New Roman" w:hAnsi="Times New Roman" w:cs="Times New Roman"/>
          <w:sz w:val="24"/>
          <w:szCs w:val="24"/>
        </w:rPr>
        <w:t>several facts that can be gleaned</w:t>
      </w:r>
      <w:r>
        <w:rPr>
          <w:rFonts w:ascii="Times New Roman" w:hAnsi="Times New Roman" w:cs="Times New Roman"/>
          <w:sz w:val="24"/>
          <w:szCs w:val="24"/>
        </w:rPr>
        <w:t xml:space="preserve"> from our empirical observations. </w:t>
      </w:r>
      <w:r w:rsidRPr="005D42BA">
        <w:rPr>
          <w:rFonts w:ascii="Times New Roman" w:hAnsi="Times New Roman" w:cs="Times New Roman"/>
          <w:sz w:val="24"/>
          <w:szCs w:val="24"/>
        </w:rPr>
        <w:t xml:space="preserve">Firstly, although many claim that annual report narratives may have the tendency to suffer from subjective optimism, investors clearly believe that they also convey material information. In fact, they seem to rebalance their portfolios in response to the tone of the qualitative part of annual reports, which becomes apparent when examining the distribution of returns. While narratives may be partially used to build brands and manage impressions, they also appear to contribute to the reduction of informational asymmetries. </w:t>
      </w:r>
      <w:r>
        <w:rPr>
          <w:rFonts w:ascii="Times New Roman" w:hAnsi="Times New Roman" w:cs="Times New Roman"/>
          <w:sz w:val="24"/>
          <w:szCs w:val="24"/>
        </w:rPr>
        <w:t>Secondly</w:t>
      </w:r>
      <w:r w:rsidRPr="005D42BA">
        <w:rPr>
          <w:rFonts w:ascii="Times New Roman" w:hAnsi="Times New Roman" w:cs="Times New Roman"/>
          <w:sz w:val="24"/>
          <w:szCs w:val="24"/>
        </w:rPr>
        <w:t>, our study invites a reflection on the extent to which managers can exaggerate an optimistic message under the principles-based system operating in the UK</w:t>
      </w:r>
      <w:r>
        <w:rPr>
          <w:rFonts w:ascii="Times New Roman" w:hAnsi="Times New Roman" w:cs="Times New Roman"/>
          <w:sz w:val="24"/>
          <w:szCs w:val="24"/>
        </w:rPr>
        <w:t>.</w:t>
      </w:r>
      <w:r w:rsidRPr="005D42BA">
        <w:rPr>
          <w:rFonts w:ascii="Times New Roman" w:hAnsi="Times New Roman" w:cs="Times New Roman"/>
          <w:sz w:val="24"/>
          <w:szCs w:val="24"/>
        </w:rPr>
        <w:t xml:space="preserve"> Most of the research on qualitative corporate outputs used US documents, which are produced under a rules-based regulatory framework. Our results, which record market reactions similar to those observed in the US, point to a similar set of general phenomena.</w:t>
      </w:r>
      <w:r>
        <w:rPr>
          <w:rFonts w:ascii="Times New Roman" w:hAnsi="Times New Roman" w:cs="Times New Roman"/>
          <w:sz w:val="24"/>
          <w:szCs w:val="24"/>
        </w:rPr>
        <w:t xml:space="preserve"> We can therefore conclude that what restrains managers from injecting excessive positiveness bias into narratives is not only the litigation risk, but also potential reputational loss or other non-regulatory factors. The third lesson that can be drawn from our findings is that a thorough perusal of the narrat</w:t>
      </w:r>
      <w:r w:rsidR="000B1066">
        <w:rPr>
          <w:rFonts w:ascii="Times New Roman" w:hAnsi="Times New Roman" w:cs="Times New Roman"/>
          <w:sz w:val="24"/>
          <w:szCs w:val="24"/>
        </w:rPr>
        <w:t>ive should be recommended. Whilst</w:t>
      </w:r>
      <w:r>
        <w:rPr>
          <w:rFonts w:ascii="Times New Roman" w:hAnsi="Times New Roman" w:cs="Times New Roman"/>
          <w:sz w:val="24"/>
          <w:szCs w:val="24"/>
        </w:rPr>
        <w:t xml:space="preserve"> a number of previous studies performed content analysis of specific sections of annual reports, such as chairmen’s statements, in our view it would be imprudent to advise investors to read parts of the annual report narratives selectively. </w:t>
      </w:r>
      <w:r w:rsidR="00307EAD">
        <w:rPr>
          <w:rFonts w:ascii="Times New Roman" w:hAnsi="Times New Roman" w:cs="Times New Roman"/>
          <w:sz w:val="24"/>
          <w:szCs w:val="24"/>
        </w:rPr>
        <w:t xml:space="preserve">This is not to say that some parts cannot contain more informational content than others, however, deliberately dismissing selected sections may be a misguided strategy. </w:t>
      </w:r>
      <w:r>
        <w:rPr>
          <w:rFonts w:ascii="Times New Roman" w:hAnsi="Times New Roman" w:cs="Times New Roman"/>
          <w:sz w:val="24"/>
          <w:szCs w:val="24"/>
        </w:rPr>
        <w:t xml:space="preserve">Fourthly, it appears that </w:t>
      </w:r>
      <w:r w:rsidRPr="005D42BA">
        <w:rPr>
          <w:rFonts w:ascii="Times New Roman" w:hAnsi="Times New Roman" w:cs="Times New Roman"/>
          <w:sz w:val="24"/>
          <w:szCs w:val="24"/>
        </w:rPr>
        <w:t xml:space="preserve">resources committed to drafting these documents </w:t>
      </w:r>
      <w:r>
        <w:rPr>
          <w:rFonts w:ascii="Times New Roman" w:hAnsi="Times New Roman" w:cs="Times New Roman"/>
          <w:sz w:val="24"/>
          <w:szCs w:val="24"/>
        </w:rPr>
        <w:t>are</w:t>
      </w:r>
      <w:r w:rsidRPr="005D42BA">
        <w:rPr>
          <w:rFonts w:ascii="Times New Roman" w:hAnsi="Times New Roman" w:cs="Times New Roman"/>
          <w:sz w:val="24"/>
          <w:szCs w:val="24"/>
        </w:rPr>
        <w:t xml:space="preserve"> well spent. Companies typically involve many departments, accountants, lawyers, directors and external agencies to carefully design the message they wish to convey in their annual reports. This message is heard by market participants, who act accordingly. </w:t>
      </w:r>
      <w:r>
        <w:rPr>
          <w:rFonts w:ascii="Times New Roman" w:hAnsi="Times New Roman" w:cs="Times New Roman"/>
          <w:sz w:val="24"/>
          <w:szCs w:val="24"/>
        </w:rPr>
        <w:t xml:space="preserve">Lastly, we can infer </w:t>
      </w:r>
      <w:r>
        <w:rPr>
          <w:rFonts w:ascii="Times New Roman" w:hAnsi="Times New Roman" w:cs="Times New Roman"/>
          <w:sz w:val="24"/>
          <w:szCs w:val="24"/>
        </w:rPr>
        <w:lastRenderedPageBreak/>
        <w:t>that the u</w:t>
      </w:r>
      <w:r w:rsidRPr="00D90DA5">
        <w:rPr>
          <w:rFonts w:ascii="Times New Roman" w:hAnsi="Times New Roman" w:cs="Times New Roman"/>
          <w:color w:val="000000"/>
          <w:sz w:val="24"/>
          <w:szCs w:val="24"/>
        </w:rPr>
        <w:t xml:space="preserve">se of </w:t>
      </w:r>
      <w:r>
        <w:rPr>
          <w:rFonts w:ascii="Times New Roman" w:hAnsi="Times New Roman" w:cs="Times New Roman"/>
          <w:color w:val="000000"/>
          <w:sz w:val="24"/>
          <w:szCs w:val="24"/>
        </w:rPr>
        <w:t xml:space="preserve">a </w:t>
      </w:r>
      <w:r w:rsidRPr="00D90DA5">
        <w:rPr>
          <w:rFonts w:ascii="Times New Roman" w:hAnsi="Times New Roman" w:cs="Times New Roman"/>
          <w:color w:val="000000"/>
          <w:sz w:val="24"/>
          <w:szCs w:val="24"/>
        </w:rPr>
        <w:t>semantic software package could</w:t>
      </w:r>
      <w:r w:rsidR="000B1066">
        <w:rPr>
          <w:rFonts w:ascii="Times New Roman" w:hAnsi="Times New Roman" w:cs="Times New Roman"/>
          <w:color w:val="000000"/>
          <w:sz w:val="24"/>
          <w:szCs w:val="24"/>
        </w:rPr>
        <w:t>,</w:t>
      </w:r>
      <w:r w:rsidRPr="00D90DA5">
        <w:rPr>
          <w:rFonts w:ascii="Times New Roman" w:hAnsi="Times New Roman" w:cs="Times New Roman"/>
          <w:color w:val="000000"/>
          <w:sz w:val="24"/>
          <w:szCs w:val="24"/>
        </w:rPr>
        <w:t xml:space="preserve"> at </w:t>
      </w:r>
      <w:r>
        <w:rPr>
          <w:rFonts w:ascii="Times New Roman" w:hAnsi="Times New Roman" w:cs="Times New Roman"/>
          <w:color w:val="000000"/>
          <w:sz w:val="24"/>
          <w:szCs w:val="24"/>
        </w:rPr>
        <w:t xml:space="preserve">least to </w:t>
      </w:r>
      <w:r w:rsidRPr="00D90DA5">
        <w:rPr>
          <w:rFonts w:ascii="Times New Roman" w:hAnsi="Times New Roman" w:cs="Times New Roman"/>
          <w:color w:val="000000"/>
          <w:sz w:val="24"/>
          <w:szCs w:val="24"/>
        </w:rPr>
        <w:t xml:space="preserve">a certain extent, </w:t>
      </w:r>
      <w:r w:rsidR="000B1066">
        <w:rPr>
          <w:rFonts w:ascii="Times New Roman" w:hAnsi="Times New Roman" w:cs="Times New Roman"/>
          <w:color w:val="000000"/>
          <w:sz w:val="24"/>
          <w:szCs w:val="24"/>
        </w:rPr>
        <w:t xml:space="preserve">be </w:t>
      </w:r>
      <w:r w:rsidRPr="00D90DA5">
        <w:rPr>
          <w:rFonts w:ascii="Times New Roman" w:hAnsi="Times New Roman" w:cs="Times New Roman"/>
          <w:color w:val="000000"/>
          <w:sz w:val="24"/>
          <w:szCs w:val="24"/>
        </w:rPr>
        <w:t>useful in predicting market reaction</w:t>
      </w:r>
      <w:r w:rsidR="000B1066">
        <w:rPr>
          <w:rFonts w:ascii="Times New Roman" w:hAnsi="Times New Roman" w:cs="Times New Roman"/>
          <w:color w:val="000000"/>
          <w:sz w:val="24"/>
          <w:szCs w:val="24"/>
        </w:rPr>
        <w:t>s</w:t>
      </w:r>
      <w:r w:rsidRPr="00D90DA5">
        <w:rPr>
          <w:rFonts w:ascii="Times New Roman" w:hAnsi="Times New Roman" w:cs="Times New Roman"/>
          <w:color w:val="000000"/>
          <w:sz w:val="24"/>
          <w:szCs w:val="24"/>
        </w:rPr>
        <w:t xml:space="preserve"> to annual report disclosure</w:t>
      </w:r>
      <w:r w:rsidR="000B1066">
        <w:rPr>
          <w:rFonts w:ascii="Times New Roman" w:hAnsi="Times New Roman" w:cs="Times New Roman"/>
          <w:color w:val="000000"/>
          <w:sz w:val="24"/>
          <w:szCs w:val="24"/>
        </w:rPr>
        <w:t>s</w:t>
      </w:r>
      <w:r>
        <w:rPr>
          <w:rFonts w:ascii="Times New Roman" w:hAnsi="Times New Roman" w:cs="Times New Roman"/>
          <w:color w:val="000000"/>
          <w:sz w:val="24"/>
          <w:szCs w:val="24"/>
        </w:rPr>
        <w:t>.</w:t>
      </w:r>
    </w:p>
    <w:p w:rsidR="00A652A1" w:rsidRDefault="00294C7A" w:rsidP="00A652A1">
      <w:pPr>
        <w:spacing w:line="480" w:lineRule="auto"/>
        <w:jc w:val="both"/>
        <w:rPr>
          <w:rFonts w:ascii="Times New Roman" w:hAnsi="Times New Roman" w:cs="Times New Roman"/>
          <w:sz w:val="24"/>
          <w:szCs w:val="24"/>
        </w:rPr>
      </w:pPr>
      <w:r w:rsidRPr="005D42BA">
        <w:rPr>
          <w:rFonts w:ascii="Times New Roman" w:hAnsi="Times New Roman" w:cs="Times New Roman"/>
          <w:sz w:val="24"/>
          <w:szCs w:val="24"/>
        </w:rPr>
        <w:tab/>
        <w:t xml:space="preserve">There are many avenues that further research could explore. Our computerized approach to text analysis is analytically elegant and convenient, however it is unable to assess the veracity of statements made or to evaluate whether managers are playing strategic disclosure games with investors and regulators. Further research needs to be conducted to answer these questions, which are outside the scope of the current paper. </w:t>
      </w:r>
      <w:r w:rsidR="00330F20" w:rsidRPr="005D42BA">
        <w:rPr>
          <w:rFonts w:ascii="Times New Roman" w:hAnsi="Times New Roman" w:cs="Times New Roman"/>
          <w:sz w:val="24"/>
          <w:szCs w:val="24"/>
        </w:rPr>
        <w:t>Secondly, the algorithm to measure positiveness employed here</w:t>
      </w:r>
      <w:r w:rsidR="007C1EED" w:rsidRPr="005D42BA">
        <w:rPr>
          <w:rFonts w:ascii="Times New Roman" w:hAnsi="Times New Roman" w:cs="Times New Roman"/>
          <w:sz w:val="24"/>
          <w:szCs w:val="24"/>
        </w:rPr>
        <w:t xml:space="preserve"> relies</w:t>
      </w:r>
      <w:r w:rsidR="006F68AC" w:rsidRPr="005D42BA">
        <w:rPr>
          <w:rFonts w:ascii="Times New Roman" w:hAnsi="Times New Roman" w:cs="Times New Roman"/>
          <w:sz w:val="24"/>
          <w:szCs w:val="24"/>
        </w:rPr>
        <w:t xml:space="preserve"> on computing frequencies from a </w:t>
      </w:r>
      <w:r w:rsidR="006F68AC" w:rsidRPr="005D42BA">
        <w:rPr>
          <w:rFonts w:ascii="Times New Roman" w:eastAsia="MS Mincho" w:hAnsi="Times New Roman" w:cs="Times New Roman"/>
          <w:sz w:val="24"/>
          <w:szCs w:val="24"/>
        </w:rPr>
        <w:t>user-specified thesaurus in the text. As such, it does not recognize sentence structures, subjunctive clauses or the context in which a given word occurs, even though all of these can modify or even negate the meaning of a particular word. Future research should endeavour to address these methodological deficiencies. Thirdly</w:t>
      </w:r>
      <w:r w:rsidRPr="005D42BA">
        <w:rPr>
          <w:rFonts w:ascii="Times New Roman" w:hAnsi="Times New Roman" w:cs="Times New Roman"/>
          <w:sz w:val="24"/>
          <w:szCs w:val="24"/>
        </w:rPr>
        <w:t xml:space="preserve">, we discover that narrative </w:t>
      </w:r>
      <w:r w:rsidR="00341619">
        <w:rPr>
          <w:rFonts w:ascii="Times New Roman" w:hAnsi="Times New Roman" w:cs="Times New Roman"/>
          <w:sz w:val="24"/>
          <w:szCs w:val="24"/>
        </w:rPr>
        <w:t>positiveness</w:t>
      </w:r>
      <w:r w:rsidRPr="005D42BA">
        <w:rPr>
          <w:rFonts w:ascii="Times New Roman" w:hAnsi="Times New Roman" w:cs="Times New Roman"/>
          <w:sz w:val="24"/>
          <w:szCs w:val="24"/>
        </w:rPr>
        <w:t xml:space="preserve"> </w:t>
      </w:r>
      <w:r w:rsidR="000B7975">
        <w:rPr>
          <w:rFonts w:ascii="Times New Roman" w:hAnsi="Times New Roman" w:cs="Times New Roman"/>
          <w:sz w:val="24"/>
          <w:szCs w:val="24"/>
        </w:rPr>
        <w:t xml:space="preserve">significantly </w:t>
      </w:r>
      <w:r w:rsidRPr="005D42BA">
        <w:rPr>
          <w:rFonts w:ascii="Times New Roman" w:hAnsi="Times New Roman" w:cs="Times New Roman"/>
          <w:sz w:val="24"/>
          <w:szCs w:val="24"/>
        </w:rPr>
        <w:t xml:space="preserve">correlates with announcement </w:t>
      </w:r>
      <w:r w:rsidR="000B7975">
        <w:rPr>
          <w:rFonts w:ascii="Times New Roman" w:hAnsi="Times New Roman" w:cs="Times New Roman"/>
          <w:sz w:val="24"/>
          <w:szCs w:val="24"/>
        </w:rPr>
        <w:t xml:space="preserve">cumulative abnormal </w:t>
      </w:r>
      <w:r w:rsidRPr="005D42BA">
        <w:rPr>
          <w:rFonts w:ascii="Times New Roman" w:hAnsi="Times New Roman" w:cs="Times New Roman"/>
          <w:sz w:val="24"/>
          <w:szCs w:val="24"/>
        </w:rPr>
        <w:t xml:space="preserve">returns </w:t>
      </w:r>
      <w:r w:rsidR="000B7975">
        <w:rPr>
          <w:rFonts w:ascii="Times New Roman" w:hAnsi="Times New Roman" w:cs="Times New Roman"/>
          <w:sz w:val="24"/>
          <w:szCs w:val="24"/>
        </w:rPr>
        <w:t>that measure the overall market response. However, this particular indicator is able to explain only</w:t>
      </w:r>
      <w:r w:rsidRPr="005D42BA">
        <w:rPr>
          <w:rFonts w:ascii="Times New Roman" w:hAnsi="Times New Roman" w:cs="Times New Roman"/>
          <w:sz w:val="24"/>
          <w:szCs w:val="24"/>
        </w:rPr>
        <w:t xml:space="preserve"> a small proportion of the </w:t>
      </w:r>
      <w:r w:rsidR="000B7975">
        <w:rPr>
          <w:rFonts w:ascii="Times New Roman" w:hAnsi="Times New Roman" w:cs="Times New Roman"/>
          <w:sz w:val="24"/>
          <w:szCs w:val="24"/>
        </w:rPr>
        <w:t xml:space="preserve">return </w:t>
      </w:r>
      <w:r w:rsidRPr="005D42BA">
        <w:rPr>
          <w:rFonts w:ascii="Times New Roman" w:hAnsi="Times New Roman" w:cs="Times New Roman"/>
          <w:sz w:val="24"/>
          <w:szCs w:val="24"/>
        </w:rPr>
        <w:t>variance</w:t>
      </w:r>
      <w:r w:rsidR="000B7975">
        <w:rPr>
          <w:rFonts w:ascii="Times New Roman" w:hAnsi="Times New Roman" w:cs="Times New Roman"/>
          <w:sz w:val="24"/>
          <w:szCs w:val="24"/>
        </w:rPr>
        <w:t>. Inability to model price increases</w:t>
      </w:r>
      <w:r w:rsidRPr="005D42BA">
        <w:rPr>
          <w:rFonts w:ascii="Times New Roman" w:hAnsi="Times New Roman" w:cs="Times New Roman"/>
          <w:sz w:val="24"/>
          <w:szCs w:val="24"/>
        </w:rPr>
        <w:t xml:space="preserve"> </w:t>
      </w:r>
      <w:r w:rsidR="000B7975">
        <w:rPr>
          <w:rFonts w:ascii="Times New Roman" w:hAnsi="Times New Roman" w:cs="Times New Roman"/>
          <w:sz w:val="24"/>
          <w:szCs w:val="24"/>
        </w:rPr>
        <w:t xml:space="preserve">precisely </w:t>
      </w:r>
      <w:r w:rsidRPr="005D42BA">
        <w:rPr>
          <w:rFonts w:ascii="Times New Roman" w:hAnsi="Times New Roman" w:cs="Times New Roman"/>
          <w:sz w:val="24"/>
          <w:szCs w:val="24"/>
        </w:rPr>
        <w:t xml:space="preserve">is </w:t>
      </w:r>
      <w:r w:rsidR="000B7975">
        <w:rPr>
          <w:rFonts w:ascii="Times New Roman" w:hAnsi="Times New Roman" w:cs="Times New Roman"/>
          <w:sz w:val="24"/>
          <w:szCs w:val="24"/>
        </w:rPr>
        <w:t xml:space="preserve">a </w:t>
      </w:r>
      <w:r w:rsidRPr="005D42BA">
        <w:rPr>
          <w:rFonts w:ascii="Times New Roman" w:hAnsi="Times New Roman" w:cs="Times New Roman"/>
          <w:sz w:val="24"/>
          <w:szCs w:val="24"/>
        </w:rPr>
        <w:t xml:space="preserve">well-known </w:t>
      </w:r>
      <w:r w:rsidR="000B7975">
        <w:rPr>
          <w:rFonts w:ascii="Times New Roman" w:hAnsi="Times New Roman" w:cs="Times New Roman"/>
          <w:sz w:val="24"/>
          <w:szCs w:val="24"/>
        </w:rPr>
        <w:t xml:space="preserve">problem </w:t>
      </w:r>
      <w:r w:rsidRPr="005D42BA">
        <w:rPr>
          <w:rFonts w:ascii="Times New Roman" w:hAnsi="Times New Roman" w:cs="Times New Roman"/>
          <w:sz w:val="24"/>
          <w:szCs w:val="24"/>
        </w:rPr>
        <w:t xml:space="preserve">in finance, after </w:t>
      </w:r>
      <w:proofErr w:type="spellStart"/>
      <w:r w:rsidRPr="005D42BA">
        <w:rPr>
          <w:rFonts w:ascii="Times New Roman" w:hAnsi="Times New Roman" w:cs="Times New Roman"/>
          <w:sz w:val="24"/>
          <w:szCs w:val="24"/>
        </w:rPr>
        <w:t>Shiller</w:t>
      </w:r>
      <w:proofErr w:type="spellEnd"/>
      <w:r w:rsidRPr="005D42BA">
        <w:rPr>
          <w:rFonts w:ascii="Times New Roman" w:hAnsi="Times New Roman" w:cs="Times New Roman"/>
          <w:sz w:val="24"/>
          <w:szCs w:val="24"/>
        </w:rPr>
        <w:t xml:space="preserve"> (1981) pointed out that stock prices are substantially more volatile than underlying fundament</w:t>
      </w:r>
      <w:r w:rsidR="00B81DF6" w:rsidRPr="005D42BA">
        <w:rPr>
          <w:rFonts w:ascii="Times New Roman" w:hAnsi="Times New Roman" w:cs="Times New Roman"/>
          <w:sz w:val="24"/>
          <w:szCs w:val="24"/>
        </w:rPr>
        <w:t>al</w:t>
      </w:r>
      <w:r w:rsidRPr="005D42BA">
        <w:rPr>
          <w:rFonts w:ascii="Times New Roman" w:hAnsi="Times New Roman" w:cs="Times New Roman"/>
          <w:sz w:val="24"/>
          <w:szCs w:val="24"/>
        </w:rPr>
        <w:t xml:space="preserve">s. It is quite possible that much of the return variation is driven by non-fundamental, irrational factors which are difficult to capture in an empirical model. Our study points to only one incremental variable that may be useful to further explicate stock price fluctuations. </w:t>
      </w:r>
    </w:p>
    <w:p w:rsidR="0010270C" w:rsidRPr="005D42BA" w:rsidRDefault="0010270C" w:rsidP="00A652A1">
      <w:pPr>
        <w:spacing w:line="480" w:lineRule="auto"/>
        <w:jc w:val="both"/>
        <w:rPr>
          <w:rFonts w:ascii="Times New Roman" w:hAnsi="Times New Roman" w:cs="Times New Roman"/>
          <w:b/>
          <w:sz w:val="24"/>
          <w:szCs w:val="24"/>
        </w:rPr>
      </w:pPr>
      <w:r w:rsidRPr="005D42BA">
        <w:rPr>
          <w:rFonts w:ascii="Times New Roman" w:hAnsi="Times New Roman" w:cs="Times New Roman"/>
          <w:b/>
          <w:sz w:val="24"/>
          <w:szCs w:val="24"/>
        </w:rPr>
        <w:br w:type="page"/>
      </w:r>
    </w:p>
    <w:p w:rsidR="0010270C" w:rsidRPr="005D42BA" w:rsidRDefault="0010270C">
      <w:pPr>
        <w:rPr>
          <w:rFonts w:ascii="Times New Roman" w:hAnsi="Times New Roman" w:cs="Times New Roman"/>
          <w:b/>
          <w:sz w:val="24"/>
          <w:szCs w:val="24"/>
        </w:rPr>
      </w:pPr>
      <w:r w:rsidRPr="005D42BA">
        <w:rPr>
          <w:rFonts w:ascii="Times New Roman" w:hAnsi="Times New Roman" w:cs="Times New Roman"/>
          <w:b/>
          <w:sz w:val="24"/>
          <w:szCs w:val="24"/>
        </w:rPr>
        <w:lastRenderedPageBreak/>
        <w:t>References</w:t>
      </w:r>
    </w:p>
    <w:p w:rsidR="003D70A5" w:rsidRPr="005D42BA" w:rsidRDefault="003D70A5"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Abrahamson, E.</w:t>
      </w:r>
      <w:r w:rsidR="00257486">
        <w:rPr>
          <w:rFonts w:ascii="Times New Roman" w:hAnsi="Times New Roman" w:cs="Times New Roman"/>
          <w:sz w:val="24"/>
          <w:szCs w:val="24"/>
        </w:rPr>
        <w:t>,</w:t>
      </w:r>
      <w:r w:rsidRPr="005D42BA">
        <w:rPr>
          <w:rFonts w:ascii="Times New Roman" w:hAnsi="Times New Roman" w:cs="Times New Roman"/>
          <w:sz w:val="24"/>
          <w:szCs w:val="24"/>
        </w:rPr>
        <w:t xml:space="preserve"> Amir, E. (1996). The </w:t>
      </w:r>
      <w:r w:rsidR="00257486">
        <w:rPr>
          <w:rFonts w:ascii="Times New Roman" w:hAnsi="Times New Roman" w:cs="Times New Roman"/>
          <w:sz w:val="24"/>
          <w:szCs w:val="24"/>
        </w:rPr>
        <w:t>i</w:t>
      </w:r>
      <w:r w:rsidRPr="005D42BA">
        <w:rPr>
          <w:rFonts w:ascii="Times New Roman" w:hAnsi="Times New Roman" w:cs="Times New Roman"/>
          <w:sz w:val="24"/>
          <w:szCs w:val="24"/>
        </w:rPr>
        <w:t xml:space="preserve">nformation </w:t>
      </w:r>
      <w:r w:rsidR="00257486">
        <w:rPr>
          <w:rFonts w:ascii="Times New Roman" w:hAnsi="Times New Roman" w:cs="Times New Roman"/>
          <w:sz w:val="24"/>
          <w:szCs w:val="24"/>
        </w:rPr>
        <w:t>c</w:t>
      </w:r>
      <w:r w:rsidRPr="005D42BA">
        <w:rPr>
          <w:rFonts w:ascii="Times New Roman" w:hAnsi="Times New Roman" w:cs="Times New Roman"/>
          <w:sz w:val="24"/>
          <w:szCs w:val="24"/>
        </w:rPr>
        <w:t xml:space="preserve">ontent of the </w:t>
      </w:r>
      <w:r w:rsidR="00257486">
        <w:rPr>
          <w:rFonts w:ascii="Times New Roman" w:hAnsi="Times New Roman" w:cs="Times New Roman"/>
          <w:sz w:val="24"/>
          <w:szCs w:val="24"/>
        </w:rPr>
        <w:t>p</w:t>
      </w:r>
      <w:r w:rsidRPr="005D42BA">
        <w:rPr>
          <w:rFonts w:ascii="Times New Roman" w:hAnsi="Times New Roman" w:cs="Times New Roman"/>
          <w:sz w:val="24"/>
          <w:szCs w:val="24"/>
        </w:rPr>
        <w:t>r</w:t>
      </w:r>
      <w:r w:rsidR="00257486">
        <w:rPr>
          <w:rFonts w:ascii="Times New Roman" w:hAnsi="Times New Roman" w:cs="Times New Roman"/>
          <w:sz w:val="24"/>
          <w:szCs w:val="24"/>
        </w:rPr>
        <w:t>esident</w:t>
      </w:r>
      <w:r w:rsidR="000B1066">
        <w:rPr>
          <w:rFonts w:ascii="Times New Roman" w:hAnsi="Times New Roman" w:cs="Times New Roman"/>
          <w:sz w:val="24"/>
          <w:szCs w:val="24"/>
        </w:rPr>
        <w:t>’</w:t>
      </w:r>
      <w:r w:rsidR="00257486">
        <w:rPr>
          <w:rFonts w:ascii="Times New Roman" w:hAnsi="Times New Roman" w:cs="Times New Roman"/>
          <w:sz w:val="24"/>
          <w:szCs w:val="24"/>
        </w:rPr>
        <w:t>s letter to shareholders.</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Business Finance &amp; Accounting</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23(8), 1157-1182.</w:t>
      </w:r>
    </w:p>
    <w:p w:rsidR="002D7AE4" w:rsidRPr="005D42BA" w:rsidRDefault="00257486" w:rsidP="00A652A1">
      <w:pPr>
        <w:spacing w:after="100"/>
        <w:ind w:left="284" w:hanging="284"/>
        <w:jc w:val="both"/>
        <w:rPr>
          <w:rFonts w:ascii="Times New Roman" w:hAnsi="Times New Roman" w:cs="Times New Roman"/>
          <w:i/>
          <w:sz w:val="24"/>
          <w:szCs w:val="24"/>
        </w:rPr>
      </w:pPr>
      <w:r>
        <w:rPr>
          <w:rFonts w:ascii="Times New Roman" w:hAnsi="Times New Roman" w:cs="Times New Roman"/>
          <w:sz w:val="24"/>
          <w:szCs w:val="24"/>
        </w:rPr>
        <w:t>Ahern, K.R.,</w:t>
      </w:r>
      <w:r w:rsidR="002D7AE4" w:rsidRPr="005D42BA">
        <w:rPr>
          <w:rFonts w:ascii="Times New Roman" w:hAnsi="Times New Roman" w:cs="Times New Roman"/>
          <w:sz w:val="24"/>
          <w:szCs w:val="24"/>
        </w:rPr>
        <w:t xml:space="preserve"> </w:t>
      </w:r>
      <w:proofErr w:type="spellStart"/>
      <w:r w:rsidR="002D7AE4" w:rsidRPr="005D42BA">
        <w:rPr>
          <w:rFonts w:ascii="Times New Roman" w:hAnsi="Times New Roman" w:cs="Times New Roman"/>
          <w:sz w:val="24"/>
          <w:szCs w:val="24"/>
        </w:rPr>
        <w:t>Sosyura</w:t>
      </w:r>
      <w:proofErr w:type="spellEnd"/>
      <w:r w:rsidR="002D7AE4" w:rsidRPr="005D42BA">
        <w:rPr>
          <w:rFonts w:ascii="Times New Roman" w:hAnsi="Times New Roman" w:cs="Times New Roman"/>
          <w:sz w:val="24"/>
          <w:szCs w:val="24"/>
        </w:rPr>
        <w:t xml:space="preserve">, D. (2014). Who </w:t>
      </w:r>
      <w:r>
        <w:rPr>
          <w:rFonts w:ascii="Times New Roman" w:hAnsi="Times New Roman" w:cs="Times New Roman"/>
          <w:sz w:val="24"/>
          <w:szCs w:val="24"/>
        </w:rPr>
        <w:t>w</w:t>
      </w:r>
      <w:r w:rsidR="002D7AE4" w:rsidRPr="005D42BA">
        <w:rPr>
          <w:rFonts w:ascii="Times New Roman" w:hAnsi="Times New Roman" w:cs="Times New Roman"/>
          <w:sz w:val="24"/>
          <w:szCs w:val="24"/>
        </w:rPr>
        <w:t xml:space="preserve">rites the </w:t>
      </w:r>
      <w:r>
        <w:rPr>
          <w:rFonts w:ascii="Times New Roman" w:hAnsi="Times New Roman" w:cs="Times New Roman"/>
          <w:sz w:val="24"/>
          <w:szCs w:val="24"/>
        </w:rPr>
        <w:t>n</w:t>
      </w:r>
      <w:r w:rsidR="002D7AE4" w:rsidRPr="005D42BA">
        <w:rPr>
          <w:rFonts w:ascii="Times New Roman" w:hAnsi="Times New Roman" w:cs="Times New Roman"/>
          <w:sz w:val="24"/>
          <w:szCs w:val="24"/>
        </w:rPr>
        <w:t xml:space="preserve">ews? Corporate </w:t>
      </w:r>
      <w:r>
        <w:rPr>
          <w:rFonts w:ascii="Times New Roman" w:hAnsi="Times New Roman" w:cs="Times New Roman"/>
          <w:sz w:val="24"/>
          <w:szCs w:val="24"/>
        </w:rPr>
        <w:t>p</w:t>
      </w:r>
      <w:r w:rsidR="002D7AE4" w:rsidRPr="005D42BA">
        <w:rPr>
          <w:rFonts w:ascii="Times New Roman" w:hAnsi="Times New Roman" w:cs="Times New Roman"/>
          <w:sz w:val="24"/>
          <w:szCs w:val="24"/>
        </w:rPr>
        <w:t xml:space="preserve">ress </w:t>
      </w:r>
      <w:r>
        <w:rPr>
          <w:rFonts w:ascii="Times New Roman" w:hAnsi="Times New Roman" w:cs="Times New Roman"/>
          <w:sz w:val="24"/>
          <w:szCs w:val="24"/>
        </w:rPr>
        <w:t>r</w:t>
      </w:r>
      <w:r w:rsidR="002D7AE4" w:rsidRPr="005D42BA">
        <w:rPr>
          <w:rFonts w:ascii="Times New Roman" w:hAnsi="Times New Roman" w:cs="Times New Roman"/>
          <w:sz w:val="24"/>
          <w:szCs w:val="24"/>
        </w:rPr>
        <w:t xml:space="preserve">eleases during </w:t>
      </w:r>
      <w:r>
        <w:rPr>
          <w:rFonts w:ascii="Times New Roman" w:hAnsi="Times New Roman" w:cs="Times New Roman"/>
          <w:sz w:val="24"/>
          <w:szCs w:val="24"/>
        </w:rPr>
        <w:t>m</w:t>
      </w:r>
      <w:r w:rsidR="002D7AE4" w:rsidRPr="005D42BA">
        <w:rPr>
          <w:rFonts w:ascii="Times New Roman" w:hAnsi="Times New Roman" w:cs="Times New Roman"/>
          <w:sz w:val="24"/>
          <w:szCs w:val="24"/>
        </w:rPr>
        <w:t xml:space="preserve">erger </w:t>
      </w:r>
      <w:r>
        <w:rPr>
          <w:rFonts w:ascii="Times New Roman" w:hAnsi="Times New Roman" w:cs="Times New Roman"/>
          <w:sz w:val="24"/>
          <w:szCs w:val="24"/>
        </w:rPr>
        <w:t>n</w:t>
      </w:r>
      <w:r w:rsidR="002D7AE4" w:rsidRPr="005D42BA">
        <w:rPr>
          <w:rFonts w:ascii="Times New Roman" w:hAnsi="Times New Roman" w:cs="Times New Roman"/>
          <w:sz w:val="24"/>
          <w:szCs w:val="24"/>
        </w:rPr>
        <w:t>egotiations</w:t>
      </w:r>
      <w:r>
        <w:rPr>
          <w:rFonts w:ascii="Times New Roman" w:hAnsi="Times New Roman" w:cs="Times New Roman"/>
          <w:sz w:val="24"/>
          <w:szCs w:val="24"/>
        </w:rPr>
        <w:t>.</w:t>
      </w:r>
      <w:r w:rsidR="002D7AE4" w:rsidRPr="005D42BA">
        <w:rPr>
          <w:rFonts w:ascii="Times New Roman" w:hAnsi="Times New Roman" w:cs="Times New Roman"/>
          <w:sz w:val="24"/>
          <w:szCs w:val="24"/>
        </w:rPr>
        <w:t xml:space="preserve"> </w:t>
      </w:r>
      <w:r w:rsidR="002D7AE4" w:rsidRPr="001F1CAC">
        <w:rPr>
          <w:rFonts w:ascii="Times New Roman" w:hAnsi="Times New Roman" w:cs="Times New Roman"/>
          <w:sz w:val="24"/>
          <w:szCs w:val="24"/>
        </w:rPr>
        <w:t>Journal of Finance</w:t>
      </w:r>
      <w:r w:rsidR="002D7AE4" w:rsidRPr="005D42BA">
        <w:rPr>
          <w:rFonts w:ascii="Times New Roman" w:hAnsi="Times New Roman" w:cs="Times New Roman"/>
          <w:i/>
          <w:sz w:val="24"/>
          <w:szCs w:val="24"/>
        </w:rPr>
        <w:t xml:space="preserve">, </w:t>
      </w:r>
      <w:r w:rsidR="002D7AE4" w:rsidRPr="005D42BA">
        <w:rPr>
          <w:rFonts w:ascii="Times New Roman" w:hAnsi="Times New Roman" w:cs="Times New Roman"/>
          <w:sz w:val="24"/>
          <w:szCs w:val="24"/>
        </w:rPr>
        <w:t>69(1), 241-291.</w:t>
      </w:r>
      <w:r w:rsidR="002D7AE4" w:rsidRPr="005D42BA">
        <w:rPr>
          <w:rFonts w:ascii="Times New Roman" w:hAnsi="Times New Roman" w:cs="Times New Roman"/>
          <w:i/>
          <w:sz w:val="24"/>
          <w:szCs w:val="24"/>
        </w:rPr>
        <w:t xml:space="preserve"> </w:t>
      </w:r>
    </w:p>
    <w:p w:rsidR="00F77599" w:rsidRPr="005D42BA" w:rsidRDefault="00F77599" w:rsidP="00A652A1">
      <w:pPr>
        <w:pStyle w:val="Tekstprzypisudolnego"/>
        <w:spacing w:after="100"/>
        <w:ind w:left="284" w:hanging="284"/>
        <w:jc w:val="both"/>
        <w:rPr>
          <w:rFonts w:ascii="Times New Roman" w:eastAsia="SimSun" w:hAnsi="Times New Roman" w:cs="Times New Roman"/>
          <w:sz w:val="24"/>
          <w:szCs w:val="24"/>
          <w:lang w:eastAsia="zh-CN"/>
        </w:rPr>
      </w:pPr>
      <w:proofErr w:type="spellStart"/>
      <w:r w:rsidRPr="005D42BA">
        <w:rPr>
          <w:rFonts w:ascii="Times New Roman" w:eastAsia="SimSun" w:hAnsi="Times New Roman" w:cs="Times New Roman"/>
          <w:sz w:val="24"/>
          <w:szCs w:val="24"/>
          <w:lang w:eastAsia="zh-CN"/>
        </w:rPr>
        <w:t>Ajzen</w:t>
      </w:r>
      <w:proofErr w:type="spellEnd"/>
      <w:r w:rsidRPr="005D42BA">
        <w:rPr>
          <w:rFonts w:ascii="Times New Roman" w:eastAsia="SimSun" w:hAnsi="Times New Roman" w:cs="Times New Roman"/>
          <w:sz w:val="24"/>
          <w:szCs w:val="24"/>
          <w:lang w:eastAsia="zh-CN"/>
        </w:rPr>
        <w:t>, I.</w:t>
      </w:r>
      <w:r w:rsidR="00257486">
        <w:rPr>
          <w:rFonts w:ascii="Times New Roman" w:eastAsia="SimSun" w:hAnsi="Times New Roman" w:cs="Times New Roman"/>
          <w:sz w:val="24"/>
          <w:szCs w:val="24"/>
          <w:lang w:eastAsia="zh-CN"/>
        </w:rPr>
        <w:t>,</w:t>
      </w:r>
      <w:r w:rsidRPr="005D42BA">
        <w:rPr>
          <w:rFonts w:ascii="Times New Roman" w:eastAsia="SimSun" w:hAnsi="Times New Roman" w:cs="Times New Roman"/>
          <w:sz w:val="24"/>
          <w:szCs w:val="24"/>
          <w:lang w:eastAsia="zh-CN"/>
        </w:rPr>
        <w:t xml:space="preserve"> </w:t>
      </w:r>
      <w:proofErr w:type="spellStart"/>
      <w:r w:rsidRPr="005D42BA">
        <w:rPr>
          <w:rFonts w:ascii="Times New Roman" w:eastAsia="SimSun" w:hAnsi="Times New Roman" w:cs="Times New Roman"/>
          <w:sz w:val="24"/>
          <w:szCs w:val="24"/>
          <w:lang w:eastAsia="zh-CN"/>
        </w:rPr>
        <w:t>Fishbein</w:t>
      </w:r>
      <w:proofErr w:type="spellEnd"/>
      <w:r w:rsidRPr="005D42BA">
        <w:rPr>
          <w:rFonts w:ascii="Times New Roman" w:eastAsia="SimSun" w:hAnsi="Times New Roman" w:cs="Times New Roman"/>
          <w:sz w:val="24"/>
          <w:szCs w:val="24"/>
          <w:lang w:eastAsia="zh-CN"/>
        </w:rPr>
        <w:t xml:space="preserve">, M. (2000). Attitudes and the </w:t>
      </w:r>
      <w:r w:rsidR="00257486">
        <w:rPr>
          <w:rFonts w:ascii="Times New Roman" w:eastAsia="SimSun" w:hAnsi="Times New Roman" w:cs="Times New Roman"/>
          <w:sz w:val="24"/>
          <w:szCs w:val="24"/>
          <w:lang w:eastAsia="zh-CN"/>
        </w:rPr>
        <w:t>a</w:t>
      </w:r>
      <w:r w:rsidRPr="005D42BA">
        <w:rPr>
          <w:rFonts w:ascii="Times New Roman" w:eastAsia="SimSun" w:hAnsi="Times New Roman" w:cs="Times New Roman"/>
          <w:sz w:val="24"/>
          <w:szCs w:val="24"/>
          <w:lang w:eastAsia="zh-CN"/>
        </w:rPr>
        <w:t>ttitude-</w:t>
      </w:r>
      <w:r w:rsidR="00257486">
        <w:rPr>
          <w:rFonts w:ascii="Times New Roman" w:eastAsia="SimSun" w:hAnsi="Times New Roman" w:cs="Times New Roman"/>
          <w:sz w:val="24"/>
          <w:szCs w:val="24"/>
          <w:lang w:eastAsia="zh-CN"/>
        </w:rPr>
        <w:t>b</w:t>
      </w:r>
      <w:r w:rsidRPr="005D42BA">
        <w:rPr>
          <w:rFonts w:ascii="Times New Roman" w:eastAsia="SimSun" w:hAnsi="Times New Roman" w:cs="Times New Roman"/>
          <w:sz w:val="24"/>
          <w:szCs w:val="24"/>
          <w:lang w:eastAsia="zh-CN"/>
        </w:rPr>
        <w:t xml:space="preserve">ehaviour </w:t>
      </w:r>
      <w:r w:rsidR="00257486">
        <w:rPr>
          <w:rFonts w:ascii="Times New Roman" w:eastAsia="SimSun" w:hAnsi="Times New Roman" w:cs="Times New Roman"/>
          <w:sz w:val="24"/>
          <w:szCs w:val="24"/>
          <w:lang w:eastAsia="zh-CN"/>
        </w:rPr>
        <w:t>r</w:t>
      </w:r>
      <w:r w:rsidRPr="005D42BA">
        <w:rPr>
          <w:rFonts w:ascii="Times New Roman" w:eastAsia="SimSun" w:hAnsi="Times New Roman" w:cs="Times New Roman"/>
          <w:sz w:val="24"/>
          <w:szCs w:val="24"/>
          <w:lang w:eastAsia="zh-CN"/>
        </w:rPr>
        <w:t xml:space="preserve">elation: </w:t>
      </w:r>
      <w:r w:rsidR="00257486">
        <w:rPr>
          <w:rFonts w:ascii="Times New Roman" w:eastAsia="SimSun" w:hAnsi="Times New Roman" w:cs="Times New Roman"/>
          <w:sz w:val="24"/>
          <w:szCs w:val="24"/>
          <w:lang w:eastAsia="zh-CN"/>
        </w:rPr>
        <w:t>r</w:t>
      </w:r>
      <w:r w:rsidRPr="005D42BA">
        <w:rPr>
          <w:rFonts w:ascii="Times New Roman" w:eastAsia="SimSun" w:hAnsi="Times New Roman" w:cs="Times New Roman"/>
          <w:sz w:val="24"/>
          <w:szCs w:val="24"/>
          <w:lang w:eastAsia="zh-CN"/>
        </w:rPr>
        <w:t xml:space="preserve">easoned and </w:t>
      </w:r>
      <w:r w:rsidR="00257486">
        <w:rPr>
          <w:rFonts w:ascii="Times New Roman" w:eastAsia="SimSun" w:hAnsi="Times New Roman" w:cs="Times New Roman"/>
          <w:sz w:val="24"/>
          <w:szCs w:val="24"/>
          <w:lang w:eastAsia="zh-CN"/>
        </w:rPr>
        <w:t>a</w:t>
      </w:r>
      <w:r w:rsidRPr="005D42BA">
        <w:rPr>
          <w:rFonts w:ascii="Times New Roman" w:eastAsia="SimSun" w:hAnsi="Times New Roman" w:cs="Times New Roman"/>
          <w:sz w:val="24"/>
          <w:szCs w:val="24"/>
          <w:lang w:eastAsia="zh-CN"/>
        </w:rPr>
        <w:t xml:space="preserve">utomatic </w:t>
      </w:r>
      <w:r w:rsidR="00257486">
        <w:rPr>
          <w:rFonts w:ascii="Times New Roman" w:eastAsia="SimSun" w:hAnsi="Times New Roman" w:cs="Times New Roman"/>
          <w:sz w:val="24"/>
          <w:szCs w:val="24"/>
          <w:lang w:eastAsia="zh-CN"/>
        </w:rPr>
        <w:t>p</w:t>
      </w:r>
      <w:r w:rsidRPr="005D42BA">
        <w:rPr>
          <w:rFonts w:ascii="Times New Roman" w:eastAsia="SimSun" w:hAnsi="Times New Roman" w:cs="Times New Roman"/>
          <w:sz w:val="24"/>
          <w:szCs w:val="24"/>
          <w:lang w:eastAsia="zh-CN"/>
        </w:rPr>
        <w:t>rocesses</w:t>
      </w:r>
      <w:r w:rsidR="00257486">
        <w:rPr>
          <w:rFonts w:ascii="Times New Roman" w:eastAsia="SimSun" w:hAnsi="Times New Roman" w:cs="Times New Roman"/>
          <w:sz w:val="24"/>
          <w:szCs w:val="24"/>
          <w:lang w:eastAsia="zh-CN"/>
        </w:rPr>
        <w:t>.</w:t>
      </w:r>
      <w:r w:rsidRPr="001F1CAC">
        <w:rPr>
          <w:rFonts w:ascii="Times New Roman" w:eastAsia="SimSun" w:hAnsi="Times New Roman" w:cs="Times New Roman"/>
          <w:sz w:val="24"/>
          <w:szCs w:val="24"/>
          <w:lang w:eastAsia="zh-CN"/>
        </w:rPr>
        <w:t> European Review of Social Psychology,</w:t>
      </w:r>
      <w:r w:rsidRPr="005D42BA">
        <w:rPr>
          <w:rFonts w:ascii="Times New Roman" w:eastAsia="SimSun" w:hAnsi="Times New Roman" w:cs="Times New Roman"/>
          <w:sz w:val="24"/>
          <w:szCs w:val="24"/>
          <w:lang w:eastAsia="zh-CN"/>
        </w:rPr>
        <w:t xml:space="preserve"> 11(1), 1-33.</w:t>
      </w:r>
    </w:p>
    <w:p w:rsidR="00BC6916" w:rsidRPr="005D42BA" w:rsidRDefault="00BC6916"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Amihud</w:t>
      </w:r>
      <w:proofErr w:type="spellEnd"/>
      <w:r w:rsidRPr="005D42BA">
        <w:rPr>
          <w:rFonts w:ascii="Times New Roman" w:hAnsi="Times New Roman" w:cs="Times New Roman"/>
          <w:sz w:val="24"/>
          <w:szCs w:val="24"/>
        </w:rPr>
        <w:t xml:space="preserve">, Y. (2002). Illiquidity and </w:t>
      </w:r>
      <w:r w:rsidR="00257486">
        <w:rPr>
          <w:rFonts w:ascii="Times New Roman" w:hAnsi="Times New Roman" w:cs="Times New Roman"/>
          <w:sz w:val="24"/>
          <w:szCs w:val="24"/>
        </w:rPr>
        <w:t>s</w:t>
      </w:r>
      <w:r w:rsidRPr="005D42BA">
        <w:rPr>
          <w:rFonts w:ascii="Times New Roman" w:hAnsi="Times New Roman" w:cs="Times New Roman"/>
          <w:sz w:val="24"/>
          <w:szCs w:val="24"/>
        </w:rPr>
        <w:t xml:space="preserve">tock </w:t>
      </w:r>
      <w:r w:rsidR="00257486">
        <w:rPr>
          <w:rFonts w:ascii="Times New Roman" w:hAnsi="Times New Roman" w:cs="Times New Roman"/>
          <w:sz w:val="24"/>
          <w:szCs w:val="24"/>
        </w:rPr>
        <w:t>r</w:t>
      </w:r>
      <w:r w:rsidRPr="005D42BA">
        <w:rPr>
          <w:rFonts w:ascii="Times New Roman" w:hAnsi="Times New Roman" w:cs="Times New Roman"/>
          <w:sz w:val="24"/>
          <w:szCs w:val="24"/>
        </w:rPr>
        <w:t xml:space="preserve">eturns: </w:t>
      </w:r>
      <w:r w:rsidR="00257486">
        <w:rPr>
          <w:rFonts w:ascii="Times New Roman" w:hAnsi="Times New Roman" w:cs="Times New Roman"/>
          <w:sz w:val="24"/>
          <w:szCs w:val="24"/>
        </w:rPr>
        <w:t>c</w:t>
      </w:r>
      <w:r w:rsidRPr="005D42BA">
        <w:rPr>
          <w:rFonts w:ascii="Times New Roman" w:hAnsi="Times New Roman" w:cs="Times New Roman"/>
          <w:sz w:val="24"/>
          <w:szCs w:val="24"/>
        </w:rPr>
        <w:t>ross-</w:t>
      </w:r>
      <w:r w:rsidR="00257486">
        <w:rPr>
          <w:rFonts w:ascii="Times New Roman" w:hAnsi="Times New Roman" w:cs="Times New Roman"/>
          <w:sz w:val="24"/>
          <w:szCs w:val="24"/>
        </w:rPr>
        <w:t>s</w:t>
      </w:r>
      <w:r w:rsidRPr="005D42BA">
        <w:rPr>
          <w:rFonts w:ascii="Times New Roman" w:hAnsi="Times New Roman" w:cs="Times New Roman"/>
          <w:sz w:val="24"/>
          <w:szCs w:val="24"/>
        </w:rPr>
        <w:t xml:space="preserve">ection and </w:t>
      </w:r>
      <w:r w:rsidR="00257486">
        <w:rPr>
          <w:rFonts w:ascii="Times New Roman" w:hAnsi="Times New Roman" w:cs="Times New Roman"/>
          <w:sz w:val="24"/>
          <w:szCs w:val="24"/>
        </w:rPr>
        <w:t>t</w:t>
      </w:r>
      <w:r w:rsidRPr="005D42BA">
        <w:rPr>
          <w:rFonts w:ascii="Times New Roman" w:hAnsi="Times New Roman" w:cs="Times New Roman"/>
          <w:sz w:val="24"/>
          <w:szCs w:val="24"/>
        </w:rPr>
        <w:t>ime-</w:t>
      </w:r>
      <w:r w:rsidR="00257486">
        <w:rPr>
          <w:rFonts w:ascii="Times New Roman" w:hAnsi="Times New Roman" w:cs="Times New Roman"/>
          <w:sz w:val="24"/>
          <w:szCs w:val="24"/>
        </w:rPr>
        <w:t>s</w:t>
      </w:r>
      <w:r w:rsidRPr="005D42BA">
        <w:rPr>
          <w:rFonts w:ascii="Times New Roman" w:hAnsi="Times New Roman" w:cs="Times New Roman"/>
          <w:sz w:val="24"/>
          <w:szCs w:val="24"/>
        </w:rPr>
        <w:t xml:space="preserve">eries </w:t>
      </w:r>
      <w:r w:rsidR="00257486">
        <w:rPr>
          <w:rFonts w:ascii="Times New Roman" w:hAnsi="Times New Roman" w:cs="Times New Roman"/>
          <w:sz w:val="24"/>
          <w:szCs w:val="24"/>
        </w:rPr>
        <w:t>e</w:t>
      </w:r>
      <w:r w:rsidRPr="005D42BA">
        <w:rPr>
          <w:rFonts w:ascii="Times New Roman" w:hAnsi="Times New Roman" w:cs="Times New Roman"/>
          <w:sz w:val="24"/>
          <w:szCs w:val="24"/>
        </w:rPr>
        <w:t>ffects</w:t>
      </w:r>
      <w:r w:rsidR="00257486">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Financial Markets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5(1), 31-56. </w:t>
      </w:r>
    </w:p>
    <w:p w:rsidR="00E86BC3" w:rsidRPr="005D42BA" w:rsidRDefault="00257486"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Anilowski</w:t>
      </w:r>
      <w:proofErr w:type="spellEnd"/>
      <w:r>
        <w:rPr>
          <w:rFonts w:ascii="Times New Roman" w:hAnsi="Times New Roman" w:cs="Times New Roman"/>
          <w:sz w:val="24"/>
          <w:szCs w:val="24"/>
        </w:rPr>
        <w:t xml:space="preserve">, C., </w:t>
      </w:r>
      <w:proofErr w:type="spellStart"/>
      <w:r>
        <w:rPr>
          <w:rFonts w:ascii="Times New Roman" w:hAnsi="Times New Roman" w:cs="Times New Roman"/>
          <w:sz w:val="24"/>
          <w:szCs w:val="24"/>
        </w:rPr>
        <w:t>Feng</w:t>
      </w:r>
      <w:proofErr w:type="spellEnd"/>
      <w:r>
        <w:rPr>
          <w:rFonts w:ascii="Times New Roman" w:hAnsi="Times New Roman" w:cs="Times New Roman"/>
          <w:sz w:val="24"/>
          <w:szCs w:val="24"/>
        </w:rPr>
        <w:t>, M.,</w:t>
      </w:r>
      <w:r w:rsidR="00E86BC3" w:rsidRPr="005D42BA">
        <w:rPr>
          <w:rFonts w:ascii="Times New Roman" w:hAnsi="Times New Roman" w:cs="Times New Roman"/>
          <w:sz w:val="24"/>
          <w:szCs w:val="24"/>
        </w:rPr>
        <w:t xml:space="preserve"> Skinner, D.J. (2007). Does </w:t>
      </w:r>
      <w:r>
        <w:rPr>
          <w:rFonts w:ascii="Times New Roman" w:hAnsi="Times New Roman" w:cs="Times New Roman"/>
          <w:sz w:val="24"/>
          <w:szCs w:val="24"/>
        </w:rPr>
        <w:t>e</w:t>
      </w:r>
      <w:r w:rsidR="00E86BC3" w:rsidRPr="005D42BA">
        <w:rPr>
          <w:rFonts w:ascii="Times New Roman" w:hAnsi="Times New Roman" w:cs="Times New Roman"/>
          <w:sz w:val="24"/>
          <w:szCs w:val="24"/>
        </w:rPr>
        <w:t xml:space="preserve">arnings </w:t>
      </w:r>
      <w:r>
        <w:rPr>
          <w:rFonts w:ascii="Times New Roman" w:hAnsi="Times New Roman" w:cs="Times New Roman"/>
          <w:sz w:val="24"/>
          <w:szCs w:val="24"/>
        </w:rPr>
        <w:t>g</w:t>
      </w:r>
      <w:r w:rsidR="00E86BC3" w:rsidRPr="005D42BA">
        <w:rPr>
          <w:rFonts w:ascii="Times New Roman" w:hAnsi="Times New Roman" w:cs="Times New Roman"/>
          <w:sz w:val="24"/>
          <w:szCs w:val="24"/>
        </w:rPr>
        <w:t xml:space="preserve">uidance </w:t>
      </w:r>
      <w:r>
        <w:rPr>
          <w:rFonts w:ascii="Times New Roman" w:hAnsi="Times New Roman" w:cs="Times New Roman"/>
          <w:sz w:val="24"/>
          <w:szCs w:val="24"/>
        </w:rPr>
        <w:t>a</w:t>
      </w:r>
      <w:r w:rsidR="00E86BC3" w:rsidRPr="005D42BA">
        <w:rPr>
          <w:rFonts w:ascii="Times New Roman" w:hAnsi="Times New Roman" w:cs="Times New Roman"/>
          <w:sz w:val="24"/>
          <w:szCs w:val="24"/>
        </w:rPr>
        <w:t xml:space="preserve">ffect </w:t>
      </w:r>
      <w:r>
        <w:rPr>
          <w:rFonts w:ascii="Times New Roman" w:hAnsi="Times New Roman" w:cs="Times New Roman"/>
          <w:sz w:val="24"/>
          <w:szCs w:val="24"/>
        </w:rPr>
        <w:t>m</w:t>
      </w:r>
      <w:r w:rsidR="00E86BC3" w:rsidRPr="005D42BA">
        <w:rPr>
          <w:rFonts w:ascii="Times New Roman" w:hAnsi="Times New Roman" w:cs="Times New Roman"/>
          <w:sz w:val="24"/>
          <w:szCs w:val="24"/>
        </w:rPr>
        <w:t xml:space="preserve">arket </w:t>
      </w:r>
      <w:r>
        <w:rPr>
          <w:rFonts w:ascii="Times New Roman" w:hAnsi="Times New Roman" w:cs="Times New Roman"/>
          <w:sz w:val="24"/>
          <w:szCs w:val="24"/>
        </w:rPr>
        <w:t>r</w:t>
      </w:r>
      <w:r w:rsidR="00E86BC3" w:rsidRPr="005D42BA">
        <w:rPr>
          <w:rFonts w:ascii="Times New Roman" w:hAnsi="Times New Roman" w:cs="Times New Roman"/>
          <w:sz w:val="24"/>
          <w:szCs w:val="24"/>
        </w:rPr>
        <w:t xml:space="preserve">eturns? The </w:t>
      </w:r>
      <w:r>
        <w:rPr>
          <w:rFonts w:ascii="Times New Roman" w:hAnsi="Times New Roman" w:cs="Times New Roman"/>
          <w:sz w:val="24"/>
          <w:szCs w:val="24"/>
        </w:rPr>
        <w:t>n</w:t>
      </w:r>
      <w:r w:rsidR="00E86BC3" w:rsidRPr="005D42BA">
        <w:rPr>
          <w:rFonts w:ascii="Times New Roman" w:hAnsi="Times New Roman" w:cs="Times New Roman"/>
          <w:sz w:val="24"/>
          <w:szCs w:val="24"/>
        </w:rPr>
        <w:t xml:space="preserve">ature and </w:t>
      </w:r>
      <w:r>
        <w:rPr>
          <w:rFonts w:ascii="Times New Roman" w:hAnsi="Times New Roman" w:cs="Times New Roman"/>
          <w:sz w:val="24"/>
          <w:szCs w:val="24"/>
        </w:rPr>
        <w:t>i</w:t>
      </w:r>
      <w:r w:rsidR="00E86BC3" w:rsidRPr="005D42BA">
        <w:rPr>
          <w:rFonts w:ascii="Times New Roman" w:hAnsi="Times New Roman" w:cs="Times New Roman"/>
          <w:sz w:val="24"/>
          <w:szCs w:val="24"/>
        </w:rPr>
        <w:t xml:space="preserve">nformation </w:t>
      </w:r>
      <w:r>
        <w:rPr>
          <w:rFonts w:ascii="Times New Roman" w:hAnsi="Times New Roman" w:cs="Times New Roman"/>
          <w:sz w:val="24"/>
          <w:szCs w:val="24"/>
        </w:rPr>
        <w:t>c</w:t>
      </w:r>
      <w:r w:rsidR="00E86BC3" w:rsidRPr="005D42BA">
        <w:rPr>
          <w:rFonts w:ascii="Times New Roman" w:hAnsi="Times New Roman" w:cs="Times New Roman"/>
          <w:sz w:val="24"/>
          <w:szCs w:val="24"/>
        </w:rPr>
        <w:t xml:space="preserve">ontent of </w:t>
      </w:r>
      <w:r>
        <w:rPr>
          <w:rFonts w:ascii="Times New Roman" w:hAnsi="Times New Roman" w:cs="Times New Roman"/>
          <w:sz w:val="24"/>
          <w:szCs w:val="24"/>
        </w:rPr>
        <w:t>a</w:t>
      </w:r>
      <w:r w:rsidR="00E86BC3" w:rsidRPr="005D42BA">
        <w:rPr>
          <w:rFonts w:ascii="Times New Roman" w:hAnsi="Times New Roman" w:cs="Times New Roman"/>
          <w:sz w:val="24"/>
          <w:szCs w:val="24"/>
        </w:rPr>
        <w:t xml:space="preserve">ggregate </w:t>
      </w:r>
      <w:r>
        <w:rPr>
          <w:rFonts w:ascii="Times New Roman" w:hAnsi="Times New Roman" w:cs="Times New Roman"/>
          <w:sz w:val="24"/>
          <w:szCs w:val="24"/>
        </w:rPr>
        <w:t>e</w:t>
      </w:r>
      <w:r w:rsidR="00E86BC3" w:rsidRPr="005D42BA">
        <w:rPr>
          <w:rFonts w:ascii="Times New Roman" w:hAnsi="Times New Roman" w:cs="Times New Roman"/>
          <w:sz w:val="24"/>
          <w:szCs w:val="24"/>
        </w:rPr>
        <w:t xml:space="preserve">arnings </w:t>
      </w:r>
      <w:r>
        <w:rPr>
          <w:rFonts w:ascii="Times New Roman" w:hAnsi="Times New Roman" w:cs="Times New Roman"/>
          <w:sz w:val="24"/>
          <w:szCs w:val="24"/>
        </w:rPr>
        <w:t>g</w:t>
      </w:r>
      <w:r w:rsidR="00E86BC3" w:rsidRPr="005D42BA">
        <w:rPr>
          <w:rFonts w:ascii="Times New Roman" w:hAnsi="Times New Roman" w:cs="Times New Roman"/>
          <w:sz w:val="24"/>
          <w:szCs w:val="24"/>
        </w:rPr>
        <w:t>uidance</w:t>
      </w:r>
      <w:r>
        <w:rPr>
          <w:rFonts w:ascii="Times New Roman" w:hAnsi="Times New Roman" w:cs="Times New Roman"/>
          <w:sz w:val="24"/>
          <w:szCs w:val="24"/>
        </w:rPr>
        <w:t>.</w:t>
      </w:r>
      <w:r w:rsidR="00E86BC3" w:rsidRPr="005D42BA">
        <w:rPr>
          <w:rFonts w:ascii="Times New Roman" w:hAnsi="Times New Roman" w:cs="Times New Roman"/>
          <w:sz w:val="24"/>
          <w:szCs w:val="24"/>
        </w:rPr>
        <w:t> </w:t>
      </w:r>
      <w:r w:rsidR="00E86BC3" w:rsidRPr="001F1CAC">
        <w:rPr>
          <w:rFonts w:ascii="Times New Roman" w:hAnsi="Times New Roman" w:cs="Times New Roman"/>
          <w:sz w:val="24"/>
          <w:szCs w:val="24"/>
        </w:rPr>
        <w:t>Journal of Accounting and Economics</w:t>
      </w:r>
      <w:r w:rsidR="00E86BC3" w:rsidRPr="005D42BA">
        <w:rPr>
          <w:rFonts w:ascii="Times New Roman" w:hAnsi="Times New Roman" w:cs="Times New Roman"/>
          <w:sz w:val="24"/>
          <w:szCs w:val="24"/>
        </w:rPr>
        <w:t xml:space="preserve">, 44(1), 36-63. </w:t>
      </w:r>
    </w:p>
    <w:p w:rsidR="00A66017" w:rsidRPr="005D42BA" w:rsidRDefault="00A66017"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Arbel</w:t>
      </w:r>
      <w:proofErr w:type="spellEnd"/>
      <w:r w:rsidRPr="005D42BA">
        <w:rPr>
          <w:rFonts w:ascii="Times New Roman" w:hAnsi="Times New Roman" w:cs="Times New Roman"/>
          <w:sz w:val="24"/>
          <w:szCs w:val="24"/>
        </w:rPr>
        <w:t xml:space="preserve">, A., </w:t>
      </w:r>
      <w:proofErr w:type="spellStart"/>
      <w:r w:rsidRPr="005D42BA">
        <w:rPr>
          <w:rFonts w:ascii="Times New Roman" w:hAnsi="Times New Roman" w:cs="Times New Roman"/>
          <w:sz w:val="24"/>
          <w:szCs w:val="24"/>
        </w:rPr>
        <w:t>Carvell</w:t>
      </w:r>
      <w:proofErr w:type="spellEnd"/>
      <w:r w:rsidRPr="005D42BA">
        <w:rPr>
          <w:rFonts w:ascii="Times New Roman" w:hAnsi="Times New Roman" w:cs="Times New Roman"/>
          <w:sz w:val="24"/>
          <w:szCs w:val="24"/>
        </w:rPr>
        <w:t>, S.</w:t>
      </w:r>
      <w:r w:rsidR="00C63218">
        <w:rPr>
          <w:rFonts w:ascii="Times New Roman" w:hAnsi="Times New Roman" w:cs="Times New Roman"/>
          <w:sz w:val="24"/>
          <w:szCs w:val="24"/>
        </w:rPr>
        <w:t>,</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Strebel</w:t>
      </w:r>
      <w:proofErr w:type="spellEnd"/>
      <w:r w:rsidRPr="005D42BA">
        <w:rPr>
          <w:rFonts w:ascii="Times New Roman" w:hAnsi="Times New Roman" w:cs="Times New Roman"/>
          <w:sz w:val="24"/>
          <w:szCs w:val="24"/>
        </w:rPr>
        <w:t xml:space="preserve">, P. (1983). Giraffes, </w:t>
      </w:r>
      <w:r w:rsidR="00C63218">
        <w:rPr>
          <w:rFonts w:ascii="Times New Roman" w:hAnsi="Times New Roman" w:cs="Times New Roman"/>
          <w:sz w:val="24"/>
          <w:szCs w:val="24"/>
        </w:rPr>
        <w:t>i</w:t>
      </w:r>
      <w:r w:rsidRPr="005D42BA">
        <w:rPr>
          <w:rFonts w:ascii="Times New Roman" w:hAnsi="Times New Roman" w:cs="Times New Roman"/>
          <w:sz w:val="24"/>
          <w:szCs w:val="24"/>
        </w:rPr>
        <w:t xml:space="preserve">nstitutions and </w:t>
      </w:r>
      <w:r w:rsidR="00C63218">
        <w:rPr>
          <w:rFonts w:ascii="Times New Roman" w:hAnsi="Times New Roman" w:cs="Times New Roman"/>
          <w:sz w:val="24"/>
          <w:szCs w:val="24"/>
        </w:rPr>
        <w:t>n</w:t>
      </w:r>
      <w:r w:rsidRPr="005D42BA">
        <w:rPr>
          <w:rFonts w:ascii="Times New Roman" w:hAnsi="Times New Roman" w:cs="Times New Roman"/>
          <w:sz w:val="24"/>
          <w:szCs w:val="24"/>
        </w:rPr>
        <w:t xml:space="preserve">eglected </w:t>
      </w:r>
      <w:r w:rsidR="00C63218">
        <w:rPr>
          <w:rFonts w:ascii="Times New Roman" w:hAnsi="Times New Roman" w:cs="Times New Roman"/>
          <w:sz w:val="24"/>
          <w:szCs w:val="24"/>
        </w:rPr>
        <w:t>f</w:t>
      </w:r>
      <w:r w:rsidRPr="005D42BA">
        <w:rPr>
          <w:rFonts w:ascii="Times New Roman" w:hAnsi="Times New Roman" w:cs="Times New Roman"/>
          <w:sz w:val="24"/>
          <w:szCs w:val="24"/>
        </w:rPr>
        <w:t>irms</w:t>
      </w:r>
      <w:r w:rsidR="00C63218">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Financial Analysts Journal</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39(3), 57-63.</w:t>
      </w:r>
    </w:p>
    <w:p w:rsidR="00A66017" w:rsidRPr="005D42BA" w:rsidRDefault="005804CA"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Atiase</w:t>
      </w:r>
      <w:proofErr w:type="spellEnd"/>
      <w:r w:rsidRPr="005D42BA">
        <w:rPr>
          <w:rFonts w:ascii="Times New Roman" w:hAnsi="Times New Roman" w:cs="Times New Roman"/>
          <w:sz w:val="24"/>
          <w:szCs w:val="24"/>
        </w:rPr>
        <w:t xml:space="preserve">, R.K. (1985). </w:t>
      </w:r>
      <w:proofErr w:type="spellStart"/>
      <w:r w:rsidRPr="005D42BA">
        <w:rPr>
          <w:rFonts w:ascii="Times New Roman" w:hAnsi="Times New Roman" w:cs="Times New Roman"/>
          <w:sz w:val="24"/>
          <w:szCs w:val="24"/>
        </w:rPr>
        <w:t>Predisclosure</w:t>
      </w:r>
      <w:proofErr w:type="spellEnd"/>
      <w:r w:rsidRPr="005D42BA">
        <w:rPr>
          <w:rFonts w:ascii="Times New Roman" w:hAnsi="Times New Roman" w:cs="Times New Roman"/>
          <w:sz w:val="24"/>
          <w:szCs w:val="24"/>
        </w:rPr>
        <w:t xml:space="preserve"> </w:t>
      </w:r>
      <w:r w:rsidR="00C63218">
        <w:rPr>
          <w:rFonts w:ascii="Times New Roman" w:hAnsi="Times New Roman" w:cs="Times New Roman"/>
          <w:sz w:val="24"/>
          <w:szCs w:val="24"/>
        </w:rPr>
        <w:t>i</w:t>
      </w:r>
      <w:r w:rsidRPr="005D42BA">
        <w:rPr>
          <w:rFonts w:ascii="Times New Roman" w:hAnsi="Times New Roman" w:cs="Times New Roman"/>
          <w:sz w:val="24"/>
          <w:szCs w:val="24"/>
        </w:rPr>
        <w:t xml:space="preserve">nformation, </w:t>
      </w:r>
      <w:r w:rsidR="00C63218">
        <w:rPr>
          <w:rFonts w:ascii="Times New Roman" w:hAnsi="Times New Roman" w:cs="Times New Roman"/>
          <w:sz w:val="24"/>
          <w:szCs w:val="24"/>
        </w:rPr>
        <w:t>f</w:t>
      </w:r>
      <w:r w:rsidRPr="005D42BA">
        <w:rPr>
          <w:rFonts w:ascii="Times New Roman" w:hAnsi="Times New Roman" w:cs="Times New Roman"/>
          <w:sz w:val="24"/>
          <w:szCs w:val="24"/>
        </w:rPr>
        <w:t xml:space="preserve">irm </w:t>
      </w:r>
      <w:r w:rsidR="00C63218">
        <w:rPr>
          <w:rFonts w:ascii="Times New Roman" w:hAnsi="Times New Roman" w:cs="Times New Roman"/>
          <w:sz w:val="24"/>
          <w:szCs w:val="24"/>
        </w:rPr>
        <w:t>c</w:t>
      </w:r>
      <w:r w:rsidRPr="005D42BA">
        <w:rPr>
          <w:rFonts w:ascii="Times New Roman" w:hAnsi="Times New Roman" w:cs="Times New Roman"/>
          <w:sz w:val="24"/>
          <w:szCs w:val="24"/>
        </w:rPr>
        <w:t xml:space="preserve">apitalization, and </w:t>
      </w:r>
      <w:r w:rsidR="00C63218">
        <w:rPr>
          <w:rFonts w:ascii="Times New Roman" w:hAnsi="Times New Roman" w:cs="Times New Roman"/>
          <w:sz w:val="24"/>
          <w:szCs w:val="24"/>
        </w:rPr>
        <w:t>s</w:t>
      </w:r>
      <w:r w:rsidRPr="005D42BA">
        <w:rPr>
          <w:rFonts w:ascii="Times New Roman" w:hAnsi="Times New Roman" w:cs="Times New Roman"/>
          <w:sz w:val="24"/>
          <w:szCs w:val="24"/>
        </w:rPr>
        <w:t xml:space="preserve">ecurity </w:t>
      </w:r>
      <w:r w:rsidR="00C63218">
        <w:rPr>
          <w:rFonts w:ascii="Times New Roman" w:hAnsi="Times New Roman" w:cs="Times New Roman"/>
          <w:sz w:val="24"/>
          <w:szCs w:val="24"/>
        </w:rPr>
        <w:t>p</w:t>
      </w:r>
      <w:r w:rsidRPr="005D42BA">
        <w:rPr>
          <w:rFonts w:ascii="Times New Roman" w:hAnsi="Times New Roman" w:cs="Times New Roman"/>
          <w:sz w:val="24"/>
          <w:szCs w:val="24"/>
        </w:rPr>
        <w:t xml:space="preserve">rice </w:t>
      </w:r>
      <w:proofErr w:type="spellStart"/>
      <w:r w:rsidR="00C63218">
        <w:rPr>
          <w:rFonts w:ascii="Times New Roman" w:hAnsi="Times New Roman" w:cs="Times New Roman"/>
          <w:sz w:val="24"/>
          <w:szCs w:val="24"/>
        </w:rPr>
        <w:t>b</w:t>
      </w:r>
      <w:r w:rsidRPr="005D42BA">
        <w:rPr>
          <w:rFonts w:ascii="Times New Roman" w:hAnsi="Times New Roman" w:cs="Times New Roman"/>
          <w:sz w:val="24"/>
          <w:szCs w:val="24"/>
        </w:rPr>
        <w:t>ehavior</w:t>
      </w:r>
      <w:proofErr w:type="spellEnd"/>
      <w:r w:rsidRPr="005D42BA">
        <w:rPr>
          <w:rFonts w:ascii="Times New Roman" w:hAnsi="Times New Roman" w:cs="Times New Roman"/>
          <w:sz w:val="24"/>
          <w:szCs w:val="24"/>
        </w:rPr>
        <w:t xml:space="preserve"> </w:t>
      </w:r>
      <w:r w:rsidR="00C63218">
        <w:rPr>
          <w:rFonts w:ascii="Times New Roman" w:hAnsi="Times New Roman" w:cs="Times New Roman"/>
          <w:sz w:val="24"/>
          <w:szCs w:val="24"/>
        </w:rPr>
        <w:t>a</w:t>
      </w:r>
      <w:r w:rsidRPr="005D42BA">
        <w:rPr>
          <w:rFonts w:ascii="Times New Roman" w:hAnsi="Times New Roman" w:cs="Times New Roman"/>
          <w:sz w:val="24"/>
          <w:szCs w:val="24"/>
        </w:rPr>
        <w:t xml:space="preserve">round </w:t>
      </w:r>
      <w:r w:rsidR="00C63218">
        <w:rPr>
          <w:rFonts w:ascii="Times New Roman" w:hAnsi="Times New Roman" w:cs="Times New Roman"/>
          <w:sz w:val="24"/>
          <w:szCs w:val="24"/>
        </w:rPr>
        <w:t>e</w:t>
      </w:r>
      <w:r w:rsidRPr="005D42BA">
        <w:rPr>
          <w:rFonts w:ascii="Times New Roman" w:hAnsi="Times New Roman" w:cs="Times New Roman"/>
          <w:sz w:val="24"/>
          <w:szCs w:val="24"/>
        </w:rPr>
        <w:t xml:space="preserve">arnings </w:t>
      </w:r>
      <w:r w:rsidR="00C63218">
        <w:rPr>
          <w:rFonts w:ascii="Times New Roman" w:hAnsi="Times New Roman" w:cs="Times New Roman"/>
          <w:sz w:val="24"/>
          <w:szCs w:val="24"/>
        </w:rPr>
        <w:t>a</w:t>
      </w:r>
      <w:r w:rsidRPr="005D42BA">
        <w:rPr>
          <w:rFonts w:ascii="Times New Roman" w:hAnsi="Times New Roman" w:cs="Times New Roman"/>
          <w:sz w:val="24"/>
          <w:szCs w:val="24"/>
        </w:rPr>
        <w:t>nnouncements</w:t>
      </w:r>
      <w:r w:rsidR="00C63218">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Accounting Research,</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23(1), 21-36.</w:t>
      </w:r>
    </w:p>
    <w:p w:rsidR="00370492" w:rsidRPr="005D42BA" w:rsidRDefault="00370492"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Baillie, W.M. (1974). Authorship </w:t>
      </w:r>
      <w:r w:rsidR="00C63218">
        <w:rPr>
          <w:rFonts w:ascii="Times New Roman" w:hAnsi="Times New Roman" w:cs="Times New Roman"/>
          <w:sz w:val="24"/>
          <w:szCs w:val="24"/>
        </w:rPr>
        <w:t>a</w:t>
      </w:r>
      <w:r w:rsidRPr="005D42BA">
        <w:rPr>
          <w:rFonts w:ascii="Times New Roman" w:hAnsi="Times New Roman" w:cs="Times New Roman"/>
          <w:sz w:val="24"/>
          <w:szCs w:val="24"/>
        </w:rPr>
        <w:t xml:space="preserve">ttribution in Jacobean </w:t>
      </w:r>
      <w:r w:rsidR="00C63218">
        <w:rPr>
          <w:rFonts w:ascii="Times New Roman" w:hAnsi="Times New Roman" w:cs="Times New Roman"/>
          <w:sz w:val="24"/>
          <w:szCs w:val="24"/>
        </w:rPr>
        <w:t>d</w:t>
      </w:r>
      <w:r w:rsidRPr="005D42BA">
        <w:rPr>
          <w:rFonts w:ascii="Times New Roman" w:hAnsi="Times New Roman" w:cs="Times New Roman"/>
          <w:sz w:val="24"/>
          <w:szCs w:val="24"/>
        </w:rPr>
        <w:t xml:space="preserve">ramatic </w:t>
      </w:r>
      <w:r w:rsidR="00C63218">
        <w:rPr>
          <w:rFonts w:ascii="Times New Roman" w:hAnsi="Times New Roman" w:cs="Times New Roman"/>
          <w:sz w:val="24"/>
          <w:szCs w:val="24"/>
        </w:rPr>
        <w:t>t</w:t>
      </w:r>
      <w:r w:rsidRPr="005D42BA">
        <w:rPr>
          <w:rFonts w:ascii="Times New Roman" w:hAnsi="Times New Roman" w:cs="Times New Roman"/>
          <w:sz w:val="24"/>
          <w:szCs w:val="24"/>
        </w:rPr>
        <w:t xml:space="preserve">exts. In </w:t>
      </w:r>
      <w:r w:rsidR="00C63218" w:rsidRPr="005D42BA">
        <w:rPr>
          <w:rFonts w:ascii="Times New Roman" w:hAnsi="Times New Roman" w:cs="Times New Roman"/>
          <w:sz w:val="24"/>
          <w:szCs w:val="24"/>
        </w:rPr>
        <w:t>J.L.</w:t>
      </w:r>
      <w:r w:rsidR="00C63218">
        <w:rPr>
          <w:rFonts w:ascii="Times New Roman" w:hAnsi="Times New Roman" w:cs="Times New Roman"/>
          <w:sz w:val="24"/>
          <w:szCs w:val="24"/>
        </w:rPr>
        <w:t xml:space="preserve"> </w:t>
      </w:r>
      <w:r w:rsidRPr="005D42BA">
        <w:rPr>
          <w:rFonts w:ascii="Times New Roman" w:hAnsi="Times New Roman" w:cs="Times New Roman"/>
          <w:sz w:val="24"/>
          <w:szCs w:val="24"/>
        </w:rPr>
        <w:t xml:space="preserve">Mitchell </w:t>
      </w:r>
      <w:r w:rsidR="00C63218">
        <w:rPr>
          <w:rFonts w:ascii="Times New Roman" w:hAnsi="Times New Roman" w:cs="Times New Roman"/>
          <w:sz w:val="24"/>
          <w:szCs w:val="24"/>
        </w:rPr>
        <w:t>(E</w:t>
      </w:r>
      <w:r w:rsidRPr="005D42BA">
        <w:rPr>
          <w:rFonts w:ascii="Times New Roman" w:hAnsi="Times New Roman" w:cs="Times New Roman"/>
          <w:sz w:val="24"/>
          <w:szCs w:val="24"/>
        </w:rPr>
        <w:t>d.</w:t>
      </w:r>
      <w:r w:rsidR="00C63218">
        <w:rPr>
          <w:rFonts w:ascii="Times New Roman" w:hAnsi="Times New Roman" w:cs="Times New Roman"/>
          <w:sz w:val="24"/>
          <w:szCs w:val="24"/>
        </w:rPr>
        <w:t>)</w:t>
      </w:r>
      <w:r w:rsidRPr="005D42BA">
        <w:rPr>
          <w:rFonts w:ascii="Times New Roman" w:hAnsi="Times New Roman" w:cs="Times New Roman"/>
          <w:sz w:val="24"/>
          <w:szCs w:val="24"/>
        </w:rPr>
        <w:t xml:space="preserve">, </w:t>
      </w:r>
      <w:r w:rsidRPr="00C63218">
        <w:rPr>
          <w:rFonts w:ascii="Times New Roman" w:hAnsi="Times New Roman" w:cs="Times New Roman"/>
          <w:sz w:val="24"/>
          <w:szCs w:val="24"/>
        </w:rPr>
        <w:t>Computers in the Humanities</w:t>
      </w:r>
      <w:r w:rsidR="00376003">
        <w:rPr>
          <w:rFonts w:ascii="Times New Roman" w:hAnsi="Times New Roman" w:cs="Times New Roman"/>
          <w:sz w:val="24"/>
          <w:szCs w:val="24"/>
        </w:rPr>
        <w:t xml:space="preserve"> (pp. 73-81)</w:t>
      </w:r>
      <w:r w:rsidRPr="005D42BA">
        <w:rPr>
          <w:rFonts w:ascii="Times New Roman" w:hAnsi="Times New Roman" w:cs="Times New Roman"/>
          <w:sz w:val="24"/>
          <w:szCs w:val="24"/>
        </w:rPr>
        <w:t>, Edinburgh</w:t>
      </w:r>
      <w:r w:rsidR="00376003">
        <w:rPr>
          <w:rFonts w:ascii="Times New Roman" w:hAnsi="Times New Roman" w:cs="Times New Roman"/>
          <w:sz w:val="24"/>
          <w:szCs w:val="24"/>
        </w:rPr>
        <w:t xml:space="preserve">: </w:t>
      </w:r>
      <w:r w:rsidR="00376003" w:rsidRPr="005D42BA">
        <w:rPr>
          <w:rFonts w:ascii="Times New Roman" w:hAnsi="Times New Roman" w:cs="Times New Roman"/>
          <w:sz w:val="24"/>
          <w:szCs w:val="24"/>
        </w:rPr>
        <w:t>Edinburgh</w:t>
      </w:r>
      <w:r w:rsidRPr="005D42BA">
        <w:rPr>
          <w:rFonts w:ascii="Times New Roman" w:hAnsi="Times New Roman" w:cs="Times New Roman"/>
          <w:sz w:val="24"/>
          <w:szCs w:val="24"/>
        </w:rPr>
        <w:t xml:space="preserve"> University Press.</w:t>
      </w:r>
    </w:p>
    <w:p w:rsidR="006C7369" w:rsidRPr="005D42BA" w:rsidRDefault="006C7369"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Barbee, W.C., </w:t>
      </w:r>
      <w:proofErr w:type="spellStart"/>
      <w:r w:rsidRPr="005D42BA">
        <w:rPr>
          <w:rFonts w:ascii="Times New Roman" w:hAnsi="Times New Roman" w:cs="Times New Roman"/>
          <w:sz w:val="24"/>
          <w:szCs w:val="24"/>
        </w:rPr>
        <w:t>Mukherji</w:t>
      </w:r>
      <w:proofErr w:type="spellEnd"/>
      <w:r w:rsidRPr="005D42BA">
        <w:rPr>
          <w:rFonts w:ascii="Times New Roman" w:hAnsi="Times New Roman" w:cs="Times New Roman"/>
          <w:sz w:val="24"/>
          <w:szCs w:val="24"/>
        </w:rPr>
        <w:t>, S. Jr.</w:t>
      </w:r>
      <w:r w:rsidR="00714521">
        <w:rPr>
          <w:rFonts w:ascii="Times New Roman" w:hAnsi="Times New Roman" w:cs="Times New Roman"/>
          <w:sz w:val="24"/>
          <w:szCs w:val="24"/>
        </w:rPr>
        <w:t>,</w:t>
      </w:r>
      <w:r w:rsidRPr="005D42BA">
        <w:rPr>
          <w:rFonts w:ascii="Times New Roman" w:hAnsi="Times New Roman" w:cs="Times New Roman"/>
          <w:sz w:val="24"/>
          <w:szCs w:val="24"/>
        </w:rPr>
        <w:t xml:space="preserve"> Raines, G.A. (1996). Do </w:t>
      </w:r>
      <w:r w:rsidR="00714521">
        <w:rPr>
          <w:rFonts w:ascii="Times New Roman" w:hAnsi="Times New Roman" w:cs="Times New Roman"/>
          <w:sz w:val="24"/>
          <w:szCs w:val="24"/>
        </w:rPr>
        <w:t>s</w:t>
      </w:r>
      <w:r w:rsidRPr="005D42BA">
        <w:rPr>
          <w:rFonts w:ascii="Times New Roman" w:hAnsi="Times New Roman" w:cs="Times New Roman"/>
          <w:sz w:val="24"/>
          <w:szCs w:val="24"/>
        </w:rPr>
        <w:t>ales-</w:t>
      </w:r>
      <w:r w:rsidR="00714521">
        <w:rPr>
          <w:rFonts w:ascii="Times New Roman" w:hAnsi="Times New Roman" w:cs="Times New Roman"/>
          <w:sz w:val="24"/>
          <w:szCs w:val="24"/>
        </w:rPr>
        <w:t>p</w:t>
      </w:r>
      <w:r w:rsidRPr="005D42BA">
        <w:rPr>
          <w:rFonts w:ascii="Times New Roman" w:hAnsi="Times New Roman" w:cs="Times New Roman"/>
          <w:sz w:val="24"/>
          <w:szCs w:val="24"/>
        </w:rPr>
        <w:t xml:space="preserve">rice </w:t>
      </w:r>
      <w:r w:rsidR="00AF10DE" w:rsidRPr="005D42BA">
        <w:rPr>
          <w:rFonts w:ascii="Times New Roman" w:hAnsi="Times New Roman" w:cs="Times New Roman"/>
          <w:sz w:val="24"/>
          <w:szCs w:val="24"/>
        </w:rPr>
        <w:t xml:space="preserve">and </w:t>
      </w:r>
      <w:r w:rsidR="00714521">
        <w:rPr>
          <w:rFonts w:ascii="Times New Roman" w:hAnsi="Times New Roman" w:cs="Times New Roman"/>
          <w:sz w:val="24"/>
          <w:szCs w:val="24"/>
        </w:rPr>
        <w:t>d</w:t>
      </w:r>
      <w:r w:rsidR="00AF10DE" w:rsidRPr="005D42BA">
        <w:rPr>
          <w:rFonts w:ascii="Times New Roman" w:hAnsi="Times New Roman" w:cs="Times New Roman"/>
          <w:sz w:val="24"/>
          <w:szCs w:val="24"/>
        </w:rPr>
        <w:t>ebt-</w:t>
      </w:r>
      <w:r w:rsidR="00714521">
        <w:rPr>
          <w:rFonts w:ascii="Times New Roman" w:hAnsi="Times New Roman" w:cs="Times New Roman"/>
          <w:sz w:val="24"/>
          <w:szCs w:val="24"/>
        </w:rPr>
        <w:t>e</w:t>
      </w:r>
      <w:r w:rsidR="00AF10DE" w:rsidRPr="005D42BA">
        <w:rPr>
          <w:rFonts w:ascii="Times New Roman" w:hAnsi="Times New Roman" w:cs="Times New Roman"/>
          <w:sz w:val="24"/>
          <w:szCs w:val="24"/>
        </w:rPr>
        <w:t xml:space="preserve">quity </w:t>
      </w:r>
      <w:r w:rsidR="00714521">
        <w:rPr>
          <w:rFonts w:ascii="Times New Roman" w:hAnsi="Times New Roman" w:cs="Times New Roman"/>
          <w:sz w:val="24"/>
          <w:szCs w:val="24"/>
        </w:rPr>
        <w:t>e</w:t>
      </w:r>
      <w:r w:rsidR="00AF10DE" w:rsidRPr="005D42BA">
        <w:rPr>
          <w:rFonts w:ascii="Times New Roman" w:hAnsi="Times New Roman" w:cs="Times New Roman"/>
          <w:sz w:val="24"/>
          <w:szCs w:val="24"/>
        </w:rPr>
        <w:t xml:space="preserve">xplain </w:t>
      </w:r>
      <w:r w:rsidR="00714521">
        <w:rPr>
          <w:rFonts w:ascii="Times New Roman" w:hAnsi="Times New Roman" w:cs="Times New Roman"/>
          <w:sz w:val="24"/>
          <w:szCs w:val="24"/>
        </w:rPr>
        <w:t>s</w:t>
      </w:r>
      <w:r w:rsidR="00AF10DE" w:rsidRPr="005D42BA">
        <w:rPr>
          <w:rFonts w:ascii="Times New Roman" w:hAnsi="Times New Roman" w:cs="Times New Roman"/>
          <w:sz w:val="24"/>
          <w:szCs w:val="24"/>
        </w:rPr>
        <w:t xml:space="preserve">tock </w:t>
      </w:r>
      <w:r w:rsidR="00714521">
        <w:rPr>
          <w:rFonts w:ascii="Times New Roman" w:hAnsi="Times New Roman" w:cs="Times New Roman"/>
          <w:sz w:val="24"/>
          <w:szCs w:val="24"/>
        </w:rPr>
        <w:t>r</w:t>
      </w:r>
      <w:r w:rsidR="00AF10DE" w:rsidRPr="005D42BA">
        <w:rPr>
          <w:rFonts w:ascii="Times New Roman" w:hAnsi="Times New Roman" w:cs="Times New Roman"/>
          <w:sz w:val="24"/>
          <w:szCs w:val="24"/>
        </w:rPr>
        <w:t xml:space="preserve">eturns </w:t>
      </w:r>
      <w:r w:rsidR="00714521">
        <w:rPr>
          <w:rFonts w:ascii="Times New Roman" w:hAnsi="Times New Roman" w:cs="Times New Roman"/>
          <w:sz w:val="24"/>
          <w:szCs w:val="24"/>
        </w:rPr>
        <w:t>b</w:t>
      </w:r>
      <w:r w:rsidR="00AF10DE" w:rsidRPr="005D42BA">
        <w:rPr>
          <w:rFonts w:ascii="Times New Roman" w:hAnsi="Times New Roman" w:cs="Times New Roman"/>
          <w:sz w:val="24"/>
          <w:szCs w:val="24"/>
        </w:rPr>
        <w:t xml:space="preserve">etter than </w:t>
      </w:r>
      <w:r w:rsidR="00714521">
        <w:rPr>
          <w:rFonts w:ascii="Times New Roman" w:hAnsi="Times New Roman" w:cs="Times New Roman"/>
          <w:sz w:val="24"/>
          <w:szCs w:val="24"/>
        </w:rPr>
        <w:t>b</w:t>
      </w:r>
      <w:r w:rsidR="00AF10DE" w:rsidRPr="005D42BA">
        <w:rPr>
          <w:rFonts w:ascii="Times New Roman" w:hAnsi="Times New Roman" w:cs="Times New Roman"/>
          <w:sz w:val="24"/>
          <w:szCs w:val="24"/>
        </w:rPr>
        <w:t>ook-</w:t>
      </w:r>
      <w:r w:rsidR="00714521">
        <w:rPr>
          <w:rFonts w:ascii="Times New Roman" w:hAnsi="Times New Roman" w:cs="Times New Roman"/>
          <w:sz w:val="24"/>
          <w:szCs w:val="24"/>
        </w:rPr>
        <w:t>m</w:t>
      </w:r>
      <w:r w:rsidR="00AF10DE" w:rsidRPr="005D42BA">
        <w:rPr>
          <w:rFonts w:ascii="Times New Roman" w:hAnsi="Times New Roman" w:cs="Times New Roman"/>
          <w:sz w:val="24"/>
          <w:szCs w:val="24"/>
        </w:rPr>
        <w:t xml:space="preserve">arket and </w:t>
      </w:r>
      <w:r w:rsidR="00714521">
        <w:rPr>
          <w:rFonts w:ascii="Times New Roman" w:hAnsi="Times New Roman" w:cs="Times New Roman"/>
          <w:sz w:val="24"/>
          <w:szCs w:val="24"/>
        </w:rPr>
        <w:t>f</w:t>
      </w:r>
      <w:r w:rsidR="00AF10DE" w:rsidRPr="005D42BA">
        <w:rPr>
          <w:rFonts w:ascii="Times New Roman" w:hAnsi="Times New Roman" w:cs="Times New Roman"/>
          <w:sz w:val="24"/>
          <w:szCs w:val="24"/>
        </w:rPr>
        <w:t xml:space="preserve">irm </w:t>
      </w:r>
      <w:r w:rsidR="00714521">
        <w:rPr>
          <w:rFonts w:ascii="Times New Roman" w:hAnsi="Times New Roman" w:cs="Times New Roman"/>
          <w:sz w:val="24"/>
          <w:szCs w:val="24"/>
        </w:rPr>
        <w:t>s</w:t>
      </w:r>
      <w:r w:rsidR="00AF10DE" w:rsidRPr="005D42BA">
        <w:rPr>
          <w:rFonts w:ascii="Times New Roman" w:hAnsi="Times New Roman" w:cs="Times New Roman"/>
          <w:sz w:val="24"/>
          <w:szCs w:val="24"/>
        </w:rPr>
        <w:t xml:space="preserve">ize? </w:t>
      </w:r>
      <w:r w:rsidR="00AF10DE" w:rsidRPr="001F1CAC">
        <w:rPr>
          <w:rFonts w:ascii="Times New Roman" w:hAnsi="Times New Roman" w:cs="Times New Roman"/>
          <w:sz w:val="24"/>
          <w:szCs w:val="24"/>
        </w:rPr>
        <w:t>Financial Analysts Journal</w:t>
      </w:r>
      <w:r w:rsidR="00AF10DE" w:rsidRPr="005D42BA">
        <w:rPr>
          <w:rFonts w:ascii="Times New Roman" w:hAnsi="Times New Roman" w:cs="Times New Roman"/>
          <w:i/>
          <w:sz w:val="24"/>
          <w:szCs w:val="24"/>
        </w:rPr>
        <w:t xml:space="preserve">, </w:t>
      </w:r>
      <w:r w:rsidR="00AF10DE" w:rsidRPr="005D42BA">
        <w:rPr>
          <w:rFonts w:ascii="Times New Roman" w:hAnsi="Times New Roman" w:cs="Times New Roman"/>
          <w:sz w:val="24"/>
          <w:szCs w:val="24"/>
        </w:rPr>
        <w:t xml:space="preserve">52(2), 56-60. </w:t>
      </w:r>
      <w:r w:rsidRPr="005D42BA">
        <w:rPr>
          <w:rFonts w:ascii="Times New Roman" w:hAnsi="Times New Roman" w:cs="Times New Roman"/>
          <w:sz w:val="24"/>
          <w:szCs w:val="24"/>
        </w:rPr>
        <w:t xml:space="preserve"> </w:t>
      </w:r>
    </w:p>
    <w:p w:rsidR="00ED654A" w:rsidRPr="005D42BA" w:rsidRDefault="00714521"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Ball, R.,</w:t>
      </w:r>
      <w:r w:rsidR="00ED654A" w:rsidRPr="005D42BA">
        <w:rPr>
          <w:rFonts w:ascii="Times New Roman" w:hAnsi="Times New Roman" w:cs="Times New Roman"/>
          <w:sz w:val="24"/>
          <w:szCs w:val="24"/>
        </w:rPr>
        <w:t xml:space="preserve"> Brown, P. (1968). An </w:t>
      </w:r>
      <w:r>
        <w:rPr>
          <w:rFonts w:ascii="Times New Roman" w:hAnsi="Times New Roman" w:cs="Times New Roman"/>
          <w:sz w:val="24"/>
          <w:szCs w:val="24"/>
        </w:rPr>
        <w:t>e</w:t>
      </w:r>
      <w:r w:rsidR="00ED654A" w:rsidRPr="005D42BA">
        <w:rPr>
          <w:rFonts w:ascii="Times New Roman" w:hAnsi="Times New Roman" w:cs="Times New Roman"/>
          <w:sz w:val="24"/>
          <w:szCs w:val="24"/>
        </w:rPr>
        <w:t xml:space="preserve">mpirical </w:t>
      </w:r>
      <w:r>
        <w:rPr>
          <w:rFonts w:ascii="Times New Roman" w:hAnsi="Times New Roman" w:cs="Times New Roman"/>
          <w:sz w:val="24"/>
          <w:szCs w:val="24"/>
        </w:rPr>
        <w:t>e</w:t>
      </w:r>
      <w:r w:rsidR="00ED654A" w:rsidRPr="005D42BA">
        <w:rPr>
          <w:rFonts w:ascii="Times New Roman" w:hAnsi="Times New Roman" w:cs="Times New Roman"/>
          <w:sz w:val="24"/>
          <w:szCs w:val="24"/>
        </w:rPr>
        <w:t xml:space="preserve">valuation of </w:t>
      </w:r>
      <w:r>
        <w:rPr>
          <w:rFonts w:ascii="Times New Roman" w:hAnsi="Times New Roman" w:cs="Times New Roman"/>
          <w:sz w:val="24"/>
          <w:szCs w:val="24"/>
        </w:rPr>
        <w:t>a</w:t>
      </w:r>
      <w:r w:rsidR="00ED654A" w:rsidRPr="005D42BA">
        <w:rPr>
          <w:rFonts w:ascii="Times New Roman" w:hAnsi="Times New Roman" w:cs="Times New Roman"/>
          <w:sz w:val="24"/>
          <w:szCs w:val="24"/>
        </w:rPr>
        <w:t xml:space="preserve">ccounting </w:t>
      </w:r>
      <w:r>
        <w:rPr>
          <w:rFonts w:ascii="Times New Roman" w:hAnsi="Times New Roman" w:cs="Times New Roman"/>
          <w:sz w:val="24"/>
          <w:szCs w:val="24"/>
        </w:rPr>
        <w:t>i</w:t>
      </w:r>
      <w:r w:rsidR="00ED654A" w:rsidRPr="005D42BA">
        <w:rPr>
          <w:rFonts w:ascii="Times New Roman" w:hAnsi="Times New Roman" w:cs="Times New Roman"/>
          <w:sz w:val="24"/>
          <w:szCs w:val="24"/>
        </w:rPr>
        <w:t xml:space="preserve">ncome </w:t>
      </w:r>
      <w:r>
        <w:rPr>
          <w:rFonts w:ascii="Times New Roman" w:hAnsi="Times New Roman" w:cs="Times New Roman"/>
          <w:sz w:val="24"/>
          <w:szCs w:val="24"/>
        </w:rPr>
        <w:t>n</w:t>
      </w:r>
      <w:r w:rsidR="00ED654A" w:rsidRPr="005D42BA">
        <w:rPr>
          <w:rFonts w:ascii="Times New Roman" w:hAnsi="Times New Roman" w:cs="Times New Roman"/>
          <w:sz w:val="24"/>
          <w:szCs w:val="24"/>
        </w:rPr>
        <w:t>umbers</w:t>
      </w:r>
      <w:r>
        <w:rPr>
          <w:rFonts w:ascii="Times New Roman" w:hAnsi="Times New Roman" w:cs="Times New Roman"/>
          <w:sz w:val="24"/>
          <w:szCs w:val="24"/>
        </w:rPr>
        <w:t>.</w:t>
      </w:r>
      <w:r w:rsidR="00ED654A" w:rsidRPr="005D42BA">
        <w:rPr>
          <w:rFonts w:ascii="Times New Roman" w:hAnsi="Times New Roman" w:cs="Times New Roman"/>
          <w:sz w:val="24"/>
          <w:szCs w:val="24"/>
        </w:rPr>
        <w:t xml:space="preserve"> </w:t>
      </w:r>
      <w:r w:rsidR="00ED654A" w:rsidRPr="001F1CAC">
        <w:rPr>
          <w:rFonts w:ascii="Times New Roman" w:hAnsi="Times New Roman" w:cs="Times New Roman"/>
          <w:sz w:val="24"/>
          <w:szCs w:val="24"/>
        </w:rPr>
        <w:t>Journal of Accounting Research</w:t>
      </w:r>
      <w:r w:rsidR="00ED654A" w:rsidRPr="005D42BA">
        <w:rPr>
          <w:rFonts w:ascii="Times New Roman" w:hAnsi="Times New Roman" w:cs="Times New Roman"/>
          <w:i/>
          <w:sz w:val="24"/>
          <w:szCs w:val="24"/>
        </w:rPr>
        <w:t xml:space="preserve">, </w:t>
      </w:r>
      <w:r w:rsidR="00ED654A" w:rsidRPr="005D42BA">
        <w:rPr>
          <w:rFonts w:ascii="Times New Roman" w:hAnsi="Times New Roman" w:cs="Times New Roman"/>
          <w:sz w:val="24"/>
          <w:szCs w:val="24"/>
        </w:rPr>
        <w:t xml:space="preserve">6(2), 159-78. </w:t>
      </w:r>
    </w:p>
    <w:p w:rsidR="00A1646B" w:rsidRPr="005D42BA" w:rsidRDefault="00A1646B"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Banz</w:t>
      </w:r>
      <w:proofErr w:type="spellEnd"/>
      <w:r w:rsidRPr="005D42BA">
        <w:rPr>
          <w:rFonts w:ascii="Times New Roman" w:hAnsi="Times New Roman" w:cs="Times New Roman"/>
          <w:sz w:val="24"/>
          <w:szCs w:val="24"/>
        </w:rPr>
        <w:t xml:space="preserve">, R.W. (1981). The </w:t>
      </w:r>
      <w:r w:rsidR="009D5A68">
        <w:rPr>
          <w:rFonts w:ascii="Times New Roman" w:hAnsi="Times New Roman" w:cs="Times New Roman"/>
          <w:sz w:val="24"/>
          <w:szCs w:val="24"/>
        </w:rPr>
        <w:t>r</w:t>
      </w:r>
      <w:r w:rsidRPr="005D42BA">
        <w:rPr>
          <w:rFonts w:ascii="Times New Roman" w:hAnsi="Times New Roman" w:cs="Times New Roman"/>
          <w:sz w:val="24"/>
          <w:szCs w:val="24"/>
        </w:rPr>
        <w:t xml:space="preserve">elationship </w:t>
      </w:r>
      <w:r w:rsidR="009D5A68">
        <w:rPr>
          <w:rFonts w:ascii="Times New Roman" w:hAnsi="Times New Roman" w:cs="Times New Roman"/>
          <w:sz w:val="24"/>
          <w:szCs w:val="24"/>
        </w:rPr>
        <w:t>b</w:t>
      </w:r>
      <w:r w:rsidRPr="005D42BA">
        <w:rPr>
          <w:rFonts w:ascii="Times New Roman" w:hAnsi="Times New Roman" w:cs="Times New Roman"/>
          <w:sz w:val="24"/>
          <w:szCs w:val="24"/>
        </w:rPr>
        <w:t xml:space="preserve">etween </w:t>
      </w:r>
      <w:r w:rsidR="009D5A68">
        <w:rPr>
          <w:rFonts w:ascii="Times New Roman" w:hAnsi="Times New Roman" w:cs="Times New Roman"/>
          <w:sz w:val="24"/>
          <w:szCs w:val="24"/>
        </w:rPr>
        <w:t>r</w:t>
      </w:r>
      <w:r w:rsidRPr="005D42BA">
        <w:rPr>
          <w:rFonts w:ascii="Times New Roman" w:hAnsi="Times New Roman" w:cs="Times New Roman"/>
          <w:sz w:val="24"/>
          <w:szCs w:val="24"/>
        </w:rPr>
        <w:t xml:space="preserve">eturn and </w:t>
      </w:r>
      <w:r w:rsidR="009D5A68">
        <w:rPr>
          <w:rFonts w:ascii="Times New Roman" w:hAnsi="Times New Roman" w:cs="Times New Roman"/>
          <w:sz w:val="24"/>
          <w:szCs w:val="24"/>
        </w:rPr>
        <w:t>m</w:t>
      </w:r>
      <w:r w:rsidRPr="005D42BA">
        <w:rPr>
          <w:rFonts w:ascii="Times New Roman" w:hAnsi="Times New Roman" w:cs="Times New Roman"/>
          <w:sz w:val="24"/>
          <w:szCs w:val="24"/>
        </w:rPr>
        <w:t xml:space="preserve">arket </w:t>
      </w:r>
      <w:r w:rsidR="009D5A68">
        <w:rPr>
          <w:rFonts w:ascii="Times New Roman" w:hAnsi="Times New Roman" w:cs="Times New Roman"/>
          <w:sz w:val="24"/>
          <w:szCs w:val="24"/>
        </w:rPr>
        <w:t>v</w:t>
      </w:r>
      <w:r w:rsidRPr="005D42BA">
        <w:rPr>
          <w:rFonts w:ascii="Times New Roman" w:hAnsi="Times New Roman" w:cs="Times New Roman"/>
          <w:sz w:val="24"/>
          <w:szCs w:val="24"/>
        </w:rPr>
        <w:t xml:space="preserve">alue of </w:t>
      </w:r>
      <w:r w:rsidR="009D5A68">
        <w:rPr>
          <w:rFonts w:ascii="Times New Roman" w:hAnsi="Times New Roman" w:cs="Times New Roman"/>
          <w:sz w:val="24"/>
          <w:szCs w:val="24"/>
        </w:rPr>
        <w:t>c</w:t>
      </w:r>
      <w:r w:rsidRPr="005D42BA">
        <w:rPr>
          <w:rFonts w:ascii="Times New Roman" w:hAnsi="Times New Roman" w:cs="Times New Roman"/>
          <w:sz w:val="24"/>
          <w:szCs w:val="24"/>
        </w:rPr>
        <w:t xml:space="preserve">ommon </w:t>
      </w:r>
      <w:r w:rsidR="009D5A68">
        <w:rPr>
          <w:rFonts w:ascii="Times New Roman" w:hAnsi="Times New Roman" w:cs="Times New Roman"/>
          <w:sz w:val="24"/>
          <w:szCs w:val="24"/>
        </w:rPr>
        <w:t>s</w:t>
      </w:r>
      <w:r w:rsidRPr="005D42BA">
        <w:rPr>
          <w:rFonts w:ascii="Times New Roman" w:hAnsi="Times New Roman" w:cs="Times New Roman"/>
          <w:sz w:val="24"/>
          <w:szCs w:val="24"/>
        </w:rPr>
        <w:t>tocks</w:t>
      </w:r>
      <w:r w:rsidR="009D5A68">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Financial Economics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9(1), 3-18.</w:t>
      </w:r>
    </w:p>
    <w:p w:rsidR="002B5181" w:rsidRPr="005D42BA" w:rsidRDefault="002B5181"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Bartov</w:t>
      </w:r>
      <w:proofErr w:type="spellEnd"/>
      <w:r w:rsidRPr="005D42BA">
        <w:rPr>
          <w:rFonts w:ascii="Times New Roman" w:hAnsi="Times New Roman" w:cs="Times New Roman"/>
          <w:sz w:val="24"/>
          <w:szCs w:val="24"/>
        </w:rPr>
        <w:t xml:space="preserve">, E., </w:t>
      </w:r>
      <w:proofErr w:type="spellStart"/>
      <w:r w:rsidRPr="005D42BA">
        <w:rPr>
          <w:rFonts w:ascii="Times New Roman" w:hAnsi="Times New Roman" w:cs="Times New Roman"/>
          <w:sz w:val="24"/>
          <w:szCs w:val="24"/>
        </w:rPr>
        <w:t>Givoly</w:t>
      </w:r>
      <w:proofErr w:type="spellEnd"/>
      <w:r w:rsidRPr="005D42BA">
        <w:rPr>
          <w:rFonts w:ascii="Times New Roman" w:hAnsi="Times New Roman" w:cs="Times New Roman"/>
          <w:sz w:val="24"/>
          <w:szCs w:val="24"/>
        </w:rPr>
        <w:t>, D.</w:t>
      </w:r>
      <w:r w:rsidR="002766C1">
        <w:rPr>
          <w:rFonts w:ascii="Times New Roman" w:hAnsi="Times New Roman" w:cs="Times New Roman"/>
          <w:sz w:val="24"/>
          <w:szCs w:val="24"/>
        </w:rPr>
        <w:t>,</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Hayn</w:t>
      </w:r>
      <w:proofErr w:type="spellEnd"/>
      <w:r w:rsidRPr="005D42BA">
        <w:rPr>
          <w:rFonts w:ascii="Times New Roman" w:hAnsi="Times New Roman" w:cs="Times New Roman"/>
          <w:sz w:val="24"/>
          <w:szCs w:val="24"/>
        </w:rPr>
        <w:t xml:space="preserve">, C. (2002). The </w:t>
      </w:r>
      <w:r w:rsidR="002766C1" w:rsidRPr="005D42BA">
        <w:rPr>
          <w:rFonts w:ascii="Times New Roman" w:hAnsi="Times New Roman" w:cs="Times New Roman"/>
          <w:sz w:val="24"/>
          <w:szCs w:val="24"/>
        </w:rPr>
        <w:t>rewards to meeting or beating earnings expectations</w:t>
      </w:r>
      <w:r w:rsidR="002766C1">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Accounting and Economics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33(2), 173-204.</w:t>
      </w:r>
    </w:p>
    <w:p w:rsidR="00E2608A" w:rsidRPr="005D42BA" w:rsidRDefault="00E2608A"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Bhandari</w:t>
      </w:r>
      <w:proofErr w:type="spellEnd"/>
      <w:r w:rsidRPr="005D42BA">
        <w:rPr>
          <w:rFonts w:ascii="Times New Roman" w:hAnsi="Times New Roman" w:cs="Times New Roman"/>
          <w:sz w:val="24"/>
          <w:szCs w:val="24"/>
        </w:rPr>
        <w:t>, L.C. (1988). Debt</w:t>
      </w:r>
      <w:r w:rsidR="00F907B2" w:rsidRPr="005D42BA">
        <w:rPr>
          <w:rFonts w:ascii="Times New Roman" w:hAnsi="Times New Roman" w:cs="Times New Roman"/>
          <w:sz w:val="24"/>
          <w:szCs w:val="24"/>
        </w:rPr>
        <w:t>/equity ratio and expected common st</w:t>
      </w:r>
      <w:r w:rsidR="00F907B2">
        <w:rPr>
          <w:rFonts w:ascii="Times New Roman" w:hAnsi="Times New Roman" w:cs="Times New Roman"/>
          <w:sz w:val="24"/>
          <w:szCs w:val="24"/>
        </w:rPr>
        <w:t>ock returns: empirical evidence.</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Finance</w:t>
      </w:r>
      <w:r w:rsidR="00854561" w:rsidRPr="005D42BA">
        <w:rPr>
          <w:rFonts w:ascii="Times New Roman" w:hAnsi="Times New Roman" w:cs="Times New Roman"/>
          <w:i/>
          <w:sz w:val="24"/>
          <w:szCs w:val="24"/>
        </w:rPr>
        <w:t xml:space="preserve">, </w:t>
      </w:r>
      <w:r w:rsidR="00854561" w:rsidRPr="005D42BA">
        <w:rPr>
          <w:rFonts w:ascii="Times New Roman" w:hAnsi="Times New Roman" w:cs="Times New Roman"/>
          <w:sz w:val="24"/>
          <w:szCs w:val="24"/>
        </w:rPr>
        <w:t>43(2), 507-528.</w:t>
      </w:r>
    </w:p>
    <w:p w:rsidR="00E53295" w:rsidRPr="005D42BA" w:rsidRDefault="00E53295"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Bhattacharya, U., </w:t>
      </w:r>
      <w:proofErr w:type="spellStart"/>
      <w:r w:rsidRPr="005D42BA">
        <w:rPr>
          <w:rFonts w:ascii="Times New Roman" w:hAnsi="Times New Roman" w:cs="Times New Roman"/>
          <w:sz w:val="24"/>
          <w:szCs w:val="24"/>
        </w:rPr>
        <w:t>Galpin</w:t>
      </w:r>
      <w:proofErr w:type="spellEnd"/>
      <w:r w:rsidRPr="005D42BA">
        <w:rPr>
          <w:rFonts w:ascii="Times New Roman" w:hAnsi="Times New Roman" w:cs="Times New Roman"/>
          <w:sz w:val="24"/>
          <w:szCs w:val="24"/>
        </w:rPr>
        <w:t>, N., Ray, R.</w:t>
      </w:r>
      <w:r w:rsidR="0072296F">
        <w:rPr>
          <w:rFonts w:ascii="Times New Roman" w:hAnsi="Times New Roman" w:cs="Times New Roman"/>
          <w:sz w:val="24"/>
          <w:szCs w:val="24"/>
        </w:rPr>
        <w:t>,</w:t>
      </w:r>
      <w:r w:rsidRPr="005D42BA">
        <w:rPr>
          <w:rFonts w:ascii="Times New Roman" w:hAnsi="Times New Roman" w:cs="Times New Roman"/>
          <w:sz w:val="24"/>
          <w:szCs w:val="24"/>
        </w:rPr>
        <w:t xml:space="preserve"> Yu, X. (2009). The</w:t>
      </w:r>
      <w:r w:rsidR="0072296F" w:rsidRPr="005D42BA">
        <w:rPr>
          <w:rFonts w:ascii="Times New Roman" w:hAnsi="Times New Roman" w:cs="Times New Roman"/>
          <w:sz w:val="24"/>
          <w:szCs w:val="24"/>
        </w:rPr>
        <w:t xml:space="preserve"> role </w:t>
      </w:r>
      <w:r w:rsidR="0072296F">
        <w:rPr>
          <w:rFonts w:ascii="Times New Roman" w:hAnsi="Times New Roman" w:cs="Times New Roman"/>
          <w:sz w:val="24"/>
          <w:szCs w:val="24"/>
        </w:rPr>
        <w:t>of the media in the internet IPO</w:t>
      </w:r>
      <w:r w:rsidR="0072296F" w:rsidRPr="005D42BA">
        <w:rPr>
          <w:rFonts w:ascii="Times New Roman" w:hAnsi="Times New Roman" w:cs="Times New Roman"/>
          <w:sz w:val="24"/>
          <w:szCs w:val="24"/>
        </w:rPr>
        <w:t xml:space="preserve"> bubble</w:t>
      </w:r>
      <w:r w:rsidR="0072296F">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Financial and Quantitative Analysis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44(2), 657-682. </w:t>
      </w:r>
    </w:p>
    <w:p w:rsidR="00EB01B3" w:rsidRPr="005D42BA" w:rsidRDefault="00EB01B3"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Brennan</w:t>
      </w:r>
      <w:r w:rsidR="00AD6144">
        <w:rPr>
          <w:rFonts w:ascii="Times New Roman" w:hAnsi="Times New Roman" w:cs="Times New Roman"/>
          <w:sz w:val="24"/>
          <w:szCs w:val="24"/>
        </w:rPr>
        <w:t xml:space="preserve">, N.M., </w:t>
      </w:r>
      <w:proofErr w:type="spellStart"/>
      <w:r w:rsidR="00AD6144">
        <w:rPr>
          <w:rFonts w:ascii="Times New Roman" w:hAnsi="Times New Roman" w:cs="Times New Roman"/>
          <w:sz w:val="24"/>
          <w:szCs w:val="24"/>
        </w:rPr>
        <w:t>Guillamon-Saorin</w:t>
      </w:r>
      <w:proofErr w:type="spellEnd"/>
      <w:r w:rsidR="00AD6144">
        <w:rPr>
          <w:rFonts w:ascii="Times New Roman" w:hAnsi="Times New Roman" w:cs="Times New Roman"/>
          <w:sz w:val="24"/>
          <w:szCs w:val="24"/>
        </w:rPr>
        <w:t>, E.,</w:t>
      </w:r>
      <w:r w:rsidRPr="005D42BA">
        <w:rPr>
          <w:rFonts w:ascii="Times New Roman" w:hAnsi="Times New Roman" w:cs="Times New Roman"/>
          <w:sz w:val="24"/>
          <w:szCs w:val="24"/>
        </w:rPr>
        <w:t xml:space="preserve"> Pierce, A. (2009). Methodological </w:t>
      </w:r>
      <w:r w:rsidR="00AD6144">
        <w:rPr>
          <w:rFonts w:ascii="Times New Roman" w:hAnsi="Times New Roman" w:cs="Times New Roman"/>
          <w:sz w:val="24"/>
          <w:szCs w:val="24"/>
        </w:rPr>
        <w:t>i</w:t>
      </w:r>
      <w:r w:rsidRPr="005D42BA">
        <w:rPr>
          <w:rFonts w:ascii="Times New Roman" w:hAnsi="Times New Roman" w:cs="Times New Roman"/>
          <w:sz w:val="24"/>
          <w:szCs w:val="24"/>
        </w:rPr>
        <w:t>nsights</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Accounting, Auditing &amp; Accountability Journal</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22(5), 789-832.</w:t>
      </w:r>
    </w:p>
    <w:p w:rsidR="008A6DBC" w:rsidRPr="005D42BA" w:rsidRDefault="008A6DBC"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Brown, L.D.</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Caylor</w:t>
      </w:r>
      <w:proofErr w:type="spellEnd"/>
      <w:r w:rsidRPr="005D42BA">
        <w:rPr>
          <w:rFonts w:ascii="Times New Roman" w:hAnsi="Times New Roman" w:cs="Times New Roman"/>
          <w:sz w:val="24"/>
          <w:szCs w:val="24"/>
        </w:rPr>
        <w:t xml:space="preserve">, M.L. (2005). A </w:t>
      </w:r>
      <w:r w:rsidR="00AD6144" w:rsidRPr="005D42BA">
        <w:rPr>
          <w:rFonts w:ascii="Times New Roman" w:hAnsi="Times New Roman" w:cs="Times New Roman"/>
          <w:sz w:val="24"/>
          <w:szCs w:val="24"/>
        </w:rPr>
        <w:t>temporal analysis of quarterly earnings thresholds: propensities and valuation consequences</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Accounting Review</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80(2), 423-440. </w:t>
      </w:r>
    </w:p>
    <w:p w:rsidR="00ED654A" w:rsidRPr="005D42BA" w:rsidRDefault="00AD6144"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Brown, S.J.,</w:t>
      </w:r>
      <w:r w:rsidR="00ED654A" w:rsidRPr="005D42BA">
        <w:rPr>
          <w:rFonts w:ascii="Times New Roman" w:hAnsi="Times New Roman" w:cs="Times New Roman"/>
          <w:sz w:val="24"/>
          <w:szCs w:val="24"/>
        </w:rPr>
        <w:t xml:space="preserve"> Warner, J.B. (1980). Measuring </w:t>
      </w:r>
      <w:r w:rsidRPr="005D42BA">
        <w:rPr>
          <w:rFonts w:ascii="Times New Roman" w:hAnsi="Times New Roman" w:cs="Times New Roman"/>
          <w:sz w:val="24"/>
          <w:szCs w:val="24"/>
        </w:rPr>
        <w:t>security price performance</w:t>
      </w:r>
      <w:r>
        <w:rPr>
          <w:rFonts w:ascii="Times New Roman" w:hAnsi="Times New Roman" w:cs="Times New Roman"/>
          <w:sz w:val="24"/>
          <w:szCs w:val="24"/>
        </w:rPr>
        <w:t>.</w:t>
      </w:r>
      <w:r w:rsidR="00ED654A" w:rsidRPr="005D42BA">
        <w:rPr>
          <w:rFonts w:ascii="Times New Roman" w:hAnsi="Times New Roman" w:cs="Times New Roman"/>
          <w:sz w:val="24"/>
          <w:szCs w:val="24"/>
        </w:rPr>
        <w:t xml:space="preserve"> </w:t>
      </w:r>
      <w:r w:rsidR="00ED654A" w:rsidRPr="001F1CAC">
        <w:rPr>
          <w:rFonts w:ascii="Times New Roman" w:hAnsi="Times New Roman" w:cs="Times New Roman"/>
          <w:sz w:val="24"/>
          <w:szCs w:val="24"/>
        </w:rPr>
        <w:t>Journal of Financial Economics</w:t>
      </w:r>
      <w:r w:rsidR="00ED654A" w:rsidRPr="005D42BA">
        <w:rPr>
          <w:rFonts w:ascii="Times New Roman" w:hAnsi="Times New Roman" w:cs="Times New Roman"/>
          <w:i/>
          <w:sz w:val="24"/>
          <w:szCs w:val="24"/>
        </w:rPr>
        <w:t xml:space="preserve">, </w:t>
      </w:r>
      <w:r w:rsidR="00ED654A" w:rsidRPr="005D42BA">
        <w:rPr>
          <w:rFonts w:ascii="Times New Roman" w:hAnsi="Times New Roman" w:cs="Times New Roman"/>
          <w:sz w:val="24"/>
          <w:szCs w:val="24"/>
        </w:rPr>
        <w:t>8(3), 205-258.</w:t>
      </w:r>
    </w:p>
    <w:p w:rsidR="00ED654A" w:rsidRPr="005D42BA" w:rsidRDefault="00AD6144"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Brown, S.J.,</w:t>
      </w:r>
      <w:r w:rsidR="00ED654A" w:rsidRPr="005D42BA">
        <w:rPr>
          <w:rFonts w:ascii="Times New Roman" w:hAnsi="Times New Roman" w:cs="Times New Roman"/>
          <w:sz w:val="24"/>
          <w:szCs w:val="24"/>
        </w:rPr>
        <w:t xml:space="preserve"> Warner, J.B. (1985). Using </w:t>
      </w:r>
      <w:r w:rsidRPr="005D42BA">
        <w:rPr>
          <w:rFonts w:ascii="Times New Roman" w:hAnsi="Times New Roman" w:cs="Times New Roman"/>
          <w:sz w:val="24"/>
          <w:szCs w:val="24"/>
        </w:rPr>
        <w:t>daily stock returns: the case of event studies</w:t>
      </w:r>
      <w:r>
        <w:rPr>
          <w:rFonts w:ascii="Times New Roman" w:hAnsi="Times New Roman" w:cs="Times New Roman"/>
          <w:sz w:val="24"/>
          <w:szCs w:val="24"/>
        </w:rPr>
        <w:t>.</w:t>
      </w:r>
      <w:r w:rsidRPr="005D42BA">
        <w:rPr>
          <w:rFonts w:ascii="Times New Roman" w:hAnsi="Times New Roman" w:cs="Times New Roman"/>
          <w:sz w:val="24"/>
          <w:szCs w:val="24"/>
        </w:rPr>
        <w:t xml:space="preserve"> </w:t>
      </w:r>
      <w:r w:rsidR="00ED654A" w:rsidRPr="001F1CAC">
        <w:rPr>
          <w:rFonts w:ascii="Times New Roman" w:hAnsi="Times New Roman" w:cs="Times New Roman"/>
          <w:sz w:val="24"/>
          <w:szCs w:val="24"/>
        </w:rPr>
        <w:t>Journal of Financial Economics</w:t>
      </w:r>
      <w:r w:rsidR="00ED654A" w:rsidRPr="005D42BA">
        <w:rPr>
          <w:rFonts w:ascii="Times New Roman" w:hAnsi="Times New Roman" w:cs="Times New Roman"/>
          <w:i/>
          <w:sz w:val="24"/>
          <w:szCs w:val="24"/>
        </w:rPr>
        <w:t xml:space="preserve">, </w:t>
      </w:r>
      <w:r w:rsidR="00ED654A" w:rsidRPr="005D42BA">
        <w:rPr>
          <w:rFonts w:ascii="Times New Roman" w:hAnsi="Times New Roman" w:cs="Times New Roman"/>
          <w:sz w:val="24"/>
          <w:szCs w:val="24"/>
        </w:rPr>
        <w:t xml:space="preserve">14(1), 3-31. </w:t>
      </w:r>
    </w:p>
    <w:p w:rsidR="00197553" w:rsidRPr="005D42BA" w:rsidRDefault="00AD6144"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Campbell, J.Y., Lo, A.W.,</w:t>
      </w:r>
      <w:r w:rsidR="00197553" w:rsidRPr="005D42BA">
        <w:rPr>
          <w:rFonts w:ascii="Times New Roman" w:hAnsi="Times New Roman" w:cs="Times New Roman"/>
          <w:sz w:val="24"/>
          <w:szCs w:val="24"/>
        </w:rPr>
        <w:t xml:space="preserve"> </w:t>
      </w:r>
      <w:proofErr w:type="spellStart"/>
      <w:r w:rsidR="00197553" w:rsidRPr="005D42BA">
        <w:rPr>
          <w:rFonts w:ascii="Times New Roman" w:hAnsi="Times New Roman" w:cs="Times New Roman"/>
          <w:sz w:val="24"/>
          <w:szCs w:val="24"/>
        </w:rPr>
        <w:t>MacKinley</w:t>
      </w:r>
      <w:proofErr w:type="spellEnd"/>
      <w:r w:rsidR="00197553" w:rsidRPr="005D42BA">
        <w:rPr>
          <w:rFonts w:ascii="Times New Roman" w:hAnsi="Times New Roman" w:cs="Times New Roman"/>
          <w:sz w:val="24"/>
          <w:szCs w:val="24"/>
        </w:rPr>
        <w:t xml:space="preserve">, A.C. (1997). </w:t>
      </w:r>
      <w:r w:rsidR="00197553" w:rsidRPr="00AD6144">
        <w:rPr>
          <w:rFonts w:ascii="Times New Roman" w:hAnsi="Times New Roman" w:cs="Times New Roman"/>
          <w:sz w:val="24"/>
          <w:szCs w:val="24"/>
        </w:rPr>
        <w:t>The Econometrics of Financial Markets</w:t>
      </w:r>
      <w:r>
        <w:rPr>
          <w:rFonts w:ascii="Times New Roman" w:hAnsi="Times New Roman" w:cs="Times New Roman"/>
          <w:sz w:val="24"/>
          <w:szCs w:val="24"/>
        </w:rPr>
        <w:t>.</w:t>
      </w:r>
      <w:r w:rsidR="00197553" w:rsidRPr="005D42BA">
        <w:rPr>
          <w:rFonts w:ascii="Times New Roman" w:hAnsi="Times New Roman" w:cs="Times New Roman"/>
          <w:sz w:val="24"/>
          <w:szCs w:val="24"/>
        </w:rPr>
        <w:t xml:space="preserve"> </w:t>
      </w:r>
      <w:r w:rsidRPr="005D42BA">
        <w:rPr>
          <w:rFonts w:ascii="Times New Roman" w:hAnsi="Times New Roman" w:cs="Times New Roman"/>
          <w:sz w:val="24"/>
          <w:szCs w:val="24"/>
        </w:rPr>
        <w:t>Princeton</w:t>
      </w:r>
      <w:r>
        <w:rPr>
          <w:rFonts w:ascii="Times New Roman" w:hAnsi="Times New Roman" w:cs="Times New Roman"/>
          <w:sz w:val="24"/>
          <w:szCs w:val="24"/>
        </w:rPr>
        <w:t>:</w:t>
      </w:r>
      <w:r w:rsidRPr="005D42BA">
        <w:rPr>
          <w:rFonts w:ascii="Times New Roman" w:hAnsi="Times New Roman" w:cs="Times New Roman"/>
          <w:sz w:val="24"/>
          <w:szCs w:val="24"/>
        </w:rPr>
        <w:t xml:space="preserve"> </w:t>
      </w:r>
      <w:r w:rsidR="00197553" w:rsidRPr="005D42BA">
        <w:rPr>
          <w:rFonts w:ascii="Times New Roman" w:hAnsi="Times New Roman" w:cs="Times New Roman"/>
          <w:sz w:val="24"/>
          <w:szCs w:val="24"/>
        </w:rPr>
        <w:t xml:space="preserve">Princeton University Press. </w:t>
      </w:r>
    </w:p>
    <w:p w:rsidR="00FB70A1" w:rsidRPr="005D42BA" w:rsidRDefault="00AD6144" w:rsidP="00A652A1">
      <w:pPr>
        <w:autoSpaceDE w:val="0"/>
        <w:autoSpaceDN w:val="0"/>
        <w:adjustRightInd w:val="0"/>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Chatterjee</w:t>
      </w:r>
      <w:proofErr w:type="spellEnd"/>
      <w:r>
        <w:rPr>
          <w:rFonts w:ascii="Times New Roman" w:hAnsi="Times New Roman" w:cs="Times New Roman"/>
          <w:sz w:val="24"/>
          <w:szCs w:val="24"/>
        </w:rPr>
        <w:t>, S.,</w:t>
      </w:r>
      <w:r w:rsidR="00FB70A1" w:rsidRPr="005D42BA">
        <w:rPr>
          <w:rFonts w:ascii="Times New Roman" w:hAnsi="Times New Roman" w:cs="Times New Roman"/>
          <w:sz w:val="24"/>
          <w:szCs w:val="24"/>
        </w:rPr>
        <w:t xml:space="preserve"> Price, B. (1991). </w:t>
      </w:r>
      <w:r w:rsidR="00FB70A1" w:rsidRPr="00AD6144">
        <w:rPr>
          <w:rFonts w:ascii="Times New Roman" w:hAnsi="Times New Roman" w:cs="Times New Roman"/>
          <w:sz w:val="24"/>
          <w:szCs w:val="24"/>
        </w:rPr>
        <w:t>Regression Diagnostics</w:t>
      </w:r>
      <w:r>
        <w:rPr>
          <w:rFonts w:ascii="Times New Roman" w:hAnsi="Times New Roman" w:cs="Times New Roman"/>
          <w:sz w:val="24"/>
          <w:szCs w:val="24"/>
        </w:rPr>
        <w:t>.</w:t>
      </w:r>
      <w:r w:rsidR="00FB70A1" w:rsidRPr="005D42BA">
        <w:rPr>
          <w:rFonts w:ascii="Times New Roman" w:hAnsi="Times New Roman" w:cs="Times New Roman"/>
          <w:sz w:val="24"/>
          <w:szCs w:val="24"/>
        </w:rPr>
        <w:t xml:space="preserve"> </w:t>
      </w:r>
      <w:r w:rsidRPr="005D42BA">
        <w:rPr>
          <w:rFonts w:ascii="Times New Roman" w:hAnsi="Times New Roman" w:cs="Times New Roman"/>
          <w:sz w:val="24"/>
          <w:szCs w:val="24"/>
        </w:rPr>
        <w:t>New York</w:t>
      </w:r>
      <w:r>
        <w:rPr>
          <w:rFonts w:ascii="Times New Roman" w:hAnsi="Times New Roman" w:cs="Times New Roman"/>
          <w:sz w:val="24"/>
          <w:szCs w:val="24"/>
        </w:rPr>
        <w:t>:</w:t>
      </w:r>
      <w:r w:rsidRPr="005D42BA">
        <w:rPr>
          <w:rFonts w:ascii="Times New Roman" w:hAnsi="Times New Roman" w:cs="Times New Roman"/>
          <w:sz w:val="24"/>
          <w:szCs w:val="24"/>
        </w:rPr>
        <w:t xml:space="preserve"> </w:t>
      </w:r>
      <w:r w:rsidR="00FB70A1" w:rsidRPr="005D42BA">
        <w:rPr>
          <w:rFonts w:ascii="Times New Roman" w:hAnsi="Times New Roman" w:cs="Times New Roman"/>
          <w:sz w:val="24"/>
          <w:szCs w:val="24"/>
        </w:rPr>
        <w:t>John Wiley.</w:t>
      </w:r>
    </w:p>
    <w:p w:rsidR="00793314" w:rsidRPr="005D42BA" w:rsidRDefault="00793314" w:rsidP="00A652A1">
      <w:pPr>
        <w:autoSpaceDE w:val="0"/>
        <w:autoSpaceDN w:val="0"/>
        <w:adjustRightInd w:val="0"/>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Cho, C.H., </w:t>
      </w:r>
      <w:proofErr w:type="spellStart"/>
      <w:r w:rsidRPr="005D42BA">
        <w:rPr>
          <w:rFonts w:ascii="Times New Roman" w:hAnsi="Times New Roman" w:cs="Times New Roman"/>
          <w:sz w:val="24"/>
          <w:szCs w:val="24"/>
        </w:rPr>
        <w:t>Roertd</w:t>
      </w:r>
      <w:proofErr w:type="spellEnd"/>
      <w:r w:rsidRPr="005D42BA">
        <w:rPr>
          <w:rFonts w:ascii="Times New Roman" w:hAnsi="Times New Roman" w:cs="Times New Roman"/>
          <w:sz w:val="24"/>
          <w:szCs w:val="24"/>
        </w:rPr>
        <w:t>, R.W.</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Patten, D.M. (2010). The</w:t>
      </w:r>
      <w:r w:rsidR="00AD6144" w:rsidRPr="005D42BA">
        <w:rPr>
          <w:rFonts w:ascii="Times New Roman" w:hAnsi="Times New Roman" w:cs="Times New Roman"/>
          <w:sz w:val="24"/>
          <w:szCs w:val="24"/>
        </w:rPr>
        <w:t xml:space="preserve"> language of us corporate environmental disclosure</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Accounting, Organizations and Society</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35(4), 431-443.</w:t>
      </w:r>
    </w:p>
    <w:p w:rsidR="00661A38" w:rsidRPr="005D42BA" w:rsidRDefault="00661A38"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Cicon</w:t>
      </w:r>
      <w:proofErr w:type="spellEnd"/>
      <w:r w:rsidRPr="005D42BA">
        <w:rPr>
          <w:rFonts w:ascii="Times New Roman" w:hAnsi="Times New Roman" w:cs="Times New Roman"/>
          <w:sz w:val="24"/>
          <w:szCs w:val="24"/>
        </w:rPr>
        <w:t>, J., Clarke, J., Ferris, P.F.</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Jayaraman</w:t>
      </w:r>
      <w:proofErr w:type="spellEnd"/>
      <w:r w:rsidRPr="005D42BA">
        <w:rPr>
          <w:rFonts w:ascii="Times New Roman" w:hAnsi="Times New Roman" w:cs="Times New Roman"/>
          <w:sz w:val="24"/>
          <w:szCs w:val="24"/>
        </w:rPr>
        <w:t xml:space="preserve">, N. (2014). Managerial </w:t>
      </w:r>
      <w:r w:rsidR="00AD6144" w:rsidRPr="005D42BA">
        <w:rPr>
          <w:rFonts w:ascii="Times New Roman" w:hAnsi="Times New Roman" w:cs="Times New Roman"/>
          <w:sz w:val="24"/>
          <w:szCs w:val="24"/>
        </w:rPr>
        <w:t>expectations of synergy and the performance of acquiring firms: the contribution of soft data</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 xml:space="preserve">Journal of </w:t>
      </w:r>
      <w:proofErr w:type="spellStart"/>
      <w:r w:rsidRPr="001F1CAC">
        <w:rPr>
          <w:rFonts w:ascii="Times New Roman" w:hAnsi="Times New Roman" w:cs="Times New Roman"/>
          <w:sz w:val="24"/>
          <w:szCs w:val="24"/>
        </w:rPr>
        <w:t>Behavioral</w:t>
      </w:r>
      <w:proofErr w:type="spellEnd"/>
      <w:r w:rsidRPr="001F1CAC">
        <w:rPr>
          <w:rFonts w:ascii="Times New Roman" w:hAnsi="Times New Roman" w:cs="Times New Roman"/>
          <w:sz w:val="24"/>
          <w:szCs w:val="24"/>
        </w:rPr>
        <w:t xml:space="preserve"> Finance</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15(3), 161-174.</w:t>
      </w:r>
    </w:p>
    <w:p w:rsidR="001449EA" w:rsidRDefault="00AD6144"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Clatwo</w:t>
      </w:r>
      <w:r w:rsidR="000B1066">
        <w:rPr>
          <w:rFonts w:ascii="Times New Roman" w:hAnsi="Times New Roman" w:cs="Times New Roman"/>
          <w:sz w:val="24"/>
          <w:szCs w:val="24"/>
        </w:rPr>
        <w:t>r</w:t>
      </w:r>
      <w:r>
        <w:rPr>
          <w:rFonts w:ascii="Times New Roman" w:hAnsi="Times New Roman" w:cs="Times New Roman"/>
          <w:sz w:val="24"/>
          <w:szCs w:val="24"/>
        </w:rPr>
        <w:t>thy</w:t>
      </w:r>
      <w:proofErr w:type="spellEnd"/>
      <w:r>
        <w:rPr>
          <w:rFonts w:ascii="Times New Roman" w:hAnsi="Times New Roman" w:cs="Times New Roman"/>
          <w:sz w:val="24"/>
          <w:szCs w:val="24"/>
        </w:rPr>
        <w:t>, M.,</w:t>
      </w:r>
      <w:r w:rsidR="001449EA" w:rsidRPr="005D42BA">
        <w:rPr>
          <w:rFonts w:ascii="Times New Roman" w:hAnsi="Times New Roman" w:cs="Times New Roman"/>
          <w:sz w:val="24"/>
          <w:szCs w:val="24"/>
        </w:rPr>
        <w:t xml:space="preserve"> Jones, M.J. (2003). Financial</w:t>
      </w:r>
      <w:r w:rsidRPr="005D42BA">
        <w:rPr>
          <w:rFonts w:ascii="Times New Roman" w:hAnsi="Times New Roman" w:cs="Times New Roman"/>
          <w:sz w:val="24"/>
          <w:szCs w:val="24"/>
        </w:rPr>
        <w:t xml:space="preserve"> reporting of good news and bad news: evidence from accounting narratives</w:t>
      </w:r>
      <w:r>
        <w:rPr>
          <w:rFonts w:ascii="Times New Roman" w:hAnsi="Times New Roman" w:cs="Times New Roman"/>
          <w:sz w:val="24"/>
          <w:szCs w:val="24"/>
        </w:rPr>
        <w:t>.</w:t>
      </w:r>
      <w:r w:rsidR="001449EA" w:rsidRPr="005D42BA">
        <w:rPr>
          <w:rFonts w:ascii="Times New Roman" w:hAnsi="Times New Roman" w:cs="Times New Roman"/>
          <w:sz w:val="24"/>
          <w:szCs w:val="24"/>
        </w:rPr>
        <w:t xml:space="preserve"> </w:t>
      </w:r>
      <w:r w:rsidR="001449EA" w:rsidRPr="001F1CAC">
        <w:rPr>
          <w:rFonts w:ascii="Times New Roman" w:hAnsi="Times New Roman" w:cs="Times New Roman"/>
          <w:sz w:val="24"/>
          <w:szCs w:val="24"/>
        </w:rPr>
        <w:t>Accounting and Business Research</w:t>
      </w:r>
      <w:r w:rsidR="001449EA" w:rsidRPr="005D42BA">
        <w:rPr>
          <w:rFonts w:ascii="Times New Roman" w:hAnsi="Times New Roman" w:cs="Times New Roman"/>
          <w:i/>
          <w:sz w:val="24"/>
          <w:szCs w:val="24"/>
        </w:rPr>
        <w:t xml:space="preserve">, </w:t>
      </w:r>
      <w:r w:rsidR="001449EA" w:rsidRPr="005D42BA">
        <w:rPr>
          <w:rFonts w:ascii="Times New Roman" w:hAnsi="Times New Roman" w:cs="Times New Roman"/>
          <w:sz w:val="24"/>
          <w:szCs w:val="24"/>
        </w:rPr>
        <w:t>33(3), 171-185.</w:t>
      </w:r>
    </w:p>
    <w:p w:rsidR="0089508E" w:rsidRPr="0028367D" w:rsidRDefault="0089508E" w:rsidP="00A652A1">
      <w:pPr>
        <w:spacing w:before="120" w:after="100"/>
        <w:ind w:left="284" w:hanging="284"/>
        <w:jc w:val="both"/>
        <w:rPr>
          <w:rFonts w:ascii="Times New Roman" w:hAnsi="Times New Roman" w:cs="Times New Roman"/>
          <w:sz w:val="24"/>
          <w:szCs w:val="24"/>
          <w:lang w:val="en-US"/>
        </w:rPr>
      </w:pPr>
      <w:r>
        <w:rPr>
          <w:rFonts w:ascii="Times New Roman" w:hAnsi="Times New Roman" w:cs="Times New Roman"/>
          <w:sz w:val="24"/>
          <w:szCs w:val="24"/>
        </w:rPr>
        <w:t>Craig, R.J., Brennan. N.</w:t>
      </w:r>
      <w:r w:rsidRPr="0094636A">
        <w:rPr>
          <w:rFonts w:ascii="Times New Roman" w:hAnsi="Times New Roman" w:cs="Times New Roman"/>
          <w:sz w:val="24"/>
          <w:szCs w:val="24"/>
        </w:rPr>
        <w:t>M. (2012)</w:t>
      </w:r>
      <w:r>
        <w:rPr>
          <w:rFonts w:ascii="Times New Roman" w:hAnsi="Times New Roman" w:cs="Times New Roman"/>
          <w:sz w:val="24"/>
          <w:szCs w:val="24"/>
        </w:rPr>
        <w:t>.</w:t>
      </w:r>
      <w:r w:rsidRPr="0094636A">
        <w:rPr>
          <w:rFonts w:ascii="Times New Roman" w:hAnsi="Times New Roman" w:cs="Times New Roman"/>
          <w:sz w:val="24"/>
          <w:szCs w:val="24"/>
        </w:rPr>
        <w:t xml:space="preserve"> An exploration of the relationship between language choice in CEO letters to shareh</w:t>
      </w:r>
      <w:r>
        <w:rPr>
          <w:rFonts w:ascii="Times New Roman" w:hAnsi="Times New Roman" w:cs="Times New Roman"/>
          <w:sz w:val="24"/>
          <w:szCs w:val="24"/>
        </w:rPr>
        <w:t>olders and corporate reputation.</w:t>
      </w:r>
      <w:r w:rsidRPr="0094636A">
        <w:rPr>
          <w:rFonts w:ascii="Times New Roman" w:hAnsi="Times New Roman" w:cs="Times New Roman"/>
          <w:sz w:val="24"/>
          <w:szCs w:val="24"/>
        </w:rPr>
        <w:t xml:space="preserve"> </w:t>
      </w:r>
      <w:r w:rsidRPr="00905CA8">
        <w:rPr>
          <w:rFonts w:ascii="Times New Roman" w:hAnsi="Times New Roman" w:cs="Times New Roman"/>
          <w:sz w:val="24"/>
          <w:szCs w:val="24"/>
        </w:rPr>
        <w:t>Accounting Forum</w:t>
      </w:r>
      <w:r w:rsidRPr="0094636A">
        <w:rPr>
          <w:rFonts w:ascii="Times New Roman" w:hAnsi="Times New Roman" w:cs="Times New Roman"/>
          <w:sz w:val="24"/>
          <w:szCs w:val="24"/>
        </w:rPr>
        <w:t>, 36(3)</w:t>
      </w:r>
      <w:r>
        <w:rPr>
          <w:rFonts w:ascii="Times New Roman" w:hAnsi="Times New Roman" w:cs="Times New Roman"/>
          <w:sz w:val="24"/>
          <w:szCs w:val="24"/>
        </w:rPr>
        <w:t xml:space="preserve">, </w:t>
      </w:r>
      <w:r w:rsidRPr="0094636A">
        <w:rPr>
          <w:rFonts w:ascii="Times New Roman" w:hAnsi="Times New Roman" w:cs="Times New Roman"/>
          <w:sz w:val="24"/>
          <w:szCs w:val="24"/>
        </w:rPr>
        <w:t>166-177</w:t>
      </w:r>
      <w:r>
        <w:rPr>
          <w:rFonts w:ascii="Times New Roman" w:hAnsi="Times New Roman" w:cs="Times New Roman"/>
          <w:sz w:val="24"/>
          <w:szCs w:val="24"/>
        </w:rPr>
        <w:t>.</w:t>
      </w:r>
    </w:p>
    <w:p w:rsidR="00F77599" w:rsidRDefault="00F77599" w:rsidP="00A652A1">
      <w:pPr>
        <w:spacing w:after="100"/>
        <w:ind w:left="284" w:hanging="284"/>
        <w:jc w:val="both"/>
        <w:rPr>
          <w:rFonts w:ascii="Times New Roman" w:eastAsia="SimSun" w:hAnsi="Times New Roman" w:cs="Times New Roman"/>
          <w:sz w:val="24"/>
          <w:szCs w:val="24"/>
          <w:lang w:eastAsia="zh-CN"/>
        </w:rPr>
      </w:pPr>
      <w:proofErr w:type="spellStart"/>
      <w:r w:rsidRPr="005D42BA">
        <w:rPr>
          <w:rFonts w:ascii="Times New Roman" w:eastAsia="SimSun" w:hAnsi="Times New Roman" w:cs="Times New Roman"/>
          <w:sz w:val="24"/>
          <w:szCs w:val="24"/>
          <w:lang w:eastAsia="zh-CN"/>
        </w:rPr>
        <w:t>Crano</w:t>
      </w:r>
      <w:proofErr w:type="spellEnd"/>
      <w:r w:rsidRPr="005D42BA">
        <w:rPr>
          <w:rFonts w:ascii="Times New Roman" w:eastAsia="SimSun" w:hAnsi="Times New Roman" w:cs="Times New Roman"/>
          <w:sz w:val="24"/>
          <w:szCs w:val="24"/>
          <w:lang w:eastAsia="zh-CN"/>
        </w:rPr>
        <w:t>, W.D.</w:t>
      </w:r>
      <w:r w:rsidR="00AD6144">
        <w:rPr>
          <w:rFonts w:ascii="Times New Roman" w:eastAsia="SimSun" w:hAnsi="Times New Roman" w:cs="Times New Roman"/>
          <w:sz w:val="24"/>
          <w:szCs w:val="24"/>
          <w:lang w:eastAsia="zh-CN"/>
        </w:rPr>
        <w:t>,</w:t>
      </w:r>
      <w:r w:rsidRPr="005D42BA">
        <w:rPr>
          <w:rFonts w:ascii="Times New Roman" w:eastAsia="SimSun" w:hAnsi="Times New Roman" w:cs="Times New Roman"/>
          <w:sz w:val="24"/>
          <w:szCs w:val="24"/>
          <w:lang w:eastAsia="zh-CN"/>
        </w:rPr>
        <w:t xml:space="preserve"> </w:t>
      </w:r>
      <w:proofErr w:type="spellStart"/>
      <w:r w:rsidRPr="005D42BA">
        <w:rPr>
          <w:rFonts w:ascii="Times New Roman" w:eastAsia="SimSun" w:hAnsi="Times New Roman" w:cs="Times New Roman"/>
          <w:sz w:val="24"/>
          <w:szCs w:val="24"/>
          <w:lang w:eastAsia="zh-CN"/>
        </w:rPr>
        <w:t>Prislin</w:t>
      </w:r>
      <w:proofErr w:type="spellEnd"/>
      <w:r w:rsidRPr="005D42BA">
        <w:rPr>
          <w:rFonts w:ascii="Times New Roman" w:eastAsia="SimSun" w:hAnsi="Times New Roman" w:cs="Times New Roman"/>
          <w:sz w:val="24"/>
          <w:szCs w:val="24"/>
          <w:lang w:eastAsia="zh-CN"/>
        </w:rPr>
        <w:t xml:space="preserve">, R. (2006). Attitudes and </w:t>
      </w:r>
      <w:r w:rsidR="00AD6144">
        <w:rPr>
          <w:rFonts w:ascii="Times New Roman" w:eastAsia="SimSun" w:hAnsi="Times New Roman" w:cs="Times New Roman"/>
          <w:sz w:val="24"/>
          <w:szCs w:val="24"/>
          <w:lang w:eastAsia="zh-CN"/>
        </w:rPr>
        <w:t>p</w:t>
      </w:r>
      <w:r w:rsidRPr="005D42BA">
        <w:rPr>
          <w:rFonts w:ascii="Times New Roman" w:eastAsia="SimSun" w:hAnsi="Times New Roman" w:cs="Times New Roman"/>
          <w:sz w:val="24"/>
          <w:szCs w:val="24"/>
          <w:lang w:eastAsia="zh-CN"/>
        </w:rPr>
        <w:t>ersuasion</w:t>
      </w:r>
      <w:r w:rsidR="00AD6144">
        <w:rPr>
          <w:rFonts w:ascii="Times New Roman" w:eastAsia="SimSun" w:hAnsi="Times New Roman" w:cs="Times New Roman"/>
          <w:sz w:val="24"/>
          <w:szCs w:val="24"/>
          <w:lang w:eastAsia="zh-CN"/>
        </w:rPr>
        <w:t>.</w:t>
      </w:r>
      <w:r w:rsidRPr="005D42BA">
        <w:rPr>
          <w:rFonts w:ascii="Times New Roman" w:eastAsia="SimSun" w:hAnsi="Times New Roman" w:cs="Times New Roman"/>
          <w:sz w:val="24"/>
          <w:szCs w:val="24"/>
          <w:lang w:eastAsia="zh-CN"/>
        </w:rPr>
        <w:t xml:space="preserve"> </w:t>
      </w:r>
      <w:r w:rsidRPr="001F1CAC">
        <w:rPr>
          <w:rFonts w:ascii="Times New Roman" w:eastAsia="SimSun" w:hAnsi="Times New Roman" w:cs="Times New Roman"/>
          <w:sz w:val="24"/>
          <w:szCs w:val="24"/>
          <w:lang w:eastAsia="zh-CN"/>
        </w:rPr>
        <w:t>Annu</w:t>
      </w:r>
      <w:r w:rsidRPr="001F1CAC">
        <w:rPr>
          <w:rFonts w:ascii="Times New Roman" w:hAnsi="Times New Roman" w:cs="Times New Roman"/>
          <w:sz w:val="24"/>
          <w:szCs w:val="24"/>
        </w:rPr>
        <w:t>al</w:t>
      </w:r>
      <w:r w:rsidRPr="001F1CAC">
        <w:rPr>
          <w:rFonts w:ascii="Times New Roman" w:eastAsia="SimSun" w:hAnsi="Times New Roman" w:cs="Times New Roman"/>
          <w:sz w:val="24"/>
          <w:szCs w:val="24"/>
          <w:lang w:eastAsia="zh-CN"/>
        </w:rPr>
        <w:t xml:space="preserve"> Rev</w:t>
      </w:r>
      <w:r w:rsidRPr="001F1CAC">
        <w:rPr>
          <w:rFonts w:ascii="Times New Roman" w:hAnsi="Times New Roman" w:cs="Times New Roman"/>
          <w:sz w:val="24"/>
          <w:szCs w:val="24"/>
        </w:rPr>
        <w:t>iew of</w:t>
      </w:r>
      <w:r w:rsidRPr="001F1CAC">
        <w:rPr>
          <w:rFonts w:ascii="Times New Roman" w:eastAsia="SimSun" w:hAnsi="Times New Roman" w:cs="Times New Roman"/>
          <w:sz w:val="24"/>
          <w:szCs w:val="24"/>
          <w:lang w:eastAsia="zh-CN"/>
        </w:rPr>
        <w:t xml:space="preserve"> Psychol</w:t>
      </w:r>
      <w:r w:rsidRPr="001F1CAC">
        <w:rPr>
          <w:rFonts w:ascii="Times New Roman" w:hAnsi="Times New Roman" w:cs="Times New Roman"/>
          <w:sz w:val="24"/>
          <w:szCs w:val="24"/>
        </w:rPr>
        <w:t>ogy</w:t>
      </w:r>
      <w:r w:rsidRPr="005D42BA">
        <w:rPr>
          <w:rFonts w:ascii="Times New Roman" w:eastAsia="SimSun" w:hAnsi="Times New Roman" w:cs="Times New Roman"/>
          <w:i/>
          <w:sz w:val="24"/>
          <w:szCs w:val="24"/>
          <w:lang w:eastAsia="zh-CN"/>
        </w:rPr>
        <w:t>,</w:t>
      </w:r>
      <w:r w:rsidR="00AD6144">
        <w:rPr>
          <w:rFonts w:ascii="Times New Roman" w:eastAsia="SimSun" w:hAnsi="Times New Roman" w:cs="Times New Roman"/>
          <w:sz w:val="24"/>
          <w:szCs w:val="24"/>
          <w:lang w:eastAsia="zh-CN"/>
        </w:rPr>
        <w:t xml:space="preserve"> 57,</w:t>
      </w:r>
      <w:r w:rsidRPr="005D42BA">
        <w:rPr>
          <w:rFonts w:ascii="Times New Roman" w:hAnsi="Times New Roman" w:cs="Times New Roman"/>
          <w:sz w:val="24"/>
          <w:szCs w:val="24"/>
        </w:rPr>
        <w:t xml:space="preserve"> </w:t>
      </w:r>
      <w:r w:rsidRPr="005D42BA">
        <w:rPr>
          <w:rFonts w:ascii="Times New Roman" w:eastAsia="SimSun" w:hAnsi="Times New Roman" w:cs="Times New Roman"/>
          <w:sz w:val="24"/>
          <w:szCs w:val="24"/>
          <w:lang w:eastAsia="zh-CN"/>
        </w:rPr>
        <w:t>345-374.</w:t>
      </w:r>
    </w:p>
    <w:p w:rsidR="00ED5758" w:rsidRDefault="00ED5758" w:rsidP="00A652A1">
      <w:pPr>
        <w:autoSpaceDE w:val="0"/>
        <w:autoSpaceDN w:val="0"/>
        <w:adjustRightInd w:val="0"/>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Davies, P. (2007). Davies review of issuer liability: liability for misstatements to the market, available on the internet at </w:t>
      </w:r>
      <w:r w:rsidRPr="00DE65E7">
        <w:rPr>
          <w:rFonts w:ascii="Times New Roman" w:hAnsi="Times New Roman" w:cs="Times New Roman"/>
          <w:sz w:val="24"/>
          <w:szCs w:val="24"/>
        </w:rPr>
        <w:t>http://webarchive.nationalarchives.gov.uk/20100407010852/http:/www.hm-treasury.gov.uk/d/davies_discussionpaper_260307.pdf</w:t>
      </w:r>
      <w:r>
        <w:rPr>
          <w:rFonts w:ascii="Times New Roman" w:hAnsi="Times New Roman" w:cs="Times New Roman"/>
          <w:sz w:val="24"/>
          <w:szCs w:val="24"/>
        </w:rPr>
        <w:t>, Accessed 28.07.2015.</w:t>
      </w:r>
    </w:p>
    <w:p w:rsidR="00BB3FF1" w:rsidRPr="005D42BA" w:rsidRDefault="00BB3FF1" w:rsidP="00A652A1">
      <w:pPr>
        <w:autoSpaceDE w:val="0"/>
        <w:autoSpaceDN w:val="0"/>
        <w:adjustRightInd w:val="0"/>
        <w:spacing w:after="100"/>
        <w:ind w:left="284" w:hanging="284"/>
        <w:jc w:val="both"/>
        <w:rPr>
          <w:rFonts w:ascii="Times New Roman" w:hAnsi="Times New Roman" w:cs="Times New Roman"/>
          <w:sz w:val="24"/>
          <w:szCs w:val="24"/>
        </w:rPr>
      </w:pPr>
      <w:r>
        <w:rPr>
          <w:rFonts w:ascii="Times New Roman" w:hAnsi="Times New Roman" w:cs="Times New Roman"/>
          <w:sz w:val="24"/>
          <w:szCs w:val="24"/>
        </w:rPr>
        <w:t>Davies, P. (2009). Liability for misstatements in the market: some reflections. Journal of Corporate Law Studies, 9(2), 295-313.</w:t>
      </w:r>
    </w:p>
    <w:p w:rsidR="004A1C2B" w:rsidRPr="005D42BA" w:rsidRDefault="004A1C2B"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Davis, A.K., </w:t>
      </w:r>
      <w:proofErr w:type="spellStart"/>
      <w:r>
        <w:rPr>
          <w:rFonts w:ascii="Times New Roman" w:hAnsi="Times New Roman" w:cs="Times New Roman"/>
          <w:sz w:val="24"/>
          <w:szCs w:val="24"/>
        </w:rPr>
        <w:t>Ge</w:t>
      </w:r>
      <w:proofErr w:type="spellEnd"/>
      <w:r>
        <w:rPr>
          <w:rFonts w:ascii="Times New Roman" w:hAnsi="Times New Roman" w:cs="Times New Roman"/>
          <w:sz w:val="24"/>
          <w:szCs w:val="24"/>
        </w:rPr>
        <w:t>, W., Matsumoto, D., Zhang, J.L. (2015). The effect of manager-specific optimism on the tone of earnings conference calls. Review of Accounting Studies, 20(2), 639-673.</w:t>
      </w:r>
    </w:p>
    <w:p w:rsidR="000E59B7" w:rsidRPr="005D42BA" w:rsidRDefault="00AD6144"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Davis, A.K., </w:t>
      </w:r>
      <w:proofErr w:type="spellStart"/>
      <w:r>
        <w:rPr>
          <w:rFonts w:ascii="Times New Roman" w:hAnsi="Times New Roman" w:cs="Times New Roman"/>
          <w:sz w:val="24"/>
          <w:szCs w:val="24"/>
        </w:rPr>
        <w:t>Piger</w:t>
      </w:r>
      <w:proofErr w:type="spellEnd"/>
      <w:r>
        <w:rPr>
          <w:rFonts w:ascii="Times New Roman" w:hAnsi="Times New Roman" w:cs="Times New Roman"/>
          <w:sz w:val="24"/>
          <w:szCs w:val="24"/>
        </w:rPr>
        <w:t>, J.M.,</w:t>
      </w:r>
      <w:r w:rsidR="000E59B7" w:rsidRPr="005D42BA">
        <w:rPr>
          <w:rFonts w:ascii="Times New Roman" w:hAnsi="Times New Roman" w:cs="Times New Roman"/>
          <w:sz w:val="24"/>
          <w:szCs w:val="24"/>
        </w:rPr>
        <w:t xml:space="preserve"> </w:t>
      </w:r>
      <w:proofErr w:type="spellStart"/>
      <w:r w:rsidR="000E59B7" w:rsidRPr="005D42BA">
        <w:rPr>
          <w:rFonts w:ascii="Times New Roman" w:hAnsi="Times New Roman" w:cs="Times New Roman"/>
          <w:sz w:val="24"/>
          <w:szCs w:val="24"/>
        </w:rPr>
        <w:t>Sedor</w:t>
      </w:r>
      <w:proofErr w:type="spellEnd"/>
      <w:r w:rsidR="000E59B7" w:rsidRPr="005D42BA">
        <w:rPr>
          <w:rFonts w:ascii="Times New Roman" w:hAnsi="Times New Roman" w:cs="Times New Roman"/>
          <w:sz w:val="24"/>
          <w:szCs w:val="24"/>
        </w:rPr>
        <w:t>, L.M. (2012)</w:t>
      </w:r>
      <w:r w:rsidR="0068477D" w:rsidRPr="005D42BA">
        <w:rPr>
          <w:rFonts w:ascii="Times New Roman" w:hAnsi="Times New Roman" w:cs="Times New Roman"/>
          <w:sz w:val="24"/>
          <w:szCs w:val="24"/>
        </w:rPr>
        <w:t>.</w:t>
      </w:r>
      <w:r w:rsidR="000E59B7" w:rsidRPr="005D42BA">
        <w:rPr>
          <w:rFonts w:ascii="Times New Roman" w:hAnsi="Times New Roman" w:cs="Times New Roman"/>
          <w:sz w:val="24"/>
          <w:szCs w:val="24"/>
        </w:rPr>
        <w:t xml:space="preserve"> Beyond the </w:t>
      </w:r>
      <w:r w:rsidRPr="005D42BA">
        <w:rPr>
          <w:rFonts w:ascii="Times New Roman" w:hAnsi="Times New Roman" w:cs="Times New Roman"/>
          <w:sz w:val="24"/>
          <w:szCs w:val="24"/>
        </w:rPr>
        <w:t>numbers: measuring the information content of earnings press release language</w:t>
      </w:r>
      <w:r>
        <w:rPr>
          <w:rFonts w:ascii="Times New Roman" w:hAnsi="Times New Roman" w:cs="Times New Roman"/>
          <w:sz w:val="24"/>
          <w:szCs w:val="24"/>
        </w:rPr>
        <w:t>.</w:t>
      </w:r>
      <w:r w:rsidR="000E59B7" w:rsidRPr="005D42BA">
        <w:rPr>
          <w:rFonts w:ascii="Times New Roman" w:hAnsi="Times New Roman" w:cs="Times New Roman"/>
          <w:sz w:val="24"/>
          <w:szCs w:val="24"/>
        </w:rPr>
        <w:t xml:space="preserve"> </w:t>
      </w:r>
      <w:r w:rsidR="000E59B7" w:rsidRPr="001F1CAC">
        <w:rPr>
          <w:rFonts w:ascii="Times New Roman" w:hAnsi="Times New Roman" w:cs="Times New Roman"/>
          <w:sz w:val="24"/>
          <w:szCs w:val="24"/>
        </w:rPr>
        <w:t>Contemporary Accounting Research</w:t>
      </w:r>
      <w:r w:rsidR="000E59B7" w:rsidRPr="005D42BA">
        <w:rPr>
          <w:rFonts w:ascii="Times New Roman" w:hAnsi="Times New Roman" w:cs="Times New Roman"/>
          <w:i/>
          <w:sz w:val="24"/>
          <w:szCs w:val="24"/>
        </w:rPr>
        <w:t xml:space="preserve">, </w:t>
      </w:r>
      <w:r w:rsidR="000E59B7" w:rsidRPr="005D42BA">
        <w:rPr>
          <w:rFonts w:ascii="Times New Roman" w:hAnsi="Times New Roman" w:cs="Times New Roman"/>
          <w:sz w:val="24"/>
          <w:szCs w:val="24"/>
        </w:rPr>
        <w:t xml:space="preserve">29(3), 845-868. </w:t>
      </w:r>
    </w:p>
    <w:p w:rsidR="0068477D" w:rsidRDefault="0068477D" w:rsidP="00A652A1">
      <w:pPr>
        <w:autoSpaceDE w:val="0"/>
        <w:autoSpaceDN w:val="0"/>
        <w:adjustRightInd w:val="0"/>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Davis, A.</w:t>
      </w:r>
      <w:r w:rsidR="00BB3FF1">
        <w:rPr>
          <w:rFonts w:ascii="Times New Roman" w:hAnsi="Times New Roman" w:cs="Times New Roman"/>
          <w:sz w:val="24"/>
          <w:szCs w:val="24"/>
        </w:rPr>
        <w:t>K.</w:t>
      </w:r>
      <w:r w:rsidR="00AD6144">
        <w:rPr>
          <w:rFonts w:ascii="Times New Roman" w:hAnsi="Times New Roman" w:cs="Times New Roman"/>
          <w:sz w:val="24"/>
          <w:szCs w:val="24"/>
        </w:rPr>
        <w:t>,</w:t>
      </w:r>
      <w:r w:rsidRPr="005D42BA">
        <w:rPr>
          <w:rFonts w:ascii="Times New Roman" w:hAnsi="Times New Roman" w:cs="Times New Roman"/>
          <w:sz w:val="24"/>
          <w:szCs w:val="24"/>
        </w:rPr>
        <w:t xml:space="preserve"> Tama-Sweet, I. (2012). Managers’ </w:t>
      </w:r>
      <w:r w:rsidR="00AD6144" w:rsidRPr="005D42BA">
        <w:rPr>
          <w:rFonts w:ascii="Times New Roman" w:hAnsi="Times New Roman" w:cs="Times New Roman"/>
          <w:sz w:val="24"/>
          <w:szCs w:val="24"/>
        </w:rPr>
        <w:t>use of language across alternative disclosure outlets: earnings press releases versus</w:t>
      </w:r>
      <w:r w:rsidR="00AD6144">
        <w:rPr>
          <w:rFonts w:ascii="Times New Roman" w:hAnsi="Times New Roman" w:cs="Times New Roman"/>
          <w:sz w:val="24"/>
          <w:szCs w:val="24"/>
        </w:rPr>
        <w:t xml:space="preserve"> MD&amp;A.</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Contemporary Accounting Research</w:t>
      </w:r>
      <w:r w:rsidRPr="005D42BA">
        <w:rPr>
          <w:rFonts w:ascii="Times New Roman" w:hAnsi="Times New Roman" w:cs="Times New Roman"/>
          <w:sz w:val="24"/>
          <w:szCs w:val="24"/>
        </w:rPr>
        <w:t xml:space="preserve">, </w:t>
      </w:r>
      <w:r w:rsidR="00AD6144">
        <w:rPr>
          <w:rFonts w:ascii="Times New Roman" w:hAnsi="Times New Roman" w:cs="Times New Roman"/>
          <w:sz w:val="24"/>
          <w:szCs w:val="24"/>
        </w:rPr>
        <w:t>29(3),</w:t>
      </w:r>
      <w:r w:rsidRPr="005D42BA">
        <w:rPr>
          <w:rFonts w:ascii="Times New Roman" w:hAnsi="Times New Roman" w:cs="Times New Roman"/>
          <w:sz w:val="24"/>
          <w:szCs w:val="24"/>
        </w:rPr>
        <w:t xml:space="preserve"> 804-837.</w:t>
      </w:r>
    </w:p>
    <w:p w:rsidR="00037B51" w:rsidRPr="005D42BA" w:rsidRDefault="00AD6144"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DeFond</w:t>
      </w:r>
      <w:proofErr w:type="spellEnd"/>
      <w:r>
        <w:rPr>
          <w:rFonts w:ascii="Times New Roman" w:hAnsi="Times New Roman" w:cs="Times New Roman"/>
          <w:sz w:val="24"/>
          <w:szCs w:val="24"/>
        </w:rPr>
        <w:t>, M.L.,</w:t>
      </w:r>
      <w:r w:rsidR="00037B51" w:rsidRPr="005D42BA">
        <w:rPr>
          <w:rFonts w:ascii="Times New Roman" w:hAnsi="Times New Roman" w:cs="Times New Roman"/>
          <w:sz w:val="24"/>
          <w:szCs w:val="24"/>
        </w:rPr>
        <w:t xml:space="preserve"> Park, C.W. (2001). The </w:t>
      </w:r>
      <w:r w:rsidRPr="005D42BA">
        <w:rPr>
          <w:rFonts w:ascii="Times New Roman" w:hAnsi="Times New Roman" w:cs="Times New Roman"/>
          <w:sz w:val="24"/>
          <w:szCs w:val="24"/>
        </w:rPr>
        <w:t>reversal of abnormal accruals and the market valuation of earnings surprises</w:t>
      </w:r>
      <w:r>
        <w:rPr>
          <w:rFonts w:ascii="Times New Roman" w:hAnsi="Times New Roman" w:cs="Times New Roman"/>
          <w:sz w:val="24"/>
          <w:szCs w:val="24"/>
        </w:rPr>
        <w:t>.</w:t>
      </w:r>
      <w:r w:rsidR="00037B51" w:rsidRPr="005D42BA">
        <w:rPr>
          <w:rFonts w:ascii="Times New Roman" w:hAnsi="Times New Roman" w:cs="Times New Roman"/>
          <w:sz w:val="24"/>
          <w:szCs w:val="24"/>
        </w:rPr>
        <w:t xml:space="preserve"> </w:t>
      </w:r>
      <w:r w:rsidR="00037B51" w:rsidRPr="001F1CAC">
        <w:rPr>
          <w:rFonts w:ascii="Times New Roman" w:hAnsi="Times New Roman" w:cs="Times New Roman"/>
          <w:sz w:val="24"/>
          <w:szCs w:val="24"/>
        </w:rPr>
        <w:t>Accounting Review</w:t>
      </w:r>
      <w:r w:rsidR="00037B51" w:rsidRPr="005D42BA">
        <w:rPr>
          <w:rFonts w:ascii="Times New Roman" w:hAnsi="Times New Roman" w:cs="Times New Roman"/>
          <w:i/>
          <w:sz w:val="24"/>
          <w:szCs w:val="24"/>
        </w:rPr>
        <w:t xml:space="preserve">, </w:t>
      </w:r>
      <w:r w:rsidR="00037B51" w:rsidRPr="005D42BA">
        <w:rPr>
          <w:rFonts w:ascii="Times New Roman" w:hAnsi="Times New Roman" w:cs="Times New Roman"/>
          <w:sz w:val="24"/>
          <w:szCs w:val="24"/>
        </w:rPr>
        <w:t xml:space="preserve">76(3), 375-404. </w:t>
      </w:r>
    </w:p>
    <w:p w:rsidR="000E59B7" w:rsidRPr="005D42BA" w:rsidRDefault="00AD6144" w:rsidP="00A652A1">
      <w:pPr>
        <w:autoSpaceDE w:val="0"/>
        <w:autoSpaceDN w:val="0"/>
        <w:adjustRightInd w:val="0"/>
        <w:spacing w:after="100"/>
        <w:ind w:left="284" w:hanging="284"/>
        <w:jc w:val="both"/>
        <w:rPr>
          <w:rFonts w:ascii="Times New Roman" w:hAnsi="Times New Roman" w:cs="Times New Roman"/>
          <w:sz w:val="24"/>
          <w:szCs w:val="24"/>
        </w:rPr>
      </w:pPr>
      <w:r>
        <w:rPr>
          <w:rFonts w:ascii="Times New Roman" w:hAnsi="Times New Roman" w:cs="Times New Roman"/>
          <w:sz w:val="24"/>
          <w:szCs w:val="24"/>
        </w:rPr>
        <w:t>Demers, E.,</w:t>
      </w:r>
      <w:r w:rsidR="000E59B7" w:rsidRPr="005D42BA">
        <w:rPr>
          <w:rFonts w:ascii="Times New Roman" w:hAnsi="Times New Roman" w:cs="Times New Roman"/>
          <w:sz w:val="24"/>
          <w:szCs w:val="24"/>
        </w:rPr>
        <w:t xml:space="preserve"> Vega, C. (2010)</w:t>
      </w:r>
      <w:r>
        <w:rPr>
          <w:rFonts w:ascii="Times New Roman" w:hAnsi="Times New Roman" w:cs="Times New Roman"/>
          <w:sz w:val="24"/>
          <w:szCs w:val="24"/>
        </w:rPr>
        <w:t>.</w:t>
      </w:r>
      <w:r w:rsidR="000E59B7" w:rsidRPr="005D42BA">
        <w:rPr>
          <w:rFonts w:ascii="Times New Roman" w:hAnsi="Times New Roman" w:cs="Times New Roman"/>
          <w:sz w:val="24"/>
          <w:szCs w:val="24"/>
        </w:rPr>
        <w:t xml:space="preserve"> Soft Information in Earnings Announcements: News or Noise? </w:t>
      </w:r>
      <w:r w:rsidRPr="00AD6144">
        <w:rPr>
          <w:rFonts w:ascii="Times New Roman" w:hAnsi="Times New Roman" w:cs="Times New Roman"/>
          <w:sz w:val="24"/>
          <w:szCs w:val="24"/>
        </w:rPr>
        <w:t>(</w:t>
      </w:r>
      <w:r w:rsidR="000E59B7" w:rsidRPr="00AD6144">
        <w:rPr>
          <w:rFonts w:ascii="Times New Roman" w:hAnsi="Times New Roman" w:cs="Times New Roman"/>
          <w:sz w:val="24"/>
          <w:szCs w:val="24"/>
        </w:rPr>
        <w:t>INSEAD Faculty &amp; Research Working Paper 2010/33/AC</w:t>
      </w:r>
      <w:r w:rsidRPr="00AD6144">
        <w:rPr>
          <w:rFonts w:ascii="Times New Roman" w:hAnsi="Times New Roman" w:cs="Times New Roman"/>
          <w:sz w:val="24"/>
          <w:szCs w:val="24"/>
        </w:rPr>
        <w:t>)</w:t>
      </w:r>
      <w:r>
        <w:rPr>
          <w:rFonts w:ascii="Times New Roman" w:hAnsi="Times New Roman" w:cs="Times New Roman"/>
          <w:sz w:val="24"/>
          <w:szCs w:val="24"/>
        </w:rPr>
        <w:t xml:space="preserve">, available </w:t>
      </w:r>
      <w:r w:rsidR="000F0FF5">
        <w:rPr>
          <w:rFonts w:ascii="Times New Roman" w:hAnsi="Times New Roman" w:cs="Times New Roman"/>
          <w:sz w:val="24"/>
          <w:szCs w:val="24"/>
        </w:rPr>
        <w:t xml:space="preserve">on the internet at </w:t>
      </w:r>
      <w:r w:rsidR="00DE65E7" w:rsidRPr="00DE65E7">
        <w:rPr>
          <w:rFonts w:ascii="Times New Roman" w:hAnsi="Times New Roman" w:cs="Times New Roman"/>
          <w:sz w:val="24"/>
          <w:szCs w:val="24"/>
        </w:rPr>
        <w:t>http://www.insead.edu/facultyresearch/faculty/personal/edemers/documents/SoftInformationinEarningsAnnouncementsNewsorNoise-INSEADWP.pdf</w:t>
      </w:r>
      <w:r w:rsidR="00DE65E7">
        <w:rPr>
          <w:rFonts w:ascii="Times New Roman" w:hAnsi="Times New Roman" w:cs="Times New Roman"/>
          <w:sz w:val="24"/>
          <w:szCs w:val="24"/>
        </w:rPr>
        <w:t xml:space="preserve"> </w:t>
      </w:r>
      <w:r w:rsidR="000F0FF5">
        <w:rPr>
          <w:rFonts w:ascii="Times New Roman" w:hAnsi="Times New Roman" w:cs="Times New Roman"/>
          <w:sz w:val="24"/>
          <w:szCs w:val="24"/>
        </w:rPr>
        <w:t>Accessed 08.07.15</w:t>
      </w:r>
      <w:r w:rsidR="000E59B7" w:rsidRPr="005D42BA">
        <w:rPr>
          <w:rFonts w:ascii="Times New Roman" w:hAnsi="Times New Roman" w:cs="Times New Roman"/>
          <w:i/>
          <w:sz w:val="24"/>
          <w:szCs w:val="24"/>
        </w:rPr>
        <w:t>.</w:t>
      </w:r>
    </w:p>
    <w:p w:rsidR="00CF4016" w:rsidRPr="00CF4016" w:rsidRDefault="00CF4016" w:rsidP="00A652A1">
      <w:pPr>
        <w:spacing w:after="100"/>
        <w:ind w:left="284" w:hanging="284"/>
        <w:jc w:val="both"/>
        <w:rPr>
          <w:rFonts w:ascii="Times New Roman" w:hAnsi="Times New Roman" w:cs="Times New Roman"/>
          <w:sz w:val="24"/>
          <w:szCs w:val="24"/>
        </w:rPr>
      </w:pPr>
      <w:r w:rsidRPr="00CF4016">
        <w:rPr>
          <w:rFonts w:ascii="Times New Roman" w:hAnsi="Times New Roman" w:cs="Times New Roman"/>
          <w:sz w:val="24"/>
          <w:szCs w:val="24"/>
        </w:rPr>
        <w:t>Doran, J.S., Peterson, D</w:t>
      </w:r>
      <w:r>
        <w:rPr>
          <w:rFonts w:ascii="Times New Roman" w:hAnsi="Times New Roman" w:cs="Times New Roman"/>
          <w:sz w:val="24"/>
          <w:szCs w:val="24"/>
        </w:rPr>
        <w:t>.R., Price, S.M. (2012). Earnings conference call content and stock price: the case of REITs. Journal of Real Estate Finance and Economics, 45(2), 402-434.</w:t>
      </w:r>
    </w:p>
    <w:p w:rsidR="003E2FE2" w:rsidRPr="005D42BA" w:rsidRDefault="000F0FF5" w:rsidP="00A652A1">
      <w:pPr>
        <w:spacing w:after="100"/>
        <w:ind w:left="284" w:hanging="284"/>
        <w:jc w:val="both"/>
        <w:rPr>
          <w:rFonts w:ascii="Times New Roman" w:hAnsi="Times New Roman" w:cs="Times New Roman"/>
          <w:sz w:val="24"/>
          <w:szCs w:val="24"/>
        </w:rPr>
      </w:pPr>
      <w:r w:rsidRPr="00B46689">
        <w:rPr>
          <w:rFonts w:ascii="Times New Roman" w:hAnsi="Times New Roman" w:cs="Times New Roman"/>
          <w:sz w:val="24"/>
          <w:szCs w:val="24"/>
        </w:rPr>
        <w:t>Easton, P.D.,</w:t>
      </w:r>
      <w:r w:rsidR="003E2FE2" w:rsidRPr="00B46689">
        <w:rPr>
          <w:rFonts w:ascii="Times New Roman" w:hAnsi="Times New Roman" w:cs="Times New Roman"/>
          <w:sz w:val="24"/>
          <w:szCs w:val="24"/>
        </w:rPr>
        <w:t xml:space="preserve"> </w:t>
      </w:r>
      <w:proofErr w:type="spellStart"/>
      <w:r w:rsidR="003E2FE2" w:rsidRPr="00B46689">
        <w:rPr>
          <w:rFonts w:ascii="Times New Roman" w:hAnsi="Times New Roman" w:cs="Times New Roman"/>
          <w:sz w:val="24"/>
          <w:szCs w:val="24"/>
        </w:rPr>
        <w:t>Zmijewski</w:t>
      </w:r>
      <w:proofErr w:type="spellEnd"/>
      <w:r w:rsidR="003E2FE2" w:rsidRPr="00B46689">
        <w:rPr>
          <w:rFonts w:ascii="Times New Roman" w:hAnsi="Times New Roman" w:cs="Times New Roman"/>
          <w:sz w:val="24"/>
          <w:szCs w:val="24"/>
        </w:rPr>
        <w:t xml:space="preserve">, M.E. (1989). </w:t>
      </w:r>
      <w:r w:rsidR="003E2FE2" w:rsidRPr="005D42BA">
        <w:rPr>
          <w:rFonts w:ascii="Times New Roman" w:hAnsi="Times New Roman" w:cs="Times New Roman"/>
          <w:sz w:val="24"/>
          <w:szCs w:val="24"/>
        </w:rPr>
        <w:t>Cross-</w:t>
      </w:r>
      <w:r w:rsidRPr="005D42BA">
        <w:rPr>
          <w:rFonts w:ascii="Times New Roman" w:hAnsi="Times New Roman" w:cs="Times New Roman"/>
          <w:sz w:val="24"/>
          <w:szCs w:val="24"/>
        </w:rPr>
        <w:t>sectional variation in the stock market response to accounting earnings announcements</w:t>
      </w:r>
      <w:r>
        <w:rPr>
          <w:rFonts w:ascii="Times New Roman" w:hAnsi="Times New Roman" w:cs="Times New Roman"/>
          <w:sz w:val="24"/>
          <w:szCs w:val="24"/>
        </w:rPr>
        <w:t>.</w:t>
      </w:r>
      <w:r w:rsidR="003E2FE2" w:rsidRPr="005D42BA">
        <w:rPr>
          <w:rFonts w:ascii="Times New Roman" w:hAnsi="Times New Roman" w:cs="Times New Roman"/>
          <w:sz w:val="24"/>
          <w:szCs w:val="24"/>
        </w:rPr>
        <w:t xml:space="preserve"> </w:t>
      </w:r>
      <w:r w:rsidR="003E2FE2" w:rsidRPr="001F1CAC">
        <w:rPr>
          <w:rFonts w:ascii="Times New Roman" w:hAnsi="Times New Roman" w:cs="Times New Roman"/>
          <w:sz w:val="24"/>
          <w:szCs w:val="24"/>
        </w:rPr>
        <w:t>Journal of Accounting and Economics</w:t>
      </w:r>
      <w:r w:rsidR="003E2FE2" w:rsidRPr="005D42BA">
        <w:rPr>
          <w:rFonts w:ascii="Times New Roman" w:hAnsi="Times New Roman" w:cs="Times New Roman"/>
          <w:i/>
          <w:sz w:val="24"/>
          <w:szCs w:val="24"/>
        </w:rPr>
        <w:t xml:space="preserve">, </w:t>
      </w:r>
      <w:r w:rsidR="003E2FE2" w:rsidRPr="005D42BA">
        <w:rPr>
          <w:rFonts w:ascii="Times New Roman" w:hAnsi="Times New Roman" w:cs="Times New Roman"/>
          <w:sz w:val="24"/>
          <w:szCs w:val="24"/>
        </w:rPr>
        <w:t>11(2-3), 117-14</w:t>
      </w:r>
      <w:r>
        <w:rPr>
          <w:rFonts w:ascii="Times New Roman" w:hAnsi="Times New Roman" w:cs="Times New Roman"/>
          <w:sz w:val="24"/>
          <w:szCs w:val="24"/>
        </w:rPr>
        <w:t>1.</w:t>
      </w:r>
    </w:p>
    <w:p w:rsidR="00905CA8" w:rsidRPr="002C0CBA" w:rsidRDefault="00905CA8" w:rsidP="00A652A1">
      <w:pPr>
        <w:autoSpaceDE w:val="0"/>
        <w:autoSpaceDN w:val="0"/>
        <w:adjustRightInd w:val="0"/>
        <w:spacing w:before="240" w:after="100"/>
        <w:ind w:left="284" w:hanging="284"/>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Fama</w:t>
      </w:r>
      <w:proofErr w:type="spellEnd"/>
      <w:r>
        <w:rPr>
          <w:rFonts w:ascii="Times New Roman" w:hAnsi="Times New Roman" w:cs="Times New Roman"/>
          <w:sz w:val="24"/>
          <w:szCs w:val="24"/>
          <w:lang w:val="en-US"/>
        </w:rPr>
        <w:t xml:space="preserve">, E.F. (1970). Efficient capital markets: a review of theory and empirical work. </w:t>
      </w:r>
      <w:r w:rsidRPr="00905CA8">
        <w:rPr>
          <w:rFonts w:ascii="Times New Roman" w:hAnsi="Times New Roman" w:cs="Times New Roman"/>
          <w:sz w:val="24"/>
          <w:szCs w:val="24"/>
          <w:lang w:val="en-US"/>
        </w:rPr>
        <w:t>Journal of Finance</w:t>
      </w:r>
      <w:r>
        <w:rPr>
          <w:rFonts w:ascii="Times New Roman" w:hAnsi="Times New Roman" w:cs="Times New Roman"/>
          <w:i/>
          <w:sz w:val="24"/>
          <w:szCs w:val="24"/>
          <w:lang w:val="en-US"/>
        </w:rPr>
        <w:t>,</w:t>
      </w:r>
      <w:r>
        <w:rPr>
          <w:rFonts w:ascii="Times New Roman" w:hAnsi="Times New Roman" w:cs="Times New Roman"/>
          <w:sz w:val="24"/>
          <w:szCs w:val="24"/>
          <w:lang w:val="en-US"/>
        </w:rPr>
        <w:t xml:space="preserve"> 25(2), 383-417.</w:t>
      </w:r>
    </w:p>
    <w:p w:rsidR="00A97762" w:rsidRPr="005D42BA" w:rsidRDefault="000F0FF5"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Fama</w:t>
      </w:r>
      <w:proofErr w:type="spellEnd"/>
      <w:r>
        <w:rPr>
          <w:rFonts w:ascii="Times New Roman" w:hAnsi="Times New Roman" w:cs="Times New Roman"/>
          <w:sz w:val="24"/>
          <w:szCs w:val="24"/>
        </w:rPr>
        <w:t>, E.F.,</w:t>
      </w:r>
      <w:r w:rsidR="00A97762" w:rsidRPr="005D42BA">
        <w:rPr>
          <w:rFonts w:ascii="Times New Roman" w:hAnsi="Times New Roman" w:cs="Times New Roman"/>
          <w:sz w:val="24"/>
          <w:szCs w:val="24"/>
        </w:rPr>
        <w:t xml:space="preserve"> French, K.R. (1992). The </w:t>
      </w:r>
      <w:r w:rsidRPr="005D42BA">
        <w:rPr>
          <w:rFonts w:ascii="Times New Roman" w:hAnsi="Times New Roman" w:cs="Times New Roman"/>
          <w:sz w:val="24"/>
          <w:szCs w:val="24"/>
        </w:rPr>
        <w:t>cross-section of expected returns</w:t>
      </w:r>
      <w:r>
        <w:rPr>
          <w:rFonts w:ascii="Times New Roman" w:hAnsi="Times New Roman" w:cs="Times New Roman"/>
          <w:sz w:val="24"/>
          <w:szCs w:val="24"/>
        </w:rPr>
        <w:t>.</w:t>
      </w:r>
      <w:r w:rsidR="00A97762" w:rsidRPr="005D42BA">
        <w:rPr>
          <w:rFonts w:ascii="Times New Roman" w:hAnsi="Times New Roman" w:cs="Times New Roman"/>
          <w:sz w:val="24"/>
          <w:szCs w:val="24"/>
        </w:rPr>
        <w:t xml:space="preserve"> </w:t>
      </w:r>
      <w:r w:rsidR="00A97762" w:rsidRPr="001F1CAC">
        <w:rPr>
          <w:rFonts w:ascii="Times New Roman" w:hAnsi="Times New Roman" w:cs="Times New Roman"/>
          <w:sz w:val="24"/>
          <w:szCs w:val="24"/>
        </w:rPr>
        <w:t>Journal of Finance</w:t>
      </w:r>
      <w:r w:rsidR="00A97762" w:rsidRPr="005D42BA">
        <w:rPr>
          <w:rFonts w:ascii="Times New Roman" w:hAnsi="Times New Roman" w:cs="Times New Roman"/>
          <w:i/>
          <w:sz w:val="24"/>
          <w:szCs w:val="24"/>
        </w:rPr>
        <w:t xml:space="preserve">, </w:t>
      </w:r>
      <w:r w:rsidR="00A97762" w:rsidRPr="005D42BA">
        <w:rPr>
          <w:rFonts w:ascii="Times New Roman" w:hAnsi="Times New Roman" w:cs="Times New Roman"/>
          <w:sz w:val="24"/>
          <w:szCs w:val="24"/>
        </w:rPr>
        <w:t xml:space="preserve">47(2), 427-465. </w:t>
      </w:r>
    </w:p>
    <w:p w:rsidR="00197D13" w:rsidRPr="005D42BA" w:rsidRDefault="00197D13"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Fama</w:t>
      </w:r>
      <w:proofErr w:type="spellEnd"/>
      <w:r w:rsidRPr="005D42BA">
        <w:rPr>
          <w:rFonts w:ascii="Times New Roman" w:hAnsi="Times New Roman" w:cs="Times New Roman"/>
          <w:sz w:val="24"/>
          <w:szCs w:val="24"/>
        </w:rPr>
        <w:t>, E.F.</w:t>
      </w:r>
      <w:r w:rsidR="001F1CAC">
        <w:rPr>
          <w:rFonts w:ascii="Times New Roman" w:hAnsi="Times New Roman" w:cs="Times New Roman"/>
          <w:sz w:val="24"/>
          <w:szCs w:val="24"/>
        </w:rPr>
        <w:t>,</w:t>
      </w:r>
      <w:r w:rsidRPr="005D42BA">
        <w:rPr>
          <w:rFonts w:ascii="Times New Roman" w:hAnsi="Times New Roman" w:cs="Times New Roman"/>
          <w:sz w:val="24"/>
          <w:szCs w:val="24"/>
        </w:rPr>
        <w:t xml:space="preserve"> French, K.R. (1993). Common </w:t>
      </w:r>
      <w:r w:rsidR="001F1CAC" w:rsidRPr="005D42BA">
        <w:rPr>
          <w:rFonts w:ascii="Times New Roman" w:hAnsi="Times New Roman" w:cs="Times New Roman"/>
          <w:sz w:val="24"/>
          <w:szCs w:val="24"/>
        </w:rPr>
        <w:t>risk factors in the returns on stocks and bonds</w:t>
      </w:r>
      <w:r w:rsidR="001F1CAC">
        <w:rPr>
          <w:rFonts w:ascii="Times New Roman" w:hAnsi="Times New Roman" w:cs="Times New Roman"/>
          <w:sz w:val="24"/>
          <w:szCs w:val="24"/>
        </w:rPr>
        <w:t>.</w:t>
      </w:r>
      <w:r w:rsidRPr="005D42BA">
        <w:rPr>
          <w:rFonts w:ascii="Times New Roman" w:hAnsi="Times New Roman" w:cs="Times New Roman"/>
          <w:sz w:val="24"/>
          <w:szCs w:val="24"/>
        </w:rPr>
        <w:t xml:space="preserve"> </w:t>
      </w:r>
      <w:r w:rsidRPr="001F1CAC">
        <w:rPr>
          <w:rFonts w:ascii="Times New Roman" w:hAnsi="Times New Roman" w:cs="Times New Roman"/>
          <w:sz w:val="24"/>
          <w:szCs w:val="24"/>
        </w:rPr>
        <w:t>Journal of Financial Economics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33(1), 3-56.</w:t>
      </w:r>
    </w:p>
    <w:p w:rsidR="005A2CD6" w:rsidRPr="005D42BA" w:rsidRDefault="005A2CD6"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Feldman, R., </w:t>
      </w:r>
      <w:proofErr w:type="spellStart"/>
      <w:r w:rsidRPr="005D42BA">
        <w:rPr>
          <w:rFonts w:ascii="Times New Roman" w:hAnsi="Times New Roman" w:cs="Times New Roman"/>
          <w:sz w:val="24"/>
          <w:szCs w:val="24"/>
        </w:rPr>
        <w:t>Govindaraj</w:t>
      </w:r>
      <w:proofErr w:type="spellEnd"/>
      <w:r w:rsidRPr="005D42BA">
        <w:rPr>
          <w:rFonts w:ascii="Times New Roman" w:hAnsi="Times New Roman" w:cs="Times New Roman"/>
          <w:sz w:val="24"/>
          <w:szCs w:val="24"/>
        </w:rPr>
        <w:t xml:space="preserve">, S., </w:t>
      </w:r>
      <w:proofErr w:type="spellStart"/>
      <w:r w:rsidRPr="005D42BA">
        <w:rPr>
          <w:rFonts w:ascii="Times New Roman" w:hAnsi="Times New Roman" w:cs="Times New Roman"/>
          <w:sz w:val="24"/>
          <w:szCs w:val="24"/>
        </w:rPr>
        <w:t>Livnat</w:t>
      </w:r>
      <w:proofErr w:type="spellEnd"/>
      <w:r w:rsidRPr="005D42BA">
        <w:rPr>
          <w:rFonts w:ascii="Times New Roman" w:hAnsi="Times New Roman" w:cs="Times New Roman"/>
          <w:sz w:val="24"/>
          <w:szCs w:val="24"/>
        </w:rPr>
        <w:t>, J.</w:t>
      </w:r>
      <w:r w:rsidR="001F1CAC">
        <w:rPr>
          <w:rFonts w:ascii="Times New Roman" w:hAnsi="Times New Roman" w:cs="Times New Roman"/>
          <w:sz w:val="24"/>
          <w:szCs w:val="24"/>
        </w:rPr>
        <w:t>,</w:t>
      </w:r>
      <w:r w:rsidRPr="005D42BA">
        <w:rPr>
          <w:rFonts w:ascii="Times New Roman" w:hAnsi="Times New Roman" w:cs="Times New Roman"/>
          <w:sz w:val="24"/>
          <w:szCs w:val="24"/>
        </w:rPr>
        <w:t xml:space="preserve"> Segal, B. (2008). The Incremental Information Content of Tone Change in Management Discussion and Analysis </w:t>
      </w:r>
      <w:r w:rsidR="001F1CAC" w:rsidRPr="001F1CAC">
        <w:rPr>
          <w:rFonts w:ascii="Times New Roman" w:hAnsi="Times New Roman" w:cs="Times New Roman"/>
          <w:sz w:val="24"/>
          <w:szCs w:val="24"/>
        </w:rPr>
        <w:t>(</w:t>
      </w:r>
      <w:r w:rsidRPr="001F1CAC">
        <w:rPr>
          <w:rFonts w:ascii="Times New Roman" w:hAnsi="Times New Roman" w:cs="Times New Roman"/>
          <w:sz w:val="24"/>
          <w:szCs w:val="24"/>
        </w:rPr>
        <w:t>SSRN Working Paper</w:t>
      </w:r>
      <w:r w:rsidR="001F1CAC">
        <w:rPr>
          <w:rFonts w:ascii="Times New Roman" w:hAnsi="Times New Roman" w:cs="Times New Roman"/>
          <w:sz w:val="24"/>
          <w:szCs w:val="24"/>
        </w:rPr>
        <w:t>), available on the internet at</w:t>
      </w:r>
      <w:r w:rsidRPr="005D42BA">
        <w:rPr>
          <w:rFonts w:ascii="Times New Roman" w:hAnsi="Times New Roman" w:cs="Times New Roman"/>
          <w:sz w:val="24"/>
          <w:szCs w:val="24"/>
        </w:rPr>
        <w:t xml:space="preserve"> </w:t>
      </w:r>
      <w:r w:rsidR="00B92F9C" w:rsidRPr="00DE65E7">
        <w:rPr>
          <w:rFonts w:ascii="Times New Roman" w:hAnsi="Times New Roman" w:cs="Times New Roman"/>
          <w:sz w:val="24"/>
          <w:szCs w:val="24"/>
        </w:rPr>
        <w:t>http://ssrn.com/abstract=1126962</w:t>
      </w:r>
      <w:r w:rsidR="00B92F9C">
        <w:rPr>
          <w:rFonts w:ascii="Times New Roman" w:hAnsi="Times New Roman" w:cs="Times New Roman"/>
          <w:sz w:val="24"/>
          <w:szCs w:val="24"/>
        </w:rPr>
        <w:t xml:space="preserve"> </w:t>
      </w:r>
      <w:r w:rsidR="001F1CAC">
        <w:rPr>
          <w:rFonts w:ascii="Times New Roman" w:hAnsi="Times New Roman" w:cs="Times New Roman"/>
          <w:sz w:val="24"/>
          <w:szCs w:val="24"/>
        </w:rPr>
        <w:t>Accessed 08.07.15</w:t>
      </w:r>
      <w:r w:rsidRPr="005D42BA">
        <w:rPr>
          <w:rFonts w:ascii="Times New Roman" w:hAnsi="Times New Roman" w:cs="Times New Roman"/>
          <w:sz w:val="24"/>
          <w:szCs w:val="24"/>
        </w:rPr>
        <w:t>.</w:t>
      </w:r>
    </w:p>
    <w:p w:rsidR="005E48E3" w:rsidRDefault="005E48E3"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Ferguson, N.J., Philip, D., Lam, </w:t>
      </w:r>
      <w:r w:rsidR="00B92F9C">
        <w:rPr>
          <w:rFonts w:ascii="Times New Roman" w:hAnsi="Times New Roman" w:cs="Times New Roman"/>
          <w:sz w:val="24"/>
          <w:szCs w:val="24"/>
        </w:rPr>
        <w:t>H.Y.T.,</w:t>
      </w:r>
      <w:r w:rsidRPr="005D42BA">
        <w:rPr>
          <w:rFonts w:ascii="Times New Roman" w:hAnsi="Times New Roman" w:cs="Times New Roman"/>
          <w:sz w:val="24"/>
          <w:szCs w:val="24"/>
        </w:rPr>
        <w:t xml:space="preserve"> </w:t>
      </w:r>
      <w:proofErr w:type="spellStart"/>
      <w:r w:rsidRPr="005D42BA">
        <w:rPr>
          <w:rFonts w:ascii="Times New Roman" w:hAnsi="Times New Roman" w:cs="Times New Roman"/>
          <w:sz w:val="24"/>
          <w:szCs w:val="24"/>
        </w:rPr>
        <w:t>Guo</w:t>
      </w:r>
      <w:proofErr w:type="spellEnd"/>
      <w:r w:rsidRPr="005D42BA">
        <w:rPr>
          <w:rFonts w:ascii="Times New Roman" w:hAnsi="Times New Roman" w:cs="Times New Roman"/>
          <w:sz w:val="24"/>
          <w:szCs w:val="24"/>
        </w:rPr>
        <w:t>, J.M. (2015)</w:t>
      </w:r>
      <w:r w:rsidR="0089715E" w:rsidRPr="005D42BA">
        <w:rPr>
          <w:rFonts w:ascii="Times New Roman" w:hAnsi="Times New Roman" w:cs="Times New Roman"/>
          <w:sz w:val="24"/>
          <w:szCs w:val="24"/>
        </w:rPr>
        <w:t>.</w:t>
      </w:r>
      <w:r w:rsidRPr="005D42BA">
        <w:rPr>
          <w:rFonts w:ascii="Times New Roman" w:hAnsi="Times New Roman" w:cs="Times New Roman"/>
          <w:sz w:val="24"/>
          <w:szCs w:val="24"/>
        </w:rPr>
        <w:t xml:space="preserve"> Media </w:t>
      </w:r>
      <w:r w:rsidR="00B92F9C" w:rsidRPr="005D42BA">
        <w:rPr>
          <w:rFonts w:ascii="Times New Roman" w:hAnsi="Times New Roman" w:cs="Times New Roman"/>
          <w:sz w:val="24"/>
          <w:szCs w:val="24"/>
        </w:rPr>
        <w:t>content and stock returns: the predictive power of press</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Multinational Finance Journal</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19(1), 1-31.</w:t>
      </w:r>
    </w:p>
    <w:p w:rsidR="00E370F2" w:rsidRPr="005D42BA" w:rsidRDefault="00E370F2"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Ferran</w:t>
      </w:r>
      <w:proofErr w:type="spellEnd"/>
      <w:r>
        <w:rPr>
          <w:rFonts w:ascii="Times New Roman" w:hAnsi="Times New Roman" w:cs="Times New Roman"/>
          <w:sz w:val="24"/>
          <w:szCs w:val="24"/>
        </w:rPr>
        <w:t>, E. (2009). Are the US-style investor suits coming to the UK? Journal of Corporate Finance Law Studies, 9(2), 315-348.</w:t>
      </w:r>
    </w:p>
    <w:p w:rsidR="00197553"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Francis, J., </w:t>
      </w:r>
      <w:proofErr w:type="spellStart"/>
      <w:r>
        <w:rPr>
          <w:rFonts w:ascii="Times New Roman" w:hAnsi="Times New Roman" w:cs="Times New Roman"/>
          <w:sz w:val="24"/>
          <w:szCs w:val="24"/>
        </w:rPr>
        <w:t>Schipper</w:t>
      </w:r>
      <w:proofErr w:type="spellEnd"/>
      <w:r>
        <w:rPr>
          <w:rFonts w:ascii="Times New Roman" w:hAnsi="Times New Roman" w:cs="Times New Roman"/>
          <w:sz w:val="24"/>
          <w:szCs w:val="24"/>
        </w:rPr>
        <w:t>, K.,</w:t>
      </w:r>
      <w:r w:rsidR="00197553" w:rsidRPr="005D42BA">
        <w:rPr>
          <w:rFonts w:ascii="Times New Roman" w:hAnsi="Times New Roman" w:cs="Times New Roman"/>
          <w:sz w:val="24"/>
          <w:szCs w:val="24"/>
        </w:rPr>
        <w:t xml:space="preserve"> Vincent, L. (2002). Disclosures </w:t>
      </w:r>
      <w:r w:rsidRPr="005D42BA">
        <w:rPr>
          <w:rFonts w:ascii="Times New Roman" w:hAnsi="Times New Roman" w:cs="Times New Roman"/>
          <w:sz w:val="24"/>
          <w:szCs w:val="24"/>
        </w:rPr>
        <w:t>and the increased usefulness of earnings announcements</w:t>
      </w:r>
      <w:r>
        <w:rPr>
          <w:rFonts w:ascii="Times New Roman" w:hAnsi="Times New Roman" w:cs="Times New Roman"/>
          <w:sz w:val="24"/>
          <w:szCs w:val="24"/>
        </w:rPr>
        <w:t>.</w:t>
      </w:r>
      <w:r w:rsidR="00197553" w:rsidRPr="005D42BA">
        <w:rPr>
          <w:rFonts w:ascii="Times New Roman" w:hAnsi="Times New Roman" w:cs="Times New Roman"/>
          <w:sz w:val="24"/>
          <w:szCs w:val="24"/>
        </w:rPr>
        <w:t xml:space="preserve"> </w:t>
      </w:r>
      <w:r w:rsidR="00197553" w:rsidRPr="00905CA8">
        <w:rPr>
          <w:rFonts w:ascii="Times New Roman" w:hAnsi="Times New Roman" w:cs="Times New Roman"/>
          <w:sz w:val="24"/>
          <w:szCs w:val="24"/>
        </w:rPr>
        <w:t>Accounting Review</w:t>
      </w:r>
      <w:r w:rsidR="00197553" w:rsidRPr="005D42BA">
        <w:rPr>
          <w:rFonts w:ascii="Times New Roman" w:hAnsi="Times New Roman" w:cs="Times New Roman"/>
          <w:i/>
          <w:sz w:val="24"/>
          <w:szCs w:val="24"/>
        </w:rPr>
        <w:t xml:space="preserve">, </w:t>
      </w:r>
      <w:r w:rsidR="00197553" w:rsidRPr="005D42BA">
        <w:rPr>
          <w:rFonts w:ascii="Times New Roman" w:hAnsi="Times New Roman" w:cs="Times New Roman"/>
          <w:sz w:val="24"/>
          <w:szCs w:val="24"/>
        </w:rPr>
        <w:t xml:space="preserve">77(3), 515-546. </w:t>
      </w:r>
    </w:p>
    <w:p w:rsidR="002F5694"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Frankel, R., </w:t>
      </w:r>
      <w:proofErr w:type="spellStart"/>
      <w:r>
        <w:rPr>
          <w:rFonts w:ascii="Times New Roman" w:hAnsi="Times New Roman" w:cs="Times New Roman"/>
          <w:sz w:val="24"/>
          <w:szCs w:val="24"/>
        </w:rPr>
        <w:t>Mayew</w:t>
      </w:r>
      <w:proofErr w:type="spellEnd"/>
      <w:r>
        <w:rPr>
          <w:rFonts w:ascii="Times New Roman" w:hAnsi="Times New Roman" w:cs="Times New Roman"/>
          <w:sz w:val="24"/>
          <w:szCs w:val="24"/>
        </w:rPr>
        <w:t>, W.,</w:t>
      </w:r>
      <w:r w:rsidR="008C2C2B">
        <w:rPr>
          <w:rFonts w:ascii="Times New Roman" w:hAnsi="Times New Roman" w:cs="Times New Roman"/>
          <w:sz w:val="24"/>
          <w:szCs w:val="24"/>
        </w:rPr>
        <w:t xml:space="preserve"> Sun, Y. (2010</w:t>
      </w:r>
      <w:r w:rsidR="002F5694" w:rsidRPr="005D42BA">
        <w:rPr>
          <w:rFonts w:ascii="Times New Roman" w:hAnsi="Times New Roman" w:cs="Times New Roman"/>
          <w:sz w:val="24"/>
          <w:szCs w:val="24"/>
        </w:rPr>
        <w:t xml:space="preserve">). Do </w:t>
      </w:r>
      <w:r>
        <w:rPr>
          <w:rFonts w:ascii="Times New Roman" w:hAnsi="Times New Roman" w:cs="Times New Roman"/>
          <w:sz w:val="24"/>
          <w:szCs w:val="24"/>
        </w:rPr>
        <w:t>p</w:t>
      </w:r>
      <w:r w:rsidR="002F5694" w:rsidRPr="005D42BA">
        <w:rPr>
          <w:rFonts w:ascii="Times New Roman" w:hAnsi="Times New Roman" w:cs="Times New Roman"/>
          <w:sz w:val="24"/>
          <w:szCs w:val="24"/>
        </w:rPr>
        <w:t xml:space="preserve">ennies </w:t>
      </w:r>
      <w:r>
        <w:rPr>
          <w:rFonts w:ascii="Times New Roman" w:hAnsi="Times New Roman" w:cs="Times New Roman"/>
          <w:sz w:val="24"/>
          <w:szCs w:val="24"/>
        </w:rPr>
        <w:t>m</w:t>
      </w:r>
      <w:r w:rsidR="002F5694" w:rsidRPr="005D42BA">
        <w:rPr>
          <w:rFonts w:ascii="Times New Roman" w:hAnsi="Times New Roman" w:cs="Times New Roman"/>
          <w:sz w:val="24"/>
          <w:szCs w:val="24"/>
        </w:rPr>
        <w:t xml:space="preserve">atter? Investor </w:t>
      </w:r>
      <w:r w:rsidRPr="005D42BA">
        <w:rPr>
          <w:rFonts w:ascii="Times New Roman" w:hAnsi="Times New Roman" w:cs="Times New Roman"/>
          <w:sz w:val="24"/>
          <w:szCs w:val="24"/>
        </w:rPr>
        <w:t>relations consequences of small negative earnings surprises</w:t>
      </w:r>
      <w:r>
        <w:rPr>
          <w:rFonts w:ascii="Times New Roman" w:hAnsi="Times New Roman" w:cs="Times New Roman"/>
          <w:sz w:val="24"/>
          <w:szCs w:val="24"/>
        </w:rPr>
        <w:t>.</w:t>
      </w:r>
      <w:r w:rsidR="002F5694" w:rsidRPr="005D42BA">
        <w:rPr>
          <w:rFonts w:ascii="Times New Roman" w:hAnsi="Times New Roman" w:cs="Times New Roman"/>
          <w:sz w:val="24"/>
          <w:szCs w:val="24"/>
        </w:rPr>
        <w:t xml:space="preserve"> </w:t>
      </w:r>
      <w:r w:rsidR="002F5694" w:rsidRPr="00905CA8">
        <w:rPr>
          <w:rFonts w:ascii="Times New Roman" w:hAnsi="Times New Roman" w:cs="Times New Roman"/>
          <w:sz w:val="24"/>
          <w:szCs w:val="24"/>
        </w:rPr>
        <w:t>Review of Accounting Studies</w:t>
      </w:r>
      <w:r w:rsidR="002F5694" w:rsidRPr="005D42BA">
        <w:rPr>
          <w:rFonts w:ascii="Times New Roman" w:hAnsi="Times New Roman" w:cs="Times New Roman"/>
          <w:sz w:val="24"/>
          <w:szCs w:val="24"/>
        </w:rPr>
        <w:t>, 15(1), 220-242.</w:t>
      </w:r>
    </w:p>
    <w:p w:rsidR="00423775" w:rsidRPr="005D42BA" w:rsidRDefault="00423775"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Frazier, K.B., Ingram, R.W.</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Tennyson, B.M. (1984). A </w:t>
      </w:r>
      <w:r w:rsidR="00B92F9C" w:rsidRPr="005D42BA">
        <w:rPr>
          <w:rFonts w:ascii="Times New Roman" w:hAnsi="Times New Roman" w:cs="Times New Roman"/>
          <w:sz w:val="24"/>
          <w:szCs w:val="24"/>
        </w:rPr>
        <w:t>methodology for the analysis of narrative accounting disclosures</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Journal of Accounting Research</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22(1), 318-331.</w:t>
      </w:r>
    </w:p>
    <w:p w:rsidR="004A0976" w:rsidRPr="005D42BA" w:rsidRDefault="004A0976"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Freeman, R.N. (1987). The </w:t>
      </w:r>
      <w:r w:rsidR="00B92F9C" w:rsidRPr="005D42BA">
        <w:rPr>
          <w:rFonts w:ascii="Times New Roman" w:hAnsi="Times New Roman" w:cs="Times New Roman"/>
          <w:sz w:val="24"/>
          <w:szCs w:val="24"/>
        </w:rPr>
        <w:t>association between accounting earnings and security returns for large and small firms</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Journal of Accounting and Economics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9(2), 195-228. </w:t>
      </w:r>
    </w:p>
    <w:p w:rsidR="00675F80" w:rsidRDefault="00675F80"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Frost, C.A., </w:t>
      </w:r>
      <w:proofErr w:type="spellStart"/>
      <w:r>
        <w:rPr>
          <w:rFonts w:ascii="Times New Roman" w:hAnsi="Times New Roman" w:cs="Times New Roman"/>
          <w:sz w:val="24"/>
          <w:szCs w:val="24"/>
        </w:rPr>
        <w:t>Pownall</w:t>
      </w:r>
      <w:proofErr w:type="spellEnd"/>
      <w:r>
        <w:rPr>
          <w:rFonts w:ascii="Times New Roman" w:hAnsi="Times New Roman" w:cs="Times New Roman"/>
          <w:sz w:val="24"/>
          <w:szCs w:val="24"/>
        </w:rPr>
        <w:t>, G. (1994). Accounting disclosure practices in the United States and the United Kingdom. Journal of Accounting Research, 32(1), 75-102.</w:t>
      </w:r>
    </w:p>
    <w:p w:rsidR="00027BDD" w:rsidRDefault="00027BDD"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Gilbert, A., </w:t>
      </w:r>
      <w:proofErr w:type="spellStart"/>
      <w:r w:rsidRPr="005D42BA">
        <w:rPr>
          <w:rFonts w:ascii="Times New Roman" w:hAnsi="Times New Roman" w:cs="Times New Roman"/>
          <w:sz w:val="24"/>
          <w:szCs w:val="24"/>
        </w:rPr>
        <w:t>Tourani-Rad</w:t>
      </w:r>
      <w:proofErr w:type="spellEnd"/>
      <w:r w:rsidRPr="005D42BA">
        <w:rPr>
          <w:rFonts w:ascii="Times New Roman" w:hAnsi="Times New Roman" w:cs="Times New Roman"/>
          <w:sz w:val="24"/>
          <w:szCs w:val="24"/>
        </w:rPr>
        <w:t>, A.</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Wisniewski, T.P. (2006). Do </w:t>
      </w:r>
      <w:r w:rsidR="00B92F9C" w:rsidRPr="005D42BA">
        <w:rPr>
          <w:rFonts w:ascii="Times New Roman" w:hAnsi="Times New Roman" w:cs="Times New Roman"/>
          <w:sz w:val="24"/>
          <w:szCs w:val="24"/>
        </w:rPr>
        <w:t>insiders crowd out analysts</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Finance Research Letters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3(1), 40-48. </w:t>
      </w:r>
    </w:p>
    <w:p w:rsidR="00376E1E" w:rsidRPr="005D42BA" w:rsidRDefault="00376E1E"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Gordon, E.A., Henry, E., </w:t>
      </w:r>
      <w:proofErr w:type="spellStart"/>
      <w:r>
        <w:rPr>
          <w:rFonts w:ascii="Times New Roman" w:hAnsi="Times New Roman" w:cs="Times New Roman"/>
          <w:sz w:val="24"/>
          <w:szCs w:val="24"/>
        </w:rPr>
        <w:t>Peytcheva</w:t>
      </w:r>
      <w:proofErr w:type="spellEnd"/>
      <w:r>
        <w:rPr>
          <w:rFonts w:ascii="Times New Roman" w:hAnsi="Times New Roman" w:cs="Times New Roman"/>
          <w:sz w:val="24"/>
          <w:szCs w:val="24"/>
        </w:rPr>
        <w:t>, M., Sun, L. (2013). Discretionary disclosure and the market reaction to restatements. Review of Quantitative Finance and Accounting, 41(1), 75-110.</w:t>
      </w:r>
    </w:p>
    <w:p w:rsidR="00851DC9"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Grimmer, J.,</w:t>
      </w:r>
      <w:r w:rsidR="00851DC9" w:rsidRPr="005D42BA">
        <w:rPr>
          <w:rFonts w:ascii="Times New Roman" w:hAnsi="Times New Roman" w:cs="Times New Roman"/>
          <w:sz w:val="24"/>
          <w:szCs w:val="24"/>
        </w:rPr>
        <w:t xml:space="preserve"> Stewart, B. M. (2013). Text </w:t>
      </w:r>
      <w:r w:rsidRPr="005D42BA">
        <w:rPr>
          <w:rFonts w:ascii="Times New Roman" w:hAnsi="Times New Roman" w:cs="Times New Roman"/>
          <w:sz w:val="24"/>
          <w:szCs w:val="24"/>
        </w:rPr>
        <w:t>as data: the promise and pitfalls of automatic content analysis methods for political texts</w:t>
      </w:r>
      <w:r>
        <w:rPr>
          <w:rFonts w:ascii="Times New Roman" w:hAnsi="Times New Roman" w:cs="Times New Roman"/>
          <w:sz w:val="24"/>
          <w:szCs w:val="24"/>
        </w:rPr>
        <w:t>.</w:t>
      </w:r>
      <w:r w:rsidR="00851DC9" w:rsidRPr="005D42BA">
        <w:rPr>
          <w:rFonts w:ascii="Times New Roman" w:hAnsi="Times New Roman" w:cs="Times New Roman"/>
          <w:sz w:val="24"/>
          <w:szCs w:val="24"/>
        </w:rPr>
        <w:t xml:space="preserve"> </w:t>
      </w:r>
      <w:r w:rsidR="00851DC9" w:rsidRPr="00B92F9C">
        <w:rPr>
          <w:rFonts w:ascii="Times New Roman" w:hAnsi="Times New Roman" w:cs="Times New Roman"/>
          <w:sz w:val="24"/>
          <w:szCs w:val="24"/>
        </w:rPr>
        <w:t>Political Analysis</w:t>
      </w:r>
      <w:r w:rsidR="00851DC9" w:rsidRPr="005D42BA">
        <w:rPr>
          <w:rFonts w:ascii="Times New Roman" w:hAnsi="Times New Roman" w:cs="Times New Roman"/>
          <w:i/>
          <w:sz w:val="24"/>
          <w:szCs w:val="24"/>
        </w:rPr>
        <w:t xml:space="preserve">, </w:t>
      </w:r>
      <w:r w:rsidR="00851DC9" w:rsidRPr="005D42BA">
        <w:rPr>
          <w:rFonts w:ascii="Times New Roman" w:hAnsi="Times New Roman" w:cs="Times New Roman"/>
          <w:sz w:val="24"/>
          <w:szCs w:val="24"/>
        </w:rPr>
        <w:t>21(3), 267-297.</w:t>
      </w:r>
    </w:p>
    <w:p w:rsidR="002A1C79" w:rsidRPr="005D42BA" w:rsidRDefault="002A1C79"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Henry, E. (2006). Market </w:t>
      </w:r>
      <w:r w:rsidR="00B92F9C" w:rsidRPr="005D42BA">
        <w:rPr>
          <w:rFonts w:ascii="Times New Roman" w:hAnsi="Times New Roman" w:cs="Times New Roman"/>
          <w:sz w:val="24"/>
          <w:szCs w:val="24"/>
        </w:rPr>
        <w:t>reaction to verbal components of earnings press releases: event study using a predictive algorithm</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Journal of Emerging Technologies in Accounting</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3, 1-19.</w:t>
      </w:r>
    </w:p>
    <w:p w:rsidR="00B704F7" w:rsidRPr="005D42BA" w:rsidRDefault="00B704F7"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Henry, E. (2008). Are </w:t>
      </w:r>
      <w:r w:rsidR="00B92F9C" w:rsidRPr="005D42BA">
        <w:rPr>
          <w:rFonts w:ascii="Times New Roman" w:hAnsi="Times New Roman" w:cs="Times New Roman"/>
          <w:sz w:val="24"/>
          <w:szCs w:val="24"/>
        </w:rPr>
        <w:t>investors influenced by how earnings press releases are written?</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Journal of Business Communication</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45(4), 363-407. </w:t>
      </w:r>
    </w:p>
    <w:p w:rsidR="00B704F7"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Henry, E.,</w:t>
      </w:r>
      <w:r w:rsidR="00B704F7" w:rsidRPr="005D42BA">
        <w:rPr>
          <w:rFonts w:ascii="Times New Roman" w:hAnsi="Times New Roman" w:cs="Times New Roman"/>
          <w:sz w:val="24"/>
          <w:szCs w:val="24"/>
        </w:rPr>
        <w:t xml:space="preserve"> Leone, A.J. (2009). Measuring Qualitative Informat</w:t>
      </w:r>
      <w:r>
        <w:rPr>
          <w:rFonts w:ascii="Times New Roman" w:hAnsi="Times New Roman" w:cs="Times New Roman"/>
          <w:sz w:val="24"/>
          <w:szCs w:val="24"/>
        </w:rPr>
        <w:t>ion in Capital Markets Research</w:t>
      </w:r>
      <w:r w:rsidR="00B704F7" w:rsidRPr="005D42BA">
        <w:rPr>
          <w:rFonts w:ascii="Times New Roman" w:hAnsi="Times New Roman" w:cs="Times New Roman"/>
          <w:sz w:val="24"/>
          <w:szCs w:val="24"/>
        </w:rPr>
        <w:t xml:space="preserve"> </w:t>
      </w:r>
      <w:r w:rsidRPr="00B92F9C">
        <w:rPr>
          <w:rFonts w:ascii="Times New Roman" w:hAnsi="Times New Roman" w:cs="Times New Roman"/>
          <w:sz w:val="24"/>
          <w:szCs w:val="24"/>
        </w:rPr>
        <w:t>(</w:t>
      </w:r>
      <w:r w:rsidR="00B704F7" w:rsidRPr="00B92F9C">
        <w:rPr>
          <w:rFonts w:ascii="Times New Roman" w:hAnsi="Times New Roman" w:cs="Times New Roman"/>
          <w:sz w:val="24"/>
          <w:szCs w:val="24"/>
        </w:rPr>
        <w:t>SSRN Working Paper</w:t>
      </w:r>
      <w:r w:rsidRPr="00B92F9C">
        <w:rPr>
          <w:rFonts w:ascii="Times New Roman" w:hAnsi="Times New Roman" w:cs="Times New Roman"/>
          <w:sz w:val="24"/>
          <w:szCs w:val="24"/>
        </w:rPr>
        <w:t>)</w:t>
      </w:r>
      <w:r w:rsidR="00B704F7" w:rsidRPr="005D42BA">
        <w:rPr>
          <w:rFonts w:ascii="Times New Roman" w:hAnsi="Times New Roman" w:cs="Times New Roman"/>
          <w:sz w:val="24"/>
          <w:szCs w:val="24"/>
        </w:rPr>
        <w:t xml:space="preserve">, </w:t>
      </w:r>
      <w:r>
        <w:rPr>
          <w:rFonts w:ascii="Times New Roman" w:hAnsi="Times New Roman" w:cs="Times New Roman"/>
          <w:sz w:val="24"/>
          <w:szCs w:val="24"/>
        </w:rPr>
        <w:t xml:space="preserve">available on the internet at </w:t>
      </w:r>
      <w:r w:rsidR="00DE65E7" w:rsidRPr="00DE65E7">
        <w:rPr>
          <w:rFonts w:ascii="Times New Roman" w:hAnsi="Times New Roman" w:cs="Times New Roman"/>
          <w:sz w:val="24"/>
          <w:szCs w:val="24"/>
        </w:rPr>
        <w:t xml:space="preserve">http://ssrn.com/abstract=1470807 </w:t>
      </w:r>
      <w:r>
        <w:rPr>
          <w:rFonts w:ascii="Times New Roman" w:hAnsi="Times New Roman" w:cs="Times New Roman"/>
          <w:sz w:val="24"/>
          <w:szCs w:val="24"/>
        </w:rPr>
        <w:t>Accessed 08.07.15</w:t>
      </w:r>
      <w:r w:rsidR="00B704F7" w:rsidRPr="005D42BA">
        <w:rPr>
          <w:rFonts w:ascii="Times New Roman" w:hAnsi="Times New Roman" w:cs="Times New Roman"/>
          <w:sz w:val="24"/>
          <w:szCs w:val="24"/>
        </w:rPr>
        <w:t xml:space="preserve">. </w:t>
      </w:r>
    </w:p>
    <w:p w:rsidR="0079302F"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Hildebrandt, H.W.,</w:t>
      </w:r>
      <w:r w:rsidR="004C6DCB" w:rsidRPr="005D42BA">
        <w:rPr>
          <w:rFonts w:ascii="Times New Roman" w:hAnsi="Times New Roman" w:cs="Times New Roman"/>
          <w:sz w:val="24"/>
          <w:szCs w:val="24"/>
        </w:rPr>
        <w:t xml:space="preserve"> Sny</w:t>
      </w:r>
      <w:r w:rsidR="0079302F" w:rsidRPr="005D42BA">
        <w:rPr>
          <w:rFonts w:ascii="Times New Roman" w:hAnsi="Times New Roman" w:cs="Times New Roman"/>
          <w:sz w:val="24"/>
          <w:szCs w:val="24"/>
        </w:rPr>
        <w:t>d</w:t>
      </w:r>
      <w:r w:rsidR="004C6DCB" w:rsidRPr="005D42BA">
        <w:rPr>
          <w:rFonts w:ascii="Times New Roman" w:hAnsi="Times New Roman" w:cs="Times New Roman"/>
          <w:sz w:val="24"/>
          <w:szCs w:val="24"/>
        </w:rPr>
        <w:t>e</w:t>
      </w:r>
      <w:r w:rsidR="0079302F" w:rsidRPr="005D42BA">
        <w:rPr>
          <w:rFonts w:ascii="Times New Roman" w:hAnsi="Times New Roman" w:cs="Times New Roman"/>
          <w:sz w:val="24"/>
          <w:szCs w:val="24"/>
        </w:rPr>
        <w:t xml:space="preserve">r, R.D. (1981). </w:t>
      </w:r>
      <w:r w:rsidR="004C6DCB" w:rsidRPr="005D42BA">
        <w:rPr>
          <w:rFonts w:ascii="Times New Roman" w:hAnsi="Times New Roman" w:cs="Times New Roman"/>
          <w:sz w:val="24"/>
          <w:szCs w:val="24"/>
        </w:rPr>
        <w:t xml:space="preserve">The Pollyanna </w:t>
      </w:r>
      <w:r w:rsidRPr="005D42BA">
        <w:rPr>
          <w:rFonts w:ascii="Times New Roman" w:hAnsi="Times New Roman" w:cs="Times New Roman"/>
          <w:sz w:val="24"/>
          <w:szCs w:val="24"/>
        </w:rPr>
        <w:t>hypothesis in business writing: initial results, suggestions for research</w:t>
      </w:r>
      <w:r>
        <w:rPr>
          <w:rFonts w:ascii="Times New Roman" w:hAnsi="Times New Roman" w:cs="Times New Roman"/>
          <w:sz w:val="24"/>
          <w:szCs w:val="24"/>
        </w:rPr>
        <w:t>.</w:t>
      </w:r>
      <w:r w:rsidR="004C6DCB" w:rsidRPr="005D42BA">
        <w:rPr>
          <w:rFonts w:ascii="Times New Roman" w:hAnsi="Times New Roman" w:cs="Times New Roman"/>
          <w:sz w:val="24"/>
          <w:szCs w:val="24"/>
        </w:rPr>
        <w:t xml:space="preserve"> </w:t>
      </w:r>
      <w:r w:rsidR="004C6DCB" w:rsidRPr="00B92F9C">
        <w:rPr>
          <w:rFonts w:ascii="Times New Roman" w:hAnsi="Times New Roman" w:cs="Times New Roman"/>
          <w:sz w:val="24"/>
          <w:szCs w:val="24"/>
        </w:rPr>
        <w:t>International Journal of Business Communication</w:t>
      </w:r>
      <w:r w:rsidR="004C6DCB" w:rsidRPr="005D42BA">
        <w:rPr>
          <w:rFonts w:ascii="Times New Roman" w:hAnsi="Times New Roman" w:cs="Times New Roman"/>
          <w:i/>
          <w:sz w:val="24"/>
          <w:szCs w:val="24"/>
        </w:rPr>
        <w:t xml:space="preserve">, </w:t>
      </w:r>
      <w:r w:rsidR="004C6DCB" w:rsidRPr="005D42BA">
        <w:rPr>
          <w:rFonts w:ascii="Times New Roman" w:hAnsi="Times New Roman" w:cs="Times New Roman"/>
          <w:sz w:val="24"/>
          <w:szCs w:val="24"/>
        </w:rPr>
        <w:t xml:space="preserve">18(1), 5-15. </w:t>
      </w:r>
    </w:p>
    <w:p w:rsidR="00F5088F" w:rsidRPr="005D42BA" w:rsidRDefault="00B92F9C" w:rsidP="00A652A1">
      <w:pPr>
        <w:autoSpaceDE w:val="0"/>
        <w:autoSpaceDN w:val="0"/>
        <w:adjustRightInd w:val="0"/>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Hoskin</w:t>
      </w:r>
      <w:proofErr w:type="spellEnd"/>
      <w:r>
        <w:rPr>
          <w:rFonts w:ascii="Times New Roman" w:hAnsi="Times New Roman" w:cs="Times New Roman"/>
          <w:sz w:val="24"/>
          <w:szCs w:val="24"/>
        </w:rPr>
        <w:t>, R., Hughes, J.,</w:t>
      </w:r>
      <w:r w:rsidR="00F5088F" w:rsidRPr="005D42BA">
        <w:rPr>
          <w:rFonts w:ascii="Times New Roman" w:hAnsi="Times New Roman" w:cs="Times New Roman"/>
          <w:sz w:val="24"/>
          <w:szCs w:val="24"/>
        </w:rPr>
        <w:t xml:space="preserve"> Ricks, W. (1986). Evidence </w:t>
      </w:r>
      <w:r w:rsidRPr="005D42BA">
        <w:rPr>
          <w:rFonts w:ascii="Times New Roman" w:hAnsi="Times New Roman" w:cs="Times New Roman"/>
          <w:sz w:val="24"/>
          <w:szCs w:val="24"/>
        </w:rPr>
        <w:t>on the incremental information content of additional firm disclosures made concurrently with earnings</w:t>
      </w:r>
      <w:r>
        <w:rPr>
          <w:rFonts w:ascii="Times New Roman" w:hAnsi="Times New Roman" w:cs="Times New Roman"/>
          <w:sz w:val="24"/>
          <w:szCs w:val="24"/>
        </w:rPr>
        <w:t>.</w:t>
      </w:r>
      <w:r w:rsidR="00F5088F" w:rsidRPr="005D42BA">
        <w:rPr>
          <w:rFonts w:ascii="Times New Roman" w:hAnsi="Times New Roman" w:cs="Times New Roman"/>
          <w:sz w:val="24"/>
          <w:szCs w:val="24"/>
        </w:rPr>
        <w:t xml:space="preserve"> </w:t>
      </w:r>
      <w:r w:rsidR="00F5088F" w:rsidRPr="00B92F9C">
        <w:rPr>
          <w:rFonts w:ascii="Times New Roman" w:hAnsi="Times New Roman" w:cs="Times New Roman"/>
          <w:sz w:val="24"/>
          <w:szCs w:val="24"/>
        </w:rPr>
        <w:t>Journal of Accounting Research,</w:t>
      </w:r>
      <w:r w:rsidR="00F5088F" w:rsidRPr="005D42BA">
        <w:rPr>
          <w:rFonts w:ascii="Times New Roman" w:hAnsi="Times New Roman" w:cs="Times New Roman"/>
          <w:sz w:val="24"/>
          <w:szCs w:val="24"/>
        </w:rPr>
        <w:t xml:space="preserve"> 24(Supplement), 1–32.</w:t>
      </w:r>
    </w:p>
    <w:p w:rsidR="004E272F"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Huang, X., </w:t>
      </w:r>
      <w:proofErr w:type="spellStart"/>
      <w:r>
        <w:rPr>
          <w:rFonts w:ascii="Times New Roman" w:hAnsi="Times New Roman" w:cs="Times New Roman"/>
          <w:sz w:val="24"/>
          <w:szCs w:val="24"/>
        </w:rPr>
        <w:t>Teoh</w:t>
      </w:r>
      <w:proofErr w:type="spellEnd"/>
      <w:r>
        <w:rPr>
          <w:rFonts w:ascii="Times New Roman" w:hAnsi="Times New Roman" w:cs="Times New Roman"/>
          <w:sz w:val="24"/>
          <w:szCs w:val="24"/>
        </w:rPr>
        <w:t>, S.H.,</w:t>
      </w:r>
      <w:r w:rsidR="004E272F" w:rsidRPr="005D42BA">
        <w:rPr>
          <w:rFonts w:ascii="Times New Roman" w:hAnsi="Times New Roman" w:cs="Times New Roman"/>
          <w:sz w:val="24"/>
          <w:szCs w:val="24"/>
        </w:rPr>
        <w:t xml:space="preserve"> Zhang, Y. (2014). Tone </w:t>
      </w:r>
      <w:r>
        <w:rPr>
          <w:rFonts w:ascii="Times New Roman" w:hAnsi="Times New Roman" w:cs="Times New Roman"/>
          <w:sz w:val="24"/>
          <w:szCs w:val="24"/>
        </w:rPr>
        <w:t>m</w:t>
      </w:r>
      <w:r w:rsidR="004E272F" w:rsidRPr="005D42BA">
        <w:rPr>
          <w:rFonts w:ascii="Times New Roman" w:hAnsi="Times New Roman" w:cs="Times New Roman"/>
          <w:sz w:val="24"/>
          <w:szCs w:val="24"/>
        </w:rPr>
        <w:t>anagement</w:t>
      </w:r>
      <w:r>
        <w:rPr>
          <w:rFonts w:ascii="Times New Roman" w:hAnsi="Times New Roman" w:cs="Times New Roman"/>
          <w:sz w:val="24"/>
          <w:szCs w:val="24"/>
        </w:rPr>
        <w:t>.</w:t>
      </w:r>
      <w:r w:rsidR="004E272F" w:rsidRPr="005D42BA">
        <w:rPr>
          <w:rFonts w:ascii="Times New Roman" w:hAnsi="Times New Roman" w:cs="Times New Roman"/>
          <w:sz w:val="24"/>
          <w:szCs w:val="24"/>
        </w:rPr>
        <w:t xml:space="preserve"> </w:t>
      </w:r>
      <w:r w:rsidR="004E272F" w:rsidRPr="00B92F9C">
        <w:rPr>
          <w:rFonts w:ascii="Times New Roman" w:hAnsi="Times New Roman" w:cs="Times New Roman"/>
          <w:sz w:val="24"/>
          <w:szCs w:val="24"/>
        </w:rPr>
        <w:t>Accounting Review</w:t>
      </w:r>
      <w:r w:rsidR="004E272F" w:rsidRPr="005D42BA">
        <w:rPr>
          <w:rFonts w:ascii="Times New Roman" w:hAnsi="Times New Roman" w:cs="Times New Roman"/>
          <w:sz w:val="24"/>
          <w:szCs w:val="24"/>
        </w:rPr>
        <w:t>, 89(3), 1083-1113.</w:t>
      </w:r>
    </w:p>
    <w:p w:rsidR="00176A29" w:rsidRPr="005D42BA" w:rsidRDefault="00176A29"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Hughes, J.S.</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Ricks, W.E. (1987). Associations </w:t>
      </w:r>
      <w:r w:rsidR="00B92F9C" w:rsidRPr="005D42BA">
        <w:rPr>
          <w:rFonts w:ascii="Times New Roman" w:hAnsi="Times New Roman" w:cs="Times New Roman"/>
          <w:sz w:val="24"/>
          <w:szCs w:val="24"/>
        </w:rPr>
        <w:t>between forecast errors and excess returns near to earnings announcement</w:t>
      </w:r>
      <w:r w:rsidR="00B92F9C">
        <w:rPr>
          <w:rFonts w:ascii="Times New Roman" w:hAnsi="Times New Roman" w:cs="Times New Roman"/>
          <w:sz w:val="24"/>
          <w:szCs w:val="24"/>
        </w:rPr>
        <w:t>.</w:t>
      </w:r>
      <w:r w:rsidRPr="005D42BA">
        <w:rPr>
          <w:rFonts w:ascii="Times New Roman" w:hAnsi="Times New Roman" w:cs="Times New Roman"/>
          <w:sz w:val="24"/>
          <w:szCs w:val="24"/>
        </w:rPr>
        <w:t xml:space="preserve"> </w:t>
      </w:r>
      <w:r w:rsidRPr="00B92F9C">
        <w:rPr>
          <w:rFonts w:ascii="Times New Roman" w:hAnsi="Times New Roman" w:cs="Times New Roman"/>
          <w:sz w:val="24"/>
          <w:szCs w:val="24"/>
        </w:rPr>
        <w:t>Accounting Review</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62(1), 158-175.</w:t>
      </w:r>
    </w:p>
    <w:p w:rsidR="00AF10DE" w:rsidRPr="005D42BA" w:rsidRDefault="00B92F9C"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Jordan, C.E., Waldron, M.A.,</w:t>
      </w:r>
      <w:r w:rsidR="00AF10DE" w:rsidRPr="005D42BA">
        <w:rPr>
          <w:rFonts w:ascii="Times New Roman" w:hAnsi="Times New Roman" w:cs="Times New Roman"/>
          <w:sz w:val="24"/>
          <w:szCs w:val="24"/>
        </w:rPr>
        <w:t xml:space="preserve"> Clark, S.J. (2007). </w:t>
      </w:r>
      <w:r w:rsidR="00E2608A" w:rsidRPr="005D42BA">
        <w:rPr>
          <w:rFonts w:ascii="Times New Roman" w:hAnsi="Times New Roman" w:cs="Times New Roman"/>
          <w:sz w:val="24"/>
          <w:szCs w:val="24"/>
        </w:rPr>
        <w:t xml:space="preserve">An </w:t>
      </w:r>
      <w:r w:rsidRPr="005D42BA">
        <w:rPr>
          <w:rFonts w:ascii="Times New Roman" w:hAnsi="Times New Roman" w:cs="Times New Roman"/>
          <w:sz w:val="24"/>
          <w:szCs w:val="24"/>
        </w:rPr>
        <w:t>analysis of the comparative predictive abilities of operating cash flows, earnings, and sales</w:t>
      </w:r>
      <w:r>
        <w:rPr>
          <w:rFonts w:ascii="Times New Roman" w:hAnsi="Times New Roman" w:cs="Times New Roman"/>
          <w:sz w:val="24"/>
          <w:szCs w:val="24"/>
        </w:rPr>
        <w:t>.</w:t>
      </w:r>
      <w:r w:rsidR="00E2608A" w:rsidRPr="005D42BA">
        <w:rPr>
          <w:rFonts w:ascii="Times New Roman" w:hAnsi="Times New Roman" w:cs="Times New Roman"/>
          <w:sz w:val="24"/>
          <w:szCs w:val="24"/>
        </w:rPr>
        <w:t xml:space="preserve"> </w:t>
      </w:r>
      <w:r w:rsidR="00E2608A" w:rsidRPr="00B92F9C">
        <w:rPr>
          <w:rFonts w:ascii="Times New Roman" w:hAnsi="Times New Roman" w:cs="Times New Roman"/>
          <w:sz w:val="24"/>
          <w:szCs w:val="24"/>
        </w:rPr>
        <w:t>Journal of Applied Business Research,</w:t>
      </w:r>
      <w:r w:rsidR="00E2608A" w:rsidRPr="005D42BA">
        <w:rPr>
          <w:rFonts w:ascii="Times New Roman" w:hAnsi="Times New Roman" w:cs="Times New Roman"/>
          <w:i/>
          <w:sz w:val="24"/>
          <w:szCs w:val="24"/>
        </w:rPr>
        <w:t xml:space="preserve"> </w:t>
      </w:r>
      <w:r>
        <w:rPr>
          <w:rFonts w:ascii="Times New Roman" w:hAnsi="Times New Roman" w:cs="Times New Roman"/>
          <w:sz w:val="24"/>
          <w:szCs w:val="24"/>
        </w:rPr>
        <w:t>23</w:t>
      </w:r>
      <w:r w:rsidR="00E2608A" w:rsidRPr="005D42BA">
        <w:rPr>
          <w:rFonts w:ascii="Times New Roman" w:hAnsi="Times New Roman" w:cs="Times New Roman"/>
          <w:sz w:val="24"/>
          <w:szCs w:val="24"/>
        </w:rPr>
        <w:t>(3), 53-60.</w:t>
      </w:r>
    </w:p>
    <w:p w:rsidR="005A2CD6" w:rsidRPr="005D42BA" w:rsidRDefault="00897023"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Kothari, S.P., Li, X.,</w:t>
      </w:r>
      <w:r w:rsidR="005A2CD6" w:rsidRPr="005D42BA">
        <w:rPr>
          <w:rFonts w:ascii="Times New Roman" w:hAnsi="Times New Roman" w:cs="Times New Roman"/>
          <w:sz w:val="24"/>
          <w:szCs w:val="24"/>
        </w:rPr>
        <w:t xml:space="preserve"> Short, J.E. (2009). The </w:t>
      </w:r>
      <w:r w:rsidRPr="005D42BA">
        <w:rPr>
          <w:rFonts w:ascii="Times New Roman" w:hAnsi="Times New Roman" w:cs="Times New Roman"/>
          <w:sz w:val="24"/>
          <w:szCs w:val="24"/>
        </w:rPr>
        <w:t>effect of disclosures by management, analysts, and business press on cost of capital, return volatility, and analyst forecasts: a study using content analysis</w:t>
      </w:r>
      <w:r>
        <w:rPr>
          <w:rFonts w:ascii="Times New Roman" w:hAnsi="Times New Roman" w:cs="Times New Roman"/>
          <w:sz w:val="24"/>
          <w:szCs w:val="24"/>
        </w:rPr>
        <w:t>.</w:t>
      </w:r>
      <w:r w:rsidR="005A2CD6" w:rsidRPr="005D42BA">
        <w:rPr>
          <w:rFonts w:ascii="Times New Roman" w:hAnsi="Times New Roman" w:cs="Times New Roman"/>
          <w:sz w:val="24"/>
          <w:szCs w:val="24"/>
        </w:rPr>
        <w:t xml:space="preserve"> </w:t>
      </w:r>
      <w:r w:rsidR="005A2CD6" w:rsidRPr="00897023">
        <w:rPr>
          <w:rFonts w:ascii="Times New Roman" w:hAnsi="Times New Roman" w:cs="Times New Roman"/>
          <w:sz w:val="24"/>
          <w:szCs w:val="24"/>
        </w:rPr>
        <w:t>Accounting Review</w:t>
      </w:r>
      <w:r w:rsidR="005A2CD6" w:rsidRPr="005D42BA">
        <w:rPr>
          <w:rFonts w:ascii="Times New Roman" w:hAnsi="Times New Roman" w:cs="Times New Roman"/>
          <w:i/>
          <w:sz w:val="24"/>
          <w:szCs w:val="24"/>
        </w:rPr>
        <w:t xml:space="preserve">, </w:t>
      </w:r>
      <w:r w:rsidR="005A2CD6" w:rsidRPr="005D42BA">
        <w:rPr>
          <w:rFonts w:ascii="Times New Roman" w:hAnsi="Times New Roman" w:cs="Times New Roman"/>
          <w:sz w:val="24"/>
          <w:szCs w:val="24"/>
        </w:rPr>
        <w:t xml:space="preserve">84(5), 1639-1670. </w:t>
      </w:r>
    </w:p>
    <w:p w:rsidR="003C2AAE" w:rsidRPr="005D42BA" w:rsidRDefault="003C2AAE"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Kothari, S.P.</w:t>
      </w:r>
      <w:r w:rsidR="00897023">
        <w:rPr>
          <w:rFonts w:ascii="Times New Roman" w:hAnsi="Times New Roman" w:cs="Times New Roman"/>
          <w:sz w:val="24"/>
          <w:szCs w:val="24"/>
        </w:rPr>
        <w:t>,</w:t>
      </w:r>
      <w:r w:rsidRPr="005D42BA">
        <w:rPr>
          <w:rFonts w:ascii="Times New Roman" w:hAnsi="Times New Roman" w:cs="Times New Roman"/>
          <w:sz w:val="24"/>
          <w:szCs w:val="24"/>
        </w:rPr>
        <w:t xml:space="preserve"> Short, J. (2003). The Effect of Disclosures by Management, Analysts, and Financial Press on the Equity Cost of Capital, available</w:t>
      </w:r>
      <w:r w:rsidR="00897023">
        <w:rPr>
          <w:rFonts w:ascii="Times New Roman" w:hAnsi="Times New Roman" w:cs="Times New Roman"/>
          <w:sz w:val="24"/>
          <w:szCs w:val="24"/>
        </w:rPr>
        <w:t xml:space="preserve"> on the internet</w:t>
      </w:r>
      <w:r w:rsidRPr="005D42BA">
        <w:rPr>
          <w:rFonts w:ascii="Times New Roman" w:hAnsi="Times New Roman" w:cs="Times New Roman"/>
          <w:sz w:val="24"/>
          <w:szCs w:val="24"/>
        </w:rPr>
        <w:t xml:space="preserve"> at:</w:t>
      </w:r>
      <w:r w:rsidRPr="005D42BA">
        <w:t xml:space="preserve"> </w:t>
      </w:r>
      <w:r w:rsidR="00897023" w:rsidRPr="00DE65E7">
        <w:rPr>
          <w:rFonts w:ascii="Times New Roman" w:hAnsi="Times New Roman" w:cs="Times New Roman"/>
          <w:sz w:val="24"/>
          <w:szCs w:val="24"/>
        </w:rPr>
        <w:t>http://ebusiness.mit.edu/research/papers/195__shortkothari_disclosures.pdf</w:t>
      </w:r>
      <w:r w:rsidR="00897023">
        <w:rPr>
          <w:rFonts w:ascii="Times New Roman" w:hAnsi="Times New Roman" w:cs="Times New Roman"/>
          <w:sz w:val="24"/>
          <w:szCs w:val="24"/>
        </w:rPr>
        <w:t xml:space="preserve"> A</w:t>
      </w:r>
      <w:r w:rsidRPr="005D42BA">
        <w:rPr>
          <w:rFonts w:ascii="Times New Roman" w:hAnsi="Times New Roman" w:cs="Times New Roman"/>
          <w:sz w:val="24"/>
          <w:szCs w:val="24"/>
        </w:rPr>
        <w:t xml:space="preserve">ccessed </w:t>
      </w:r>
      <w:r w:rsidR="00897023">
        <w:rPr>
          <w:rFonts w:ascii="Times New Roman" w:hAnsi="Times New Roman" w:cs="Times New Roman"/>
          <w:sz w:val="24"/>
          <w:szCs w:val="24"/>
        </w:rPr>
        <w:t>15.12.2014</w:t>
      </w:r>
      <w:r w:rsidRPr="005D42BA">
        <w:rPr>
          <w:rFonts w:ascii="Times New Roman" w:hAnsi="Times New Roman" w:cs="Times New Roman"/>
          <w:sz w:val="24"/>
          <w:szCs w:val="24"/>
        </w:rPr>
        <w:t xml:space="preserve">. </w:t>
      </w:r>
    </w:p>
    <w:p w:rsidR="00563BA0" w:rsidRPr="005D42BA" w:rsidRDefault="00897023"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Ledger, G.,</w:t>
      </w:r>
      <w:r w:rsidR="00563BA0" w:rsidRPr="005D42BA">
        <w:rPr>
          <w:rFonts w:ascii="Times New Roman" w:hAnsi="Times New Roman" w:cs="Times New Roman"/>
          <w:sz w:val="24"/>
          <w:szCs w:val="24"/>
        </w:rPr>
        <w:t xml:space="preserve"> Merriam, T. (1994). Shakespeare, Fletcher, and </w:t>
      </w:r>
      <w:r w:rsidRPr="005D42BA">
        <w:rPr>
          <w:rFonts w:ascii="Times New Roman" w:hAnsi="Times New Roman" w:cs="Times New Roman"/>
          <w:sz w:val="24"/>
          <w:szCs w:val="24"/>
        </w:rPr>
        <w:t>the two noble kinsmen</w:t>
      </w:r>
      <w:r>
        <w:rPr>
          <w:rFonts w:ascii="Times New Roman" w:hAnsi="Times New Roman" w:cs="Times New Roman"/>
          <w:sz w:val="24"/>
          <w:szCs w:val="24"/>
        </w:rPr>
        <w:t>.</w:t>
      </w:r>
      <w:r w:rsidR="00563BA0" w:rsidRPr="005D42BA">
        <w:rPr>
          <w:rFonts w:ascii="Times New Roman" w:hAnsi="Times New Roman" w:cs="Times New Roman"/>
          <w:sz w:val="24"/>
          <w:szCs w:val="24"/>
        </w:rPr>
        <w:t xml:space="preserve"> </w:t>
      </w:r>
      <w:r w:rsidR="00563BA0" w:rsidRPr="00897023">
        <w:rPr>
          <w:rFonts w:ascii="Times New Roman" w:hAnsi="Times New Roman" w:cs="Times New Roman"/>
          <w:iCs/>
          <w:sz w:val="24"/>
          <w:szCs w:val="24"/>
        </w:rPr>
        <w:t>Literary and Linguistic Computing</w:t>
      </w:r>
      <w:r w:rsidR="00563BA0" w:rsidRPr="005D42BA">
        <w:rPr>
          <w:rFonts w:ascii="Times New Roman" w:hAnsi="Times New Roman" w:cs="Times New Roman"/>
          <w:sz w:val="24"/>
          <w:szCs w:val="24"/>
        </w:rPr>
        <w:t xml:space="preserve">, </w:t>
      </w:r>
      <w:r w:rsidR="00563BA0" w:rsidRPr="005D42BA">
        <w:rPr>
          <w:rFonts w:ascii="Times New Roman" w:hAnsi="Times New Roman" w:cs="Times New Roman"/>
          <w:iCs/>
          <w:sz w:val="24"/>
          <w:szCs w:val="24"/>
        </w:rPr>
        <w:t>9</w:t>
      </w:r>
      <w:r w:rsidR="00563BA0" w:rsidRPr="005D42BA">
        <w:rPr>
          <w:rFonts w:ascii="Times New Roman" w:hAnsi="Times New Roman" w:cs="Times New Roman"/>
          <w:sz w:val="24"/>
          <w:szCs w:val="24"/>
        </w:rPr>
        <w:t>(3), 235-248.</w:t>
      </w:r>
    </w:p>
    <w:p w:rsidR="005804CA" w:rsidRPr="005D42BA" w:rsidRDefault="003D14DF"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Lesmond</w:t>
      </w:r>
      <w:proofErr w:type="spellEnd"/>
      <w:r>
        <w:rPr>
          <w:rFonts w:ascii="Times New Roman" w:hAnsi="Times New Roman" w:cs="Times New Roman"/>
          <w:sz w:val="24"/>
          <w:szCs w:val="24"/>
        </w:rPr>
        <w:t>, D.A,</w:t>
      </w:r>
      <w:r w:rsidR="00897023">
        <w:rPr>
          <w:rFonts w:ascii="Times New Roman" w:hAnsi="Times New Roman" w:cs="Times New Roman"/>
          <w:sz w:val="24"/>
          <w:szCs w:val="24"/>
        </w:rPr>
        <w:t xml:space="preserve"> Ogden, J.P.,</w:t>
      </w:r>
      <w:r w:rsidR="005804CA" w:rsidRPr="005D42BA">
        <w:rPr>
          <w:rFonts w:ascii="Times New Roman" w:hAnsi="Times New Roman" w:cs="Times New Roman"/>
          <w:sz w:val="24"/>
          <w:szCs w:val="24"/>
        </w:rPr>
        <w:t xml:space="preserve"> </w:t>
      </w:r>
      <w:proofErr w:type="spellStart"/>
      <w:r w:rsidR="005804CA" w:rsidRPr="005D42BA">
        <w:rPr>
          <w:rFonts w:ascii="Times New Roman" w:hAnsi="Times New Roman" w:cs="Times New Roman"/>
          <w:sz w:val="24"/>
          <w:szCs w:val="24"/>
        </w:rPr>
        <w:t>Trzcinka</w:t>
      </w:r>
      <w:proofErr w:type="spellEnd"/>
      <w:r w:rsidR="005804CA" w:rsidRPr="005D42BA">
        <w:rPr>
          <w:rFonts w:ascii="Times New Roman" w:hAnsi="Times New Roman" w:cs="Times New Roman"/>
          <w:sz w:val="24"/>
          <w:szCs w:val="24"/>
        </w:rPr>
        <w:t xml:space="preserve">, C.A. (1999). A </w:t>
      </w:r>
      <w:r w:rsidR="00897023" w:rsidRPr="005D42BA">
        <w:rPr>
          <w:rFonts w:ascii="Times New Roman" w:hAnsi="Times New Roman" w:cs="Times New Roman"/>
          <w:sz w:val="24"/>
          <w:szCs w:val="24"/>
        </w:rPr>
        <w:t>new estimate of transaction costs</w:t>
      </w:r>
      <w:r w:rsidR="00897023">
        <w:rPr>
          <w:rFonts w:ascii="Times New Roman" w:hAnsi="Times New Roman" w:cs="Times New Roman"/>
          <w:sz w:val="24"/>
          <w:szCs w:val="24"/>
        </w:rPr>
        <w:t>.</w:t>
      </w:r>
      <w:r w:rsidR="005804CA" w:rsidRPr="005D42BA">
        <w:rPr>
          <w:rFonts w:ascii="Times New Roman" w:hAnsi="Times New Roman" w:cs="Times New Roman"/>
          <w:sz w:val="24"/>
          <w:szCs w:val="24"/>
        </w:rPr>
        <w:t xml:space="preserve"> </w:t>
      </w:r>
      <w:r w:rsidR="005804CA" w:rsidRPr="00897023">
        <w:rPr>
          <w:rFonts w:ascii="Times New Roman" w:hAnsi="Times New Roman" w:cs="Times New Roman"/>
          <w:sz w:val="24"/>
          <w:szCs w:val="24"/>
        </w:rPr>
        <w:t>Review of Financial Studies</w:t>
      </w:r>
      <w:r w:rsidR="005804CA" w:rsidRPr="005D42BA">
        <w:rPr>
          <w:rFonts w:ascii="Times New Roman" w:hAnsi="Times New Roman" w:cs="Times New Roman"/>
          <w:i/>
          <w:sz w:val="24"/>
          <w:szCs w:val="24"/>
        </w:rPr>
        <w:t xml:space="preserve">, </w:t>
      </w:r>
      <w:r w:rsidR="005804CA" w:rsidRPr="005D42BA">
        <w:rPr>
          <w:rFonts w:ascii="Times New Roman" w:hAnsi="Times New Roman" w:cs="Times New Roman"/>
          <w:sz w:val="24"/>
          <w:szCs w:val="24"/>
        </w:rPr>
        <w:t xml:space="preserve">12(5), 1113-1141. </w:t>
      </w:r>
    </w:p>
    <w:p w:rsidR="00D84E6C" w:rsidRPr="005D42BA" w:rsidRDefault="004C6DCB"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Lev, B. (1989). On </w:t>
      </w:r>
      <w:r w:rsidR="00897023" w:rsidRPr="005D42BA">
        <w:rPr>
          <w:rFonts w:ascii="Times New Roman" w:hAnsi="Times New Roman" w:cs="Times New Roman"/>
          <w:sz w:val="24"/>
          <w:szCs w:val="24"/>
        </w:rPr>
        <w:t>the usefulness of earnings and earnings research: lessons and directions from two decades of empirical research</w:t>
      </w:r>
      <w:r w:rsidR="00897023">
        <w:rPr>
          <w:rFonts w:ascii="Times New Roman" w:hAnsi="Times New Roman" w:cs="Times New Roman"/>
          <w:sz w:val="24"/>
          <w:szCs w:val="24"/>
        </w:rPr>
        <w:t>.</w:t>
      </w:r>
      <w:r w:rsidRPr="005D42BA">
        <w:rPr>
          <w:rFonts w:ascii="Times New Roman" w:hAnsi="Times New Roman" w:cs="Times New Roman"/>
          <w:sz w:val="24"/>
          <w:szCs w:val="24"/>
        </w:rPr>
        <w:t xml:space="preserve"> </w:t>
      </w:r>
      <w:r w:rsidRPr="00897023">
        <w:rPr>
          <w:rFonts w:ascii="Times New Roman" w:hAnsi="Times New Roman" w:cs="Times New Roman"/>
          <w:sz w:val="24"/>
          <w:szCs w:val="24"/>
        </w:rPr>
        <w:t>Journal of Accounting Research</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27, 153-192. </w:t>
      </w:r>
    </w:p>
    <w:p w:rsidR="006E098B" w:rsidRPr="005D42BA" w:rsidRDefault="006E098B"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Li, F. (2010). The </w:t>
      </w:r>
      <w:r w:rsidR="00897023" w:rsidRPr="005D42BA">
        <w:rPr>
          <w:rFonts w:ascii="Times New Roman" w:hAnsi="Times New Roman" w:cs="Times New Roman"/>
          <w:sz w:val="24"/>
          <w:szCs w:val="24"/>
        </w:rPr>
        <w:t>information content of forward-looking statements in corporate filings – a naïve machine learning approach</w:t>
      </w:r>
      <w:r w:rsidR="00897023">
        <w:rPr>
          <w:rFonts w:ascii="Times New Roman" w:hAnsi="Times New Roman" w:cs="Times New Roman"/>
          <w:sz w:val="24"/>
          <w:szCs w:val="24"/>
        </w:rPr>
        <w:t>.</w:t>
      </w:r>
      <w:r w:rsidRPr="005D42BA">
        <w:rPr>
          <w:rFonts w:ascii="Times New Roman" w:hAnsi="Times New Roman" w:cs="Times New Roman"/>
          <w:sz w:val="24"/>
          <w:szCs w:val="24"/>
        </w:rPr>
        <w:t xml:space="preserve"> </w:t>
      </w:r>
      <w:r w:rsidRPr="00897023">
        <w:rPr>
          <w:rFonts w:ascii="Times New Roman" w:hAnsi="Times New Roman" w:cs="Times New Roman"/>
          <w:sz w:val="24"/>
          <w:szCs w:val="24"/>
        </w:rPr>
        <w:t>Journal of Accounting Research</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48(5), 1049-1102.</w:t>
      </w:r>
    </w:p>
    <w:p w:rsidR="00A033BD" w:rsidRPr="005D42BA" w:rsidRDefault="00897023"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Loughran</w:t>
      </w:r>
      <w:proofErr w:type="spellEnd"/>
      <w:r>
        <w:rPr>
          <w:rFonts w:ascii="Times New Roman" w:hAnsi="Times New Roman" w:cs="Times New Roman"/>
          <w:sz w:val="24"/>
          <w:szCs w:val="24"/>
        </w:rPr>
        <w:t>, T.,</w:t>
      </w:r>
      <w:r w:rsidR="00A033BD" w:rsidRPr="005D42BA">
        <w:rPr>
          <w:rFonts w:ascii="Times New Roman" w:hAnsi="Times New Roman" w:cs="Times New Roman"/>
          <w:sz w:val="24"/>
          <w:szCs w:val="24"/>
        </w:rPr>
        <w:t xml:space="preserve"> McDonald, B. (201</w:t>
      </w:r>
      <w:r w:rsidR="00A62C1A">
        <w:rPr>
          <w:rFonts w:ascii="Times New Roman" w:hAnsi="Times New Roman" w:cs="Times New Roman"/>
          <w:sz w:val="24"/>
          <w:szCs w:val="24"/>
        </w:rPr>
        <w:t>1</w:t>
      </w:r>
      <w:r w:rsidR="00A033BD" w:rsidRPr="005D42BA">
        <w:rPr>
          <w:rFonts w:ascii="Times New Roman" w:hAnsi="Times New Roman" w:cs="Times New Roman"/>
          <w:sz w:val="24"/>
          <w:szCs w:val="24"/>
        </w:rPr>
        <w:t xml:space="preserve">). </w:t>
      </w:r>
      <w:r w:rsidR="00A62C1A">
        <w:rPr>
          <w:rFonts w:ascii="Times New Roman" w:hAnsi="Times New Roman" w:cs="Times New Roman"/>
          <w:sz w:val="24"/>
          <w:szCs w:val="24"/>
        </w:rPr>
        <w:t>When is a liability not a liability? Textual analysis, dictionaries, and 10-Ks</w:t>
      </w:r>
      <w:r>
        <w:rPr>
          <w:rFonts w:ascii="Times New Roman" w:hAnsi="Times New Roman" w:cs="Times New Roman"/>
          <w:sz w:val="24"/>
          <w:szCs w:val="24"/>
        </w:rPr>
        <w:t>.</w:t>
      </w:r>
      <w:r w:rsidR="00A033BD" w:rsidRPr="005D42BA">
        <w:rPr>
          <w:rFonts w:ascii="Times New Roman" w:hAnsi="Times New Roman" w:cs="Times New Roman"/>
          <w:sz w:val="24"/>
          <w:szCs w:val="24"/>
        </w:rPr>
        <w:t xml:space="preserve"> </w:t>
      </w:r>
      <w:r w:rsidR="00A033BD" w:rsidRPr="00897023">
        <w:rPr>
          <w:rFonts w:ascii="Times New Roman" w:hAnsi="Times New Roman" w:cs="Times New Roman"/>
          <w:sz w:val="24"/>
          <w:szCs w:val="24"/>
        </w:rPr>
        <w:t>Journal of Finance</w:t>
      </w:r>
      <w:r w:rsidR="00A033BD" w:rsidRPr="005D42BA">
        <w:rPr>
          <w:rFonts w:ascii="Times New Roman" w:hAnsi="Times New Roman" w:cs="Times New Roman"/>
          <w:i/>
          <w:sz w:val="24"/>
          <w:szCs w:val="24"/>
        </w:rPr>
        <w:t xml:space="preserve">, </w:t>
      </w:r>
      <w:r w:rsidR="00A033BD" w:rsidRPr="005D42BA">
        <w:rPr>
          <w:rFonts w:ascii="Times New Roman" w:hAnsi="Times New Roman" w:cs="Times New Roman"/>
          <w:sz w:val="24"/>
          <w:szCs w:val="24"/>
        </w:rPr>
        <w:t>6</w:t>
      </w:r>
      <w:r w:rsidR="00A62C1A">
        <w:rPr>
          <w:rFonts w:ascii="Times New Roman" w:hAnsi="Times New Roman" w:cs="Times New Roman"/>
          <w:sz w:val="24"/>
          <w:szCs w:val="24"/>
        </w:rPr>
        <w:t>6</w:t>
      </w:r>
      <w:r w:rsidR="00A033BD" w:rsidRPr="005D42BA">
        <w:rPr>
          <w:rFonts w:ascii="Times New Roman" w:hAnsi="Times New Roman" w:cs="Times New Roman"/>
          <w:sz w:val="24"/>
          <w:szCs w:val="24"/>
        </w:rPr>
        <w:t>(</w:t>
      </w:r>
      <w:r w:rsidR="00A62C1A">
        <w:rPr>
          <w:rFonts w:ascii="Times New Roman" w:hAnsi="Times New Roman" w:cs="Times New Roman"/>
          <w:sz w:val="24"/>
          <w:szCs w:val="24"/>
        </w:rPr>
        <w:t>1), 35-65</w:t>
      </w:r>
      <w:r w:rsidR="00A033BD" w:rsidRPr="005D42BA">
        <w:rPr>
          <w:rFonts w:ascii="Times New Roman" w:hAnsi="Times New Roman" w:cs="Times New Roman"/>
          <w:sz w:val="24"/>
          <w:szCs w:val="24"/>
        </w:rPr>
        <w:t xml:space="preserve">. </w:t>
      </w:r>
    </w:p>
    <w:p w:rsidR="00F77599" w:rsidRPr="005D42BA" w:rsidRDefault="00F77599" w:rsidP="00A652A1">
      <w:pPr>
        <w:spacing w:after="100"/>
        <w:ind w:left="284" w:hanging="284"/>
        <w:jc w:val="both"/>
        <w:rPr>
          <w:rFonts w:ascii="Times New Roman" w:hAnsi="Times New Roman" w:cs="Times New Roman"/>
          <w:sz w:val="24"/>
          <w:szCs w:val="24"/>
        </w:rPr>
      </w:pPr>
      <w:proofErr w:type="spellStart"/>
      <w:r w:rsidRPr="005D42BA">
        <w:rPr>
          <w:rFonts w:ascii="Times New Roman" w:eastAsia="Times New Roman" w:hAnsi="Times New Roman" w:cs="Times New Roman"/>
          <w:sz w:val="24"/>
          <w:szCs w:val="24"/>
          <w:lang w:eastAsia="en-GB"/>
        </w:rPr>
        <w:t>Malaviya</w:t>
      </w:r>
      <w:proofErr w:type="spellEnd"/>
      <w:r w:rsidRPr="005D42BA">
        <w:rPr>
          <w:rFonts w:ascii="Times New Roman" w:eastAsia="Times New Roman" w:hAnsi="Times New Roman" w:cs="Times New Roman"/>
          <w:sz w:val="24"/>
          <w:szCs w:val="24"/>
          <w:lang w:eastAsia="en-GB"/>
        </w:rPr>
        <w:t>, P., Meyers</w:t>
      </w:r>
      <w:r w:rsidRPr="005D42BA">
        <w:rPr>
          <w:rFonts w:ascii="Cambria Math" w:eastAsia="Times New Roman" w:hAnsi="Cambria Math" w:cs="Cambria Math"/>
          <w:sz w:val="24"/>
          <w:szCs w:val="24"/>
          <w:lang w:eastAsia="en-GB"/>
        </w:rPr>
        <w:t>‐</w:t>
      </w:r>
      <w:r w:rsidRPr="005D42BA">
        <w:rPr>
          <w:rFonts w:ascii="Times New Roman" w:eastAsia="Times New Roman" w:hAnsi="Times New Roman" w:cs="Times New Roman"/>
          <w:sz w:val="24"/>
          <w:szCs w:val="24"/>
          <w:lang w:eastAsia="en-GB"/>
        </w:rPr>
        <w:t>Levy, J.</w:t>
      </w:r>
      <w:r w:rsidR="00897023">
        <w:rPr>
          <w:rFonts w:ascii="Times New Roman" w:eastAsia="Times New Roman" w:hAnsi="Times New Roman" w:cs="Times New Roman"/>
          <w:sz w:val="24"/>
          <w:szCs w:val="24"/>
          <w:lang w:eastAsia="en-GB"/>
        </w:rPr>
        <w:t>,</w:t>
      </w:r>
      <w:r w:rsidRPr="005D42BA">
        <w:rPr>
          <w:rFonts w:ascii="Times New Roman" w:eastAsia="Times New Roman" w:hAnsi="Times New Roman" w:cs="Times New Roman"/>
          <w:sz w:val="24"/>
          <w:szCs w:val="24"/>
          <w:lang w:eastAsia="en-GB"/>
        </w:rPr>
        <w:t xml:space="preserve"> </w:t>
      </w:r>
      <w:proofErr w:type="spellStart"/>
      <w:r w:rsidRPr="005D42BA">
        <w:rPr>
          <w:rFonts w:ascii="Times New Roman" w:eastAsia="Times New Roman" w:hAnsi="Times New Roman" w:cs="Times New Roman"/>
          <w:sz w:val="24"/>
          <w:szCs w:val="24"/>
          <w:lang w:eastAsia="en-GB"/>
        </w:rPr>
        <w:t>Sternthal</w:t>
      </w:r>
      <w:proofErr w:type="spellEnd"/>
      <w:r w:rsidRPr="005D42BA">
        <w:rPr>
          <w:rFonts w:ascii="Times New Roman" w:eastAsia="Times New Roman" w:hAnsi="Times New Roman" w:cs="Times New Roman"/>
          <w:sz w:val="24"/>
          <w:szCs w:val="24"/>
          <w:lang w:eastAsia="en-GB"/>
        </w:rPr>
        <w:t xml:space="preserve">, B. (1999). Ad </w:t>
      </w:r>
      <w:r w:rsidR="00897023" w:rsidRPr="005D42BA">
        <w:rPr>
          <w:rFonts w:ascii="Times New Roman" w:eastAsia="Times New Roman" w:hAnsi="Times New Roman" w:cs="Times New Roman"/>
          <w:sz w:val="24"/>
          <w:szCs w:val="24"/>
          <w:lang w:eastAsia="en-GB"/>
        </w:rPr>
        <w:t>repetition in a cluttered environment: the influence of type of processing</w:t>
      </w:r>
      <w:r w:rsidR="00897023">
        <w:rPr>
          <w:rFonts w:ascii="Times New Roman" w:eastAsia="Times New Roman" w:hAnsi="Times New Roman" w:cs="Times New Roman"/>
          <w:sz w:val="24"/>
          <w:szCs w:val="24"/>
          <w:lang w:eastAsia="en-GB"/>
        </w:rPr>
        <w:t>.</w:t>
      </w:r>
      <w:r w:rsidRPr="005D42BA">
        <w:rPr>
          <w:rFonts w:ascii="Times New Roman" w:eastAsia="Times New Roman" w:hAnsi="Times New Roman" w:cs="Times New Roman"/>
          <w:sz w:val="24"/>
          <w:szCs w:val="24"/>
          <w:lang w:eastAsia="en-GB"/>
        </w:rPr>
        <w:t xml:space="preserve"> </w:t>
      </w:r>
      <w:r w:rsidRPr="00905CA8">
        <w:rPr>
          <w:rFonts w:ascii="Times New Roman" w:eastAsia="Times New Roman" w:hAnsi="Times New Roman" w:cs="Times New Roman"/>
          <w:sz w:val="24"/>
          <w:szCs w:val="24"/>
          <w:lang w:eastAsia="en-GB"/>
        </w:rPr>
        <w:t>Psychology &amp; Marketing</w:t>
      </w:r>
      <w:r w:rsidRPr="005D42BA">
        <w:rPr>
          <w:rFonts w:ascii="Times New Roman" w:eastAsia="Times New Roman" w:hAnsi="Times New Roman" w:cs="Times New Roman"/>
          <w:sz w:val="24"/>
          <w:szCs w:val="24"/>
          <w:lang w:eastAsia="en-GB"/>
        </w:rPr>
        <w:t>, 16(2), 99-118.</w:t>
      </w:r>
    </w:p>
    <w:p w:rsidR="003373FE" w:rsidRPr="005D42BA" w:rsidRDefault="003373FE"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McConnell, D., </w:t>
      </w:r>
      <w:proofErr w:type="spellStart"/>
      <w:r w:rsidRPr="005D42BA">
        <w:rPr>
          <w:rFonts w:ascii="Times New Roman" w:hAnsi="Times New Roman" w:cs="Times New Roman"/>
          <w:sz w:val="24"/>
          <w:szCs w:val="24"/>
        </w:rPr>
        <w:t>Haslem</w:t>
      </w:r>
      <w:proofErr w:type="spellEnd"/>
      <w:r w:rsidRPr="005D42BA">
        <w:rPr>
          <w:rFonts w:ascii="Times New Roman" w:hAnsi="Times New Roman" w:cs="Times New Roman"/>
          <w:sz w:val="24"/>
          <w:szCs w:val="24"/>
        </w:rPr>
        <w:t xml:space="preserve">, J.A. &amp; Gibson, V.R. (1986). The </w:t>
      </w:r>
      <w:r w:rsidR="00897023" w:rsidRPr="005D42BA">
        <w:rPr>
          <w:rFonts w:ascii="Times New Roman" w:hAnsi="Times New Roman" w:cs="Times New Roman"/>
          <w:sz w:val="24"/>
          <w:szCs w:val="24"/>
        </w:rPr>
        <w:t>president’s letter to shareholders: a new look</w:t>
      </w:r>
      <w:r w:rsidR="00897023">
        <w:rPr>
          <w:rFonts w:ascii="Times New Roman" w:hAnsi="Times New Roman" w:cs="Times New Roman"/>
          <w:sz w:val="24"/>
          <w:szCs w:val="24"/>
        </w:rPr>
        <w:t>.</w:t>
      </w:r>
      <w:r w:rsidRPr="005D42BA">
        <w:rPr>
          <w:rFonts w:ascii="Times New Roman" w:hAnsi="Times New Roman" w:cs="Times New Roman"/>
          <w:sz w:val="24"/>
          <w:szCs w:val="24"/>
        </w:rPr>
        <w:t xml:space="preserve"> </w:t>
      </w:r>
      <w:r w:rsidRPr="00897023">
        <w:rPr>
          <w:rFonts w:ascii="Times New Roman" w:hAnsi="Times New Roman" w:cs="Times New Roman"/>
          <w:sz w:val="24"/>
          <w:szCs w:val="24"/>
        </w:rPr>
        <w:t>Financial Analysts Journal,</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42(5), Sep-Oct, 66-70. </w:t>
      </w:r>
    </w:p>
    <w:p w:rsidR="00DE4D8C" w:rsidRDefault="00DE4D8C"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Merk</w:t>
      </w:r>
      <w:r w:rsidR="00897023">
        <w:rPr>
          <w:rFonts w:ascii="Times New Roman" w:hAnsi="Times New Roman" w:cs="Times New Roman"/>
          <w:sz w:val="24"/>
          <w:szCs w:val="24"/>
        </w:rPr>
        <w:t>l</w:t>
      </w:r>
      <w:proofErr w:type="spellEnd"/>
      <w:r w:rsidR="00897023">
        <w:rPr>
          <w:rFonts w:ascii="Times New Roman" w:hAnsi="Times New Roman" w:cs="Times New Roman"/>
          <w:sz w:val="24"/>
          <w:szCs w:val="24"/>
        </w:rPr>
        <w:t>-Davies, D.M., Brennan, N.M.,</w:t>
      </w:r>
      <w:r w:rsidRPr="005D42BA">
        <w:rPr>
          <w:rFonts w:ascii="Times New Roman" w:hAnsi="Times New Roman" w:cs="Times New Roman"/>
          <w:sz w:val="24"/>
          <w:szCs w:val="24"/>
        </w:rPr>
        <w:t xml:space="preserve"> McLeay, S.J. (2011). Impression </w:t>
      </w:r>
      <w:r w:rsidR="00897023" w:rsidRPr="005D42BA">
        <w:rPr>
          <w:rFonts w:ascii="Times New Roman" w:hAnsi="Times New Roman" w:cs="Times New Roman"/>
          <w:sz w:val="24"/>
          <w:szCs w:val="24"/>
        </w:rPr>
        <w:t>management and retrospective sense-making in corporate narratives: a social psychology perspective</w:t>
      </w:r>
      <w:r w:rsidR="00897023">
        <w:rPr>
          <w:rFonts w:ascii="Times New Roman" w:hAnsi="Times New Roman" w:cs="Times New Roman"/>
          <w:sz w:val="24"/>
          <w:szCs w:val="24"/>
        </w:rPr>
        <w:t>.</w:t>
      </w:r>
      <w:r w:rsidRPr="005D42BA">
        <w:rPr>
          <w:rFonts w:ascii="Times New Roman" w:hAnsi="Times New Roman" w:cs="Times New Roman"/>
          <w:sz w:val="24"/>
          <w:szCs w:val="24"/>
        </w:rPr>
        <w:t> </w:t>
      </w:r>
      <w:r w:rsidRPr="00897023">
        <w:rPr>
          <w:rFonts w:ascii="Times New Roman" w:hAnsi="Times New Roman" w:cs="Times New Roman"/>
          <w:sz w:val="24"/>
          <w:szCs w:val="24"/>
        </w:rPr>
        <w:t>Accounting, Auditing &amp; Accountability Journal</w:t>
      </w:r>
      <w:r w:rsidRPr="005D42BA">
        <w:rPr>
          <w:rFonts w:ascii="Times New Roman" w:hAnsi="Times New Roman" w:cs="Times New Roman"/>
          <w:sz w:val="24"/>
          <w:szCs w:val="24"/>
        </w:rPr>
        <w:t xml:space="preserve">, 24(3), 315-344. </w:t>
      </w:r>
    </w:p>
    <w:p w:rsidR="00387B4C" w:rsidRPr="005D42BA" w:rsidRDefault="00387B4C"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Merkley</w:t>
      </w:r>
      <w:proofErr w:type="spellEnd"/>
      <w:r>
        <w:rPr>
          <w:rFonts w:ascii="Times New Roman" w:hAnsi="Times New Roman" w:cs="Times New Roman"/>
          <w:sz w:val="24"/>
          <w:szCs w:val="24"/>
        </w:rPr>
        <w:t>, K.J. (2014). Narrative disclosure and earnings performance:</w:t>
      </w:r>
      <w:r w:rsidR="0005547E">
        <w:rPr>
          <w:rFonts w:ascii="Times New Roman" w:hAnsi="Times New Roman" w:cs="Times New Roman"/>
          <w:sz w:val="24"/>
          <w:szCs w:val="24"/>
        </w:rPr>
        <w:t xml:space="preserve"> evidence from R&amp;D disclosures. Accounting Review, 89(2), 725-757.</w:t>
      </w:r>
    </w:p>
    <w:p w:rsidR="007D246B" w:rsidRDefault="007D246B"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lastRenderedPageBreak/>
        <w:t xml:space="preserve">Nelson, M.W. (2003). </w:t>
      </w:r>
      <w:proofErr w:type="spellStart"/>
      <w:r w:rsidRPr="005D42BA">
        <w:rPr>
          <w:rFonts w:ascii="Times New Roman" w:hAnsi="Times New Roman" w:cs="Times New Roman"/>
          <w:sz w:val="24"/>
          <w:szCs w:val="24"/>
        </w:rPr>
        <w:t>Behavioral</w:t>
      </w:r>
      <w:proofErr w:type="spellEnd"/>
      <w:r w:rsidRPr="005D42BA">
        <w:rPr>
          <w:rFonts w:ascii="Times New Roman" w:hAnsi="Times New Roman" w:cs="Times New Roman"/>
          <w:sz w:val="24"/>
          <w:szCs w:val="24"/>
        </w:rPr>
        <w:t xml:space="preserve"> </w:t>
      </w:r>
      <w:r w:rsidR="00897023" w:rsidRPr="005D42BA">
        <w:rPr>
          <w:rFonts w:ascii="Times New Roman" w:hAnsi="Times New Roman" w:cs="Times New Roman"/>
          <w:sz w:val="24"/>
          <w:szCs w:val="24"/>
        </w:rPr>
        <w:t>evidence on the effects of principles- and rules-based standards</w:t>
      </w:r>
      <w:r w:rsidR="00897023">
        <w:rPr>
          <w:rFonts w:ascii="Times New Roman" w:hAnsi="Times New Roman" w:cs="Times New Roman"/>
          <w:sz w:val="24"/>
          <w:szCs w:val="24"/>
        </w:rPr>
        <w:t>.</w:t>
      </w:r>
      <w:r w:rsidRPr="005D42BA">
        <w:rPr>
          <w:rFonts w:ascii="Times New Roman" w:hAnsi="Times New Roman" w:cs="Times New Roman"/>
          <w:sz w:val="24"/>
          <w:szCs w:val="24"/>
        </w:rPr>
        <w:t xml:space="preserve"> </w:t>
      </w:r>
      <w:r w:rsidRPr="00897023">
        <w:rPr>
          <w:rFonts w:ascii="Times New Roman" w:hAnsi="Times New Roman" w:cs="Times New Roman"/>
          <w:sz w:val="24"/>
          <w:szCs w:val="24"/>
        </w:rPr>
        <w:t>Accounting Horizons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17(1), 91-104. </w:t>
      </w:r>
    </w:p>
    <w:p w:rsidR="00544625" w:rsidRPr="005D42BA" w:rsidRDefault="00544625" w:rsidP="00A652A1">
      <w:pPr>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Parhankangas</w:t>
      </w:r>
      <w:proofErr w:type="spellEnd"/>
      <w:r>
        <w:rPr>
          <w:rFonts w:ascii="Times New Roman" w:hAnsi="Times New Roman" w:cs="Times New Roman"/>
          <w:sz w:val="24"/>
          <w:szCs w:val="24"/>
        </w:rPr>
        <w:t>, A., Ehrlich, M. (2014). How entrepreneurs seduce business angles: an impression management approach. Journal of Business Venturing, 29(4), 543-564.</w:t>
      </w:r>
    </w:p>
    <w:p w:rsidR="00F77599" w:rsidRPr="005D42BA" w:rsidRDefault="00F77599" w:rsidP="00A652A1">
      <w:pPr>
        <w:spacing w:after="100" w:line="240" w:lineRule="auto"/>
        <w:ind w:left="284" w:hanging="284"/>
        <w:jc w:val="both"/>
        <w:rPr>
          <w:rFonts w:ascii="Times New Roman" w:eastAsia="Times New Roman" w:hAnsi="Times New Roman" w:cs="Times New Roman"/>
          <w:sz w:val="24"/>
          <w:szCs w:val="24"/>
          <w:lang w:eastAsia="en-GB"/>
        </w:rPr>
      </w:pPr>
      <w:proofErr w:type="spellStart"/>
      <w:r w:rsidRPr="005D42BA">
        <w:rPr>
          <w:rFonts w:ascii="Times New Roman" w:eastAsia="Times New Roman" w:hAnsi="Times New Roman" w:cs="Times New Roman"/>
          <w:sz w:val="24"/>
          <w:szCs w:val="24"/>
          <w:lang w:eastAsia="en-GB"/>
        </w:rPr>
        <w:t>Perloff</w:t>
      </w:r>
      <w:proofErr w:type="spellEnd"/>
      <w:r w:rsidRPr="005D42BA">
        <w:rPr>
          <w:rFonts w:ascii="Times New Roman" w:eastAsia="Times New Roman" w:hAnsi="Times New Roman" w:cs="Times New Roman"/>
          <w:sz w:val="24"/>
          <w:szCs w:val="24"/>
          <w:lang w:eastAsia="en-GB"/>
        </w:rPr>
        <w:t xml:space="preserve">, R.M. (2010). </w:t>
      </w:r>
      <w:r w:rsidRPr="00897023">
        <w:rPr>
          <w:rFonts w:ascii="Times New Roman" w:eastAsia="Times New Roman" w:hAnsi="Times New Roman" w:cs="Times New Roman"/>
          <w:iCs/>
          <w:sz w:val="24"/>
          <w:szCs w:val="24"/>
          <w:lang w:eastAsia="en-GB"/>
        </w:rPr>
        <w:t>The Dynamics of Persuasion: Communication and Attit</w:t>
      </w:r>
      <w:r w:rsidR="00897023">
        <w:rPr>
          <w:rFonts w:ascii="Times New Roman" w:eastAsia="Times New Roman" w:hAnsi="Times New Roman" w:cs="Times New Roman"/>
          <w:iCs/>
          <w:sz w:val="24"/>
          <w:szCs w:val="24"/>
          <w:lang w:eastAsia="en-GB"/>
        </w:rPr>
        <w:t>udes in the Twenty-First C</w:t>
      </w:r>
      <w:r w:rsidRPr="00897023">
        <w:rPr>
          <w:rFonts w:ascii="Times New Roman" w:eastAsia="Times New Roman" w:hAnsi="Times New Roman" w:cs="Times New Roman"/>
          <w:iCs/>
          <w:sz w:val="24"/>
          <w:szCs w:val="24"/>
          <w:lang w:eastAsia="en-GB"/>
        </w:rPr>
        <w:t>entury</w:t>
      </w:r>
      <w:r w:rsidR="00897023">
        <w:rPr>
          <w:rFonts w:ascii="Times New Roman" w:eastAsia="Times New Roman" w:hAnsi="Times New Roman" w:cs="Times New Roman"/>
          <w:iCs/>
          <w:sz w:val="24"/>
          <w:szCs w:val="24"/>
          <w:lang w:eastAsia="en-GB"/>
        </w:rPr>
        <w:t>.</w:t>
      </w:r>
      <w:r w:rsidRPr="005D42BA">
        <w:rPr>
          <w:rFonts w:ascii="Times New Roman" w:eastAsia="Times New Roman" w:hAnsi="Times New Roman" w:cs="Times New Roman"/>
          <w:sz w:val="24"/>
          <w:szCs w:val="24"/>
          <w:lang w:eastAsia="en-GB"/>
        </w:rPr>
        <w:t xml:space="preserve"> </w:t>
      </w:r>
      <w:r w:rsidR="00897023">
        <w:rPr>
          <w:rFonts w:ascii="Times New Roman" w:eastAsia="Times New Roman" w:hAnsi="Times New Roman" w:cs="Times New Roman"/>
          <w:sz w:val="24"/>
          <w:szCs w:val="24"/>
          <w:lang w:eastAsia="en-GB"/>
        </w:rPr>
        <w:t xml:space="preserve">New York: </w:t>
      </w:r>
      <w:proofErr w:type="spellStart"/>
      <w:r w:rsidRPr="005D42BA">
        <w:rPr>
          <w:rFonts w:ascii="Times New Roman" w:eastAsia="Times New Roman" w:hAnsi="Times New Roman" w:cs="Times New Roman"/>
          <w:sz w:val="24"/>
          <w:szCs w:val="24"/>
          <w:lang w:eastAsia="en-GB"/>
        </w:rPr>
        <w:t>Routledge</w:t>
      </w:r>
      <w:proofErr w:type="spellEnd"/>
      <w:r w:rsidRPr="005D42BA">
        <w:rPr>
          <w:rFonts w:ascii="Times New Roman" w:eastAsia="Times New Roman" w:hAnsi="Times New Roman" w:cs="Times New Roman"/>
          <w:sz w:val="24"/>
          <w:szCs w:val="24"/>
          <w:lang w:eastAsia="en-GB"/>
        </w:rPr>
        <w:t>.</w:t>
      </w:r>
    </w:p>
    <w:p w:rsidR="00F77599" w:rsidRPr="005D42BA" w:rsidRDefault="00A2786C" w:rsidP="00A652A1">
      <w:pPr>
        <w:spacing w:after="100"/>
        <w:ind w:left="284"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Petty, R.E.,</w:t>
      </w:r>
      <w:r w:rsidR="00F77599" w:rsidRPr="005D42BA">
        <w:rPr>
          <w:rFonts w:ascii="Times New Roman" w:hAnsi="Times New Roman" w:cs="Times New Roman"/>
          <w:sz w:val="24"/>
          <w:szCs w:val="24"/>
          <w:shd w:val="clear" w:color="auto" w:fill="FFFFFF"/>
        </w:rPr>
        <w:t xml:space="preserve"> </w:t>
      </w:r>
      <w:proofErr w:type="spellStart"/>
      <w:r w:rsidR="00F77599" w:rsidRPr="005D42BA">
        <w:rPr>
          <w:rFonts w:ascii="Times New Roman" w:hAnsi="Times New Roman" w:cs="Times New Roman"/>
          <w:sz w:val="24"/>
          <w:szCs w:val="24"/>
          <w:shd w:val="clear" w:color="auto" w:fill="FFFFFF"/>
        </w:rPr>
        <w:t>Cacioppo</w:t>
      </w:r>
      <w:proofErr w:type="spellEnd"/>
      <w:r w:rsidR="00F77599" w:rsidRPr="005D42BA">
        <w:rPr>
          <w:rFonts w:ascii="Times New Roman" w:hAnsi="Times New Roman" w:cs="Times New Roman"/>
          <w:sz w:val="24"/>
          <w:szCs w:val="24"/>
          <w:shd w:val="clear" w:color="auto" w:fill="FFFFFF"/>
        </w:rPr>
        <w:t xml:space="preserve">, J.T. (1986). The </w:t>
      </w:r>
      <w:r w:rsidRPr="005D42BA">
        <w:rPr>
          <w:rFonts w:ascii="Times New Roman" w:hAnsi="Times New Roman" w:cs="Times New Roman"/>
          <w:sz w:val="24"/>
          <w:szCs w:val="24"/>
          <w:shd w:val="clear" w:color="auto" w:fill="FFFFFF"/>
        </w:rPr>
        <w:t>elaboration likelihood model of persuasion</w:t>
      </w:r>
      <w:r>
        <w:rPr>
          <w:rFonts w:ascii="Times New Roman" w:hAnsi="Times New Roman" w:cs="Times New Roman"/>
          <w:sz w:val="24"/>
          <w:szCs w:val="24"/>
          <w:shd w:val="clear" w:color="auto" w:fill="FFFFFF"/>
        </w:rPr>
        <w:t>.</w:t>
      </w:r>
      <w:r w:rsidR="00F77599" w:rsidRPr="005D42BA">
        <w:rPr>
          <w:rFonts w:ascii="Times New Roman" w:hAnsi="Times New Roman" w:cs="Times New Roman"/>
          <w:sz w:val="24"/>
          <w:szCs w:val="24"/>
          <w:shd w:val="clear" w:color="auto" w:fill="FFFFFF"/>
        </w:rPr>
        <w:t xml:space="preserve"> </w:t>
      </w:r>
      <w:r w:rsidR="00F77599" w:rsidRPr="00A2786C">
        <w:rPr>
          <w:rFonts w:ascii="Times New Roman" w:hAnsi="Times New Roman" w:cs="Times New Roman"/>
          <w:sz w:val="24"/>
          <w:szCs w:val="24"/>
          <w:shd w:val="clear" w:color="auto" w:fill="FFFFFF"/>
        </w:rPr>
        <w:t>Advances in Experimental Social Psychology</w:t>
      </w:r>
      <w:r w:rsidR="00F77599" w:rsidRPr="005D42BA">
        <w:rPr>
          <w:rFonts w:ascii="Times New Roman" w:hAnsi="Times New Roman" w:cs="Times New Roman"/>
          <w:i/>
          <w:sz w:val="24"/>
          <w:szCs w:val="24"/>
          <w:shd w:val="clear" w:color="auto" w:fill="FFFFFF"/>
        </w:rPr>
        <w:t xml:space="preserve">, </w:t>
      </w:r>
      <w:r w:rsidR="00F77599" w:rsidRPr="005D42BA">
        <w:rPr>
          <w:rFonts w:ascii="Times New Roman" w:hAnsi="Times New Roman" w:cs="Times New Roman"/>
          <w:sz w:val="24"/>
          <w:szCs w:val="24"/>
          <w:shd w:val="clear" w:color="auto" w:fill="FFFFFF"/>
        </w:rPr>
        <w:t>19, 123-205.</w:t>
      </w:r>
    </w:p>
    <w:p w:rsidR="00F77599" w:rsidRPr="005D42BA" w:rsidRDefault="00A2786C" w:rsidP="00A652A1">
      <w:pPr>
        <w:spacing w:after="100"/>
        <w:ind w:left="284"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Petty, R.E., </w:t>
      </w:r>
      <w:proofErr w:type="spellStart"/>
      <w:r>
        <w:rPr>
          <w:rFonts w:ascii="Times New Roman" w:hAnsi="Times New Roman" w:cs="Times New Roman"/>
          <w:sz w:val="24"/>
          <w:szCs w:val="24"/>
          <w:shd w:val="clear" w:color="auto" w:fill="FFFFFF"/>
        </w:rPr>
        <w:t>Cacioppo</w:t>
      </w:r>
      <w:proofErr w:type="spellEnd"/>
      <w:r>
        <w:rPr>
          <w:rFonts w:ascii="Times New Roman" w:hAnsi="Times New Roman" w:cs="Times New Roman"/>
          <w:sz w:val="24"/>
          <w:szCs w:val="24"/>
          <w:shd w:val="clear" w:color="auto" w:fill="FFFFFF"/>
        </w:rPr>
        <w:t>, J.T.,</w:t>
      </w:r>
      <w:r w:rsidR="00F77599" w:rsidRPr="005D42BA">
        <w:rPr>
          <w:rFonts w:ascii="Times New Roman" w:hAnsi="Times New Roman" w:cs="Times New Roman"/>
          <w:sz w:val="24"/>
          <w:szCs w:val="24"/>
          <w:shd w:val="clear" w:color="auto" w:fill="FFFFFF"/>
        </w:rPr>
        <w:t xml:space="preserve"> Schumann, D. (1983). Central </w:t>
      </w:r>
      <w:r w:rsidRPr="005D42BA">
        <w:rPr>
          <w:rFonts w:ascii="Times New Roman" w:hAnsi="Times New Roman" w:cs="Times New Roman"/>
          <w:sz w:val="24"/>
          <w:szCs w:val="24"/>
          <w:shd w:val="clear" w:color="auto" w:fill="FFFFFF"/>
        </w:rPr>
        <w:t>and peripheral routes to advertising effectiveness: the moderating role of involvement</w:t>
      </w:r>
      <w:r w:rsidR="00F77599" w:rsidRPr="005D42BA">
        <w:rPr>
          <w:rFonts w:ascii="Times New Roman" w:hAnsi="Times New Roman" w:cs="Times New Roman"/>
          <w:sz w:val="24"/>
          <w:szCs w:val="24"/>
          <w:shd w:val="clear" w:color="auto" w:fill="FFFFFF"/>
        </w:rPr>
        <w:t xml:space="preserve">. </w:t>
      </w:r>
      <w:r w:rsidR="00F77599" w:rsidRPr="00A2786C">
        <w:rPr>
          <w:rFonts w:ascii="Times New Roman" w:hAnsi="Times New Roman" w:cs="Times New Roman"/>
          <w:iCs/>
          <w:sz w:val="24"/>
          <w:szCs w:val="24"/>
          <w:shd w:val="clear" w:color="auto" w:fill="FFFFFF"/>
        </w:rPr>
        <w:t>Journal of Consumer Research</w:t>
      </w:r>
      <w:r w:rsidR="00F77599" w:rsidRPr="005D42BA">
        <w:rPr>
          <w:rFonts w:ascii="Times New Roman" w:hAnsi="Times New Roman" w:cs="Times New Roman"/>
          <w:sz w:val="24"/>
          <w:szCs w:val="24"/>
          <w:shd w:val="clear" w:color="auto" w:fill="FFFFFF"/>
        </w:rPr>
        <w:t>, 10(2), 135-146.</w:t>
      </w:r>
    </w:p>
    <w:p w:rsidR="00F77599" w:rsidRPr="005D42BA" w:rsidRDefault="009B347D" w:rsidP="00A652A1">
      <w:pPr>
        <w:spacing w:after="100" w:line="240" w:lineRule="auto"/>
        <w:ind w:left="284"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Petty, R., </w:t>
      </w:r>
      <w:proofErr w:type="spellStart"/>
      <w:r>
        <w:rPr>
          <w:rFonts w:ascii="Times New Roman" w:hAnsi="Times New Roman" w:cs="Times New Roman"/>
          <w:sz w:val="24"/>
          <w:szCs w:val="24"/>
          <w:shd w:val="clear" w:color="auto" w:fill="FFFFFF"/>
        </w:rPr>
        <w:t>Cacioppo</w:t>
      </w:r>
      <w:proofErr w:type="spellEnd"/>
      <w:r>
        <w:rPr>
          <w:rFonts w:ascii="Times New Roman" w:hAnsi="Times New Roman" w:cs="Times New Roman"/>
          <w:sz w:val="24"/>
          <w:szCs w:val="24"/>
          <w:shd w:val="clear" w:color="auto" w:fill="FFFFFF"/>
        </w:rPr>
        <w:t>, J.T. (2011</w:t>
      </w:r>
      <w:r w:rsidR="00F77599" w:rsidRPr="005D42BA">
        <w:rPr>
          <w:rFonts w:ascii="Times New Roman" w:hAnsi="Times New Roman" w:cs="Times New Roman"/>
          <w:sz w:val="24"/>
          <w:szCs w:val="24"/>
          <w:shd w:val="clear" w:color="auto" w:fill="FFFFFF"/>
        </w:rPr>
        <w:t xml:space="preserve">). </w:t>
      </w:r>
      <w:r w:rsidR="00F77599" w:rsidRPr="009B347D">
        <w:rPr>
          <w:rFonts w:ascii="Times New Roman" w:hAnsi="Times New Roman" w:cs="Times New Roman"/>
          <w:sz w:val="24"/>
          <w:szCs w:val="24"/>
          <w:shd w:val="clear" w:color="auto" w:fill="FFFFFF"/>
        </w:rPr>
        <w:t>Communication and Persuasion: Central and Peripheral Routes to Attitude Change</w:t>
      </w:r>
      <w:r>
        <w:rPr>
          <w:rFonts w:ascii="Times New Roman" w:hAnsi="Times New Roman" w:cs="Times New Roman"/>
          <w:sz w:val="24"/>
          <w:szCs w:val="24"/>
          <w:shd w:val="clear" w:color="auto" w:fill="FFFFFF"/>
        </w:rPr>
        <w:t>.</w:t>
      </w:r>
      <w:r w:rsidR="00F77599" w:rsidRPr="005D42BA">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New York: </w:t>
      </w:r>
      <w:r w:rsidR="00F77599" w:rsidRPr="005D42BA">
        <w:rPr>
          <w:rFonts w:ascii="Times New Roman" w:hAnsi="Times New Roman" w:cs="Times New Roman"/>
          <w:sz w:val="24"/>
          <w:szCs w:val="24"/>
          <w:shd w:val="clear" w:color="auto" w:fill="FFFFFF"/>
        </w:rPr>
        <w:t>Springer</w:t>
      </w:r>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Verlag</w:t>
      </w:r>
      <w:proofErr w:type="spellEnd"/>
      <w:r w:rsidR="00F77599" w:rsidRPr="005D42BA">
        <w:rPr>
          <w:rFonts w:ascii="Times New Roman" w:hAnsi="Times New Roman" w:cs="Times New Roman"/>
          <w:sz w:val="24"/>
          <w:szCs w:val="24"/>
          <w:shd w:val="clear" w:color="auto" w:fill="FFFFFF"/>
        </w:rPr>
        <w:t>.</w:t>
      </w:r>
    </w:p>
    <w:p w:rsidR="002D7AE4" w:rsidRPr="005D42BA" w:rsidRDefault="002D7AE4"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Price, S., Doran, J., Peterson, D.</w:t>
      </w:r>
      <w:r w:rsidR="009B347D">
        <w:rPr>
          <w:rFonts w:ascii="Times New Roman" w:hAnsi="Times New Roman" w:cs="Times New Roman"/>
          <w:sz w:val="24"/>
          <w:szCs w:val="24"/>
        </w:rPr>
        <w:t>,</w:t>
      </w:r>
      <w:r w:rsidRPr="005D42BA">
        <w:rPr>
          <w:rFonts w:ascii="Times New Roman" w:hAnsi="Times New Roman" w:cs="Times New Roman"/>
          <w:sz w:val="24"/>
          <w:szCs w:val="24"/>
        </w:rPr>
        <w:t xml:space="preserve"> Bliss, B. (2012). Earnings </w:t>
      </w:r>
      <w:r w:rsidR="009B347D" w:rsidRPr="005D42BA">
        <w:rPr>
          <w:rFonts w:ascii="Times New Roman" w:hAnsi="Times New Roman" w:cs="Times New Roman"/>
          <w:sz w:val="24"/>
          <w:szCs w:val="24"/>
        </w:rPr>
        <w:t>conference calls and stock returns: the incremental informativeness of textual tone</w:t>
      </w:r>
      <w:r w:rsidR="009B347D">
        <w:rPr>
          <w:rFonts w:ascii="Times New Roman" w:hAnsi="Times New Roman" w:cs="Times New Roman"/>
          <w:sz w:val="24"/>
          <w:szCs w:val="24"/>
        </w:rPr>
        <w:t>.</w:t>
      </w:r>
      <w:r w:rsidRPr="005D42BA">
        <w:rPr>
          <w:rFonts w:ascii="Times New Roman" w:hAnsi="Times New Roman" w:cs="Times New Roman"/>
          <w:sz w:val="24"/>
          <w:szCs w:val="24"/>
        </w:rPr>
        <w:t xml:space="preserve"> </w:t>
      </w:r>
      <w:r w:rsidRPr="009B347D">
        <w:rPr>
          <w:rFonts w:ascii="Times New Roman" w:hAnsi="Times New Roman" w:cs="Times New Roman"/>
          <w:sz w:val="24"/>
          <w:szCs w:val="24"/>
        </w:rPr>
        <w:t>Journal of Banking and Finance</w:t>
      </w:r>
      <w:r w:rsidRPr="005D42BA">
        <w:rPr>
          <w:rFonts w:ascii="Times New Roman" w:hAnsi="Times New Roman" w:cs="Times New Roman"/>
          <w:sz w:val="24"/>
          <w:szCs w:val="24"/>
        </w:rPr>
        <w:t>, 36(4), 992-1011.</w:t>
      </w:r>
    </w:p>
    <w:p w:rsidR="004F24CA" w:rsidRDefault="004F24CA"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 xml:space="preserve">Rogers, J.L., Van </w:t>
      </w:r>
      <w:proofErr w:type="spellStart"/>
      <w:r>
        <w:rPr>
          <w:rFonts w:ascii="Times New Roman" w:hAnsi="Times New Roman" w:cs="Times New Roman"/>
          <w:sz w:val="24"/>
          <w:szCs w:val="24"/>
        </w:rPr>
        <w:t>Buskirk</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Zechman</w:t>
      </w:r>
      <w:proofErr w:type="spellEnd"/>
      <w:r>
        <w:rPr>
          <w:rFonts w:ascii="Times New Roman" w:hAnsi="Times New Roman" w:cs="Times New Roman"/>
          <w:sz w:val="24"/>
          <w:szCs w:val="24"/>
        </w:rPr>
        <w:t xml:space="preserve">, S.L.C. (2011). Disclosure tone and shareholder litigation. Accounting Review, 86(6), 2155-2183. </w:t>
      </w:r>
    </w:p>
    <w:p w:rsidR="00C315A0" w:rsidRPr="005D42BA" w:rsidRDefault="009B347D"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Rosenberg, B., Reid, K.,</w:t>
      </w:r>
      <w:r w:rsidR="00C315A0" w:rsidRPr="005D42BA">
        <w:rPr>
          <w:rFonts w:ascii="Times New Roman" w:hAnsi="Times New Roman" w:cs="Times New Roman"/>
          <w:sz w:val="24"/>
          <w:szCs w:val="24"/>
        </w:rPr>
        <w:t xml:space="preserve"> </w:t>
      </w:r>
      <w:proofErr w:type="spellStart"/>
      <w:r w:rsidR="00C315A0" w:rsidRPr="005D42BA">
        <w:rPr>
          <w:rFonts w:ascii="Times New Roman" w:hAnsi="Times New Roman" w:cs="Times New Roman"/>
          <w:sz w:val="24"/>
          <w:szCs w:val="24"/>
        </w:rPr>
        <w:t>Lanstein</w:t>
      </w:r>
      <w:proofErr w:type="spellEnd"/>
      <w:r w:rsidR="00C315A0" w:rsidRPr="005D42BA">
        <w:rPr>
          <w:rFonts w:ascii="Times New Roman" w:hAnsi="Times New Roman" w:cs="Times New Roman"/>
          <w:sz w:val="24"/>
          <w:szCs w:val="24"/>
        </w:rPr>
        <w:t>, R. (1985). Persuasive</w:t>
      </w:r>
      <w:r w:rsidRPr="005D42BA">
        <w:rPr>
          <w:rFonts w:ascii="Times New Roman" w:hAnsi="Times New Roman" w:cs="Times New Roman"/>
          <w:sz w:val="24"/>
          <w:szCs w:val="24"/>
        </w:rPr>
        <w:t xml:space="preserve"> evidence of market inefficiency</w:t>
      </w:r>
      <w:r>
        <w:rPr>
          <w:rFonts w:ascii="Times New Roman" w:hAnsi="Times New Roman" w:cs="Times New Roman"/>
          <w:sz w:val="24"/>
          <w:szCs w:val="24"/>
        </w:rPr>
        <w:t>.</w:t>
      </w:r>
      <w:r w:rsidR="00C315A0" w:rsidRPr="005D42BA">
        <w:rPr>
          <w:rFonts w:ascii="Times New Roman" w:hAnsi="Times New Roman" w:cs="Times New Roman"/>
          <w:sz w:val="24"/>
          <w:szCs w:val="24"/>
        </w:rPr>
        <w:t xml:space="preserve"> </w:t>
      </w:r>
      <w:r w:rsidR="00C315A0" w:rsidRPr="009B347D">
        <w:rPr>
          <w:rFonts w:ascii="Times New Roman" w:hAnsi="Times New Roman" w:cs="Times New Roman"/>
          <w:sz w:val="24"/>
          <w:szCs w:val="24"/>
        </w:rPr>
        <w:t>Journal of Portfolio Management</w:t>
      </w:r>
      <w:r w:rsidR="00C315A0" w:rsidRPr="005D42BA">
        <w:rPr>
          <w:rFonts w:ascii="Times New Roman" w:hAnsi="Times New Roman" w:cs="Times New Roman"/>
          <w:i/>
          <w:sz w:val="24"/>
          <w:szCs w:val="24"/>
        </w:rPr>
        <w:t xml:space="preserve">, </w:t>
      </w:r>
      <w:r w:rsidR="00C315A0" w:rsidRPr="005D42BA">
        <w:rPr>
          <w:rFonts w:ascii="Times New Roman" w:hAnsi="Times New Roman" w:cs="Times New Roman"/>
          <w:sz w:val="24"/>
          <w:szCs w:val="24"/>
        </w:rPr>
        <w:t xml:space="preserve">11(3), 9-16. </w:t>
      </w:r>
    </w:p>
    <w:p w:rsidR="006A02AC" w:rsidRPr="005D42BA" w:rsidRDefault="006A02AC"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Rutherford, B.A. (2005). A </w:t>
      </w:r>
      <w:r w:rsidR="009B347D" w:rsidRPr="005D42BA">
        <w:rPr>
          <w:rFonts w:ascii="Times New Roman" w:hAnsi="Times New Roman" w:cs="Times New Roman"/>
          <w:sz w:val="24"/>
          <w:szCs w:val="24"/>
        </w:rPr>
        <w:t>corpus linguistics-based approach</w:t>
      </w:r>
      <w:r w:rsidR="009B347D">
        <w:rPr>
          <w:rFonts w:ascii="Times New Roman" w:hAnsi="Times New Roman" w:cs="Times New Roman"/>
          <w:sz w:val="24"/>
          <w:szCs w:val="24"/>
        </w:rPr>
        <w:t>.</w:t>
      </w:r>
      <w:r w:rsidRPr="005D42BA">
        <w:rPr>
          <w:rFonts w:ascii="Times New Roman" w:hAnsi="Times New Roman" w:cs="Times New Roman"/>
          <w:sz w:val="24"/>
          <w:szCs w:val="24"/>
        </w:rPr>
        <w:t xml:space="preserve"> </w:t>
      </w:r>
      <w:r w:rsidRPr="009B347D">
        <w:rPr>
          <w:rFonts w:ascii="Times New Roman" w:hAnsi="Times New Roman" w:cs="Times New Roman"/>
          <w:sz w:val="24"/>
          <w:szCs w:val="24"/>
        </w:rPr>
        <w:t>International Journal of Business Communication</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42(4), 349-378.</w:t>
      </w:r>
    </w:p>
    <w:p w:rsidR="006F18A4" w:rsidRPr="005D42BA" w:rsidRDefault="00197553"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Scharnd</w:t>
      </w:r>
      <w:proofErr w:type="spellEnd"/>
      <w:r w:rsidR="009B347D">
        <w:rPr>
          <w:rFonts w:ascii="Times New Roman" w:hAnsi="Times New Roman" w:cs="Times New Roman"/>
          <w:sz w:val="24"/>
          <w:szCs w:val="24"/>
        </w:rPr>
        <w:t>, C.M.,</w:t>
      </w:r>
      <w:r w:rsidRPr="005D42BA">
        <w:rPr>
          <w:rFonts w:ascii="Times New Roman" w:hAnsi="Times New Roman" w:cs="Times New Roman"/>
          <w:sz w:val="24"/>
          <w:szCs w:val="24"/>
        </w:rPr>
        <w:t xml:space="preserve"> Walther, B.R. (2000). Strategic </w:t>
      </w:r>
      <w:r w:rsidR="009B347D" w:rsidRPr="005D42BA">
        <w:rPr>
          <w:rFonts w:ascii="Times New Roman" w:hAnsi="Times New Roman" w:cs="Times New Roman"/>
          <w:sz w:val="24"/>
          <w:szCs w:val="24"/>
        </w:rPr>
        <w:t>benchmarks in earnings announcements: the selective disclosure of prior-period earnings components</w:t>
      </w:r>
      <w:r w:rsidR="009B347D">
        <w:rPr>
          <w:rFonts w:ascii="Times New Roman" w:hAnsi="Times New Roman" w:cs="Times New Roman"/>
          <w:sz w:val="24"/>
          <w:szCs w:val="24"/>
        </w:rPr>
        <w:t>.</w:t>
      </w:r>
      <w:r w:rsidRPr="005D42BA">
        <w:rPr>
          <w:rFonts w:ascii="Times New Roman" w:hAnsi="Times New Roman" w:cs="Times New Roman"/>
          <w:sz w:val="24"/>
          <w:szCs w:val="24"/>
        </w:rPr>
        <w:t xml:space="preserve"> </w:t>
      </w:r>
      <w:r w:rsidRPr="009B347D">
        <w:rPr>
          <w:rFonts w:ascii="Times New Roman" w:hAnsi="Times New Roman" w:cs="Times New Roman"/>
          <w:sz w:val="24"/>
          <w:szCs w:val="24"/>
        </w:rPr>
        <w:t>Accounting Review</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 xml:space="preserve">75(2), 151-177. </w:t>
      </w:r>
    </w:p>
    <w:p w:rsidR="00E030B5" w:rsidRDefault="009B347D" w:rsidP="00A652A1">
      <w:pPr>
        <w:pStyle w:val="Default"/>
        <w:spacing w:after="100" w:line="276" w:lineRule="auto"/>
        <w:ind w:left="284" w:hanging="284"/>
        <w:jc w:val="both"/>
        <w:rPr>
          <w:rFonts w:ascii="Times New Roman" w:hAnsi="Times New Roman" w:cs="Times New Roman"/>
          <w:color w:val="auto"/>
        </w:rPr>
      </w:pPr>
      <w:proofErr w:type="spellStart"/>
      <w:r>
        <w:rPr>
          <w:rFonts w:ascii="Times New Roman" w:hAnsi="Times New Roman" w:cs="Times New Roman"/>
          <w:color w:val="auto"/>
        </w:rPr>
        <w:t>Schleicher</w:t>
      </w:r>
      <w:proofErr w:type="spellEnd"/>
      <w:r>
        <w:rPr>
          <w:rFonts w:ascii="Times New Roman" w:hAnsi="Times New Roman" w:cs="Times New Roman"/>
          <w:color w:val="auto"/>
        </w:rPr>
        <w:t>, T.,</w:t>
      </w:r>
      <w:r w:rsidR="00E030B5" w:rsidRPr="005D42BA">
        <w:rPr>
          <w:rFonts w:ascii="Times New Roman" w:hAnsi="Times New Roman" w:cs="Times New Roman"/>
          <w:color w:val="auto"/>
        </w:rPr>
        <w:t xml:space="preserve"> Walker, M. (2010). Bias </w:t>
      </w:r>
      <w:r w:rsidRPr="005D42BA">
        <w:rPr>
          <w:rFonts w:ascii="Times New Roman" w:hAnsi="Times New Roman" w:cs="Times New Roman"/>
          <w:color w:val="auto"/>
        </w:rPr>
        <w:t>in the tone of forward-looking narratives</w:t>
      </w:r>
      <w:r>
        <w:rPr>
          <w:rFonts w:ascii="Times New Roman" w:hAnsi="Times New Roman" w:cs="Times New Roman"/>
          <w:color w:val="auto"/>
        </w:rPr>
        <w:t>.</w:t>
      </w:r>
      <w:r w:rsidR="00E030B5" w:rsidRPr="005D42BA">
        <w:rPr>
          <w:rFonts w:ascii="Times New Roman" w:hAnsi="Times New Roman" w:cs="Times New Roman"/>
          <w:color w:val="auto"/>
        </w:rPr>
        <w:t xml:space="preserve"> </w:t>
      </w:r>
      <w:r w:rsidR="00E030B5" w:rsidRPr="009B347D">
        <w:rPr>
          <w:rFonts w:ascii="Times New Roman" w:hAnsi="Times New Roman" w:cs="Times New Roman"/>
          <w:color w:val="auto"/>
        </w:rPr>
        <w:t>Accounting and Business Research</w:t>
      </w:r>
      <w:r w:rsidR="00E030B5" w:rsidRPr="005D42BA">
        <w:rPr>
          <w:rFonts w:ascii="Times New Roman" w:hAnsi="Times New Roman" w:cs="Times New Roman"/>
          <w:i/>
          <w:color w:val="auto"/>
        </w:rPr>
        <w:t xml:space="preserve">, </w:t>
      </w:r>
      <w:r w:rsidR="00E030B5" w:rsidRPr="005D42BA">
        <w:rPr>
          <w:rFonts w:ascii="Times New Roman" w:hAnsi="Times New Roman" w:cs="Times New Roman"/>
          <w:color w:val="auto"/>
        </w:rPr>
        <w:t>40(4), 371-390.</w:t>
      </w:r>
    </w:p>
    <w:p w:rsidR="00A733D5" w:rsidRDefault="00A733D5" w:rsidP="00A652A1">
      <w:pPr>
        <w:pStyle w:val="Default"/>
        <w:spacing w:after="100" w:line="276" w:lineRule="auto"/>
        <w:ind w:left="284" w:hanging="284"/>
        <w:jc w:val="both"/>
        <w:rPr>
          <w:rFonts w:ascii="Times New Roman" w:hAnsi="Times New Roman" w:cs="Times New Roman"/>
          <w:color w:val="auto"/>
        </w:rPr>
      </w:pPr>
      <w:r>
        <w:rPr>
          <w:rFonts w:ascii="Times New Roman" w:hAnsi="Times New Roman" w:cs="Times New Roman"/>
          <w:color w:val="auto"/>
        </w:rPr>
        <w:t xml:space="preserve">SEC (1998). A plain English handbook: how to create clear SEC disclosure documents, available on the internet at </w:t>
      </w:r>
      <w:r w:rsidRPr="00DE65E7">
        <w:rPr>
          <w:rFonts w:ascii="Times New Roman" w:hAnsi="Times New Roman" w:cs="Times New Roman"/>
        </w:rPr>
        <w:t>http://www.sec.gov/pdf/handbook.pdf</w:t>
      </w:r>
      <w:r>
        <w:rPr>
          <w:rFonts w:ascii="Times New Roman" w:hAnsi="Times New Roman" w:cs="Times New Roman"/>
          <w:color w:val="auto"/>
        </w:rPr>
        <w:t>. Accessed 28.07.15.</w:t>
      </w:r>
    </w:p>
    <w:p w:rsidR="00337C81" w:rsidRPr="005D42BA" w:rsidRDefault="00337C81" w:rsidP="00A652A1">
      <w:pPr>
        <w:pStyle w:val="Default"/>
        <w:spacing w:after="100" w:line="276" w:lineRule="auto"/>
        <w:ind w:left="284" w:hanging="284"/>
        <w:jc w:val="both"/>
        <w:rPr>
          <w:rFonts w:ascii="Times New Roman" w:hAnsi="Times New Roman" w:cs="Times New Roman"/>
          <w:color w:val="auto"/>
        </w:rPr>
      </w:pPr>
      <w:r>
        <w:rPr>
          <w:rFonts w:ascii="Times New Roman" w:hAnsi="Times New Roman" w:cs="Times New Roman"/>
          <w:color w:val="auto"/>
        </w:rPr>
        <w:t>SEC (2015). Year-by-year SEC enforcement statistics.</w:t>
      </w:r>
      <w:r w:rsidR="00AD079E">
        <w:rPr>
          <w:rFonts w:ascii="Times New Roman" w:hAnsi="Times New Roman" w:cs="Times New Roman"/>
          <w:color w:val="auto"/>
        </w:rPr>
        <w:t xml:space="preserve"> Available on the internet at </w:t>
      </w:r>
      <w:r w:rsidR="00AD079E" w:rsidRPr="00DE65E7">
        <w:rPr>
          <w:rFonts w:ascii="Times New Roman" w:hAnsi="Times New Roman" w:cs="Times New Roman"/>
        </w:rPr>
        <w:t>https://www.sec.gov/news/newsroom/images/enfstats.pdf</w:t>
      </w:r>
      <w:r w:rsidR="00AD079E">
        <w:rPr>
          <w:rFonts w:ascii="Times New Roman" w:hAnsi="Times New Roman" w:cs="Times New Roman"/>
          <w:color w:val="auto"/>
        </w:rPr>
        <w:t>, Accessed 28.07.15.</w:t>
      </w:r>
    </w:p>
    <w:p w:rsidR="00075735" w:rsidRPr="005D42BA" w:rsidRDefault="00075735" w:rsidP="00A652A1">
      <w:pPr>
        <w:autoSpaceDE w:val="0"/>
        <w:autoSpaceDN w:val="0"/>
        <w:adjustRightInd w:val="0"/>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Shiller</w:t>
      </w:r>
      <w:proofErr w:type="spellEnd"/>
      <w:r w:rsidRPr="005D42BA">
        <w:rPr>
          <w:rFonts w:ascii="Times New Roman" w:hAnsi="Times New Roman" w:cs="Times New Roman"/>
          <w:sz w:val="24"/>
          <w:szCs w:val="24"/>
        </w:rPr>
        <w:t xml:space="preserve">, R. J. (1981). Do </w:t>
      </w:r>
      <w:r w:rsidR="009B347D" w:rsidRPr="005D42BA">
        <w:rPr>
          <w:rFonts w:ascii="Times New Roman" w:hAnsi="Times New Roman" w:cs="Times New Roman"/>
          <w:sz w:val="24"/>
          <w:szCs w:val="24"/>
        </w:rPr>
        <w:t>stock prices move too much to be justified by subsequent changes in dividends</w:t>
      </w:r>
      <w:r w:rsidRPr="005D42BA">
        <w:rPr>
          <w:rFonts w:ascii="Times New Roman" w:hAnsi="Times New Roman" w:cs="Times New Roman"/>
          <w:sz w:val="24"/>
          <w:szCs w:val="24"/>
        </w:rPr>
        <w:t xml:space="preserve">? </w:t>
      </w:r>
      <w:r w:rsidRPr="009B347D">
        <w:rPr>
          <w:rFonts w:ascii="Times New Roman" w:hAnsi="Times New Roman" w:cs="Times New Roman"/>
          <w:sz w:val="24"/>
          <w:szCs w:val="24"/>
        </w:rPr>
        <w:t>American Economic Review</w:t>
      </w:r>
      <w:r w:rsidRPr="005D42BA">
        <w:rPr>
          <w:rFonts w:ascii="Times New Roman" w:hAnsi="Times New Roman" w:cs="Times New Roman"/>
          <w:sz w:val="24"/>
          <w:szCs w:val="24"/>
        </w:rPr>
        <w:t>, 76(3), 483–98.</w:t>
      </w:r>
    </w:p>
    <w:p w:rsidR="008250C1" w:rsidRPr="005D42BA" w:rsidRDefault="008250C1"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Shumway</w:t>
      </w:r>
      <w:proofErr w:type="spellEnd"/>
      <w:r w:rsidRPr="005D42BA">
        <w:rPr>
          <w:rFonts w:ascii="Times New Roman" w:hAnsi="Times New Roman" w:cs="Times New Roman"/>
          <w:sz w:val="24"/>
          <w:szCs w:val="24"/>
        </w:rPr>
        <w:t xml:space="preserve">, T. (2001). </w:t>
      </w:r>
      <w:r w:rsidR="009B347D">
        <w:rPr>
          <w:rFonts w:ascii="Times New Roman" w:hAnsi="Times New Roman" w:cs="Times New Roman"/>
          <w:sz w:val="24"/>
          <w:szCs w:val="24"/>
        </w:rPr>
        <w:t>F</w:t>
      </w:r>
      <w:r w:rsidR="009B347D" w:rsidRPr="005D42BA">
        <w:rPr>
          <w:rFonts w:ascii="Times New Roman" w:hAnsi="Times New Roman" w:cs="Times New Roman"/>
          <w:sz w:val="24"/>
          <w:szCs w:val="24"/>
        </w:rPr>
        <w:t>orecasting bankruptcy more accurately: a simple hazard model</w:t>
      </w:r>
      <w:r w:rsidR="009B347D">
        <w:rPr>
          <w:rFonts w:ascii="Times New Roman" w:hAnsi="Times New Roman" w:cs="Times New Roman"/>
          <w:sz w:val="24"/>
          <w:szCs w:val="24"/>
        </w:rPr>
        <w:t>.</w:t>
      </w:r>
      <w:r w:rsidRPr="005D42BA">
        <w:rPr>
          <w:rFonts w:ascii="Times New Roman" w:hAnsi="Times New Roman" w:cs="Times New Roman"/>
          <w:sz w:val="24"/>
          <w:szCs w:val="24"/>
        </w:rPr>
        <w:t xml:space="preserve"> </w:t>
      </w:r>
      <w:r w:rsidRPr="009B347D">
        <w:rPr>
          <w:rFonts w:ascii="Times New Roman" w:hAnsi="Times New Roman" w:cs="Times New Roman"/>
          <w:sz w:val="24"/>
          <w:szCs w:val="24"/>
        </w:rPr>
        <w:t>Journal of Business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74(1), 101-124.</w:t>
      </w:r>
    </w:p>
    <w:p w:rsidR="003F5954" w:rsidRPr="005D42BA" w:rsidRDefault="003F5954"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Shin, H.S. (1994). News </w:t>
      </w:r>
      <w:r w:rsidR="009B347D" w:rsidRPr="005D42BA">
        <w:rPr>
          <w:rFonts w:ascii="Times New Roman" w:hAnsi="Times New Roman" w:cs="Times New Roman"/>
          <w:sz w:val="24"/>
          <w:szCs w:val="24"/>
        </w:rPr>
        <w:t>management and the value of firms</w:t>
      </w:r>
      <w:r w:rsidR="009B347D">
        <w:rPr>
          <w:rFonts w:ascii="Times New Roman" w:hAnsi="Times New Roman" w:cs="Times New Roman"/>
          <w:sz w:val="24"/>
          <w:szCs w:val="24"/>
        </w:rPr>
        <w:t>.</w:t>
      </w:r>
      <w:r w:rsidRPr="005D42BA">
        <w:rPr>
          <w:rFonts w:ascii="Times New Roman" w:hAnsi="Times New Roman" w:cs="Times New Roman"/>
          <w:sz w:val="24"/>
          <w:szCs w:val="24"/>
        </w:rPr>
        <w:t xml:space="preserve"> </w:t>
      </w:r>
      <w:r w:rsidRPr="009B347D">
        <w:rPr>
          <w:rFonts w:ascii="Times New Roman" w:hAnsi="Times New Roman" w:cs="Times New Roman"/>
          <w:sz w:val="24"/>
          <w:szCs w:val="24"/>
        </w:rPr>
        <w:t>RAND Journal of Economics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25(1), 58-71.</w:t>
      </w:r>
    </w:p>
    <w:p w:rsidR="00EE56A2" w:rsidRPr="005D42BA" w:rsidRDefault="00D410E0"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Smith, M.,</w:t>
      </w:r>
      <w:r w:rsidR="00EE56A2" w:rsidRPr="005D42BA">
        <w:rPr>
          <w:rFonts w:ascii="Times New Roman" w:hAnsi="Times New Roman" w:cs="Times New Roman"/>
          <w:sz w:val="24"/>
          <w:szCs w:val="24"/>
        </w:rPr>
        <w:t xml:space="preserve"> </w:t>
      </w:r>
      <w:proofErr w:type="spellStart"/>
      <w:r w:rsidR="00EE56A2" w:rsidRPr="005D42BA">
        <w:rPr>
          <w:rFonts w:ascii="Times New Roman" w:hAnsi="Times New Roman" w:cs="Times New Roman"/>
          <w:sz w:val="24"/>
          <w:szCs w:val="24"/>
        </w:rPr>
        <w:t>Taffler</w:t>
      </w:r>
      <w:proofErr w:type="spellEnd"/>
      <w:r w:rsidR="00EE56A2" w:rsidRPr="005D42BA">
        <w:rPr>
          <w:rFonts w:ascii="Times New Roman" w:hAnsi="Times New Roman" w:cs="Times New Roman"/>
          <w:sz w:val="24"/>
          <w:szCs w:val="24"/>
        </w:rPr>
        <w:t xml:space="preserve">, R.J. (1992). The </w:t>
      </w:r>
      <w:r w:rsidRPr="005D42BA">
        <w:rPr>
          <w:rFonts w:ascii="Times New Roman" w:hAnsi="Times New Roman" w:cs="Times New Roman"/>
          <w:sz w:val="24"/>
          <w:szCs w:val="24"/>
        </w:rPr>
        <w:t>chairman’s statement and corporate financial performance</w:t>
      </w:r>
      <w:r>
        <w:rPr>
          <w:rFonts w:ascii="Times New Roman" w:hAnsi="Times New Roman" w:cs="Times New Roman"/>
          <w:sz w:val="24"/>
          <w:szCs w:val="24"/>
        </w:rPr>
        <w:t>.</w:t>
      </w:r>
      <w:r w:rsidR="00EE56A2" w:rsidRPr="005D42BA">
        <w:rPr>
          <w:rFonts w:ascii="Times New Roman" w:hAnsi="Times New Roman" w:cs="Times New Roman"/>
          <w:sz w:val="24"/>
          <w:szCs w:val="24"/>
        </w:rPr>
        <w:t xml:space="preserve"> </w:t>
      </w:r>
      <w:r w:rsidR="00EE56A2" w:rsidRPr="00D410E0">
        <w:rPr>
          <w:rFonts w:ascii="Times New Roman" w:hAnsi="Times New Roman" w:cs="Times New Roman"/>
          <w:sz w:val="24"/>
          <w:szCs w:val="24"/>
        </w:rPr>
        <w:t>Accounting and Finance</w:t>
      </w:r>
      <w:r w:rsidR="00EE56A2" w:rsidRPr="005D42BA">
        <w:rPr>
          <w:rFonts w:ascii="Times New Roman" w:hAnsi="Times New Roman" w:cs="Times New Roman"/>
          <w:i/>
          <w:sz w:val="24"/>
          <w:szCs w:val="24"/>
        </w:rPr>
        <w:t xml:space="preserve">, </w:t>
      </w:r>
      <w:r w:rsidR="00EE56A2" w:rsidRPr="005D42BA">
        <w:rPr>
          <w:rFonts w:ascii="Times New Roman" w:hAnsi="Times New Roman" w:cs="Times New Roman"/>
          <w:sz w:val="24"/>
          <w:szCs w:val="24"/>
        </w:rPr>
        <w:t>32(2), 75-90.</w:t>
      </w:r>
    </w:p>
    <w:p w:rsidR="004342D2" w:rsidRPr="005D42BA" w:rsidRDefault="004342D2"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lastRenderedPageBreak/>
        <w:t xml:space="preserve">Smith, </w:t>
      </w:r>
      <w:r w:rsidR="00D410E0">
        <w:rPr>
          <w:rFonts w:ascii="Times New Roman" w:hAnsi="Times New Roman" w:cs="Times New Roman"/>
          <w:sz w:val="24"/>
          <w:szCs w:val="24"/>
        </w:rPr>
        <w:t>M.,</w:t>
      </w:r>
      <w:r w:rsidR="007D246B" w:rsidRPr="005D42BA">
        <w:rPr>
          <w:rFonts w:ascii="Times New Roman" w:hAnsi="Times New Roman" w:cs="Times New Roman"/>
          <w:sz w:val="24"/>
          <w:szCs w:val="24"/>
        </w:rPr>
        <w:t xml:space="preserve"> </w:t>
      </w:r>
      <w:proofErr w:type="spellStart"/>
      <w:r w:rsidR="007D246B" w:rsidRPr="005D42BA">
        <w:rPr>
          <w:rFonts w:ascii="Times New Roman" w:hAnsi="Times New Roman" w:cs="Times New Roman"/>
          <w:sz w:val="24"/>
          <w:szCs w:val="24"/>
        </w:rPr>
        <w:t>Taffler</w:t>
      </w:r>
      <w:proofErr w:type="spellEnd"/>
      <w:r w:rsidR="007D246B" w:rsidRPr="005D42BA">
        <w:rPr>
          <w:rFonts w:ascii="Times New Roman" w:hAnsi="Times New Roman" w:cs="Times New Roman"/>
          <w:sz w:val="24"/>
          <w:szCs w:val="24"/>
        </w:rPr>
        <w:t xml:space="preserve">, R.J. (1995). The </w:t>
      </w:r>
      <w:r w:rsidR="00D410E0" w:rsidRPr="005D42BA">
        <w:rPr>
          <w:rFonts w:ascii="Times New Roman" w:hAnsi="Times New Roman" w:cs="Times New Roman"/>
          <w:sz w:val="24"/>
          <w:szCs w:val="24"/>
        </w:rPr>
        <w:t>incremental effect of narrative accounting information in corporate annual reports</w:t>
      </w:r>
      <w:r w:rsidR="00D410E0">
        <w:rPr>
          <w:rFonts w:ascii="Times New Roman" w:hAnsi="Times New Roman" w:cs="Times New Roman"/>
          <w:sz w:val="24"/>
          <w:szCs w:val="24"/>
        </w:rPr>
        <w:t>.</w:t>
      </w:r>
      <w:r w:rsidRPr="005D42BA">
        <w:rPr>
          <w:rFonts w:ascii="Times New Roman" w:hAnsi="Times New Roman" w:cs="Times New Roman"/>
          <w:sz w:val="24"/>
          <w:szCs w:val="24"/>
        </w:rPr>
        <w:t xml:space="preserve"> </w:t>
      </w:r>
      <w:r w:rsidRPr="00D410E0">
        <w:rPr>
          <w:rFonts w:ascii="Times New Roman" w:hAnsi="Times New Roman" w:cs="Times New Roman"/>
          <w:sz w:val="24"/>
          <w:szCs w:val="24"/>
        </w:rPr>
        <w:t>Journal of Business Finance &amp; Accounting</w:t>
      </w:r>
      <w:r w:rsidR="00B010C6" w:rsidRPr="005D42BA">
        <w:rPr>
          <w:rFonts w:ascii="Times New Roman" w:hAnsi="Times New Roman" w:cs="Times New Roman"/>
          <w:i/>
          <w:sz w:val="24"/>
          <w:szCs w:val="24"/>
        </w:rPr>
        <w:t>,</w:t>
      </w:r>
      <w:r w:rsidRPr="005D42BA">
        <w:rPr>
          <w:rFonts w:ascii="Times New Roman" w:hAnsi="Times New Roman" w:cs="Times New Roman"/>
          <w:sz w:val="24"/>
          <w:szCs w:val="24"/>
        </w:rPr>
        <w:t xml:space="preserve"> 22(8), 1195-1210. </w:t>
      </w:r>
    </w:p>
    <w:p w:rsidR="003C4F26" w:rsidRPr="005D42BA" w:rsidRDefault="00D410E0"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Smith, M.,</w:t>
      </w:r>
      <w:r w:rsidR="003C4F26" w:rsidRPr="005D42BA">
        <w:rPr>
          <w:rFonts w:ascii="Times New Roman" w:hAnsi="Times New Roman" w:cs="Times New Roman"/>
          <w:sz w:val="24"/>
          <w:szCs w:val="24"/>
        </w:rPr>
        <w:t xml:space="preserve"> </w:t>
      </w:r>
      <w:proofErr w:type="spellStart"/>
      <w:r w:rsidR="003C4F26" w:rsidRPr="005D42BA">
        <w:rPr>
          <w:rFonts w:ascii="Times New Roman" w:hAnsi="Times New Roman" w:cs="Times New Roman"/>
          <w:sz w:val="24"/>
          <w:szCs w:val="24"/>
        </w:rPr>
        <w:t>Taffler</w:t>
      </w:r>
      <w:proofErr w:type="spellEnd"/>
      <w:r w:rsidR="003C4F26" w:rsidRPr="005D42BA">
        <w:rPr>
          <w:rFonts w:ascii="Times New Roman" w:hAnsi="Times New Roman" w:cs="Times New Roman"/>
          <w:sz w:val="24"/>
          <w:szCs w:val="24"/>
        </w:rPr>
        <w:t>, R.J. (2000). The</w:t>
      </w:r>
      <w:r w:rsidRPr="005D42BA">
        <w:rPr>
          <w:rFonts w:ascii="Times New Roman" w:hAnsi="Times New Roman" w:cs="Times New Roman"/>
          <w:sz w:val="24"/>
          <w:szCs w:val="24"/>
        </w:rPr>
        <w:t xml:space="preserve"> chairman’s statement: a content analysis of discretionary narrative disclosures</w:t>
      </w:r>
      <w:r>
        <w:rPr>
          <w:rFonts w:ascii="Times New Roman" w:hAnsi="Times New Roman" w:cs="Times New Roman"/>
          <w:sz w:val="24"/>
          <w:szCs w:val="24"/>
        </w:rPr>
        <w:t>.</w:t>
      </w:r>
      <w:r w:rsidR="003C4F26" w:rsidRPr="005D42BA">
        <w:rPr>
          <w:rFonts w:ascii="Times New Roman" w:hAnsi="Times New Roman" w:cs="Times New Roman"/>
          <w:sz w:val="24"/>
          <w:szCs w:val="24"/>
        </w:rPr>
        <w:t xml:space="preserve"> </w:t>
      </w:r>
      <w:r w:rsidR="003C4F26" w:rsidRPr="00D410E0">
        <w:rPr>
          <w:rFonts w:ascii="Times New Roman" w:hAnsi="Times New Roman" w:cs="Times New Roman"/>
          <w:sz w:val="24"/>
          <w:szCs w:val="24"/>
        </w:rPr>
        <w:t>Accounting, Auditing &amp; Accountability Journal</w:t>
      </w:r>
      <w:r w:rsidR="003C4F26" w:rsidRPr="005D42BA">
        <w:rPr>
          <w:rFonts w:ascii="Times New Roman" w:hAnsi="Times New Roman" w:cs="Times New Roman"/>
          <w:i/>
          <w:sz w:val="24"/>
          <w:szCs w:val="24"/>
        </w:rPr>
        <w:t xml:space="preserve">, </w:t>
      </w:r>
      <w:r w:rsidR="003C4F26" w:rsidRPr="005D42BA">
        <w:rPr>
          <w:rFonts w:ascii="Times New Roman" w:hAnsi="Times New Roman" w:cs="Times New Roman"/>
          <w:sz w:val="24"/>
          <w:szCs w:val="24"/>
        </w:rPr>
        <w:t>13</w:t>
      </w:r>
      <w:r>
        <w:rPr>
          <w:rFonts w:ascii="Times New Roman" w:hAnsi="Times New Roman" w:cs="Times New Roman"/>
          <w:sz w:val="24"/>
          <w:szCs w:val="24"/>
        </w:rPr>
        <w:t>(5),</w:t>
      </w:r>
      <w:r w:rsidR="003C4F26" w:rsidRPr="005D42BA">
        <w:rPr>
          <w:rFonts w:ascii="Times New Roman" w:hAnsi="Times New Roman" w:cs="Times New Roman"/>
          <w:sz w:val="24"/>
          <w:szCs w:val="24"/>
        </w:rPr>
        <w:t xml:space="preserve"> 624-646.</w:t>
      </w:r>
    </w:p>
    <w:p w:rsidR="006F18A4" w:rsidRPr="005D42BA" w:rsidRDefault="006F18A4" w:rsidP="00A652A1">
      <w:pPr>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S</w:t>
      </w:r>
      <w:r w:rsidR="00597D98" w:rsidRPr="005D42BA">
        <w:rPr>
          <w:rFonts w:ascii="Times New Roman" w:hAnsi="Times New Roman" w:cs="Times New Roman"/>
          <w:sz w:val="24"/>
          <w:szCs w:val="24"/>
        </w:rPr>
        <w:t>p</w:t>
      </w:r>
      <w:r w:rsidRPr="005D42BA">
        <w:rPr>
          <w:rFonts w:ascii="Times New Roman" w:hAnsi="Times New Roman" w:cs="Times New Roman"/>
          <w:sz w:val="24"/>
          <w:szCs w:val="24"/>
        </w:rPr>
        <w:t>onholtz</w:t>
      </w:r>
      <w:proofErr w:type="spellEnd"/>
      <w:r w:rsidRPr="005D42BA">
        <w:rPr>
          <w:rFonts w:ascii="Times New Roman" w:hAnsi="Times New Roman" w:cs="Times New Roman"/>
          <w:sz w:val="24"/>
          <w:szCs w:val="24"/>
        </w:rPr>
        <w:t xml:space="preserve">, C. (2008). The </w:t>
      </w:r>
      <w:r w:rsidR="00D410E0" w:rsidRPr="005D42BA">
        <w:rPr>
          <w:rFonts w:ascii="Times New Roman" w:hAnsi="Times New Roman" w:cs="Times New Roman"/>
          <w:sz w:val="24"/>
          <w:szCs w:val="24"/>
        </w:rPr>
        <w:t>information conten</w:t>
      </w:r>
      <w:r w:rsidR="00D410E0">
        <w:rPr>
          <w:rFonts w:ascii="Times New Roman" w:hAnsi="Times New Roman" w:cs="Times New Roman"/>
          <w:sz w:val="24"/>
          <w:szCs w:val="24"/>
        </w:rPr>
        <w:t>t of earnings announcements in D</w:t>
      </w:r>
      <w:r w:rsidR="00D410E0" w:rsidRPr="005D42BA">
        <w:rPr>
          <w:rFonts w:ascii="Times New Roman" w:hAnsi="Times New Roman" w:cs="Times New Roman"/>
          <w:sz w:val="24"/>
          <w:szCs w:val="24"/>
        </w:rPr>
        <w:t>enmark</w:t>
      </w:r>
      <w:r w:rsidR="00D410E0">
        <w:rPr>
          <w:rFonts w:ascii="Times New Roman" w:hAnsi="Times New Roman" w:cs="Times New Roman"/>
          <w:sz w:val="24"/>
          <w:szCs w:val="24"/>
        </w:rPr>
        <w:t>.</w:t>
      </w:r>
      <w:r w:rsidRPr="005D42BA">
        <w:rPr>
          <w:rFonts w:ascii="Times New Roman" w:hAnsi="Times New Roman" w:cs="Times New Roman"/>
          <w:sz w:val="24"/>
          <w:szCs w:val="24"/>
        </w:rPr>
        <w:t xml:space="preserve"> </w:t>
      </w:r>
      <w:r w:rsidRPr="00D410E0">
        <w:rPr>
          <w:rFonts w:ascii="Times New Roman" w:hAnsi="Times New Roman" w:cs="Times New Roman"/>
          <w:sz w:val="24"/>
          <w:szCs w:val="24"/>
        </w:rPr>
        <w:t>International Journal of Managerial Finance</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4(1), 4-36.</w:t>
      </w:r>
    </w:p>
    <w:p w:rsidR="00F77599" w:rsidRPr="005D42BA" w:rsidRDefault="00D410E0" w:rsidP="00A652A1">
      <w:pPr>
        <w:spacing w:after="100" w:line="240" w:lineRule="auto"/>
        <w:ind w:left="284" w:hanging="284"/>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Sussman</w:t>
      </w:r>
      <w:proofErr w:type="spellEnd"/>
      <w:r>
        <w:rPr>
          <w:rFonts w:ascii="Times New Roman" w:hAnsi="Times New Roman" w:cs="Times New Roman"/>
          <w:sz w:val="24"/>
          <w:szCs w:val="24"/>
          <w:shd w:val="clear" w:color="auto" w:fill="FFFFFF"/>
        </w:rPr>
        <w:t>, S.W.,</w:t>
      </w:r>
      <w:r w:rsidR="00F77599" w:rsidRPr="005D42BA">
        <w:rPr>
          <w:rFonts w:ascii="Times New Roman" w:hAnsi="Times New Roman" w:cs="Times New Roman"/>
          <w:sz w:val="24"/>
          <w:szCs w:val="24"/>
          <w:shd w:val="clear" w:color="auto" w:fill="FFFFFF"/>
        </w:rPr>
        <w:t xml:space="preserve"> </w:t>
      </w:r>
      <w:proofErr w:type="spellStart"/>
      <w:r w:rsidR="00F77599" w:rsidRPr="005D42BA">
        <w:rPr>
          <w:rFonts w:ascii="Times New Roman" w:hAnsi="Times New Roman" w:cs="Times New Roman"/>
          <w:sz w:val="24"/>
          <w:szCs w:val="24"/>
          <w:shd w:val="clear" w:color="auto" w:fill="FFFFFF"/>
        </w:rPr>
        <w:t>Siegal</w:t>
      </w:r>
      <w:proofErr w:type="spellEnd"/>
      <w:r w:rsidR="00F77599" w:rsidRPr="005D42BA">
        <w:rPr>
          <w:rFonts w:ascii="Times New Roman" w:hAnsi="Times New Roman" w:cs="Times New Roman"/>
          <w:sz w:val="24"/>
          <w:szCs w:val="24"/>
          <w:shd w:val="clear" w:color="auto" w:fill="FFFFFF"/>
        </w:rPr>
        <w:t xml:space="preserve">, W.S. (2003). Informational </w:t>
      </w:r>
      <w:r w:rsidRPr="005D42BA">
        <w:rPr>
          <w:rFonts w:ascii="Times New Roman" w:hAnsi="Times New Roman" w:cs="Times New Roman"/>
          <w:sz w:val="24"/>
          <w:szCs w:val="24"/>
          <w:shd w:val="clear" w:color="auto" w:fill="FFFFFF"/>
        </w:rPr>
        <w:t>influence in organizations: an integrated approach to knowledge adoption</w:t>
      </w:r>
      <w:r>
        <w:rPr>
          <w:rFonts w:ascii="Times New Roman" w:hAnsi="Times New Roman" w:cs="Times New Roman"/>
          <w:sz w:val="24"/>
          <w:szCs w:val="24"/>
          <w:shd w:val="clear" w:color="auto" w:fill="FFFFFF"/>
        </w:rPr>
        <w:t>.</w:t>
      </w:r>
      <w:r w:rsidR="00F77599" w:rsidRPr="005D42BA">
        <w:rPr>
          <w:rFonts w:ascii="Times New Roman" w:hAnsi="Times New Roman" w:cs="Times New Roman"/>
          <w:sz w:val="24"/>
          <w:szCs w:val="24"/>
          <w:shd w:val="clear" w:color="auto" w:fill="FFFFFF"/>
        </w:rPr>
        <w:t xml:space="preserve"> </w:t>
      </w:r>
      <w:r w:rsidR="00F77599" w:rsidRPr="00D410E0">
        <w:rPr>
          <w:rFonts w:ascii="Times New Roman" w:hAnsi="Times New Roman" w:cs="Times New Roman"/>
          <w:sz w:val="24"/>
          <w:szCs w:val="24"/>
          <w:shd w:val="clear" w:color="auto" w:fill="FFFFFF"/>
        </w:rPr>
        <w:t>Information Systems Research</w:t>
      </w:r>
      <w:r w:rsidR="00F77599" w:rsidRPr="005D42BA">
        <w:rPr>
          <w:rFonts w:ascii="Times New Roman" w:hAnsi="Times New Roman" w:cs="Times New Roman"/>
          <w:sz w:val="24"/>
          <w:szCs w:val="24"/>
          <w:shd w:val="clear" w:color="auto" w:fill="FFFFFF"/>
        </w:rPr>
        <w:t>, 14(1), 47-65.</w:t>
      </w:r>
    </w:p>
    <w:p w:rsidR="00515E0A" w:rsidRDefault="00515E0A" w:rsidP="00A652A1">
      <w:pPr>
        <w:autoSpaceDE w:val="0"/>
        <w:autoSpaceDN w:val="0"/>
        <w:adjustRightInd w:val="0"/>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Swales, G.S. Jr. (1988). Another </w:t>
      </w:r>
      <w:r w:rsidR="00D410E0" w:rsidRPr="005D42BA">
        <w:rPr>
          <w:rFonts w:ascii="Times New Roman" w:hAnsi="Times New Roman" w:cs="Times New Roman"/>
          <w:sz w:val="24"/>
          <w:szCs w:val="24"/>
        </w:rPr>
        <w:t>look at the president’s letter to stockholders</w:t>
      </w:r>
      <w:r w:rsidR="00D410E0">
        <w:rPr>
          <w:rFonts w:ascii="Times New Roman" w:hAnsi="Times New Roman" w:cs="Times New Roman"/>
          <w:sz w:val="24"/>
          <w:szCs w:val="24"/>
        </w:rPr>
        <w:t>.</w:t>
      </w:r>
      <w:r w:rsidRPr="005D42BA">
        <w:rPr>
          <w:rFonts w:ascii="Times New Roman" w:hAnsi="Times New Roman" w:cs="Times New Roman"/>
          <w:sz w:val="24"/>
          <w:szCs w:val="24"/>
        </w:rPr>
        <w:t xml:space="preserve"> </w:t>
      </w:r>
      <w:r w:rsidRPr="00D410E0">
        <w:rPr>
          <w:rFonts w:ascii="Times New Roman" w:hAnsi="Times New Roman" w:cs="Times New Roman"/>
          <w:sz w:val="24"/>
          <w:szCs w:val="24"/>
        </w:rPr>
        <w:t>Financial Analysts Journal</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44(2), Mar.–Apr., 71-73.</w:t>
      </w:r>
    </w:p>
    <w:p w:rsidR="0099192F" w:rsidRPr="009D7346" w:rsidRDefault="0099192F" w:rsidP="00A652A1">
      <w:pPr>
        <w:autoSpaceDE w:val="0"/>
        <w:autoSpaceDN w:val="0"/>
        <w:adjustRightInd w:val="0"/>
        <w:spacing w:before="240" w:after="100"/>
        <w:ind w:left="284" w:hanging="284"/>
        <w:jc w:val="both"/>
        <w:rPr>
          <w:rFonts w:ascii="Times New Roman" w:hAnsi="Times New Roman" w:cs="Times New Roman"/>
          <w:sz w:val="24"/>
          <w:szCs w:val="24"/>
          <w:lang w:val="en-US"/>
        </w:rPr>
      </w:pPr>
      <w:proofErr w:type="spellStart"/>
      <w:r>
        <w:rPr>
          <w:rFonts w:ascii="Times New Roman" w:hAnsi="Times New Roman" w:cs="Times New Roman"/>
          <w:sz w:val="24"/>
          <w:szCs w:val="24"/>
        </w:rPr>
        <w:t>Sydserff</w:t>
      </w:r>
      <w:proofErr w:type="spellEnd"/>
      <w:r>
        <w:rPr>
          <w:rFonts w:ascii="Times New Roman" w:hAnsi="Times New Roman" w:cs="Times New Roman"/>
          <w:sz w:val="24"/>
          <w:szCs w:val="24"/>
        </w:rPr>
        <w:t>, R.,</w:t>
      </w:r>
      <w:r w:rsidRPr="00A50D60">
        <w:rPr>
          <w:rFonts w:ascii="Times New Roman" w:hAnsi="Times New Roman" w:cs="Times New Roman"/>
          <w:sz w:val="24"/>
          <w:szCs w:val="24"/>
        </w:rPr>
        <w:t xml:space="preserve"> </w:t>
      </w:r>
      <w:proofErr w:type="spellStart"/>
      <w:r w:rsidRPr="00A50D60">
        <w:rPr>
          <w:rFonts w:ascii="Times New Roman" w:hAnsi="Times New Roman" w:cs="Times New Roman"/>
          <w:sz w:val="24"/>
          <w:szCs w:val="24"/>
        </w:rPr>
        <w:t>Weetman</w:t>
      </w:r>
      <w:proofErr w:type="spellEnd"/>
      <w:r w:rsidRPr="00A50D60">
        <w:rPr>
          <w:rFonts w:ascii="Times New Roman" w:hAnsi="Times New Roman" w:cs="Times New Roman"/>
          <w:sz w:val="24"/>
          <w:szCs w:val="24"/>
        </w:rPr>
        <w:t>, P</w:t>
      </w:r>
      <w:r>
        <w:rPr>
          <w:rFonts w:ascii="Times New Roman" w:hAnsi="Times New Roman" w:cs="Times New Roman"/>
          <w:sz w:val="24"/>
          <w:szCs w:val="24"/>
        </w:rPr>
        <w:t>.</w:t>
      </w:r>
      <w:r w:rsidRPr="00A50D60">
        <w:rPr>
          <w:rFonts w:ascii="Times New Roman" w:hAnsi="Times New Roman" w:cs="Times New Roman"/>
          <w:sz w:val="24"/>
          <w:szCs w:val="24"/>
        </w:rPr>
        <w:t xml:space="preserve"> (2002)</w:t>
      </w:r>
      <w:r>
        <w:rPr>
          <w:rFonts w:ascii="Times New Roman" w:hAnsi="Times New Roman" w:cs="Times New Roman"/>
          <w:sz w:val="24"/>
          <w:szCs w:val="24"/>
        </w:rPr>
        <w:t>.</w:t>
      </w:r>
      <w:r w:rsidRPr="00A50D60">
        <w:rPr>
          <w:rFonts w:ascii="Times New Roman" w:hAnsi="Times New Roman" w:cs="Times New Roman"/>
          <w:sz w:val="24"/>
          <w:szCs w:val="24"/>
        </w:rPr>
        <w:t xml:space="preserve"> Developments in content analysis: a transitivity index and scores</w:t>
      </w:r>
      <w:r>
        <w:rPr>
          <w:rFonts w:ascii="Times New Roman" w:hAnsi="Times New Roman" w:cs="Times New Roman"/>
          <w:sz w:val="24"/>
          <w:szCs w:val="24"/>
        </w:rPr>
        <w:t>.</w:t>
      </w:r>
      <w:r w:rsidRPr="00A50D60">
        <w:rPr>
          <w:rFonts w:ascii="Times New Roman" w:hAnsi="Times New Roman" w:cs="Times New Roman"/>
          <w:sz w:val="24"/>
          <w:szCs w:val="24"/>
        </w:rPr>
        <w:t xml:space="preserve"> </w:t>
      </w:r>
      <w:r w:rsidRPr="00905CA8">
        <w:rPr>
          <w:rFonts w:ascii="Times New Roman" w:hAnsi="Times New Roman" w:cs="Times New Roman"/>
          <w:sz w:val="24"/>
          <w:szCs w:val="24"/>
        </w:rPr>
        <w:t>Accounting, Auditing &amp; Accountability Journal</w:t>
      </w:r>
      <w:r w:rsidRPr="00A50D60">
        <w:rPr>
          <w:rFonts w:ascii="Times New Roman" w:hAnsi="Times New Roman" w:cs="Times New Roman"/>
          <w:sz w:val="24"/>
          <w:szCs w:val="24"/>
        </w:rPr>
        <w:t>, 15(4)</w:t>
      </w:r>
      <w:r>
        <w:rPr>
          <w:rFonts w:ascii="Times New Roman" w:hAnsi="Times New Roman" w:cs="Times New Roman"/>
          <w:sz w:val="24"/>
          <w:szCs w:val="24"/>
        </w:rPr>
        <w:t xml:space="preserve">, </w:t>
      </w:r>
      <w:r w:rsidRPr="00A50D60">
        <w:rPr>
          <w:rFonts w:ascii="Times New Roman" w:hAnsi="Times New Roman" w:cs="Times New Roman"/>
          <w:sz w:val="24"/>
          <w:szCs w:val="24"/>
        </w:rPr>
        <w:t>523-545.</w:t>
      </w:r>
    </w:p>
    <w:p w:rsidR="005F2623" w:rsidRPr="005D42BA" w:rsidRDefault="005F2623" w:rsidP="00A652A1">
      <w:pPr>
        <w:pStyle w:val="Default"/>
        <w:spacing w:after="100" w:line="276" w:lineRule="auto"/>
        <w:ind w:left="284" w:hanging="284"/>
        <w:jc w:val="both"/>
        <w:rPr>
          <w:rFonts w:ascii="Times New Roman" w:hAnsi="Times New Roman" w:cs="Times New Roman"/>
          <w:color w:val="auto"/>
        </w:rPr>
      </w:pPr>
      <w:proofErr w:type="spellStart"/>
      <w:r w:rsidRPr="005D42BA">
        <w:rPr>
          <w:rFonts w:ascii="Times New Roman" w:hAnsi="Times New Roman" w:cs="Times New Roman"/>
          <w:color w:val="auto"/>
        </w:rPr>
        <w:t>Tetlock</w:t>
      </w:r>
      <w:proofErr w:type="spellEnd"/>
      <w:r w:rsidRPr="005D42BA">
        <w:rPr>
          <w:rFonts w:ascii="Times New Roman" w:hAnsi="Times New Roman" w:cs="Times New Roman"/>
          <w:color w:val="auto"/>
        </w:rPr>
        <w:t xml:space="preserve">, P.C. (2007). Giving </w:t>
      </w:r>
      <w:r w:rsidR="00D410E0" w:rsidRPr="005D42BA">
        <w:rPr>
          <w:rFonts w:ascii="Times New Roman" w:hAnsi="Times New Roman" w:cs="Times New Roman"/>
          <w:color w:val="auto"/>
        </w:rPr>
        <w:t>content to investor sentiment: the role of media in the stock market</w:t>
      </w:r>
      <w:r w:rsidR="00D410E0">
        <w:rPr>
          <w:rFonts w:ascii="Times New Roman" w:hAnsi="Times New Roman" w:cs="Times New Roman"/>
          <w:color w:val="auto"/>
        </w:rPr>
        <w:t>.</w:t>
      </w:r>
      <w:r w:rsidRPr="005D42BA">
        <w:rPr>
          <w:rFonts w:ascii="Times New Roman" w:hAnsi="Times New Roman" w:cs="Times New Roman"/>
          <w:color w:val="auto"/>
        </w:rPr>
        <w:t xml:space="preserve"> </w:t>
      </w:r>
      <w:r w:rsidRPr="00D410E0">
        <w:rPr>
          <w:rFonts w:ascii="Times New Roman" w:hAnsi="Times New Roman" w:cs="Times New Roman"/>
          <w:color w:val="auto"/>
        </w:rPr>
        <w:t>Journal of Finance</w:t>
      </w:r>
      <w:r w:rsidRPr="005D42BA">
        <w:rPr>
          <w:rFonts w:ascii="Times New Roman" w:hAnsi="Times New Roman" w:cs="Times New Roman"/>
          <w:i/>
          <w:color w:val="auto"/>
        </w:rPr>
        <w:t>,</w:t>
      </w:r>
      <w:r w:rsidRPr="005D42BA">
        <w:rPr>
          <w:rFonts w:ascii="Times New Roman" w:hAnsi="Times New Roman" w:cs="Times New Roman"/>
          <w:color w:val="auto"/>
        </w:rPr>
        <w:t xml:space="preserve"> 62(3), 1139-68. </w:t>
      </w:r>
    </w:p>
    <w:p w:rsidR="005F2623" w:rsidRPr="005D42BA" w:rsidRDefault="005F2623" w:rsidP="00A652A1">
      <w:pPr>
        <w:autoSpaceDE w:val="0"/>
        <w:autoSpaceDN w:val="0"/>
        <w:adjustRightInd w:val="0"/>
        <w:spacing w:after="100"/>
        <w:ind w:left="284" w:hanging="284"/>
        <w:jc w:val="both"/>
        <w:rPr>
          <w:rFonts w:ascii="Times New Roman" w:hAnsi="Times New Roman" w:cs="Times New Roman"/>
          <w:sz w:val="24"/>
          <w:szCs w:val="24"/>
        </w:rPr>
      </w:pPr>
      <w:proofErr w:type="spellStart"/>
      <w:r w:rsidRPr="005D42BA">
        <w:rPr>
          <w:rFonts w:ascii="Times New Roman" w:hAnsi="Times New Roman" w:cs="Times New Roman"/>
          <w:sz w:val="24"/>
          <w:szCs w:val="24"/>
        </w:rPr>
        <w:t>Tetlock</w:t>
      </w:r>
      <w:proofErr w:type="spellEnd"/>
      <w:r w:rsidRPr="005D42BA">
        <w:rPr>
          <w:rFonts w:ascii="Times New Roman" w:hAnsi="Times New Roman" w:cs="Times New Roman"/>
          <w:sz w:val="24"/>
          <w:szCs w:val="24"/>
        </w:rPr>
        <w:t>, P.C., Saar-</w:t>
      </w:r>
      <w:proofErr w:type="spellStart"/>
      <w:r w:rsidRPr="005D42BA">
        <w:rPr>
          <w:rFonts w:ascii="Times New Roman" w:hAnsi="Times New Roman" w:cs="Times New Roman"/>
          <w:sz w:val="24"/>
          <w:szCs w:val="24"/>
        </w:rPr>
        <w:t>Tsechansky</w:t>
      </w:r>
      <w:proofErr w:type="spellEnd"/>
      <w:r w:rsidRPr="005D42BA">
        <w:rPr>
          <w:rFonts w:ascii="Times New Roman" w:hAnsi="Times New Roman" w:cs="Times New Roman"/>
          <w:sz w:val="24"/>
          <w:szCs w:val="24"/>
        </w:rPr>
        <w:t xml:space="preserve">, M., </w:t>
      </w:r>
      <w:proofErr w:type="spellStart"/>
      <w:r w:rsidRPr="005D42BA">
        <w:rPr>
          <w:rFonts w:ascii="Times New Roman" w:hAnsi="Times New Roman" w:cs="Times New Roman"/>
          <w:sz w:val="24"/>
          <w:szCs w:val="24"/>
        </w:rPr>
        <w:t>Macskassy</w:t>
      </w:r>
      <w:proofErr w:type="spellEnd"/>
      <w:r w:rsidRPr="005D42BA">
        <w:rPr>
          <w:rFonts w:ascii="Times New Roman" w:hAnsi="Times New Roman" w:cs="Times New Roman"/>
          <w:sz w:val="24"/>
          <w:szCs w:val="24"/>
        </w:rPr>
        <w:t xml:space="preserve">, S. (2008). More </w:t>
      </w:r>
      <w:r w:rsidR="00D410E0" w:rsidRPr="005D42BA">
        <w:rPr>
          <w:rFonts w:ascii="Times New Roman" w:hAnsi="Times New Roman" w:cs="Times New Roman"/>
          <w:sz w:val="24"/>
          <w:szCs w:val="24"/>
        </w:rPr>
        <w:t>than words: quantifying language to measure firms’ fundamentals</w:t>
      </w:r>
      <w:r w:rsidR="00D410E0">
        <w:rPr>
          <w:rFonts w:ascii="Times New Roman" w:hAnsi="Times New Roman" w:cs="Times New Roman"/>
          <w:sz w:val="24"/>
          <w:szCs w:val="24"/>
        </w:rPr>
        <w:t>.</w:t>
      </w:r>
      <w:r w:rsidRPr="005D42BA">
        <w:rPr>
          <w:rFonts w:ascii="Times New Roman" w:hAnsi="Times New Roman" w:cs="Times New Roman"/>
          <w:sz w:val="24"/>
          <w:szCs w:val="24"/>
        </w:rPr>
        <w:t xml:space="preserve"> </w:t>
      </w:r>
      <w:r w:rsidRPr="00D410E0">
        <w:rPr>
          <w:rFonts w:ascii="Times New Roman" w:hAnsi="Times New Roman" w:cs="Times New Roman"/>
          <w:sz w:val="24"/>
          <w:szCs w:val="24"/>
        </w:rPr>
        <w:t>Journal of Finance,</w:t>
      </w:r>
      <w:r w:rsidRPr="005D42BA">
        <w:rPr>
          <w:rFonts w:ascii="Times New Roman" w:hAnsi="Times New Roman" w:cs="Times New Roman"/>
          <w:sz w:val="24"/>
          <w:szCs w:val="24"/>
        </w:rPr>
        <w:t xml:space="preserve"> 63(3), 1437-67.</w:t>
      </w:r>
    </w:p>
    <w:p w:rsidR="00F77599" w:rsidRPr="005D42BA" w:rsidRDefault="00F77599" w:rsidP="00A652A1">
      <w:pPr>
        <w:spacing w:after="100" w:line="240" w:lineRule="auto"/>
        <w:ind w:left="284" w:hanging="284"/>
        <w:jc w:val="both"/>
        <w:rPr>
          <w:rFonts w:ascii="Times New Roman" w:hAnsi="Times New Roman" w:cs="Times New Roman"/>
          <w:sz w:val="24"/>
          <w:szCs w:val="24"/>
          <w:shd w:val="clear" w:color="auto" w:fill="FFFFFF"/>
        </w:rPr>
      </w:pPr>
      <w:r w:rsidRPr="005D42BA">
        <w:rPr>
          <w:rFonts w:ascii="Times New Roman" w:hAnsi="Times New Roman" w:cs="Times New Roman"/>
          <w:sz w:val="24"/>
          <w:szCs w:val="24"/>
          <w:shd w:val="clear" w:color="auto" w:fill="FFFFFF"/>
        </w:rPr>
        <w:t>Weiss, R.F. (1969). Repetition of Persuasion</w:t>
      </w:r>
      <w:r w:rsidR="00D410E0">
        <w:rPr>
          <w:rFonts w:ascii="Times New Roman" w:hAnsi="Times New Roman" w:cs="Times New Roman"/>
          <w:sz w:val="24"/>
          <w:szCs w:val="24"/>
          <w:shd w:val="clear" w:color="auto" w:fill="FFFFFF"/>
        </w:rPr>
        <w:t>.</w:t>
      </w:r>
      <w:r w:rsidRPr="005D42BA">
        <w:rPr>
          <w:rFonts w:ascii="Times New Roman" w:hAnsi="Times New Roman" w:cs="Times New Roman"/>
          <w:sz w:val="24"/>
          <w:szCs w:val="24"/>
          <w:shd w:val="clear" w:color="auto" w:fill="FFFFFF"/>
        </w:rPr>
        <w:t xml:space="preserve"> </w:t>
      </w:r>
      <w:r w:rsidRPr="00D410E0">
        <w:rPr>
          <w:rFonts w:ascii="Times New Roman" w:hAnsi="Times New Roman" w:cs="Times New Roman"/>
          <w:sz w:val="24"/>
          <w:szCs w:val="24"/>
          <w:shd w:val="clear" w:color="auto" w:fill="FFFFFF"/>
        </w:rPr>
        <w:t>Psychological Reports</w:t>
      </w:r>
      <w:r w:rsidRPr="005D42BA">
        <w:rPr>
          <w:rFonts w:ascii="Times New Roman" w:hAnsi="Times New Roman" w:cs="Times New Roman"/>
          <w:sz w:val="24"/>
          <w:szCs w:val="24"/>
          <w:shd w:val="clear" w:color="auto" w:fill="FFFFFF"/>
        </w:rPr>
        <w:t>, 25(2), 669-670.</w:t>
      </w:r>
    </w:p>
    <w:p w:rsidR="00F77599" w:rsidRPr="005D42BA" w:rsidRDefault="00F77599" w:rsidP="00A652A1">
      <w:pPr>
        <w:spacing w:after="100" w:line="240" w:lineRule="auto"/>
        <w:ind w:left="284" w:hanging="284"/>
        <w:jc w:val="both"/>
        <w:rPr>
          <w:rFonts w:ascii="Times New Roman" w:hAnsi="Times New Roman" w:cs="Times New Roman"/>
          <w:sz w:val="24"/>
          <w:szCs w:val="24"/>
          <w:shd w:val="clear" w:color="auto" w:fill="FFFFFF"/>
        </w:rPr>
      </w:pPr>
      <w:r w:rsidRPr="005D42BA">
        <w:rPr>
          <w:rFonts w:ascii="Times New Roman" w:hAnsi="Times New Roman" w:cs="Times New Roman"/>
          <w:sz w:val="24"/>
          <w:szCs w:val="24"/>
          <w:shd w:val="clear" w:color="auto" w:fill="FFFFFF"/>
        </w:rPr>
        <w:t>Wilson, W.</w:t>
      </w:r>
      <w:r w:rsidR="00D410E0">
        <w:rPr>
          <w:rFonts w:ascii="Times New Roman" w:hAnsi="Times New Roman" w:cs="Times New Roman"/>
          <w:sz w:val="24"/>
          <w:szCs w:val="24"/>
          <w:shd w:val="clear" w:color="auto" w:fill="FFFFFF"/>
        </w:rPr>
        <w:t>,</w:t>
      </w:r>
      <w:r w:rsidRPr="005D42BA">
        <w:rPr>
          <w:rFonts w:ascii="Times New Roman" w:hAnsi="Times New Roman" w:cs="Times New Roman"/>
          <w:sz w:val="24"/>
          <w:szCs w:val="24"/>
          <w:shd w:val="clear" w:color="auto" w:fill="FFFFFF"/>
        </w:rPr>
        <w:t xml:space="preserve"> Miller, H. (1968). Repetition, </w:t>
      </w:r>
      <w:r w:rsidR="00D410E0" w:rsidRPr="005D42BA">
        <w:rPr>
          <w:rFonts w:ascii="Times New Roman" w:hAnsi="Times New Roman" w:cs="Times New Roman"/>
          <w:sz w:val="24"/>
          <w:szCs w:val="24"/>
          <w:shd w:val="clear" w:color="auto" w:fill="FFFFFF"/>
        </w:rPr>
        <w:t>order of presentation, and timing of arguments and measures as determinants of opinion change</w:t>
      </w:r>
      <w:r w:rsidR="00D410E0">
        <w:rPr>
          <w:rFonts w:ascii="Times New Roman" w:hAnsi="Times New Roman" w:cs="Times New Roman"/>
          <w:sz w:val="24"/>
          <w:szCs w:val="24"/>
          <w:shd w:val="clear" w:color="auto" w:fill="FFFFFF"/>
        </w:rPr>
        <w:t>.</w:t>
      </w:r>
      <w:r w:rsidRPr="005D42BA">
        <w:rPr>
          <w:rFonts w:ascii="Times New Roman" w:hAnsi="Times New Roman" w:cs="Times New Roman"/>
          <w:sz w:val="24"/>
          <w:szCs w:val="24"/>
          <w:shd w:val="clear" w:color="auto" w:fill="FFFFFF"/>
        </w:rPr>
        <w:t xml:space="preserve"> </w:t>
      </w:r>
      <w:r w:rsidRPr="00D410E0">
        <w:rPr>
          <w:rFonts w:ascii="Times New Roman" w:hAnsi="Times New Roman" w:cs="Times New Roman"/>
          <w:sz w:val="24"/>
          <w:szCs w:val="24"/>
          <w:shd w:val="clear" w:color="auto" w:fill="FFFFFF"/>
        </w:rPr>
        <w:t>Journal of Personality and Social Psychology,</w:t>
      </w:r>
      <w:r w:rsidRPr="005D42BA">
        <w:rPr>
          <w:rFonts w:ascii="Times New Roman" w:hAnsi="Times New Roman" w:cs="Times New Roman"/>
          <w:i/>
          <w:sz w:val="24"/>
          <w:szCs w:val="24"/>
          <w:shd w:val="clear" w:color="auto" w:fill="FFFFFF"/>
        </w:rPr>
        <w:t xml:space="preserve"> </w:t>
      </w:r>
      <w:r w:rsidRPr="005D42BA">
        <w:rPr>
          <w:rFonts w:ascii="Times New Roman" w:hAnsi="Times New Roman" w:cs="Times New Roman"/>
          <w:sz w:val="24"/>
          <w:szCs w:val="24"/>
          <w:shd w:val="clear" w:color="auto" w:fill="FFFFFF"/>
        </w:rPr>
        <w:t xml:space="preserve">9(2), 184-188. </w:t>
      </w:r>
    </w:p>
    <w:p w:rsidR="00ED342B" w:rsidRPr="005D42BA" w:rsidRDefault="006F18A4" w:rsidP="00A652A1">
      <w:pPr>
        <w:spacing w:after="100"/>
        <w:ind w:left="284" w:hanging="284"/>
        <w:jc w:val="both"/>
        <w:rPr>
          <w:rFonts w:ascii="Times New Roman" w:hAnsi="Times New Roman" w:cs="Times New Roman"/>
          <w:sz w:val="24"/>
          <w:szCs w:val="24"/>
        </w:rPr>
      </w:pPr>
      <w:r w:rsidRPr="005D42BA">
        <w:rPr>
          <w:rFonts w:ascii="Times New Roman" w:hAnsi="Times New Roman" w:cs="Times New Roman"/>
          <w:sz w:val="24"/>
          <w:szCs w:val="24"/>
        </w:rPr>
        <w:t xml:space="preserve">Wisniewski, T.P. (2004). </w:t>
      </w:r>
      <w:proofErr w:type="spellStart"/>
      <w:r w:rsidRPr="005D42BA">
        <w:rPr>
          <w:rFonts w:ascii="Times New Roman" w:hAnsi="Times New Roman" w:cs="Times New Roman"/>
          <w:sz w:val="24"/>
          <w:szCs w:val="24"/>
        </w:rPr>
        <w:t>Reexamination</w:t>
      </w:r>
      <w:proofErr w:type="spellEnd"/>
      <w:r w:rsidRPr="005D42BA">
        <w:rPr>
          <w:rFonts w:ascii="Times New Roman" w:hAnsi="Times New Roman" w:cs="Times New Roman"/>
          <w:sz w:val="24"/>
          <w:szCs w:val="24"/>
        </w:rPr>
        <w:t xml:space="preserve"> </w:t>
      </w:r>
      <w:r w:rsidR="00D410E0" w:rsidRPr="005D42BA">
        <w:rPr>
          <w:rFonts w:ascii="Times New Roman" w:hAnsi="Times New Roman" w:cs="Times New Roman"/>
          <w:sz w:val="24"/>
          <w:szCs w:val="24"/>
        </w:rPr>
        <w:t>of the link between insider trading and price efficiency</w:t>
      </w:r>
      <w:r w:rsidR="00D410E0">
        <w:rPr>
          <w:rFonts w:ascii="Times New Roman" w:hAnsi="Times New Roman" w:cs="Times New Roman"/>
          <w:sz w:val="24"/>
          <w:szCs w:val="24"/>
        </w:rPr>
        <w:t>.</w:t>
      </w:r>
      <w:r w:rsidRPr="005D42BA">
        <w:rPr>
          <w:rFonts w:ascii="Times New Roman" w:hAnsi="Times New Roman" w:cs="Times New Roman"/>
          <w:sz w:val="24"/>
          <w:szCs w:val="24"/>
        </w:rPr>
        <w:t xml:space="preserve"> </w:t>
      </w:r>
      <w:r w:rsidRPr="00D410E0">
        <w:rPr>
          <w:rFonts w:ascii="Times New Roman" w:hAnsi="Times New Roman" w:cs="Times New Roman"/>
          <w:sz w:val="24"/>
          <w:szCs w:val="24"/>
        </w:rPr>
        <w:t>Economic Systems</w:t>
      </w:r>
      <w:r w:rsidRPr="005D42BA">
        <w:rPr>
          <w:rFonts w:ascii="Times New Roman" w:hAnsi="Times New Roman" w:cs="Times New Roman"/>
          <w:i/>
          <w:sz w:val="24"/>
          <w:szCs w:val="24"/>
        </w:rPr>
        <w:t xml:space="preserve">, </w:t>
      </w:r>
      <w:r w:rsidRPr="005D42BA">
        <w:rPr>
          <w:rFonts w:ascii="Times New Roman" w:hAnsi="Times New Roman" w:cs="Times New Roman"/>
          <w:sz w:val="24"/>
          <w:szCs w:val="24"/>
        </w:rPr>
        <w:t>28(2), 209-228.</w:t>
      </w:r>
    </w:p>
    <w:p w:rsidR="0099192F" w:rsidRDefault="00D410E0" w:rsidP="00A652A1">
      <w:pPr>
        <w:spacing w:after="100"/>
        <w:ind w:left="284" w:hanging="284"/>
        <w:jc w:val="both"/>
        <w:rPr>
          <w:rFonts w:ascii="Times New Roman" w:hAnsi="Times New Roman" w:cs="Times New Roman"/>
          <w:sz w:val="24"/>
          <w:szCs w:val="24"/>
        </w:rPr>
      </w:pPr>
      <w:r>
        <w:rPr>
          <w:rFonts w:ascii="Times New Roman" w:hAnsi="Times New Roman" w:cs="Times New Roman"/>
          <w:sz w:val="24"/>
          <w:szCs w:val="24"/>
        </w:rPr>
        <w:t>Wisniewski, T.P.,</w:t>
      </w:r>
      <w:r w:rsidR="00ED342B" w:rsidRPr="005D42BA">
        <w:rPr>
          <w:rFonts w:ascii="Times New Roman" w:hAnsi="Times New Roman" w:cs="Times New Roman"/>
          <w:sz w:val="24"/>
          <w:szCs w:val="24"/>
        </w:rPr>
        <w:t xml:space="preserve"> Moro, A. (2014). When </w:t>
      </w:r>
      <w:r w:rsidRPr="005D42BA">
        <w:rPr>
          <w:rFonts w:ascii="Times New Roman" w:hAnsi="Times New Roman" w:cs="Times New Roman"/>
          <w:sz w:val="24"/>
          <w:szCs w:val="24"/>
        </w:rPr>
        <w:t>the leaders speak, the markets listen</w:t>
      </w:r>
      <w:r>
        <w:rPr>
          <w:rFonts w:ascii="Times New Roman" w:hAnsi="Times New Roman" w:cs="Times New Roman"/>
          <w:sz w:val="24"/>
          <w:szCs w:val="24"/>
        </w:rPr>
        <w:t>.</w:t>
      </w:r>
      <w:r w:rsidR="00ED342B" w:rsidRPr="005D42BA">
        <w:rPr>
          <w:rFonts w:ascii="Times New Roman" w:hAnsi="Times New Roman" w:cs="Times New Roman"/>
          <w:sz w:val="24"/>
          <w:szCs w:val="24"/>
        </w:rPr>
        <w:t xml:space="preserve"> </w:t>
      </w:r>
      <w:r w:rsidR="00ED342B" w:rsidRPr="00D410E0">
        <w:rPr>
          <w:rFonts w:ascii="Times New Roman" w:hAnsi="Times New Roman" w:cs="Times New Roman"/>
          <w:sz w:val="24"/>
          <w:szCs w:val="24"/>
        </w:rPr>
        <w:t>European Accounting Review</w:t>
      </w:r>
      <w:r w:rsidR="00ED342B" w:rsidRPr="005D42BA">
        <w:rPr>
          <w:rFonts w:ascii="Times New Roman" w:hAnsi="Times New Roman" w:cs="Times New Roman"/>
          <w:i/>
          <w:sz w:val="24"/>
          <w:szCs w:val="24"/>
        </w:rPr>
        <w:t xml:space="preserve">, </w:t>
      </w:r>
      <w:r w:rsidR="00ED342B" w:rsidRPr="005D42BA">
        <w:rPr>
          <w:rFonts w:ascii="Times New Roman" w:hAnsi="Times New Roman" w:cs="Times New Roman"/>
          <w:sz w:val="24"/>
          <w:szCs w:val="24"/>
        </w:rPr>
        <w:t>23(4), 519-551.</w:t>
      </w:r>
    </w:p>
    <w:p w:rsidR="00A652A1" w:rsidRDefault="0099192F" w:rsidP="00A652A1">
      <w:pPr>
        <w:autoSpaceDE w:val="0"/>
        <w:autoSpaceDN w:val="0"/>
        <w:adjustRightInd w:val="0"/>
        <w:spacing w:after="100"/>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Yuthas</w:t>
      </w:r>
      <w:proofErr w:type="spellEnd"/>
      <w:r>
        <w:rPr>
          <w:rFonts w:ascii="Times New Roman" w:hAnsi="Times New Roman" w:cs="Times New Roman"/>
          <w:sz w:val="24"/>
          <w:szCs w:val="24"/>
        </w:rPr>
        <w:t>, K.</w:t>
      </w:r>
      <w:r w:rsidRPr="0091274B">
        <w:rPr>
          <w:rFonts w:ascii="Times New Roman" w:hAnsi="Times New Roman" w:cs="Times New Roman"/>
          <w:sz w:val="24"/>
          <w:szCs w:val="24"/>
        </w:rPr>
        <w:t>, Rogers, R</w:t>
      </w:r>
      <w:r>
        <w:rPr>
          <w:rFonts w:ascii="Times New Roman" w:hAnsi="Times New Roman" w:cs="Times New Roman"/>
          <w:sz w:val="24"/>
          <w:szCs w:val="24"/>
        </w:rPr>
        <w:t>.,</w:t>
      </w:r>
      <w:r w:rsidRPr="0091274B">
        <w:rPr>
          <w:rFonts w:ascii="Times New Roman" w:hAnsi="Times New Roman" w:cs="Times New Roman"/>
          <w:sz w:val="24"/>
          <w:szCs w:val="24"/>
        </w:rPr>
        <w:t xml:space="preserve"> Dillard, J</w:t>
      </w:r>
      <w:r>
        <w:rPr>
          <w:rFonts w:ascii="Times New Roman" w:hAnsi="Times New Roman" w:cs="Times New Roman"/>
          <w:sz w:val="24"/>
          <w:szCs w:val="24"/>
        </w:rPr>
        <w:t>.</w:t>
      </w:r>
      <w:r w:rsidRPr="0091274B">
        <w:rPr>
          <w:rFonts w:ascii="Times New Roman" w:hAnsi="Times New Roman" w:cs="Times New Roman"/>
          <w:sz w:val="24"/>
          <w:szCs w:val="24"/>
        </w:rPr>
        <w:t>F. (2002)</w:t>
      </w:r>
      <w:r>
        <w:rPr>
          <w:rFonts w:ascii="Times New Roman" w:hAnsi="Times New Roman" w:cs="Times New Roman"/>
          <w:sz w:val="24"/>
          <w:szCs w:val="24"/>
        </w:rPr>
        <w:t>.</w:t>
      </w:r>
      <w:r w:rsidRPr="0091274B">
        <w:rPr>
          <w:rFonts w:ascii="Times New Roman" w:hAnsi="Times New Roman" w:cs="Times New Roman"/>
          <w:sz w:val="24"/>
          <w:szCs w:val="24"/>
        </w:rPr>
        <w:t xml:space="preserve"> Communicative action and corporate annual reports</w:t>
      </w:r>
      <w:r>
        <w:rPr>
          <w:rFonts w:ascii="Times New Roman" w:hAnsi="Times New Roman" w:cs="Times New Roman"/>
          <w:sz w:val="24"/>
          <w:szCs w:val="24"/>
        </w:rPr>
        <w:t>.</w:t>
      </w:r>
      <w:r w:rsidRPr="0091274B">
        <w:rPr>
          <w:rFonts w:ascii="Times New Roman" w:hAnsi="Times New Roman" w:cs="Times New Roman"/>
          <w:sz w:val="24"/>
          <w:szCs w:val="24"/>
        </w:rPr>
        <w:t xml:space="preserve"> </w:t>
      </w:r>
      <w:r w:rsidRPr="00905CA8">
        <w:rPr>
          <w:rFonts w:ascii="Times New Roman" w:hAnsi="Times New Roman" w:cs="Times New Roman"/>
          <w:sz w:val="24"/>
          <w:szCs w:val="24"/>
        </w:rPr>
        <w:t>Journal of Business Ethics</w:t>
      </w:r>
      <w:r w:rsidRPr="0091274B">
        <w:rPr>
          <w:rFonts w:ascii="Times New Roman" w:hAnsi="Times New Roman" w:cs="Times New Roman"/>
          <w:sz w:val="24"/>
          <w:szCs w:val="24"/>
        </w:rPr>
        <w:t>, 41(1-2)</w:t>
      </w:r>
      <w:r>
        <w:rPr>
          <w:rFonts w:ascii="Times New Roman" w:hAnsi="Times New Roman" w:cs="Times New Roman"/>
          <w:sz w:val="24"/>
          <w:szCs w:val="24"/>
        </w:rPr>
        <w:t xml:space="preserve">, </w:t>
      </w:r>
      <w:r w:rsidRPr="0091274B">
        <w:rPr>
          <w:rFonts w:ascii="Times New Roman" w:hAnsi="Times New Roman" w:cs="Times New Roman"/>
          <w:sz w:val="24"/>
          <w:szCs w:val="24"/>
        </w:rPr>
        <w:t>141-157.</w:t>
      </w:r>
    </w:p>
    <w:p w:rsidR="00A652A1" w:rsidRDefault="00A652A1" w:rsidP="00A652A1">
      <w:pPr>
        <w:autoSpaceDE w:val="0"/>
        <w:autoSpaceDN w:val="0"/>
        <w:adjustRightInd w:val="0"/>
        <w:spacing w:after="100"/>
        <w:ind w:left="284" w:hanging="284"/>
        <w:jc w:val="both"/>
        <w:rPr>
          <w:rFonts w:ascii="Times New Roman" w:hAnsi="Times New Roman" w:cs="Times New Roman"/>
          <w:sz w:val="24"/>
          <w:szCs w:val="24"/>
        </w:rPr>
        <w:sectPr w:rsidR="00A652A1" w:rsidSect="00A652A1">
          <w:footerReference w:type="default" r:id="rId9"/>
          <w:pgSz w:w="11906" w:h="16838"/>
          <w:pgMar w:top="1304" w:right="1304" w:bottom="1304" w:left="1304" w:header="709" w:footer="709" w:gutter="0"/>
          <w:cols w:space="708"/>
          <w:docGrid w:linePitch="360"/>
        </w:sectPr>
      </w:pPr>
    </w:p>
    <w:p w:rsidR="0081274A" w:rsidRPr="005D42BA" w:rsidRDefault="00F813F1" w:rsidP="0081274A">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Table 1</w:t>
      </w:r>
    </w:p>
    <w:p w:rsidR="0081274A" w:rsidRPr="005D42BA" w:rsidRDefault="0081274A" w:rsidP="0081274A">
      <w:pPr>
        <w:jc w:val="center"/>
        <w:rPr>
          <w:rFonts w:ascii="Times New Roman" w:hAnsi="Times New Roman" w:cs="Times New Roman"/>
          <w:b/>
          <w:sz w:val="24"/>
          <w:szCs w:val="24"/>
        </w:rPr>
      </w:pPr>
      <w:r w:rsidRPr="005D42BA">
        <w:rPr>
          <w:rFonts w:ascii="Times New Roman" w:hAnsi="Times New Roman" w:cs="Times New Roman"/>
          <w:b/>
          <w:sz w:val="24"/>
          <w:szCs w:val="24"/>
        </w:rPr>
        <w:t>Definitions of Explanatory Variables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157"/>
      </w:tblGrid>
      <w:tr w:rsidR="009C09D7" w:rsidRPr="005D42BA" w:rsidTr="00DD300D">
        <w:tc>
          <w:tcPr>
            <w:tcW w:w="9242" w:type="dxa"/>
            <w:gridSpan w:val="2"/>
            <w:tcBorders>
              <w:top w:val="double" w:sz="4" w:space="0" w:color="auto"/>
              <w:bottom w:val="single" w:sz="4" w:space="0" w:color="auto"/>
            </w:tcBorders>
          </w:tcPr>
          <w:p w:rsidR="009C09D7" w:rsidRPr="005D42BA" w:rsidRDefault="009C09D7" w:rsidP="00214A2B">
            <w:pPr>
              <w:spacing w:before="40" w:after="40"/>
              <w:rPr>
                <w:rFonts w:ascii="Times New Roman" w:hAnsi="Times New Roman" w:cs="Times New Roman"/>
                <w:b/>
                <w:sz w:val="24"/>
                <w:szCs w:val="24"/>
              </w:rPr>
            </w:pPr>
            <w:r>
              <w:rPr>
                <w:rFonts w:ascii="Times New Roman" w:hAnsi="Times New Roman" w:cs="Times New Roman"/>
                <w:b/>
                <w:sz w:val="24"/>
                <w:szCs w:val="24"/>
              </w:rPr>
              <w:t xml:space="preserve">Panel A. Explanatory Variables Used in the ‘Empirical Results’ Section </w:t>
            </w:r>
          </w:p>
        </w:tc>
      </w:tr>
      <w:tr w:rsidR="00214A2B" w:rsidRPr="005D42BA" w:rsidTr="009C09D7">
        <w:tc>
          <w:tcPr>
            <w:tcW w:w="3085" w:type="dxa"/>
            <w:tcBorders>
              <w:top w:val="single" w:sz="4" w:space="0" w:color="auto"/>
              <w:bottom w:val="single" w:sz="4" w:space="0" w:color="auto"/>
            </w:tcBorders>
          </w:tcPr>
          <w:p w:rsidR="00214A2B" w:rsidRPr="005D42BA" w:rsidRDefault="00214A2B" w:rsidP="00214A2B">
            <w:pPr>
              <w:spacing w:before="40" w:after="40"/>
              <w:rPr>
                <w:rFonts w:ascii="Times New Roman" w:hAnsi="Times New Roman" w:cs="Times New Roman"/>
                <w:b/>
                <w:sz w:val="24"/>
                <w:szCs w:val="24"/>
              </w:rPr>
            </w:pPr>
            <w:r w:rsidRPr="005D42BA">
              <w:rPr>
                <w:rFonts w:ascii="Times New Roman" w:hAnsi="Times New Roman" w:cs="Times New Roman"/>
                <w:b/>
                <w:sz w:val="24"/>
                <w:szCs w:val="24"/>
              </w:rPr>
              <w:t>Variable</w:t>
            </w:r>
          </w:p>
        </w:tc>
        <w:tc>
          <w:tcPr>
            <w:tcW w:w="6157" w:type="dxa"/>
            <w:tcBorders>
              <w:top w:val="single" w:sz="4" w:space="0" w:color="auto"/>
              <w:bottom w:val="single" w:sz="4" w:space="0" w:color="auto"/>
            </w:tcBorders>
          </w:tcPr>
          <w:p w:rsidR="00214A2B" w:rsidRPr="005D42BA" w:rsidRDefault="00214A2B" w:rsidP="00214A2B">
            <w:pPr>
              <w:spacing w:before="40" w:after="40"/>
              <w:rPr>
                <w:rFonts w:ascii="Times New Roman" w:hAnsi="Times New Roman" w:cs="Times New Roman"/>
                <w:b/>
                <w:sz w:val="24"/>
                <w:szCs w:val="24"/>
              </w:rPr>
            </w:pPr>
            <w:r w:rsidRPr="005D42BA">
              <w:rPr>
                <w:rFonts w:ascii="Times New Roman" w:hAnsi="Times New Roman" w:cs="Times New Roman"/>
                <w:b/>
                <w:sz w:val="24"/>
                <w:szCs w:val="24"/>
              </w:rPr>
              <w:t>Definition</w:t>
            </w:r>
          </w:p>
        </w:tc>
      </w:tr>
      <w:tr w:rsidR="00214A2B" w:rsidRPr="005D42BA" w:rsidTr="00214A2B">
        <w:tc>
          <w:tcPr>
            <w:tcW w:w="3085" w:type="dxa"/>
            <w:tcBorders>
              <w:top w:val="single" w:sz="4" w:space="0" w:color="auto"/>
            </w:tcBorders>
          </w:tcPr>
          <w:p w:rsidR="00214A2B" w:rsidRPr="005D07CF" w:rsidRDefault="00214A2B"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Positiveness</w:t>
            </w:r>
          </w:p>
        </w:tc>
        <w:tc>
          <w:tcPr>
            <w:tcW w:w="6157" w:type="dxa"/>
            <w:tcBorders>
              <w:top w:val="single" w:sz="4" w:space="0" w:color="auto"/>
            </w:tcBorders>
          </w:tcPr>
          <w:p w:rsidR="00214A2B" w:rsidRPr="005D42BA" w:rsidRDefault="00E62AE0" w:rsidP="00E62AE0">
            <w:pPr>
              <w:spacing w:before="40" w:after="40"/>
              <w:jc w:val="both"/>
              <w:rPr>
                <w:rFonts w:ascii="Times New Roman" w:hAnsi="Times New Roman" w:cs="Times New Roman"/>
                <w:sz w:val="24"/>
                <w:szCs w:val="24"/>
              </w:rPr>
            </w:pPr>
            <w:r>
              <w:rPr>
                <w:rFonts w:ascii="Times New Roman" w:hAnsi="Times New Roman" w:cs="Times New Roman"/>
                <w:sz w:val="24"/>
                <w:szCs w:val="24"/>
              </w:rPr>
              <w:t>F</w:t>
            </w:r>
            <w:r w:rsidR="001A5547" w:rsidRPr="005D42BA">
              <w:rPr>
                <w:rFonts w:ascii="Times New Roman" w:hAnsi="Times New Roman" w:cs="Times New Roman"/>
                <w:sz w:val="24"/>
                <w:szCs w:val="24"/>
              </w:rPr>
              <w:t>requency with which the positive words listed in Henry’s (2008) tone thesaurus appear in the narrative of the annual report</w:t>
            </w:r>
            <w:r>
              <w:rPr>
                <w:rFonts w:ascii="Times New Roman" w:hAnsi="Times New Roman" w:cs="Times New Roman"/>
                <w:sz w:val="24"/>
                <w:szCs w:val="24"/>
              </w:rPr>
              <w:t>.</w:t>
            </w:r>
            <w:r w:rsidR="001A5547" w:rsidRPr="005D42BA">
              <w:rPr>
                <w:rFonts w:ascii="Times New Roman" w:hAnsi="Times New Roman" w:cs="Times New Roman"/>
                <w:sz w:val="24"/>
                <w:szCs w:val="24"/>
              </w:rPr>
              <w:t xml:space="preserve"> </w:t>
            </w:r>
            <w:r>
              <w:rPr>
                <w:rFonts w:ascii="Times New Roman" w:hAnsi="Times New Roman" w:cs="Times New Roman"/>
                <w:sz w:val="24"/>
                <w:szCs w:val="24"/>
              </w:rPr>
              <w:t xml:space="preserve">For the complete list of these words see Appendix </w:t>
            </w:r>
            <w:r w:rsidR="000B1066">
              <w:rPr>
                <w:rFonts w:ascii="Times New Roman" w:hAnsi="Times New Roman" w:cs="Times New Roman"/>
                <w:sz w:val="24"/>
                <w:szCs w:val="24"/>
              </w:rPr>
              <w:t>I. The frequency is defined as the</w:t>
            </w:r>
            <w:r>
              <w:rPr>
                <w:rFonts w:ascii="Times New Roman" w:hAnsi="Times New Roman" w:cs="Times New Roman"/>
                <w:sz w:val="24"/>
                <w:szCs w:val="24"/>
              </w:rPr>
              <w:t xml:space="preserve"> number of positive words divided by the number of total words in the document </w:t>
            </w:r>
          </w:p>
        </w:tc>
      </w:tr>
      <w:tr w:rsidR="00214A2B" w:rsidRPr="005D42BA" w:rsidTr="00214A2B">
        <w:tc>
          <w:tcPr>
            <w:tcW w:w="3085" w:type="dxa"/>
          </w:tcPr>
          <w:p w:rsidR="00214A2B" w:rsidRPr="005D07CF" w:rsidRDefault="00214A2B"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Size</w:t>
            </w:r>
          </w:p>
        </w:tc>
        <w:tc>
          <w:tcPr>
            <w:tcW w:w="6157" w:type="dxa"/>
          </w:tcPr>
          <w:p w:rsidR="00214A2B" w:rsidRPr="005D42BA" w:rsidRDefault="00C558A3" w:rsidP="00D153D7">
            <w:pPr>
              <w:spacing w:before="40" w:after="40"/>
              <w:jc w:val="both"/>
              <w:rPr>
                <w:rFonts w:ascii="Times New Roman" w:hAnsi="Times New Roman" w:cs="Times New Roman"/>
                <w:sz w:val="24"/>
                <w:szCs w:val="24"/>
              </w:rPr>
            </w:pPr>
            <w:r w:rsidRPr="005D42BA">
              <w:rPr>
                <w:rFonts w:ascii="Times New Roman" w:hAnsi="Times New Roman" w:cs="Times New Roman"/>
                <w:sz w:val="24"/>
                <w:szCs w:val="24"/>
              </w:rPr>
              <w:t>Natural logarithm</w:t>
            </w:r>
            <w:r w:rsidR="000C3E62" w:rsidRPr="005D42BA">
              <w:rPr>
                <w:rFonts w:ascii="Times New Roman" w:hAnsi="Times New Roman" w:cs="Times New Roman"/>
                <w:sz w:val="24"/>
                <w:szCs w:val="24"/>
              </w:rPr>
              <w:t xml:space="preserve"> of company’s</w:t>
            </w:r>
            <w:r w:rsidRPr="005D42BA">
              <w:rPr>
                <w:rFonts w:ascii="Times New Roman" w:hAnsi="Times New Roman" w:cs="Times New Roman"/>
                <w:sz w:val="24"/>
                <w:szCs w:val="24"/>
              </w:rPr>
              <w:t xml:space="preserve"> capitalization</w:t>
            </w:r>
            <w:r w:rsidR="000C3E62" w:rsidRPr="005D42BA">
              <w:rPr>
                <w:rFonts w:ascii="Times New Roman" w:hAnsi="Times New Roman" w:cs="Times New Roman"/>
                <w:sz w:val="24"/>
                <w:szCs w:val="24"/>
              </w:rPr>
              <w:t xml:space="preserve"> at the end of fiscal year to which the annual report refers</w:t>
            </w:r>
          </w:p>
        </w:tc>
      </w:tr>
      <w:tr w:rsidR="00214A2B" w:rsidRPr="005D42BA" w:rsidTr="00214A2B">
        <w:tc>
          <w:tcPr>
            <w:tcW w:w="3085" w:type="dxa"/>
          </w:tcPr>
          <w:p w:rsidR="00214A2B" w:rsidRPr="005D07CF" w:rsidRDefault="00214A2B" w:rsidP="001146BC">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Book</w:t>
            </w:r>
            <w:r w:rsidR="001146BC" w:rsidRPr="005D07CF">
              <w:rPr>
                <w:rFonts w:ascii="Times New Roman" w:hAnsi="Times New Roman" w:cs="Times New Roman"/>
                <w:sz w:val="24"/>
                <w:szCs w:val="24"/>
              </w:rPr>
              <w:t>_</w:t>
            </w:r>
            <w:r w:rsidRPr="005D07CF">
              <w:rPr>
                <w:rFonts w:ascii="Times New Roman" w:hAnsi="Times New Roman" w:cs="Times New Roman"/>
                <w:sz w:val="24"/>
                <w:szCs w:val="24"/>
              </w:rPr>
              <w:t>to</w:t>
            </w:r>
            <w:r w:rsidR="001146BC" w:rsidRPr="005D07CF">
              <w:rPr>
                <w:rFonts w:ascii="Times New Roman" w:hAnsi="Times New Roman" w:cs="Times New Roman"/>
                <w:sz w:val="24"/>
                <w:szCs w:val="24"/>
              </w:rPr>
              <w:t>_</w:t>
            </w:r>
            <w:r w:rsidRPr="005D07CF">
              <w:rPr>
                <w:rFonts w:ascii="Times New Roman" w:hAnsi="Times New Roman" w:cs="Times New Roman"/>
                <w:sz w:val="24"/>
                <w:szCs w:val="24"/>
              </w:rPr>
              <w:t>Market</w:t>
            </w:r>
            <w:proofErr w:type="spellEnd"/>
          </w:p>
        </w:tc>
        <w:tc>
          <w:tcPr>
            <w:tcW w:w="6157" w:type="dxa"/>
          </w:tcPr>
          <w:p w:rsidR="00214A2B" w:rsidRPr="005D42BA" w:rsidRDefault="00E2486C" w:rsidP="00D153D7">
            <w:pPr>
              <w:spacing w:before="40" w:after="40"/>
              <w:jc w:val="both"/>
              <w:rPr>
                <w:rFonts w:ascii="Times New Roman" w:hAnsi="Times New Roman" w:cs="Times New Roman"/>
                <w:sz w:val="24"/>
                <w:szCs w:val="24"/>
              </w:rPr>
            </w:pPr>
            <w:r w:rsidRPr="005D42BA">
              <w:rPr>
                <w:rFonts w:ascii="Times New Roman" w:hAnsi="Times New Roman" w:cs="Times New Roman"/>
                <w:sz w:val="24"/>
                <w:szCs w:val="24"/>
              </w:rPr>
              <w:t>Ratio of b</w:t>
            </w:r>
            <w:r w:rsidR="00C558A3" w:rsidRPr="005D42BA">
              <w:rPr>
                <w:rFonts w:ascii="Times New Roman" w:hAnsi="Times New Roman" w:cs="Times New Roman"/>
                <w:sz w:val="24"/>
                <w:szCs w:val="24"/>
              </w:rPr>
              <w:t>ook</w:t>
            </w:r>
            <w:r w:rsidRPr="005D42BA">
              <w:rPr>
                <w:rFonts w:ascii="Times New Roman" w:hAnsi="Times New Roman" w:cs="Times New Roman"/>
                <w:sz w:val="24"/>
                <w:szCs w:val="24"/>
              </w:rPr>
              <w:t xml:space="preserve"> value per share to share price at the end of fiscal year covered by the report</w:t>
            </w:r>
          </w:p>
        </w:tc>
      </w:tr>
      <w:tr w:rsidR="00214A2B" w:rsidRPr="005D42BA" w:rsidTr="00214A2B">
        <w:tc>
          <w:tcPr>
            <w:tcW w:w="3085" w:type="dxa"/>
          </w:tcPr>
          <w:p w:rsidR="00214A2B" w:rsidRPr="005D07CF" w:rsidRDefault="00214A2B" w:rsidP="00E319C0">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Earnings_Surprise</w:t>
            </w:r>
            <w:proofErr w:type="spellEnd"/>
          </w:p>
        </w:tc>
        <w:tc>
          <w:tcPr>
            <w:tcW w:w="6157" w:type="dxa"/>
          </w:tcPr>
          <w:p w:rsidR="00214A2B" w:rsidRPr="005D42BA" w:rsidRDefault="001703EF" w:rsidP="00D153D7">
            <w:pPr>
              <w:spacing w:before="40" w:after="40"/>
              <w:jc w:val="both"/>
              <w:rPr>
                <w:rFonts w:ascii="Times New Roman" w:hAnsi="Times New Roman" w:cs="Times New Roman"/>
                <w:sz w:val="24"/>
                <w:szCs w:val="24"/>
              </w:rPr>
            </w:pPr>
            <w:r w:rsidRPr="005D42BA">
              <w:rPr>
                <w:rFonts w:ascii="Times New Roman" w:hAnsi="Times New Roman" w:cs="Times New Roman"/>
                <w:sz w:val="24"/>
                <w:szCs w:val="24"/>
              </w:rPr>
              <w:t>Increase in earnings per share from the previous year scaled by the share price measured at the end of fiscal year</w:t>
            </w:r>
          </w:p>
        </w:tc>
      </w:tr>
      <w:tr w:rsidR="00214A2B" w:rsidRPr="005D42BA" w:rsidTr="000564AA">
        <w:tc>
          <w:tcPr>
            <w:tcW w:w="3085" w:type="dxa"/>
          </w:tcPr>
          <w:p w:rsidR="00214A2B" w:rsidRPr="005D07CF" w:rsidRDefault="00214A2B"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%Sales</w:t>
            </w:r>
          </w:p>
        </w:tc>
        <w:tc>
          <w:tcPr>
            <w:tcW w:w="6157" w:type="dxa"/>
          </w:tcPr>
          <w:p w:rsidR="00214A2B" w:rsidRPr="005D42BA" w:rsidRDefault="001703EF" w:rsidP="00D153D7">
            <w:pPr>
              <w:spacing w:before="40" w:after="40"/>
              <w:jc w:val="both"/>
              <w:rPr>
                <w:rFonts w:ascii="Times New Roman" w:hAnsi="Times New Roman" w:cs="Times New Roman"/>
                <w:sz w:val="24"/>
                <w:szCs w:val="24"/>
              </w:rPr>
            </w:pPr>
            <w:r w:rsidRPr="005D42BA">
              <w:rPr>
                <w:rFonts w:ascii="Times New Roman" w:hAnsi="Times New Roman" w:cs="Times New Roman"/>
                <w:sz w:val="24"/>
                <w:szCs w:val="24"/>
              </w:rPr>
              <w:t>Percentage increase in sales relative to the previous year</w:t>
            </w:r>
          </w:p>
        </w:tc>
      </w:tr>
      <w:tr w:rsidR="00214A2B" w:rsidRPr="005D42BA" w:rsidTr="009C09D7">
        <w:tc>
          <w:tcPr>
            <w:tcW w:w="3085" w:type="dxa"/>
            <w:tcBorders>
              <w:bottom w:val="single" w:sz="4" w:space="0" w:color="auto"/>
            </w:tcBorders>
          </w:tcPr>
          <w:p w:rsidR="00214A2B" w:rsidRPr="005D07CF" w:rsidRDefault="00214A2B"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Leverage</w:t>
            </w:r>
          </w:p>
        </w:tc>
        <w:tc>
          <w:tcPr>
            <w:tcW w:w="6157" w:type="dxa"/>
            <w:tcBorders>
              <w:bottom w:val="single" w:sz="4" w:space="0" w:color="auto"/>
            </w:tcBorders>
          </w:tcPr>
          <w:p w:rsidR="00214A2B" w:rsidRPr="005D42BA" w:rsidRDefault="00AD4ED7" w:rsidP="00D153D7">
            <w:pPr>
              <w:spacing w:before="40" w:after="40"/>
              <w:jc w:val="both"/>
              <w:rPr>
                <w:rFonts w:ascii="Times New Roman" w:hAnsi="Times New Roman" w:cs="Times New Roman"/>
                <w:sz w:val="24"/>
                <w:szCs w:val="24"/>
              </w:rPr>
            </w:pPr>
            <w:r w:rsidRPr="005D42BA">
              <w:rPr>
                <w:rFonts w:ascii="Times New Roman" w:hAnsi="Times New Roman" w:cs="Times New Roman"/>
                <w:sz w:val="24"/>
                <w:szCs w:val="24"/>
              </w:rPr>
              <w:t xml:space="preserve">Increase in leverage, where leverage is defined as total liabilities over total assets </w:t>
            </w:r>
          </w:p>
        </w:tc>
      </w:tr>
      <w:tr w:rsidR="009C09D7" w:rsidRPr="005D42BA" w:rsidTr="00DD300D">
        <w:tc>
          <w:tcPr>
            <w:tcW w:w="9242" w:type="dxa"/>
            <w:gridSpan w:val="2"/>
            <w:tcBorders>
              <w:top w:val="single" w:sz="4" w:space="0" w:color="auto"/>
              <w:bottom w:val="single" w:sz="4" w:space="0" w:color="auto"/>
            </w:tcBorders>
          </w:tcPr>
          <w:p w:rsidR="009C09D7" w:rsidRPr="005D42BA" w:rsidRDefault="009C09D7" w:rsidP="009C09D7">
            <w:pPr>
              <w:spacing w:before="40" w:after="40"/>
              <w:jc w:val="both"/>
              <w:rPr>
                <w:rFonts w:ascii="Times New Roman" w:hAnsi="Times New Roman" w:cs="Times New Roman"/>
                <w:sz w:val="24"/>
                <w:szCs w:val="24"/>
              </w:rPr>
            </w:pPr>
            <w:r>
              <w:rPr>
                <w:rFonts w:ascii="Times New Roman" w:hAnsi="Times New Roman" w:cs="Times New Roman"/>
                <w:b/>
                <w:sz w:val="24"/>
                <w:szCs w:val="24"/>
              </w:rPr>
              <w:t>Panel B. Explanatory Variable Used in the ‘Further Considerations’ Section</w:t>
            </w:r>
          </w:p>
        </w:tc>
      </w:tr>
      <w:tr w:rsidR="009C09D7" w:rsidRPr="005D42BA" w:rsidTr="009C09D7">
        <w:tc>
          <w:tcPr>
            <w:tcW w:w="3085" w:type="dxa"/>
            <w:tcBorders>
              <w:top w:val="single" w:sz="4" w:space="0" w:color="auto"/>
              <w:bottom w:val="single" w:sz="4" w:space="0" w:color="auto"/>
            </w:tcBorders>
          </w:tcPr>
          <w:p w:rsidR="009C09D7" w:rsidRPr="005D42BA" w:rsidRDefault="009C09D7" w:rsidP="00DD300D">
            <w:pPr>
              <w:spacing w:before="40" w:after="40"/>
              <w:rPr>
                <w:rFonts w:ascii="Times New Roman" w:hAnsi="Times New Roman" w:cs="Times New Roman"/>
                <w:b/>
                <w:sz w:val="24"/>
                <w:szCs w:val="24"/>
              </w:rPr>
            </w:pPr>
            <w:r w:rsidRPr="005D42BA">
              <w:rPr>
                <w:rFonts w:ascii="Times New Roman" w:hAnsi="Times New Roman" w:cs="Times New Roman"/>
                <w:b/>
                <w:sz w:val="24"/>
                <w:szCs w:val="24"/>
              </w:rPr>
              <w:t>Variable</w:t>
            </w:r>
          </w:p>
        </w:tc>
        <w:tc>
          <w:tcPr>
            <w:tcW w:w="6157" w:type="dxa"/>
            <w:tcBorders>
              <w:top w:val="single" w:sz="4" w:space="0" w:color="auto"/>
              <w:bottom w:val="single" w:sz="4" w:space="0" w:color="auto"/>
            </w:tcBorders>
          </w:tcPr>
          <w:p w:rsidR="009C09D7" w:rsidRPr="005D42BA" w:rsidRDefault="009C09D7" w:rsidP="00DD300D">
            <w:pPr>
              <w:spacing w:before="40" w:after="40"/>
              <w:rPr>
                <w:rFonts w:ascii="Times New Roman" w:hAnsi="Times New Roman" w:cs="Times New Roman"/>
                <w:b/>
                <w:sz w:val="24"/>
                <w:szCs w:val="24"/>
              </w:rPr>
            </w:pPr>
            <w:r w:rsidRPr="005D42BA">
              <w:rPr>
                <w:rFonts w:ascii="Times New Roman" w:hAnsi="Times New Roman" w:cs="Times New Roman"/>
                <w:b/>
                <w:sz w:val="24"/>
                <w:szCs w:val="24"/>
              </w:rPr>
              <w:t>Definition</w:t>
            </w:r>
          </w:p>
        </w:tc>
      </w:tr>
      <w:tr w:rsidR="009C09D7" w:rsidRPr="005D42BA" w:rsidTr="009C09D7">
        <w:tc>
          <w:tcPr>
            <w:tcW w:w="3085" w:type="dxa"/>
            <w:tcBorders>
              <w:top w:val="single" w:sz="4" w:space="0" w:color="auto"/>
              <w:bottom w:val="double" w:sz="4" w:space="0" w:color="auto"/>
            </w:tcBorders>
          </w:tcPr>
          <w:p w:rsidR="009C09D7" w:rsidRPr="005D07CF" w:rsidRDefault="009C09D7"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Tone</w:t>
            </w:r>
          </w:p>
        </w:tc>
        <w:tc>
          <w:tcPr>
            <w:tcW w:w="6157" w:type="dxa"/>
            <w:tcBorders>
              <w:top w:val="single" w:sz="4" w:space="0" w:color="auto"/>
              <w:bottom w:val="double" w:sz="4" w:space="0" w:color="auto"/>
            </w:tcBorders>
          </w:tcPr>
          <w:p w:rsidR="009C09D7" w:rsidRPr="00DD300D" w:rsidRDefault="00DD300D" w:rsidP="00DD300D">
            <w:pPr>
              <w:spacing w:before="40" w:after="40"/>
              <w:jc w:val="both"/>
              <w:rPr>
                <w:rFonts w:ascii="Times New Roman" w:hAnsi="Times New Roman" w:cs="Times New Roman"/>
                <w:sz w:val="24"/>
                <w:szCs w:val="24"/>
              </w:rPr>
            </w:pPr>
            <w:r>
              <w:rPr>
                <w:rFonts w:ascii="Times New Roman" w:hAnsi="Times New Roman" w:cs="Times New Roman"/>
                <w:sz w:val="24"/>
                <w:szCs w:val="24"/>
              </w:rPr>
              <w:t>To construct this variable, we measured the f</w:t>
            </w:r>
            <w:r w:rsidRPr="005D42BA">
              <w:rPr>
                <w:rFonts w:ascii="Times New Roman" w:hAnsi="Times New Roman" w:cs="Times New Roman"/>
                <w:sz w:val="24"/>
                <w:szCs w:val="24"/>
              </w:rPr>
              <w:t>requenc</w:t>
            </w:r>
            <w:r>
              <w:rPr>
                <w:rFonts w:ascii="Times New Roman" w:hAnsi="Times New Roman" w:cs="Times New Roman"/>
                <w:sz w:val="24"/>
                <w:szCs w:val="24"/>
              </w:rPr>
              <w:t>ies</w:t>
            </w:r>
            <w:r w:rsidRPr="005D42BA">
              <w:rPr>
                <w:rFonts w:ascii="Times New Roman" w:hAnsi="Times New Roman" w:cs="Times New Roman"/>
                <w:sz w:val="24"/>
                <w:szCs w:val="24"/>
              </w:rPr>
              <w:t xml:space="preserve"> with which the positive </w:t>
            </w:r>
            <w:r>
              <w:rPr>
                <w:rFonts w:ascii="Times New Roman" w:hAnsi="Times New Roman" w:cs="Times New Roman"/>
                <w:sz w:val="24"/>
                <w:szCs w:val="24"/>
              </w:rPr>
              <w:t xml:space="preserve">and negative </w:t>
            </w:r>
            <w:r w:rsidRPr="005D42BA">
              <w:rPr>
                <w:rFonts w:ascii="Times New Roman" w:hAnsi="Times New Roman" w:cs="Times New Roman"/>
                <w:sz w:val="24"/>
                <w:szCs w:val="24"/>
              </w:rPr>
              <w:t>words listed in Henry’s (2008) tone thesaurus</w:t>
            </w:r>
            <w:r>
              <w:rPr>
                <w:rFonts w:ascii="Times New Roman" w:hAnsi="Times New Roman" w:cs="Times New Roman"/>
                <w:sz w:val="24"/>
                <w:szCs w:val="24"/>
              </w:rPr>
              <w:t>es</w:t>
            </w:r>
            <w:r w:rsidRPr="005D42BA">
              <w:rPr>
                <w:rFonts w:ascii="Times New Roman" w:hAnsi="Times New Roman" w:cs="Times New Roman"/>
                <w:sz w:val="24"/>
                <w:szCs w:val="24"/>
              </w:rPr>
              <w:t xml:space="preserve"> appear in the narrative of the annual report</w:t>
            </w:r>
            <w:r>
              <w:rPr>
                <w:rFonts w:ascii="Times New Roman" w:hAnsi="Times New Roman" w:cs="Times New Roman"/>
                <w:sz w:val="24"/>
                <w:szCs w:val="24"/>
              </w:rPr>
              <w:t xml:space="preserve">s. These frequencies have been subsequently converted into </w:t>
            </w:r>
            <w:r w:rsidRPr="00DD300D">
              <w:rPr>
                <w:rFonts w:ascii="Times New Roman" w:hAnsi="Times New Roman" w:cs="Times New Roman"/>
                <w:i/>
                <w:sz w:val="24"/>
                <w:szCs w:val="24"/>
              </w:rPr>
              <w:t>z</w:t>
            </w:r>
            <w:r>
              <w:rPr>
                <w:rFonts w:ascii="Times New Roman" w:hAnsi="Times New Roman" w:cs="Times New Roman"/>
                <w:sz w:val="24"/>
                <w:szCs w:val="24"/>
              </w:rPr>
              <w:t xml:space="preserve">-scores by deducting their individual sample means and dividing by standard deviation. </w:t>
            </w:r>
            <w:r>
              <w:rPr>
                <w:rFonts w:ascii="Times New Roman" w:hAnsi="Times New Roman" w:cs="Times New Roman"/>
                <w:i/>
                <w:sz w:val="24"/>
                <w:szCs w:val="24"/>
              </w:rPr>
              <w:t>Tone</w:t>
            </w:r>
            <w:r>
              <w:rPr>
                <w:rFonts w:ascii="Times New Roman" w:hAnsi="Times New Roman" w:cs="Times New Roman"/>
                <w:sz w:val="24"/>
                <w:szCs w:val="24"/>
              </w:rPr>
              <w:t xml:space="preserve"> for a particular report is measured as its positive word frequency </w:t>
            </w:r>
            <w:r w:rsidRPr="00DD300D">
              <w:rPr>
                <w:rFonts w:ascii="Times New Roman" w:hAnsi="Times New Roman" w:cs="Times New Roman"/>
                <w:i/>
                <w:sz w:val="24"/>
                <w:szCs w:val="24"/>
              </w:rPr>
              <w:t>z</w:t>
            </w:r>
            <w:r>
              <w:rPr>
                <w:rFonts w:ascii="Times New Roman" w:hAnsi="Times New Roman" w:cs="Times New Roman"/>
                <w:sz w:val="24"/>
                <w:szCs w:val="24"/>
              </w:rPr>
              <w:t xml:space="preserve">-score minus the negative </w:t>
            </w:r>
            <w:r w:rsidR="000C2CB6">
              <w:rPr>
                <w:rFonts w:ascii="Times New Roman" w:hAnsi="Times New Roman" w:cs="Times New Roman"/>
                <w:sz w:val="24"/>
                <w:szCs w:val="24"/>
              </w:rPr>
              <w:t xml:space="preserve">word </w:t>
            </w:r>
            <w:r>
              <w:rPr>
                <w:rFonts w:ascii="Times New Roman" w:hAnsi="Times New Roman" w:cs="Times New Roman"/>
                <w:sz w:val="24"/>
                <w:szCs w:val="24"/>
              </w:rPr>
              <w:t xml:space="preserve">frequency </w:t>
            </w:r>
            <w:r w:rsidRPr="00DD300D">
              <w:rPr>
                <w:rFonts w:ascii="Times New Roman" w:hAnsi="Times New Roman" w:cs="Times New Roman"/>
                <w:i/>
                <w:sz w:val="24"/>
                <w:szCs w:val="24"/>
              </w:rPr>
              <w:t>z</w:t>
            </w:r>
            <w:r>
              <w:rPr>
                <w:rFonts w:ascii="Times New Roman" w:hAnsi="Times New Roman" w:cs="Times New Roman"/>
                <w:sz w:val="24"/>
                <w:szCs w:val="24"/>
              </w:rPr>
              <w:t>-score</w:t>
            </w:r>
          </w:p>
        </w:tc>
      </w:tr>
    </w:tbl>
    <w:p w:rsidR="0081274A" w:rsidRPr="005D42BA" w:rsidRDefault="0081274A" w:rsidP="0081274A">
      <w:pPr>
        <w:jc w:val="center"/>
        <w:rPr>
          <w:rFonts w:ascii="Times New Roman" w:hAnsi="Times New Roman" w:cs="Times New Roman"/>
          <w:b/>
          <w:sz w:val="24"/>
          <w:szCs w:val="24"/>
        </w:rPr>
      </w:pPr>
    </w:p>
    <w:p w:rsidR="00214A2B" w:rsidRPr="005D42BA" w:rsidRDefault="00214A2B" w:rsidP="0081274A">
      <w:pPr>
        <w:rPr>
          <w:rFonts w:ascii="Times New Roman" w:hAnsi="Times New Roman" w:cs="Times New Roman"/>
          <w:b/>
          <w:sz w:val="24"/>
          <w:szCs w:val="24"/>
        </w:rPr>
        <w:sectPr w:rsidR="00214A2B" w:rsidRPr="005D42BA" w:rsidSect="00214A2B">
          <w:pgSz w:w="11906" w:h="16838"/>
          <w:pgMar w:top="1440" w:right="1440" w:bottom="1440" w:left="1440" w:header="709" w:footer="709" w:gutter="0"/>
          <w:cols w:space="708"/>
          <w:docGrid w:linePitch="360"/>
        </w:sectPr>
      </w:pPr>
    </w:p>
    <w:p w:rsidR="00F31065" w:rsidRPr="005D42BA" w:rsidRDefault="00F31065" w:rsidP="00F31065">
      <w:pPr>
        <w:spacing w:after="0"/>
        <w:jc w:val="center"/>
        <w:rPr>
          <w:rFonts w:ascii="Times New Roman" w:hAnsi="Times New Roman" w:cs="Times New Roman"/>
          <w:b/>
          <w:sz w:val="24"/>
          <w:szCs w:val="24"/>
        </w:rPr>
      </w:pPr>
      <w:r w:rsidRPr="005D42BA">
        <w:rPr>
          <w:rFonts w:ascii="Times New Roman" w:hAnsi="Times New Roman" w:cs="Times New Roman"/>
          <w:b/>
          <w:sz w:val="24"/>
          <w:szCs w:val="24"/>
        </w:rPr>
        <w:lastRenderedPageBreak/>
        <w:t xml:space="preserve">Table </w:t>
      </w:r>
      <w:r w:rsidR="00F813F1">
        <w:rPr>
          <w:rFonts w:ascii="Times New Roman" w:hAnsi="Times New Roman" w:cs="Times New Roman"/>
          <w:b/>
          <w:sz w:val="24"/>
          <w:szCs w:val="24"/>
        </w:rPr>
        <w:t>2</w:t>
      </w:r>
    </w:p>
    <w:p w:rsidR="00F31065" w:rsidRPr="005D42BA" w:rsidRDefault="00F31065" w:rsidP="00F31065">
      <w:pPr>
        <w:spacing w:after="120"/>
        <w:jc w:val="center"/>
        <w:rPr>
          <w:rFonts w:ascii="Times New Roman" w:hAnsi="Times New Roman" w:cs="Times New Roman"/>
          <w:b/>
          <w:sz w:val="24"/>
          <w:szCs w:val="24"/>
        </w:rPr>
      </w:pPr>
      <w:r w:rsidRPr="005D42BA">
        <w:rPr>
          <w:rFonts w:ascii="Times New Roman" w:hAnsi="Times New Roman" w:cs="Times New Roman"/>
          <w:b/>
          <w:sz w:val="24"/>
          <w:szCs w:val="24"/>
        </w:rPr>
        <w:t>Summary Statistics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62"/>
        <w:gridCol w:w="2362"/>
        <w:gridCol w:w="2362"/>
        <w:gridCol w:w="2362"/>
        <w:gridCol w:w="2363"/>
        <w:gridCol w:w="2363"/>
      </w:tblGrid>
      <w:tr w:rsidR="00F31065" w:rsidRPr="005D42BA" w:rsidTr="000564AA">
        <w:tc>
          <w:tcPr>
            <w:tcW w:w="2362" w:type="dxa"/>
            <w:tcBorders>
              <w:top w:val="double" w:sz="4" w:space="0" w:color="auto"/>
              <w:bottom w:val="single" w:sz="4" w:space="0" w:color="auto"/>
            </w:tcBorders>
          </w:tcPr>
          <w:p w:rsidR="00F31065" w:rsidRPr="005D42BA" w:rsidRDefault="00F31065" w:rsidP="00B50B3E">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Variable</w:t>
            </w:r>
          </w:p>
        </w:tc>
        <w:tc>
          <w:tcPr>
            <w:tcW w:w="2362" w:type="dxa"/>
            <w:tcBorders>
              <w:top w:val="double" w:sz="4" w:space="0" w:color="auto"/>
              <w:bottom w:val="single" w:sz="4" w:space="0" w:color="auto"/>
            </w:tcBorders>
          </w:tcPr>
          <w:p w:rsidR="00F31065" w:rsidRPr="005D42BA" w:rsidRDefault="00F31065" w:rsidP="00F31065">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Mean</w:t>
            </w:r>
          </w:p>
        </w:tc>
        <w:tc>
          <w:tcPr>
            <w:tcW w:w="2362" w:type="dxa"/>
            <w:tcBorders>
              <w:top w:val="double" w:sz="4" w:space="0" w:color="auto"/>
              <w:bottom w:val="single" w:sz="4" w:space="0" w:color="auto"/>
            </w:tcBorders>
          </w:tcPr>
          <w:p w:rsidR="00F31065" w:rsidRPr="005D42BA" w:rsidRDefault="00F31065" w:rsidP="00F31065">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Standard Deviation</w:t>
            </w:r>
          </w:p>
        </w:tc>
        <w:tc>
          <w:tcPr>
            <w:tcW w:w="2362" w:type="dxa"/>
            <w:tcBorders>
              <w:top w:val="double" w:sz="4" w:space="0" w:color="auto"/>
              <w:bottom w:val="single" w:sz="4" w:space="0" w:color="auto"/>
            </w:tcBorders>
          </w:tcPr>
          <w:p w:rsidR="00F31065" w:rsidRPr="005D42BA" w:rsidRDefault="00F31065" w:rsidP="00F31065">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25</w:t>
            </w:r>
            <w:r w:rsidRPr="005D42BA">
              <w:rPr>
                <w:rFonts w:ascii="Times New Roman" w:hAnsi="Times New Roman" w:cs="Times New Roman"/>
                <w:b/>
                <w:sz w:val="24"/>
                <w:szCs w:val="24"/>
                <w:vertAlign w:val="superscript"/>
              </w:rPr>
              <w:t>th</w:t>
            </w:r>
            <w:r w:rsidRPr="005D42BA">
              <w:rPr>
                <w:rFonts w:ascii="Times New Roman" w:hAnsi="Times New Roman" w:cs="Times New Roman"/>
                <w:b/>
                <w:sz w:val="24"/>
                <w:szCs w:val="24"/>
              </w:rPr>
              <w:t xml:space="preserve"> Percentile</w:t>
            </w:r>
          </w:p>
        </w:tc>
        <w:tc>
          <w:tcPr>
            <w:tcW w:w="2363" w:type="dxa"/>
            <w:tcBorders>
              <w:top w:val="double" w:sz="4" w:space="0" w:color="auto"/>
              <w:bottom w:val="single" w:sz="4" w:space="0" w:color="auto"/>
            </w:tcBorders>
          </w:tcPr>
          <w:p w:rsidR="00F31065" w:rsidRPr="005D42BA" w:rsidRDefault="00F31065" w:rsidP="00F31065">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Median</w:t>
            </w:r>
          </w:p>
        </w:tc>
        <w:tc>
          <w:tcPr>
            <w:tcW w:w="2363" w:type="dxa"/>
            <w:tcBorders>
              <w:top w:val="double" w:sz="4" w:space="0" w:color="auto"/>
              <w:bottom w:val="single" w:sz="4" w:space="0" w:color="auto"/>
            </w:tcBorders>
          </w:tcPr>
          <w:p w:rsidR="00F31065" w:rsidRPr="005D42BA" w:rsidRDefault="00F31065" w:rsidP="00F31065">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75</w:t>
            </w:r>
            <w:r w:rsidRPr="005D42BA">
              <w:rPr>
                <w:rFonts w:ascii="Times New Roman" w:hAnsi="Times New Roman" w:cs="Times New Roman"/>
                <w:b/>
                <w:sz w:val="24"/>
                <w:szCs w:val="24"/>
                <w:vertAlign w:val="superscript"/>
              </w:rPr>
              <w:t>th</w:t>
            </w:r>
            <w:r w:rsidRPr="005D42BA">
              <w:rPr>
                <w:rFonts w:ascii="Times New Roman" w:hAnsi="Times New Roman" w:cs="Times New Roman"/>
                <w:b/>
                <w:sz w:val="24"/>
                <w:szCs w:val="24"/>
              </w:rPr>
              <w:t xml:space="preserve"> Percentile</w:t>
            </w:r>
          </w:p>
        </w:tc>
      </w:tr>
      <w:tr w:rsidR="00A65B45" w:rsidRPr="005D42BA" w:rsidTr="00E319C0">
        <w:tc>
          <w:tcPr>
            <w:tcW w:w="2362" w:type="dxa"/>
            <w:tcBorders>
              <w:top w:val="single" w:sz="4" w:space="0" w:color="auto"/>
            </w:tcBorders>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t>CAR_MA(-1,1)</w:t>
            </w:r>
          </w:p>
        </w:tc>
        <w:tc>
          <w:tcPr>
            <w:tcW w:w="2362" w:type="dxa"/>
            <w:tcBorders>
              <w:top w:val="single" w:sz="4" w:space="0" w:color="auto"/>
            </w:tcBorders>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0.0671%</w:t>
            </w:r>
          </w:p>
        </w:tc>
        <w:tc>
          <w:tcPr>
            <w:tcW w:w="2362" w:type="dxa"/>
            <w:tcBorders>
              <w:top w:val="single" w:sz="4" w:space="0" w:color="auto"/>
            </w:tcBorders>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3.9994%</w:t>
            </w:r>
          </w:p>
        </w:tc>
        <w:tc>
          <w:tcPr>
            <w:tcW w:w="2362" w:type="dxa"/>
            <w:tcBorders>
              <w:top w:val="single" w:sz="4" w:space="0" w:color="auto"/>
            </w:tcBorders>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-1.7751%</w:t>
            </w:r>
          </w:p>
        </w:tc>
        <w:tc>
          <w:tcPr>
            <w:tcW w:w="2363" w:type="dxa"/>
            <w:tcBorders>
              <w:top w:val="single" w:sz="4" w:space="0" w:color="auto"/>
            </w:tcBorders>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0.0086%</w:t>
            </w:r>
          </w:p>
        </w:tc>
        <w:tc>
          <w:tcPr>
            <w:tcW w:w="2363" w:type="dxa"/>
            <w:tcBorders>
              <w:top w:val="single" w:sz="4" w:space="0" w:color="auto"/>
            </w:tcBorders>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1.9135%</w:t>
            </w:r>
          </w:p>
        </w:tc>
      </w:tr>
      <w:tr w:rsidR="00A65B45" w:rsidRPr="005D42BA" w:rsidTr="00E319C0">
        <w:tc>
          <w:tcPr>
            <w:tcW w:w="2362" w:type="dxa"/>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t>CAR_MA(-1,5)</w:t>
            </w:r>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0.2502%</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5.9793%</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-2.5880%</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-0.0988%</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2.8867%</w:t>
            </w:r>
          </w:p>
        </w:tc>
      </w:tr>
      <w:tr w:rsidR="00A65B45" w:rsidRPr="005D42BA" w:rsidTr="00E319C0">
        <w:tc>
          <w:tcPr>
            <w:tcW w:w="2362" w:type="dxa"/>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t>CAR_MM(-1,1)</w:t>
            </w:r>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0.0207%</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3.5317%</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-1.5615%</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-0.0795%</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1.4735%</w:t>
            </w:r>
          </w:p>
        </w:tc>
      </w:tr>
      <w:tr w:rsidR="00A65B45" w:rsidRPr="005D42BA" w:rsidTr="00E319C0">
        <w:tc>
          <w:tcPr>
            <w:tcW w:w="2362" w:type="dxa"/>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t>CAR_MM(-1,5)</w:t>
            </w:r>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0.0450%</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5.2468%</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-2.4810%</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-0.1416%</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2.3364%</w:t>
            </w:r>
          </w:p>
        </w:tc>
      </w:tr>
      <w:tr w:rsidR="00A65B45" w:rsidRPr="005D42BA" w:rsidTr="00E319C0">
        <w:tc>
          <w:tcPr>
            <w:tcW w:w="2362" w:type="dxa"/>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t>Positiveness</w:t>
            </w:r>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0.4778%</w:t>
            </w:r>
            <w:r w:rsidR="007C191B" w:rsidRPr="007C191B">
              <w:rPr>
                <w:rFonts w:ascii="Times New Roman" w:hAnsi="Times New Roman" w:cs="Times New Roman"/>
                <w:color w:val="000000"/>
                <w:sz w:val="24"/>
                <w:szCs w:val="24"/>
                <w:vertAlign w:val="superscript"/>
              </w:rPr>
              <w:t>***</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0.4071%</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0.2180%</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0.3960%</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0.5960%</w:t>
            </w:r>
          </w:p>
        </w:tc>
      </w:tr>
      <w:tr w:rsidR="00A65B45" w:rsidRPr="005D42BA" w:rsidTr="00E319C0">
        <w:tc>
          <w:tcPr>
            <w:tcW w:w="2362" w:type="dxa"/>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t>Size</w:t>
            </w:r>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14.3314</w:t>
            </w:r>
            <w:r w:rsidR="007C191B" w:rsidRPr="00553AEA">
              <w:rPr>
                <w:rFonts w:ascii="Times New Roman" w:hAnsi="Times New Roman" w:cs="Times New Roman"/>
                <w:color w:val="000000"/>
                <w:sz w:val="24"/>
                <w:szCs w:val="24"/>
                <w:vertAlign w:val="superscript"/>
              </w:rPr>
              <w:t>***</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1.4504</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13.3439</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14.0619</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15.0463</w:t>
            </w:r>
          </w:p>
        </w:tc>
      </w:tr>
      <w:tr w:rsidR="00A65B45" w:rsidRPr="005D42BA" w:rsidTr="00E319C0">
        <w:tc>
          <w:tcPr>
            <w:tcW w:w="2362" w:type="dxa"/>
          </w:tcPr>
          <w:p w:rsidR="00A65B45" w:rsidRPr="008D3995" w:rsidRDefault="00A65B45" w:rsidP="001146BC">
            <w:pPr>
              <w:spacing w:before="40" w:after="40"/>
              <w:rPr>
                <w:rFonts w:ascii="Times New Roman" w:hAnsi="Times New Roman" w:cs="Times New Roman"/>
                <w:sz w:val="24"/>
                <w:szCs w:val="24"/>
              </w:rPr>
            </w:pPr>
            <w:proofErr w:type="spellStart"/>
            <w:r w:rsidRPr="008D3995">
              <w:rPr>
                <w:rFonts w:ascii="Times New Roman" w:hAnsi="Times New Roman" w:cs="Times New Roman"/>
                <w:sz w:val="24"/>
                <w:szCs w:val="24"/>
              </w:rPr>
              <w:t>Book</w:t>
            </w:r>
            <w:r w:rsidR="001146BC" w:rsidRPr="008D3995">
              <w:rPr>
                <w:rFonts w:ascii="Times New Roman" w:hAnsi="Times New Roman" w:cs="Times New Roman"/>
                <w:sz w:val="24"/>
                <w:szCs w:val="24"/>
              </w:rPr>
              <w:t>_</w:t>
            </w:r>
            <w:r w:rsidRPr="008D3995">
              <w:rPr>
                <w:rFonts w:ascii="Times New Roman" w:hAnsi="Times New Roman" w:cs="Times New Roman"/>
                <w:sz w:val="24"/>
                <w:szCs w:val="24"/>
              </w:rPr>
              <w:t>to</w:t>
            </w:r>
            <w:r w:rsidR="001146BC" w:rsidRPr="008D3995">
              <w:rPr>
                <w:rFonts w:ascii="Times New Roman" w:hAnsi="Times New Roman" w:cs="Times New Roman"/>
                <w:sz w:val="24"/>
                <w:szCs w:val="24"/>
              </w:rPr>
              <w:t>_</w:t>
            </w:r>
            <w:r w:rsidRPr="008D3995">
              <w:rPr>
                <w:rFonts w:ascii="Times New Roman" w:hAnsi="Times New Roman" w:cs="Times New Roman"/>
                <w:sz w:val="24"/>
                <w:szCs w:val="24"/>
              </w:rPr>
              <w:t>Market</w:t>
            </w:r>
            <w:proofErr w:type="spellEnd"/>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0.5897</w:t>
            </w:r>
            <w:r w:rsidR="00553AEA" w:rsidRPr="00553AEA">
              <w:rPr>
                <w:rFonts w:ascii="Times New Roman" w:hAnsi="Times New Roman" w:cs="Times New Roman"/>
                <w:color w:val="000000"/>
                <w:sz w:val="24"/>
                <w:szCs w:val="24"/>
                <w:vertAlign w:val="superscript"/>
              </w:rPr>
              <w:t>***</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0.7472</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0.2323</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0.4024</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0.7566</w:t>
            </w:r>
          </w:p>
        </w:tc>
      </w:tr>
      <w:tr w:rsidR="00A65B45" w:rsidRPr="005D42BA" w:rsidTr="00E319C0">
        <w:tc>
          <w:tcPr>
            <w:tcW w:w="2362" w:type="dxa"/>
          </w:tcPr>
          <w:p w:rsidR="00A65B45" w:rsidRPr="008D3995" w:rsidRDefault="00A65B45" w:rsidP="00E319C0">
            <w:pPr>
              <w:spacing w:before="40" w:after="40"/>
              <w:rPr>
                <w:rFonts w:ascii="Times New Roman" w:hAnsi="Times New Roman" w:cs="Times New Roman"/>
                <w:sz w:val="24"/>
                <w:szCs w:val="24"/>
              </w:rPr>
            </w:pPr>
            <w:proofErr w:type="spellStart"/>
            <w:r w:rsidRPr="008D3995">
              <w:rPr>
                <w:rFonts w:ascii="Times New Roman" w:hAnsi="Times New Roman" w:cs="Times New Roman"/>
                <w:sz w:val="24"/>
                <w:szCs w:val="24"/>
              </w:rPr>
              <w:t>Earnings_Surprise</w:t>
            </w:r>
            <w:proofErr w:type="spellEnd"/>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-0.0168</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0.4404</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-0.0115</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0.0076</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0.0258</w:t>
            </w:r>
          </w:p>
        </w:tc>
      </w:tr>
      <w:tr w:rsidR="00A65B45" w:rsidRPr="005D42BA" w:rsidTr="000564AA">
        <w:tc>
          <w:tcPr>
            <w:tcW w:w="2362" w:type="dxa"/>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sym w:font="Symbol" w:char="F044"/>
            </w:r>
            <w:r w:rsidRPr="008D3995">
              <w:rPr>
                <w:rFonts w:ascii="Times New Roman" w:hAnsi="Times New Roman" w:cs="Times New Roman"/>
                <w:sz w:val="24"/>
                <w:szCs w:val="24"/>
              </w:rPr>
              <w:t>%Sales</w:t>
            </w:r>
          </w:p>
        </w:tc>
        <w:tc>
          <w:tcPr>
            <w:tcW w:w="2362" w:type="dxa"/>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8.3288%</w:t>
            </w:r>
            <w:r w:rsidR="00820E4A" w:rsidRPr="00820E4A">
              <w:rPr>
                <w:rFonts w:ascii="Times New Roman" w:hAnsi="Times New Roman" w:cs="Times New Roman"/>
                <w:color w:val="000000"/>
                <w:sz w:val="24"/>
                <w:szCs w:val="24"/>
                <w:vertAlign w:val="superscript"/>
              </w:rPr>
              <w:t>***</w:t>
            </w:r>
          </w:p>
        </w:tc>
        <w:tc>
          <w:tcPr>
            <w:tcW w:w="2362"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26.1616%</w:t>
            </w:r>
          </w:p>
        </w:tc>
        <w:tc>
          <w:tcPr>
            <w:tcW w:w="2362" w:type="dxa"/>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0.3921%</w:t>
            </w:r>
          </w:p>
        </w:tc>
        <w:tc>
          <w:tcPr>
            <w:tcW w:w="2363" w:type="dxa"/>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7.3865%</w:t>
            </w:r>
          </w:p>
        </w:tc>
        <w:tc>
          <w:tcPr>
            <w:tcW w:w="2363" w:type="dxa"/>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15.6980%</w:t>
            </w:r>
          </w:p>
        </w:tc>
      </w:tr>
      <w:tr w:rsidR="00A65B45" w:rsidRPr="005D42BA" w:rsidTr="000564AA">
        <w:tc>
          <w:tcPr>
            <w:tcW w:w="2362" w:type="dxa"/>
            <w:tcBorders>
              <w:bottom w:val="double" w:sz="4" w:space="0" w:color="auto"/>
            </w:tcBorders>
          </w:tcPr>
          <w:p w:rsidR="00A65B45" w:rsidRPr="008D3995" w:rsidRDefault="00A65B45" w:rsidP="00E319C0">
            <w:pPr>
              <w:spacing w:before="40" w:after="40"/>
              <w:rPr>
                <w:rFonts w:ascii="Times New Roman" w:hAnsi="Times New Roman" w:cs="Times New Roman"/>
                <w:sz w:val="24"/>
                <w:szCs w:val="24"/>
              </w:rPr>
            </w:pPr>
            <w:r w:rsidRPr="008D3995">
              <w:rPr>
                <w:rFonts w:ascii="Times New Roman" w:hAnsi="Times New Roman" w:cs="Times New Roman"/>
                <w:sz w:val="24"/>
                <w:szCs w:val="24"/>
              </w:rPr>
              <w:sym w:font="Symbol" w:char="F044"/>
            </w:r>
            <w:r w:rsidRPr="008D3995">
              <w:rPr>
                <w:rFonts w:ascii="Times New Roman" w:hAnsi="Times New Roman" w:cs="Times New Roman"/>
                <w:sz w:val="24"/>
                <w:szCs w:val="24"/>
              </w:rPr>
              <w:t>Leverage</w:t>
            </w:r>
          </w:p>
        </w:tc>
        <w:tc>
          <w:tcPr>
            <w:tcW w:w="2362" w:type="dxa"/>
            <w:tcBorders>
              <w:bottom w:val="double" w:sz="4" w:space="0" w:color="auto"/>
            </w:tcBorders>
            <w:vAlign w:val="bottom"/>
          </w:tcPr>
          <w:p w:rsidR="00A65B45" w:rsidRPr="005D42BA" w:rsidRDefault="00A65B45" w:rsidP="00A65B45">
            <w:pPr>
              <w:tabs>
                <w:tab w:val="decimal" w:pos="757"/>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-0.0046</w:t>
            </w:r>
            <w:r w:rsidR="00820E4A" w:rsidRPr="00820E4A">
              <w:rPr>
                <w:rFonts w:ascii="Times New Roman" w:hAnsi="Times New Roman" w:cs="Times New Roman"/>
                <w:color w:val="000000"/>
                <w:sz w:val="24"/>
                <w:szCs w:val="24"/>
                <w:vertAlign w:val="superscript"/>
              </w:rPr>
              <w:t>*</w:t>
            </w:r>
          </w:p>
        </w:tc>
        <w:tc>
          <w:tcPr>
            <w:tcW w:w="2362" w:type="dxa"/>
            <w:tcBorders>
              <w:bottom w:val="double" w:sz="4" w:space="0" w:color="auto"/>
            </w:tcBorders>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0.0979</w:t>
            </w:r>
          </w:p>
        </w:tc>
        <w:tc>
          <w:tcPr>
            <w:tcW w:w="2362" w:type="dxa"/>
            <w:tcBorders>
              <w:bottom w:val="double" w:sz="4" w:space="0" w:color="auto"/>
            </w:tcBorders>
            <w:vAlign w:val="bottom"/>
          </w:tcPr>
          <w:p w:rsidR="00A65B45" w:rsidRPr="005D42BA" w:rsidRDefault="00A65B45" w:rsidP="00A65B45">
            <w:pPr>
              <w:tabs>
                <w:tab w:val="decimal" w:pos="711"/>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-0.0401</w:t>
            </w:r>
          </w:p>
        </w:tc>
        <w:tc>
          <w:tcPr>
            <w:tcW w:w="2363" w:type="dxa"/>
            <w:tcBorders>
              <w:bottom w:val="double" w:sz="4" w:space="0" w:color="auto"/>
            </w:tcBorders>
            <w:vAlign w:val="bottom"/>
          </w:tcPr>
          <w:p w:rsidR="00A65B45" w:rsidRPr="005D42BA" w:rsidRDefault="00A65B45" w:rsidP="00A65B45">
            <w:pPr>
              <w:tabs>
                <w:tab w:val="decimal" w:pos="722"/>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-0.0046</w:t>
            </w:r>
          </w:p>
        </w:tc>
        <w:tc>
          <w:tcPr>
            <w:tcW w:w="2363" w:type="dxa"/>
            <w:tcBorders>
              <w:bottom w:val="double" w:sz="4" w:space="0" w:color="auto"/>
            </w:tcBorders>
            <w:vAlign w:val="bottom"/>
          </w:tcPr>
          <w:p w:rsidR="00A65B45" w:rsidRPr="005D42BA" w:rsidRDefault="00A65B45" w:rsidP="00A65B45">
            <w:pPr>
              <w:tabs>
                <w:tab w:val="decimal" w:pos="663"/>
              </w:tabs>
              <w:rPr>
                <w:rFonts w:ascii="Times New Roman" w:hAnsi="Times New Roman" w:cs="Times New Roman"/>
                <w:color w:val="000000"/>
                <w:sz w:val="24"/>
                <w:szCs w:val="24"/>
              </w:rPr>
            </w:pPr>
            <w:r w:rsidRPr="005D42BA">
              <w:rPr>
                <w:rFonts w:ascii="Times New Roman" w:hAnsi="Times New Roman" w:cs="Times New Roman"/>
                <w:color w:val="000000"/>
                <w:sz w:val="24"/>
                <w:szCs w:val="24"/>
              </w:rPr>
              <w:t>0.0280</w:t>
            </w:r>
          </w:p>
        </w:tc>
      </w:tr>
    </w:tbl>
    <w:p w:rsidR="00F31065" w:rsidRPr="005D42BA" w:rsidRDefault="009D4EC6" w:rsidP="009D4EC6">
      <w:pPr>
        <w:spacing w:after="0"/>
        <w:jc w:val="both"/>
        <w:rPr>
          <w:rFonts w:ascii="Times New Roman" w:hAnsi="Times New Roman" w:cs="Times New Roman"/>
          <w:sz w:val="20"/>
          <w:szCs w:val="20"/>
        </w:rPr>
      </w:pPr>
      <w:r w:rsidRPr="005D42BA">
        <w:rPr>
          <w:rFonts w:ascii="Times New Roman" w:hAnsi="Times New Roman" w:cs="Times New Roman"/>
          <w:sz w:val="20"/>
          <w:szCs w:val="20"/>
        </w:rPr>
        <w:t xml:space="preserve">Note: </w:t>
      </w:r>
      <w:r w:rsidRPr="005D07CF">
        <w:rPr>
          <w:rFonts w:ascii="Times New Roman" w:hAnsi="Times New Roman" w:cs="Times New Roman"/>
          <w:sz w:val="20"/>
          <w:szCs w:val="20"/>
        </w:rPr>
        <w:t>CAR_MA</w:t>
      </w:r>
      <w:r w:rsidRPr="005D42BA">
        <w:rPr>
          <w:rFonts w:ascii="Times New Roman" w:hAnsi="Times New Roman" w:cs="Times New Roman"/>
          <w:sz w:val="20"/>
          <w:szCs w:val="20"/>
        </w:rPr>
        <w:t xml:space="preserve"> denotes cumulative abnormal return from a constant-mean</w:t>
      </w:r>
      <w:r w:rsidR="00CA40FC" w:rsidRPr="005D42BA">
        <w:rPr>
          <w:rFonts w:ascii="Times New Roman" w:hAnsi="Times New Roman" w:cs="Times New Roman"/>
          <w:sz w:val="20"/>
          <w:szCs w:val="20"/>
        </w:rPr>
        <w:t>-</w:t>
      </w:r>
      <w:r w:rsidRPr="005D42BA">
        <w:rPr>
          <w:rFonts w:ascii="Times New Roman" w:hAnsi="Times New Roman" w:cs="Times New Roman"/>
          <w:sz w:val="20"/>
          <w:szCs w:val="20"/>
        </w:rPr>
        <w:t>adjusted model and the parameters in the parentheses denote the length of the event window.</w:t>
      </w:r>
      <w:r w:rsidRPr="005D07CF">
        <w:rPr>
          <w:rFonts w:ascii="Times New Roman" w:hAnsi="Times New Roman" w:cs="Times New Roman"/>
          <w:sz w:val="20"/>
          <w:szCs w:val="20"/>
        </w:rPr>
        <w:t xml:space="preserve"> CAR_MM</w:t>
      </w:r>
      <w:r w:rsidR="00941DC2" w:rsidRPr="005D42BA">
        <w:rPr>
          <w:rFonts w:ascii="Times New Roman" w:hAnsi="Times New Roman" w:cs="Times New Roman"/>
          <w:sz w:val="20"/>
          <w:szCs w:val="20"/>
        </w:rPr>
        <w:t xml:space="preserve"> are cumulative returns in excess of a market model benchmark</w:t>
      </w:r>
      <w:r w:rsidRPr="005D42BA">
        <w:rPr>
          <w:rFonts w:ascii="Times New Roman" w:hAnsi="Times New Roman" w:cs="Times New Roman"/>
          <w:sz w:val="20"/>
          <w:szCs w:val="20"/>
        </w:rPr>
        <w:t xml:space="preserve">. The remaining </w:t>
      </w:r>
      <w:r w:rsidR="00F813F1">
        <w:rPr>
          <w:rFonts w:ascii="Times New Roman" w:hAnsi="Times New Roman" w:cs="Times New Roman"/>
          <w:sz w:val="20"/>
          <w:szCs w:val="20"/>
        </w:rPr>
        <w:t>variables are defined in Table 1</w:t>
      </w:r>
      <w:r w:rsidRPr="005D42BA">
        <w:rPr>
          <w:rFonts w:ascii="Times New Roman" w:hAnsi="Times New Roman" w:cs="Times New Roman"/>
          <w:sz w:val="20"/>
          <w:szCs w:val="20"/>
        </w:rPr>
        <w:t xml:space="preserve">. </w:t>
      </w:r>
      <w:r w:rsidR="00820E4A">
        <w:rPr>
          <w:rFonts w:ascii="Times New Roman" w:hAnsi="Times New Roman" w:cs="Times New Roman"/>
          <w:sz w:val="20"/>
          <w:szCs w:val="20"/>
        </w:rPr>
        <w:t xml:space="preserve">A two-tailed test for the hypothesis that the mean of a variable is equal to zero has been performed. </w:t>
      </w:r>
      <w:r w:rsidR="00820E4A" w:rsidRPr="005D42BA">
        <w:rPr>
          <w:rFonts w:ascii="Times New Roman" w:hAnsi="Times New Roman" w:cs="Times New Roman"/>
          <w:sz w:val="20"/>
          <w:szCs w:val="20"/>
          <w:vertAlign w:val="superscript"/>
        </w:rPr>
        <w:t>*</w:t>
      </w:r>
      <w:r w:rsidR="00820E4A" w:rsidRPr="005D42BA">
        <w:rPr>
          <w:rFonts w:ascii="Times New Roman" w:hAnsi="Times New Roman" w:cs="Times New Roman"/>
          <w:sz w:val="20"/>
          <w:szCs w:val="20"/>
        </w:rPr>
        <w:t xml:space="preserve">, </w:t>
      </w:r>
      <w:r w:rsidR="00820E4A" w:rsidRPr="005D42BA">
        <w:rPr>
          <w:rFonts w:ascii="Times New Roman" w:hAnsi="Times New Roman" w:cs="Times New Roman"/>
          <w:sz w:val="20"/>
          <w:szCs w:val="20"/>
          <w:vertAlign w:val="superscript"/>
        </w:rPr>
        <w:t>**</w:t>
      </w:r>
      <w:r w:rsidR="00820E4A" w:rsidRPr="005D42BA">
        <w:rPr>
          <w:rFonts w:ascii="Times New Roman" w:hAnsi="Times New Roman" w:cs="Times New Roman"/>
          <w:sz w:val="20"/>
          <w:szCs w:val="20"/>
        </w:rPr>
        <w:t xml:space="preserve">, </w:t>
      </w:r>
      <w:r w:rsidR="00820E4A" w:rsidRPr="005D42BA">
        <w:rPr>
          <w:rFonts w:ascii="Times New Roman" w:hAnsi="Times New Roman" w:cs="Times New Roman"/>
          <w:sz w:val="20"/>
          <w:szCs w:val="20"/>
          <w:vertAlign w:val="superscript"/>
        </w:rPr>
        <w:t>***</w:t>
      </w:r>
      <w:r w:rsidR="00820E4A" w:rsidRPr="005D42BA">
        <w:rPr>
          <w:rFonts w:ascii="Times New Roman" w:hAnsi="Times New Roman" w:cs="Times New Roman"/>
          <w:sz w:val="20"/>
          <w:szCs w:val="20"/>
        </w:rPr>
        <w:t xml:space="preserve"> </w:t>
      </w:r>
      <w:r w:rsidR="00820E4A">
        <w:rPr>
          <w:rFonts w:ascii="Times New Roman" w:hAnsi="Times New Roman" w:cs="Times New Roman"/>
          <w:sz w:val="20"/>
          <w:szCs w:val="20"/>
        </w:rPr>
        <w:t xml:space="preserve">reported in the ‘Mean’ column </w:t>
      </w:r>
      <w:r w:rsidR="00820E4A" w:rsidRPr="005D42BA">
        <w:rPr>
          <w:rFonts w:ascii="Times New Roman" w:hAnsi="Times New Roman" w:cs="Times New Roman"/>
          <w:sz w:val="20"/>
          <w:szCs w:val="20"/>
        </w:rPr>
        <w:t xml:space="preserve">denote </w:t>
      </w:r>
      <w:r w:rsidR="00820E4A">
        <w:rPr>
          <w:rFonts w:ascii="Times New Roman" w:hAnsi="Times New Roman" w:cs="Times New Roman"/>
          <w:sz w:val="20"/>
          <w:szCs w:val="20"/>
        </w:rPr>
        <w:t>rejection</w:t>
      </w:r>
      <w:r w:rsidR="00820E4A" w:rsidRPr="005D42BA">
        <w:rPr>
          <w:rFonts w:ascii="Times New Roman" w:hAnsi="Times New Roman" w:cs="Times New Roman"/>
          <w:sz w:val="20"/>
          <w:szCs w:val="20"/>
        </w:rPr>
        <w:t xml:space="preserve"> at </w:t>
      </w:r>
      <w:r w:rsidR="00820E4A">
        <w:rPr>
          <w:rFonts w:ascii="Times New Roman" w:hAnsi="Times New Roman" w:cs="Times New Roman"/>
          <w:sz w:val="20"/>
          <w:szCs w:val="20"/>
        </w:rPr>
        <w:t>9</w:t>
      </w:r>
      <w:r w:rsidR="00820E4A" w:rsidRPr="005D42BA">
        <w:rPr>
          <w:rFonts w:ascii="Times New Roman" w:hAnsi="Times New Roman" w:cs="Times New Roman"/>
          <w:sz w:val="20"/>
          <w:szCs w:val="20"/>
        </w:rPr>
        <w:t xml:space="preserve">0%, </w:t>
      </w:r>
      <w:r w:rsidR="00820E4A">
        <w:rPr>
          <w:rFonts w:ascii="Times New Roman" w:hAnsi="Times New Roman" w:cs="Times New Roman"/>
          <w:sz w:val="20"/>
          <w:szCs w:val="20"/>
        </w:rPr>
        <w:t>95% and 99</w:t>
      </w:r>
      <w:r w:rsidR="00820E4A" w:rsidRPr="005D42BA">
        <w:rPr>
          <w:rFonts w:ascii="Times New Roman" w:hAnsi="Times New Roman" w:cs="Times New Roman"/>
          <w:sz w:val="20"/>
          <w:szCs w:val="20"/>
        </w:rPr>
        <w:t>%</w:t>
      </w:r>
      <w:r w:rsidR="00820E4A">
        <w:rPr>
          <w:rFonts w:ascii="Times New Roman" w:hAnsi="Times New Roman" w:cs="Times New Roman"/>
          <w:sz w:val="20"/>
          <w:szCs w:val="20"/>
        </w:rPr>
        <w:t xml:space="preserve"> confidence level</w:t>
      </w:r>
      <w:r w:rsidR="00820E4A" w:rsidRPr="005D42BA">
        <w:rPr>
          <w:rFonts w:ascii="Times New Roman" w:hAnsi="Times New Roman" w:cs="Times New Roman"/>
          <w:sz w:val="20"/>
          <w:szCs w:val="20"/>
        </w:rPr>
        <w:t>, respectively.</w:t>
      </w:r>
    </w:p>
    <w:p w:rsidR="00983FB1" w:rsidRPr="005D42BA" w:rsidRDefault="00983FB1">
      <w:pPr>
        <w:rPr>
          <w:rFonts w:ascii="Times New Roman" w:hAnsi="Times New Roman" w:cs="Times New Roman"/>
          <w:b/>
          <w:sz w:val="24"/>
          <w:szCs w:val="24"/>
        </w:rPr>
      </w:pPr>
      <w:r w:rsidRPr="005D42BA">
        <w:rPr>
          <w:rFonts w:ascii="Times New Roman" w:hAnsi="Times New Roman" w:cs="Times New Roman"/>
          <w:b/>
          <w:sz w:val="24"/>
          <w:szCs w:val="24"/>
        </w:rPr>
        <w:br w:type="page"/>
      </w:r>
    </w:p>
    <w:p w:rsidR="00F31065" w:rsidRPr="005D42BA" w:rsidRDefault="00F813F1" w:rsidP="00F31065">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Table 3</w:t>
      </w:r>
    </w:p>
    <w:p w:rsidR="00983FB1" w:rsidRPr="005D42BA" w:rsidRDefault="00983FB1" w:rsidP="00175667">
      <w:pPr>
        <w:spacing w:after="120"/>
        <w:jc w:val="center"/>
        <w:rPr>
          <w:rFonts w:ascii="Times New Roman" w:hAnsi="Times New Roman" w:cs="Times New Roman"/>
          <w:b/>
          <w:sz w:val="24"/>
          <w:szCs w:val="24"/>
        </w:rPr>
      </w:pPr>
      <w:r w:rsidRPr="005D42BA">
        <w:rPr>
          <w:rFonts w:ascii="Times New Roman" w:hAnsi="Times New Roman" w:cs="Times New Roman"/>
          <w:b/>
          <w:sz w:val="24"/>
          <w:szCs w:val="24"/>
        </w:rPr>
        <w:t>Pearson Correlation Table</w:t>
      </w:r>
    </w:p>
    <w:tbl>
      <w:tblPr>
        <w:tblW w:w="15462" w:type="dxa"/>
        <w:tblInd w:w="-318" w:type="dxa"/>
        <w:tblLayout w:type="fixed"/>
        <w:tblLook w:val="04A0"/>
      </w:tblPr>
      <w:tblGrid>
        <w:gridCol w:w="2269"/>
        <w:gridCol w:w="1319"/>
        <w:gridCol w:w="1319"/>
        <w:gridCol w:w="1319"/>
        <w:gridCol w:w="1320"/>
        <w:gridCol w:w="1385"/>
        <w:gridCol w:w="1253"/>
        <w:gridCol w:w="1320"/>
        <w:gridCol w:w="1319"/>
        <w:gridCol w:w="1319"/>
        <w:gridCol w:w="1320"/>
      </w:tblGrid>
      <w:tr w:rsidR="0071371C" w:rsidRPr="005D42BA" w:rsidTr="000564AA">
        <w:trPr>
          <w:trHeight w:val="300"/>
        </w:trPr>
        <w:tc>
          <w:tcPr>
            <w:tcW w:w="2269" w:type="dxa"/>
            <w:tcBorders>
              <w:top w:val="double" w:sz="4" w:space="0" w:color="auto"/>
              <w:bottom w:val="single" w:sz="4" w:space="0" w:color="auto"/>
            </w:tcBorders>
            <w:shd w:val="clear" w:color="auto" w:fill="auto"/>
            <w:noWrap/>
            <w:vAlign w:val="center"/>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p>
        </w:tc>
        <w:tc>
          <w:tcPr>
            <w:tcW w:w="1319" w:type="dxa"/>
            <w:tcBorders>
              <w:top w:val="double" w:sz="4" w:space="0" w:color="auto"/>
              <w:bottom w:val="single" w:sz="4" w:space="0" w:color="auto"/>
            </w:tcBorders>
            <w:shd w:val="clear" w:color="auto" w:fill="auto"/>
            <w:noWrap/>
            <w:vAlign w:val="center"/>
            <w:hideMark/>
          </w:tcPr>
          <w:p w:rsidR="0071371C" w:rsidRPr="005D07CF" w:rsidRDefault="00301582" w:rsidP="00E9734F">
            <w:pPr>
              <w:spacing w:before="40" w:after="0" w:line="240" w:lineRule="auto"/>
              <w:jc w:val="center"/>
              <w:rPr>
                <w:rFonts w:ascii="Times New Roman" w:hAnsi="Times New Roman" w:cs="Times New Roman"/>
              </w:rPr>
            </w:pPr>
            <w:r w:rsidRPr="005D07CF">
              <w:rPr>
                <w:rFonts w:ascii="Times New Roman" w:hAnsi="Times New Roman" w:cs="Times New Roman"/>
              </w:rPr>
              <w:t>CAR_MA</w:t>
            </w:r>
          </w:p>
          <w:p w:rsidR="00301582" w:rsidRPr="005D07CF" w:rsidRDefault="00301582" w:rsidP="00E9734F">
            <w:pPr>
              <w:spacing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(-1,1)</w:t>
            </w:r>
          </w:p>
        </w:tc>
        <w:tc>
          <w:tcPr>
            <w:tcW w:w="1319" w:type="dxa"/>
            <w:tcBorders>
              <w:top w:val="double" w:sz="4" w:space="0" w:color="auto"/>
              <w:bottom w:val="single" w:sz="4" w:space="0" w:color="auto"/>
            </w:tcBorders>
            <w:shd w:val="clear" w:color="auto" w:fill="auto"/>
            <w:noWrap/>
            <w:vAlign w:val="center"/>
            <w:hideMark/>
          </w:tcPr>
          <w:p w:rsidR="0071371C" w:rsidRPr="005D07CF" w:rsidRDefault="0071371C" w:rsidP="00E9734F">
            <w:pPr>
              <w:spacing w:before="40" w:after="0" w:line="240" w:lineRule="auto"/>
              <w:jc w:val="center"/>
              <w:rPr>
                <w:rFonts w:ascii="Times New Roman" w:hAnsi="Times New Roman" w:cs="Times New Roman"/>
              </w:rPr>
            </w:pPr>
            <w:r w:rsidRPr="005D07CF">
              <w:rPr>
                <w:rFonts w:ascii="Times New Roman" w:hAnsi="Times New Roman" w:cs="Times New Roman"/>
              </w:rPr>
              <w:t>CAR_MA</w:t>
            </w:r>
          </w:p>
          <w:p w:rsidR="00301582" w:rsidRPr="005D07CF" w:rsidRDefault="0071371C" w:rsidP="00E9734F">
            <w:pPr>
              <w:spacing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(-1,5)</w:t>
            </w:r>
          </w:p>
        </w:tc>
        <w:tc>
          <w:tcPr>
            <w:tcW w:w="1319" w:type="dxa"/>
            <w:tcBorders>
              <w:top w:val="double" w:sz="4" w:space="0" w:color="auto"/>
              <w:bottom w:val="single" w:sz="4" w:space="0" w:color="auto"/>
            </w:tcBorders>
            <w:shd w:val="clear" w:color="auto" w:fill="auto"/>
            <w:noWrap/>
            <w:vAlign w:val="center"/>
            <w:hideMark/>
          </w:tcPr>
          <w:p w:rsidR="0071371C" w:rsidRPr="005D07CF" w:rsidRDefault="0071371C" w:rsidP="00E9734F">
            <w:pPr>
              <w:spacing w:before="40" w:after="0" w:line="240" w:lineRule="auto"/>
              <w:jc w:val="center"/>
              <w:rPr>
                <w:rFonts w:ascii="Times New Roman" w:hAnsi="Times New Roman" w:cs="Times New Roman"/>
              </w:rPr>
            </w:pPr>
            <w:r w:rsidRPr="005D07CF">
              <w:rPr>
                <w:rFonts w:ascii="Times New Roman" w:hAnsi="Times New Roman" w:cs="Times New Roman"/>
              </w:rPr>
              <w:t>CAR_MM</w:t>
            </w:r>
          </w:p>
          <w:p w:rsidR="00301582" w:rsidRPr="005D07CF" w:rsidRDefault="0071371C" w:rsidP="00E9734F">
            <w:pPr>
              <w:spacing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(-1,1)</w:t>
            </w:r>
          </w:p>
        </w:tc>
        <w:tc>
          <w:tcPr>
            <w:tcW w:w="1320" w:type="dxa"/>
            <w:tcBorders>
              <w:top w:val="double" w:sz="4" w:space="0" w:color="auto"/>
              <w:bottom w:val="single" w:sz="4" w:space="0" w:color="auto"/>
            </w:tcBorders>
            <w:shd w:val="clear" w:color="auto" w:fill="auto"/>
            <w:noWrap/>
            <w:vAlign w:val="center"/>
            <w:hideMark/>
          </w:tcPr>
          <w:p w:rsidR="0071371C" w:rsidRPr="005D07CF" w:rsidRDefault="0071371C" w:rsidP="00E9734F">
            <w:pPr>
              <w:spacing w:before="40" w:after="0" w:line="240" w:lineRule="auto"/>
              <w:jc w:val="center"/>
              <w:rPr>
                <w:rFonts w:ascii="Times New Roman" w:hAnsi="Times New Roman" w:cs="Times New Roman"/>
              </w:rPr>
            </w:pPr>
            <w:r w:rsidRPr="005D07CF">
              <w:rPr>
                <w:rFonts w:ascii="Times New Roman" w:hAnsi="Times New Roman" w:cs="Times New Roman"/>
              </w:rPr>
              <w:t>CAR_MM</w:t>
            </w:r>
          </w:p>
          <w:p w:rsidR="00301582" w:rsidRPr="005D07CF" w:rsidRDefault="0071371C" w:rsidP="00E9734F">
            <w:pPr>
              <w:spacing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(-1,5)</w:t>
            </w:r>
          </w:p>
        </w:tc>
        <w:tc>
          <w:tcPr>
            <w:tcW w:w="1385" w:type="dxa"/>
            <w:tcBorders>
              <w:top w:val="double" w:sz="4" w:space="0" w:color="auto"/>
              <w:bottom w:val="single" w:sz="4" w:space="0" w:color="auto"/>
            </w:tcBorders>
            <w:shd w:val="clear" w:color="auto" w:fill="auto"/>
            <w:noWrap/>
            <w:vAlign w:val="center"/>
            <w:hideMark/>
          </w:tcPr>
          <w:p w:rsidR="00301582" w:rsidRPr="005D07CF" w:rsidRDefault="0071371C" w:rsidP="00E9734F">
            <w:pPr>
              <w:spacing w:before="40"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Positiveness</w:t>
            </w:r>
          </w:p>
        </w:tc>
        <w:tc>
          <w:tcPr>
            <w:tcW w:w="1253" w:type="dxa"/>
            <w:tcBorders>
              <w:top w:val="double" w:sz="4" w:space="0" w:color="auto"/>
              <w:bottom w:val="single" w:sz="4" w:space="0" w:color="auto"/>
            </w:tcBorders>
            <w:shd w:val="clear" w:color="auto" w:fill="auto"/>
            <w:noWrap/>
            <w:vAlign w:val="center"/>
            <w:hideMark/>
          </w:tcPr>
          <w:p w:rsidR="00301582" w:rsidRPr="005D07CF" w:rsidRDefault="0071371C" w:rsidP="00E9734F">
            <w:pPr>
              <w:spacing w:before="40"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Size</w:t>
            </w:r>
          </w:p>
        </w:tc>
        <w:tc>
          <w:tcPr>
            <w:tcW w:w="1320" w:type="dxa"/>
            <w:tcBorders>
              <w:top w:val="double" w:sz="4" w:space="0" w:color="auto"/>
              <w:bottom w:val="single" w:sz="4" w:space="0" w:color="auto"/>
            </w:tcBorders>
            <w:shd w:val="clear" w:color="auto" w:fill="auto"/>
            <w:noWrap/>
            <w:vAlign w:val="center"/>
            <w:hideMark/>
          </w:tcPr>
          <w:p w:rsidR="001146BC" w:rsidRPr="005D07CF" w:rsidRDefault="0071371C" w:rsidP="001146BC">
            <w:pPr>
              <w:spacing w:before="40" w:after="40" w:line="240" w:lineRule="auto"/>
              <w:jc w:val="center"/>
              <w:rPr>
                <w:rFonts w:ascii="Times New Roman" w:hAnsi="Times New Roman" w:cs="Times New Roman"/>
              </w:rPr>
            </w:pPr>
            <w:proofErr w:type="spellStart"/>
            <w:r w:rsidRPr="005D07CF">
              <w:rPr>
                <w:rFonts w:ascii="Times New Roman" w:hAnsi="Times New Roman" w:cs="Times New Roman"/>
              </w:rPr>
              <w:t>Book</w:t>
            </w:r>
            <w:r w:rsidR="001146BC" w:rsidRPr="005D07CF">
              <w:rPr>
                <w:rFonts w:ascii="Times New Roman" w:hAnsi="Times New Roman" w:cs="Times New Roman"/>
              </w:rPr>
              <w:t>_</w:t>
            </w:r>
            <w:r w:rsidRPr="005D07CF">
              <w:rPr>
                <w:rFonts w:ascii="Times New Roman" w:hAnsi="Times New Roman" w:cs="Times New Roman"/>
              </w:rPr>
              <w:t>to</w:t>
            </w:r>
            <w:proofErr w:type="spellEnd"/>
            <w:r w:rsidR="001146BC" w:rsidRPr="005D07CF">
              <w:rPr>
                <w:rFonts w:ascii="Times New Roman" w:hAnsi="Times New Roman" w:cs="Times New Roman"/>
              </w:rPr>
              <w:t>_</w:t>
            </w:r>
          </w:p>
          <w:p w:rsidR="00301582" w:rsidRPr="005D07CF" w:rsidRDefault="0071371C" w:rsidP="001146BC">
            <w:pPr>
              <w:spacing w:before="40"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Market</w:t>
            </w:r>
          </w:p>
        </w:tc>
        <w:tc>
          <w:tcPr>
            <w:tcW w:w="1319" w:type="dxa"/>
            <w:tcBorders>
              <w:top w:val="double" w:sz="4" w:space="0" w:color="auto"/>
              <w:bottom w:val="single" w:sz="4" w:space="0" w:color="auto"/>
            </w:tcBorders>
            <w:shd w:val="clear" w:color="auto" w:fill="auto"/>
            <w:noWrap/>
            <w:vAlign w:val="center"/>
            <w:hideMark/>
          </w:tcPr>
          <w:p w:rsidR="0071371C" w:rsidRPr="005D07CF" w:rsidRDefault="0071371C" w:rsidP="00E9734F">
            <w:pPr>
              <w:spacing w:before="40" w:after="0" w:line="240" w:lineRule="auto"/>
              <w:jc w:val="center"/>
              <w:rPr>
                <w:rFonts w:ascii="Times New Roman" w:hAnsi="Times New Roman" w:cs="Times New Roman"/>
              </w:rPr>
            </w:pPr>
            <w:r w:rsidRPr="005D07CF">
              <w:rPr>
                <w:rFonts w:ascii="Times New Roman" w:hAnsi="Times New Roman" w:cs="Times New Roman"/>
              </w:rPr>
              <w:t>Earnings</w:t>
            </w:r>
          </w:p>
          <w:p w:rsidR="00301582" w:rsidRPr="005D07CF" w:rsidRDefault="0071371C" w:rsidP="00E9734F">
            <w:pPr>
              <w:spacing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t>Surprise</w:t>
            </w:r>
          </w:p>
        </w:tc>
        <w:tc>
          <w:tcPr>
            <w:tcW w:w="1319" w:type="dxa"/>
            <w:tcBorders>
              <w:top w:val="double" w:sz="4" w:space="0" w:color="auto"/>
              <w:bottom w:val="single" w:sz="4" w:space="0" w:color="auto"/>
            </w:tcBorders>
            <w:shd w:val="clear" w:color="auto" w:fill="auto"/>
            <w:noWrap/>
            <w:vAlign w:val="center"/>
            <w:hideMark/>
          </w:tcPr>
          <w:p w:rsidR="00301582" w:rsidRPr="005D07CF" w:rsidRDefault="0071371C" w:rsidP="00E9734F">
            <w:pPr>
              <w:spacing w:before="40"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sym w:font="Symbol" w:char="F044"/>
            </w:r>
            <w:r w:rsidRPr="005D07CF">
              <w:rPr>
                <w:rFonts w:ascii="Times New Roman" w:hAnsi="Times New Roman" w:cs="Times New Roman"/>
              </w:rPr>
              <w:t>%Sales</w:t>
            </w:r>
          </w:p>
        </w:tc>
        <w:tc>
          <w:tcPr>
            <w:tcW w:w="1320" w:type="dxa"/>
            <w:tcBorders>
              <w:top w:val="double" w:sz="4" w:space="0" w:color="auto"/>
              <w:bottom w:val="single" w:sz="4" w:space="0" w:color="auto"/>
            </w:tcBorders>
            <w:shd w:val="clear" w:color="auto" w:fill="auto"/>
            <w:noWrap/>
            <w:vAlign w:val="center"/>
            <w:hideMark/>
          </w:tcPr>
          <w:p w:rsidR="00301582" w:rsidRPr="005D07CF" w:rsidRDefault="0071371C" w:rsidP="00E9734F">
            <w:pPr>
              <w:spacing w:before="40" w:after="40" w:line="240" w:lineRule="auto"/>
              <w:jc w:val="center"/>
              <w:rPr>
                <w:rFonts w:ascii="Times New Roman" w:eastAsia="Times New Roman" w:hAnsi="Times New Roman" w:cs="Times New Roman"/>
                <w:color w:val="000000"/>
                <w:lang w:eastAsia="en-GB"/>
              </w:rPr>
            </w:pPr>
            <w:r w:rsidRPr="005D07CF">
              <w:rPr>
                <w:rFonts w:ascii="Times New Roman" w:hAnsi="Times New Roman" w:cs="Times New Roman"/>
              </w:rPr>
              <w:sym w:font="Symbol" w:char="F044"/>
            </w:r>
            <w:r w:rsidRPr="005D07CF">
              <w:rPr>
                <w:rFonts w:ascii="Times New Roman" w:hAnsi="Times New Roman" w:cs="Times New Roman"/>
              </w:rPr>
              <w:t>Leverage</w:t>
            </w:r>
          </w:p>
        </w:tc>
      </w:tr>
      <w:tr w:rsidR="0071371C" w:rsidRPr="005D42BA" w:rsidTr="00175667">
        <w:trPr>
          <w:trHeight w:val="300"/>
        </w:trPr>
        <w:tc>
          <w:tcPr>
            <w:tcW w:w="2269" w:type="dxa"/>
            <w:tcBorders>
              <w:top w:val="single" w:sz="4" w:space="0" w:color="auto"/>
            </w:tcBorders>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t>CAR_MA(-1,1)</w:t>
            </w:r>
          </w:p>
        </w:tc>
        <w:tc>
          <w:tcPr>
            <w:tcW w:w="1319" w:type="dxa"/>
            <w:tcBorders>
              <w:top w:val="single" w:sz="4" w:space="0" w:color="auto"/>
            </w:tcBorders>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19" w:type="dxa"/>
            <w:tcBorders>
              <w:top w:val="single" w:sz="4" w:space="0" w:color="auto"/>
            </w:tcBorders>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p>
        </w:tc>
        <w:tc>
          <w:tcPr>
            <w:tcW w:w="1319" w:type="dxa"/>
            <w:tcBorders>
              <w:top w:val="single" w:sz="4" w:space="0" w:color="auto"/>
            </w:tcBorders>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p>
        </w:tc>
        <w:tc>
          <w:tcPr>
            <w:tcW w:w="1320" w:type="dxa"/>
            <w:tcBorders>
              <w:top w:val="single" w:sz="4" w:space="0" w:color="auto"/>
            </w:tcBorders>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p>
        </w:tc>
        <w:tc>
          <w:tcPr>
            <w:tcW w:w="1385" w:type="dxa"/>
            <w:tcBorders>
              <w:top w:val="single" w:sz="4" w:space="0" w:color="auto"/>
            </w:tcBorders>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253" w:type="dxa"/>
            <w:tcBorders>
              <w:top w:val="single" w:sz="4" w:space="0" w:color="auto"/>
            </w:tcBorders>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p>
        </w:tc>
        <w:tc>
          <w:tcPr>
            <w:tcW w:w="1320" w:type="dxa"/>
            <w:tcBorders>
              <w:top w:val="single" w:sz="4" w:space="0" w:color="auto"/>
            </w:tcBorders>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p>
        </w:tc>
        <w:tc>
          <w:tcPr>
            <w:tcW w:w="1319" w:type="dxa"/>
            <w:tcBorders>
              <w:top w:val="single" w:sz="4" w:space="0" w:color="auto"/>
            </w:tcBorders>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tcBorders>
              <w:top w:val="single" w:sz="4" w:space="0" w:color="auto"/>
            </w:tcBorders>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tcBorders>
              <w:top w:val="single" w:sz="4" w:space="0" w:color="auto"/>
            </w:tcBorders>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t>CAR_MA(-1,5)</w:t>
            </w:r>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0.6645</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p>
        </w:tc>
        <w:tc>
          <w:tcPr>
            <w:tcW w:w="1385"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t>CAR_MM(-1,1)</w:t>
            </w:r>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0.8761</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0.5806</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p>
        </w:tc>
        <w:tc>
          <w:tcPr>
            <w:tcW w:w="1385"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t>CAR_MM(-1,5)</w:t>
            </w:r>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0.5947</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0.8744</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0.6780</w:t>
            </w:r>
            <w:r w:rsidR="0071371C" w:rsidRPr="005D42BA">
              <w:rPr>
                <w:rFonts w:ascii="Times New Roman" w:eastAsia="Times New Roman" w:hAnsi="Times New Roman" w:cs="Times New Roman"/>
                <w:color w:val="000000"/>
                <w:vertAlign w:val="superscript"/>
                <w:lang w:eastAsia="en-GB"/>
              </w:rPr>
              <w:t>***</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85"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t>Positiveness</w:t>
            </w:r>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0.0547</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0.0515</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0.0647</w:t>
            </w:r>
            <w:r w:rsidR="0071371C" w:rsidRPr="005D42BA">
              <w:rPr>
                <w:rFonts w:ascii="Times New Roman" w:eastAsia="Times New Roman" w:hAnsi="Times New Roman" w:cs="Times New Roman"/>
                <w:color w:val="000000"/>
                <w:vertAlign w:val="superscript"/>
                <w:lang w:eastAsia="en-GB"/>
              </w:rPr>
              <w:t>**</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0.0771</w:t>
            </w:r>
            <w:r w:rsidR="0071371C" w:rsidRPr="005D42BA">
              <w:rPr>
                <w:rFonts w:ascii="Times New Roman" w:eastAsia="Times New Roman" w:hAnsi="Times New Roman" w:cs="Times New Roman"/>
                <w:color w:val="000000"/>
                <w:vertAlign w:val="superscript"/>
                <w:lang w:eastAsia="en-GB"/>
              </w:rPr>
              <w:t>***</w:t>
            </w:r>
          </w:p>
        </w:tc>
        <w:tc>
          <w:tcPr>
            <w:tcW w:w="1385" w:type="dxa"/>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t>Size</w:t>
            </w:r>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-0.0467</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-0.0742</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-0.0316</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-0.0550</w:t>
            </w:r>
            <w:r w:rsidR="0071371C" w:rsidRPr="005D42BA">
              <w:rPr>
                <w:rFonts w:ascii="Times New Roman" w:eastAsia="Times New Roman" w:hAnsi="Times New Roman" w:cs="Times New Roman"/>
                <w:color w:val="000000"/>
                <w:vertAlign w:val="superscript"/>
                <w:lang w:eastAsia="en-GB"/>
              </w:rPr>
              <w:t>**</w:t>
            </w:r>
          </w:p>
        </w:tc>
        <w:tc>
          <w:tcPr>
            <w:tcW w:w="1385" w:type="dxa"/>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-0.0077</w:t>
            </w: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1146BC">
            <w:pPr>
              <w:spacing w:before="40" w:after="40"/>
              <w:rPr>
                <w:rFonts w:ascii="Times New Roman" w:hAnsi="Times New Roman" w:cs="Times New Roman"/>
              </w:rPr>
            </w:pPr>
            <w:proofErr w:type="spellStart"/>
            <w:r w:rsidRPr="005D07CF">
              <w:rPr>
                <w:rFonts w:ascii="Times New Roman" w:hAnsi="Times New Roman" w:cs="Times New Roman"/>
              </w:rPr>
              <w:t>Book</w:t>
            </w:r>
            <w:r w:rsidR="001146BC" w:rsidRPr="005D07CF">
              <w:rPr>
                <w:rFonts w:ascii="Times New Roman" w:hAnsi="Times New Roman" w:cs="Times New Roman"/>
              </w:rPr>
              <w:t>_</w:t>
            </w:r>
            <w:r w:rsidRPr="005D07CF">
              <w:rPr>
                <w:rFonts w:ascii="Times New Roman" w:hAnsi="Times New Roman" w:cs="Times New Roman"/>
              </w:rPr>
              <w:t>to</w:t>
            </w:r>
            <w:r w:rsidR="001146BC" w:rsidRPr="005D07CF">
              <w:rPr>
                <w:rFonts w:ascii="Times New Roman" w:hAnsi="Times New Roman" w:cs="Times New Roman"/>
              </w:rPr>
              <w:t>_</w:t>
            </w:r>
            <w:r w:rsidRPr="005D07CF">
              <w:rPr>
                <w:rFonts w:ascii="Times New Roman" w:hAnsi="Times New Roman" w:cs="Times New Roman"/>
              </w:rPr>
              <w:t>Market</w:t>
            </w:r>
            <w:proofErr w:type="spellEnd"/>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0.0348</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0.0367</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0.0089</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-0.0050</w:t>
            </w:r>
          </w:p>
        </w:tc>
        <w:tc>
          <w:tcPr>
            <w:tcW w:w="1385" w:type="dxa"/>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-0.0120</w:t>
            </w: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-0.1378</w:t>
            </w:r>
            <w:r w:rsidR="00191226" w:rsidRPr="005D42BA">
              <w:rPr>
                <w:rFonts w:ascii="Times New Roman" w:eastAsia="Times New Roman" w:hAnsi="Times New Roman" w:cs="Times New Roman"/>
                <w:color w:val="000000"/>
                <w:vertAlign w:val="superscript"/>
                <w:lang w:eastAsia="en-GB"/>
              </w:rPr>
              <w:t>***</w:t>
            </w: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175667">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proofErr w:type="spellStart"/>
            <w:r w:rsidRPr="005D07CF">
              <w:rPr>
                <w:rFonts w:ascii="Times New Roman" w:hAnsi="Times New Roman" w:cs="Times New Roman"/>
              </w:rPr>
              <w:t>Earnings_Surprise</w:t>
            </w:r>
            <w:proofErr w:type="spellEnd"/>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0.0265</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-0.0498</w:t>
            </w:r>
            <w:r w:rsidR="0071371C"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0.0145</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-0.0502</w:t>
            </w:r>
            <w:r w:rsidR="0071371C" w:rsidRPr="005D42BA">
              <w:rPr>
                <w:rFonts w:ascii="Times New Roman" w:eastAsia="Times New Roman" w:hAnsi="Times New Roman" w:cs="Times New Roman"/>
                <w:color w:val="000000"/>
                <w:vertAlign w:val="superscript"/>
                <w:lang w:eastAsia="en-GB"/>
              </w:rPr>
              <w:t>*</w:t>
            </w:r>
          </w:p>
        </w:tc>
        <w:tc>
          <w:tcPr>
            <w:tcW w:w="1385" w:type="dxa"/>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0.0220</w:t>
            </w: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0.0824</w:t>
            </w:r>
            <w:r w:rsidR="00191226" w:rsidRPr="005D42BA">
              <w:rPr>
                <w:rFonts w:ascii="Times New Roman" w:eastAsia="Times New Roman" w:hAnsi="Times New Roman" w:cs="Times New Roman"/>
                <w:color w:val="000000"/>
                <w:vertAlign w:val="superscript"/>
                <w:lang w:eastAsia="en-GB"/>
              </w:rPr>
              <w:t>***</w:t>
            </w: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-0.4344</w:t>
            </w:r>
            <w:r w:rsidR="00191226" w:rsidRPr="005D42BA">
              <w:rPr>
                <w:rFonts w:ascii="Times New Roman" w:eastAsia="Times New Roman" w:hAnsi="Times New Roman" w:cs="Times New Roman"/>
                <w:color w:val="000000"/>
                <w:vertAlign w:val="superscript"/>
                <w:lang w:eastAsia="en-GB"/>
              </w:rPr>
              <w:t>***</w:t>
            </w: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19"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0564AA">
        <w:trPr>
          <w:trHeight w:val="300"/>
        </w:trPr>
        <w:tc>
          <w:tcPr>
            <w:tcW w:w="2269" w:type="dxa"/>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sym w:font="Symbol" w:char="F044"/>
            </w:r>
            <w:r w:rsidRPr="005D07CF">
              <w:rPr>
                <w:rFonts w:ascii="Times New Roman" w:hAnsi="Times New Roman" w:cs="Times New Roman"/>
              </w:rPr>
              <w:t>%Sales</w:t>
            </w:r>
          </w:p>
        </w:tc>
        <w:tc>
          <w:tcPr>
            <w:tcW w:w="1319" w:type="dxa"/>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0.0204</w:t>
            </w:r>
          </w:p>
        </w:tc>
        <w:tc>
          <w:tcPr>
            <w:tcW w:w="1319" w:type="dxa"/>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0.0143</w:t>
            </w:r>
          </w:p>
        </w:tc>
        <w:tc>
          <w:tcPr>
            <w:tcW w:w="1319" w:type="dxa"/>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-0.0047</w:t>
            </w:r>
          </w:p>
        </w:tc>
        <w:tc>
          <w:tcPr>
            <w:tcW w:w="1320" w:type="dxa"/>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-0.0257</w:t>
            </w:r>
          </w:p>
        </w:tc>
        <w:tc>
          <w:tcPr>
            <w:tcW w:w="1385" w:type="dxa"/>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-0.0266</w:t>
            </w:r>
          </w:p>
        </w:tc>
        <w:tc>
          <w:tcPr>
            <w:tcW w:w="1253" w:type="dxa"/>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0.0080</w:t>
            </w:r>
          </w:p>
        </w:tc>
        <w:tc>
          <w:tcPr>
            <w:tcW w:w="1320" w:type="dxa"/>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-0.0342</w:t>
            </w:r>
          </w:p>
        </w:tc>
        <w:tc>
          <w:tcPr>
            <w:tcW w:w="1319" w:type="dxa"/>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0.0420</w:t>
            </w:r>
          </w:p>
        </w:tc>
        <w:tc>
          <w:tcPr>
            <w:tcW w:w="1319" w:type="dxa"/>
            <w:shd w:val="clear" w:color="auto" w:fill="auto"/>
            <w:noWrap/>
            <w:vAlign w:val="bottom"/>
            <w:hideMark/>
          </w:tcPr>
          <w:p w:rsidR="00301582" w:rsidRPr="005D42BA" w:rsidRDefault="00301582" w:rsidP="00E9734F">
            <w:pPr>
              <w:tabs>
                <w:tab w:val="decimal" w:pos="425"/>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c>
          <w:tcPr>
            <w:tcW w:w="1320" w:type="dxa"/>
            <w:shd w:val="clear" w:color="auto" w:fill="auto"/>
            <w:noWrap/>
            <w:vAlign w:val="bottom"/>
            <w:hideMark/>
          </w:tcPr>
          <w:p w:rsidR="00301582" w:rsidRPr="005D42BA" w:rsidRDefault="00301582" w:rsidP="00E9734F">
            <w:pPr>
              <w:spacing w:before="40" w:after="40" w:line="240" w:lineRule="auto"/>
              <w:rPr>
                <w:rFonts w:ascii="Times New Roman" w:eastAsia="Times New Roman" w:hAnsi="Times New Roman" w:cs="Times New Roman"/>
                <w:color w:val="000000"/>
                <w:lang w:eastAsia="en-GB"/>
              </w:rPr>
            </w:pPr>
          </w:p>
        </w:tc>
      </w:tr>
      <w:tr w:rsidR="0071371C" w:rsidRPr="005D42BA" w:rsidTr="000564AA">
        <w:trPr>
          <w:trHeight w:val="300"/>
        </w:trPr>
        <w:tc>
          <w:tcPr>
            <w:tcW w:w="2269" w:type="dxa"/>
            <w:tcBorders>
              <w:bottom w:val="double" w:sz="4" w:space="0" w:color="auto"/>
            </w:tcBorders>
            <w:shd w:val="clear" w:color="auto" w:fill="auto"/>
            <w:noWrap/>
            <w:hideMark/>
          </w:tcPr>
          <w:p w:rsidR="00301582" w:rsidRPr="005D07CF" w:rsidRDefault="00301582" w:rsidP="00E9734F">
            <w:pPr>
              <w:spacing w:before="40" w:after="40"/>
              <w:rPr>
                <w:rFonts w:ascii="Times New Roman" w:hAnsi="Times New Roman" w:cs="Times New Roman"/>
              </w:rPr>
            </w:pPr>
            <w:r w:rsidRPr="005D07CF">
              <w:rPr>
                <w:rFonts w:ascii="Times New Roman" w:hAnsi="Times New Roman" w:cs="Times New Roman"/>
              </w:rPr>
              <w:sym w:font="Symbol" w:char="F044"/>
            </w:r>
            <w:r w:rsidRPr="005D07CF">
              <w:rPr>
                <w:rFonts w:ascii="Times New Roman" w:hAnsi="Times New Roman" w:cs="Times New Roman"/>
              </w:rPr>
              <w:t>Leverage</w:t>
            </w:r>
          </w:p>
        </w:tc>
        <w:tc>
          <w:tcPr>
            <w:tcW w:w="1319" w:type="dxa"/>
            <w:tcBorders>
              <w:bottom w:val="double" w:sz="4" w:space="0" w:color="auto"/>
            </w:tcBorders>
            <w:shd w:val="clear" w:color="auto" w:fill="auto"/>
            <w:noWrap/>
            <w:vAlign w:val="bottom"/>
            <w:hideMark/>
          </w:tcPr>
          <w:p w:rsidR="00301582" w:rsidRPr="005D42BA" w:rsidRDefault="00301582" w:rsidP="00E9734F">
            <w:pPr>
              <w:tabs>
                <w:tab w:val="decimal" w:pos="389"/>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0.0149</w:t>
            </w:r>
          </w:p>
        </w:tc>
        <w:tc>
          <w:tcPr>
            <w:tcW w:w="1319" w:type="dxa"/>
            <w:tcBorders>
              <w:bottom w:val="double" w:sz="4" w:space="0" w:color="auto"/>
            </w:tcBorders>
            <w:shd w:val="clear" w:color="auto" w:fill="auto"/>
            <w:noWrap/>
            <w:vAlign w:val="bottom"/>
            <w:hideMark/>
          </w:tcPr>
          <w:p w:rsidR="00301582" w:rsidRPr="005D42BA" w:rsidRDefault="00301582" w:rsidP="00E9734F">
            <w:pPr>
              <w:tabs>
                <w:tab w:val="decimal" w:pos="41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0.0390</w:t>
            </w:r>
          </w:p>
        </w:tc>
        <w:tc>
          <w:tcPr>
            <w:tcW w:w="1319" w:type="dxa"/>
            <w:tcBorders>
              <w:bottom w:val="double" w:sz="4" w:space="0" w:color="auto"/>
            </w:tcBorders>
            <w:shd w:val="clear" w:color="auto" w:fill="auto"/>
            <w:noWrap/>
            <w:vAlign w:val="bottom"/>
            <w:hideMark/>
          </w:tcPr>
          <w:p w:rsidR="00301582" w:rsidRPr="005D42BA" w:rsidRDefault="00301582" w:rsidP="00E9734F">
            <w:pPr>
              <w:tabs>
                <w:tab w:val="decimal" w:pos="391"/>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0.0075</w:t>
            </w:r>
          </w:p>
        </w:tc>
        <w:tc>
          <w:tcPr>
            <w:tcW w:w="1320" w:type="dxa"/>
            <w:tcBorders>
              <w:bottom w:val="double" w:sz="4" w:space="0" w:color="auto"/>
            </w:tcBorders>
            <w:shd w:val="clear" w:color="auto" w:fill="auto"/>
            <w:noWrap/>
            <w:vAlign w:val="bottom"/>
            <w:hideMark/>
          </w:tcPr>
          <w:p w:rsidR="00301582" w:rsidRPr="005D42BA" w:rsidRDefault="00301582" w:rsidP="00E9734F">
            <w:pPr>
              <w:tabs>
                <w:tab w:val="decimal" w:pos="392"/>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0.0079</w:t>
            </w:r>
          </w:p>
        </w:tc>
        <w:tc>
          <w:tcPr>
            <w:tcW w:w="1385" w:type="dxa"/>
            <w:tcBorders>
              <w:bottom w:val="double" w:sz="4" w:space="0" w:color="auto"/>
            </w:tcBorders>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0.0237</w:t>
            </w:r>
          </w:p>
        </w:tc>
        <w:tc>
          <w:tcPr>
            <w:tcW w:w="1253" w:type="dxa"/>
            <w:tcBorders>
              <w:bottom w:val="double" w:sz="4" w:space="0" w:color="auto"/>
            </w:tcBorders>
            <w:shd w:val="clear" w:color="auto" w:fill="auto"/>
            <w:noWrap/>
            <w:vAlign w:val="bottom"/>
            <w:hideMark/>
          </w:tcPr>
          <w:p w:rsidR="00301582" w:rsidRPr="005D42BA" w:rsidRDefault="00301582" w:rsidP="00E9734F">
            <w:pPr>
              <w:tabs>
                <w:tab w:val="decimal" w:pos="318"/>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-0.0302</w:t>
            </w:r>
          </w:p>
        </w:tc>
        <w:tc>
          <w:tcPr>
            <w:tcW w:w="1320" w:type="dxa"/>
            <w:tcBorders>
              <w:bottom w:val="double" w:sz="4" w:space="0" w:color="auto"/>
            </w:tcBorders>
            <w:shd w:val="clear" w:color="auto" w:fill="auto"/>
            <w:noWrap/>
            <w:vAlign w:val="bottom"/>
            <w:hideMark/>
          </w:tcPr>
          <w:p w:rsidR="00301582" w:rsidRPr="005D42BA" w:rsidRDefault="00301582" w:rsidP="00E9734F">
            <w:pPr>
              <w:tabs>
                <w:tab w:val="decimal" w:pos="334"/>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0.0144</w:t>
            </w:r>
          </w:p>
        </w:tc>
        <w:tc>
          <w:tcPr>
            <w:tcW w:w="1319" w:type="dxa"/>
            <w:tcBorders>
              <w:bottom w:val="double" w:sz="4" w:space="0" w:color="auto"/>
            </w:tcBorders>
            <w:shd w:val="clear" w:color="auto" w:fill="auto"/>
            <w:noWrap/>
            <w:vAlign w:val="bottom"/>
            <w:hideMark/>
          </w:tcPr>
          <w:p w:rsidR="00301582" w:rsidRPr="005D42BA" w:rsidRDefault="00301582" w:rsidP="00E9734F">
            <w:pPr>
              <w:tabs>
                <w:tab w:val="decimal" w:pos="296"/>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-0.1536</w:t>
            </w:r>
            <w:r w:rsidR="00175667" w:rsidRPr="005D42BA">
              <w:rPr>
                <w:rFonts w:ascii="Times New Roman" w:eastAsia="Times New Roman" w:hAnsi="Times New Roman" w:cs="Times New Roman"/>
                <w:color w:val="000000"/>
                <w:vertAlign w:val="superscript"/>
                <w:lang w:eastAsia="en-GB"/>
              </w:rPr>
              <w:t>***</w:t>
            </w:r>
          </w:p>
        </w:tc>
        <w:tc>
          <w:tcPr>
            <w:tcW w:w="1319" w:type="dxa"/>
            <w:tcBorders>
              <w:bottom w:val="double" w:sz="4" w:space="0" w:color="auto"/>
            </w:tcBorders>
            <w:shd w:val="clear" w:color="auto" w:fill="auto"/>
            <w:noWrap/>
            <w:vAlign w:val="bottom"/>
            <w:hideMark/>
          </w:tcPr>
          <w:p w:rsidR="00301582" w:rsidRPr="005D42BA" w:rsidRDefault="00301582" w:rsidP="00E9734F">
            <w:pPr>
              <w:tabs>
                <w:tab w:val="decimal" w:pos="425"/>
              </w:tabs>
              <w:spacing w:before="40" w:after="40" w:line="240" w:lineRule="auto"/>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-0.0497</w:t>
            </w:r>
            <w:r w:rsidR="00175667" w:rsidRPr="005D42BA">
              <w:rPr>
                <w:rFonts w:ascii="Times New Roman" w:eastAsia="Times New Roman" w:hAnsi="Times New Roman" w:cs="Times New Roman"/>
                <w:color w:val="000000"/>
                <w:vertAlign w:val="superscript"/>
                <w:lang w:eastAsia="en-GB"/>
              </w:rPr>
              <w:t>*</w:t>
            </w:r>
          </w:p>
        </w:tc>
        <w:tc>
          <w:tcPr>
            <w:tcW w:w="1320" w:type="dxa"/>
            <w:tcBorders>
              <w:bottom w:val="double" w:sz="4" w:space="0" w:color="auto"/>
            </w:tcBorders>
            <w:shd w:val="clear" w:color="auto" w:fill="auto"/>
            <w:noWrap/>
            <w:vAlign w:val="bottom"/>
            <w:hideMark/>
          </w:tcPr>
          <w:p w:rsidR="00301582" w:rsidRPr="005D42BA" w:rsidRDefault="00301582" w:rsidP="00E9734F">
            <w:pPr>
              <w:spacing w:before="40" w:after="40" w:line="240" w:lineRule="auto"/>
              <w:jc w:val="center"/>
              <w:rPr>
                <w:rFonts w:ascii="Times New Roman" w:eastAsia="Times New Roman" w:hAnsi="Times New Roman" w:cs="Times New Roman"/>
                <w:color w:val="000000"/>
                <w:lang w:eastAsia="en-GB"/>
              </w:rPr>
            </w:pPr>
            <w:r w:rsidRPr="005D42BA">
              <w:rPr>
                <w:rFonts w:ascii="Times New Roman" w:eastAsia="Times New Roman" w:hAnsi="Times New Roman" w:cs="Times New Roman"/>
                <w:color w:val="000000"/>
                <w:lang w:eastAsia="en-GB"/>
              </w:rPr>
              <w:t>1.0000</w:t>
            </w:r>
          </w:p>
        </w:tc>
      </w:tr>
    </w:tbl>
    <w:p w:rsidR="00F31065" w:rsidRPr="005D42BA" w:rsidRDefault="009D4EC6" w:rsidP="009D4EC6">
      <w:pPr>
        <w:spacing w:after="0"/>
        <w:ind w:left="-426" w:right="-1068"/>
        <w:jc w:val="both"/>
        <w:rPr>
          <w:rFonts w:ascii="Times New Roman" w:hAnsi="Times New Roman" w:cs="Times New Roman"/>
          <w:sz w:val="20"/>
          <w:szCs w:val="20"/>
        </w:rPr>
      </w:pPr>
      <w:r w:rsidRPr="005D42BA">
        <w:rPr>
          <w:rFonts w:ascii="Times New Roman" w:hAnsi="Times New Roman" w:cs="Times New Roman"/>
          <w:sz w:val="20"/>
          <w:szCs w:val="20"/>
        </w:rPr>
        <w:t>Note: The first four variables in the table measure the cumulative abnormal returns computed using a constant-mean adjustment (MA) and mark</w:t>
      </w:r>
      <w:r w:rsidR="00941DC2" w:rsidRPr="005D42BA">
        <w:rPr>
          <w:rFonts w:ascii="Times New Roman" w:hAnsi="Times New Roman" w:cs="Times New Roman"/>
          <w:sz w:val="20"/>
          <w:szCs w:val="20"/>
        </w:rPr>
        <w:t>et-</w:t>
      </w:r>
      <w:r w:rsidRPr="005D42BA">
        <w:rPr>
          <w:rFonts w:ascii="Times New Roman" w:hAnsi="Times New Roman" w:cs="Times New Roman"/>
          <w:sz w:val="20"/>
          <w:szCs w:val="20"/>
        </w:rPr>
        <w:t>model adjustment (MM). For definitions of the remaining v</w:t>
      </w:r>
      <w:r w:rsidR="00F813F1">
        <w:rPr>
          <w:rFonts w:ascii="Times New Roman" w:hAnsi="Times New Roman" w:cs="Times New Roman"/>
          <w:sz w:val="20"/>
          <w:szCs w:val="20"/>
        </w:rPr>
        <w:t>ariables please refer to Table 1</w:t>
      </w:r>
      <w:r w:rsidRPr="005D42BA">
        <w:rPr>
          <w:rFonts w:ascii="Times New Roman" w:hAnsi="Times New Roman" w:cs="Times New Roman"/>
          <w:sz w:val="20"/>
          <w:szCs w:val="20"/>
        </w:rPr>
        <w:t xml:space="preserve">. </w:t>
      </w:r>
      <w:r w:rsidR="003F1233">
        <w:rPr>
          <w:rFonts w:ascii="Times New Roman" w:hAnsi="Times New Roman" w:cs="Times New Roman"/>
          <w:sz w:val="20"/>
          <w:szCs w:val="20"/>
        </w:rPr>
        <w:t xml:space="preserve">A two-tailed test for the hypothesis that the correlation coefficient is equal to zero has been performed. </w:t>
      </w:r>
      <w:r w:rsidR="003F1233" w:rsidRPr="005D42BA">
        <w:rPr>
          <w:rFonts w:ascii="Times New Roman" w:hAnsi="Times New Roman" w:cs="Times New Roman"/>
          <w:sz w:val="20"/>
          <w:szCs w:val="20"/>
          <w:vertAlign w:val="superscript"/>
        </w:rPr>
        <w:t>*</w:t>
      </w:r>
      <w:r w:rsidR="003F1233" w:rsidRPr="005D42BA">
        <w:rPr>
          <w:rFonts w:ascii="Times New Roman" w:hAnsi="Times New Roman" w:cs="Times New Roman"/>
          <w:sz w:val="20"/>
          <w:szCs w:val="20"/>
        </w:rPr>
        <w:t xml:space="preserve">, </w:t>
      </w:r>
      <w:r w:rsidR="003F1233" w:rsidRPr="005D42BA">
        <w:rPr>
          <w:rFonts w:ascii="Times New Roman" w:hAnsi="Times New Roman" w:cs="Times New Roman"/>
          <w:sz w:val="20"/>
          <w:szCs w:val="20"/>
          <w:vertAlign w:val="superscript"/>
        </w:rPr>
        <w:t>**</w:t>
      </w:r>
      <w:r w:rsidR="003F1233" w:rsidRPr="005D42BA">
        <w:rPr>
          <w:rFonts w:ascii="Times New Roman" w:hAnsi="Times New Roman" w:cs="Times New Roman"/>
          <w:sz w:val="20"/>
          <w:szCs w:val="20"/>
        </w:rPr>
        <w:t xml:space="preserve">, </w:t>
      </w:r>
      <w:r w:rsidR="003F1233" w:rsidRPr="005D42BA">
        <w:rPr>
          <w:rFonts w:ascii="Times New Roman" w:hAnsi="Times New Roman" w:cs="Times New Roman"/>
          <w:sz w:val="20"/>
          <w:szCs w:val="20"/>
          <w:vertAlign w:val="superscript"/>
        </w:rPr>
        <w:t>***</w:t>
      </w:r>
      <w:r w:rsidR="003F1233" w:rsidRPr="005D42BA">
        <w:rPr>
          <w:rFonts w:ascii="Times New Roman" w:hAnsi="Times New Roman" w:cs="Times New Roman"/>
          <w:sz w:val="20"/>
          <w:szCs w:val="20"/>
        </w:rPr>
        <w:t xml:space="preserve"> denote </w:t>
      </w:r>
      <w:r w:rsidR="00361313">
        <w:rPr>
          <w:rFonts w:ascii="Times New Roman" w:hAnsi="Times New Roman" w:cs="Times New Roman"/>
          <w:sz w:val="20"/>
          <w:szCs w:val="20"/>
        </w:rPr>
        <w:t>rejection</w:t>
      </w:r>
      <w:r w:rsidR="003F1233" w:rsidRPr="005D42BA">
        <w:rPr>
          <w:rFonts w:ascii="Times New Roman" w:hAnsi="Times New Roman" w:cs="Times New Roman"/>
          <w:sz w:val="20"/>
          <w:szCs w:val="20"/>
        </w:rPr>
        <w:t xml:space="preserve"> at </w:t>
      </w:r>
      <w:r w:rsidR="00361313">
        <w:rPr>
          <w:rFonts w:ascii="Times New Roman" w:hAnsi="Times New Roman" w:cs="Times New Roman"/>
          <w:sz w:val="20"/>
          <w:szCs w:val="20"/>
        </w:rPr>
        <w:t>9</w:t>
      </w:r>
      <w:r w:rsidR="003F1233" w:rsidRPr="005D42BA">
        <w:rPr>
          <w:rFonts w:ascii="Times New Roman" w:hAnsi="Times New Roman" w:cs="Times New Roman"/>
          <w:sz w:val="20"/>
          <w:szCs w:val="20"/>
        </w:rPr>
        <w:t xml:space="preserve">0%, </w:t>
      </w:r>
      <w:r w:rsidR="00361313">
        <w:rPr>
          <w:rFonts w:ascii="Times New Roman" w:hAnsi="Times New Roman" w:cs="Times New Roman"/>
          <w:sz w:val="20"/>
          <w:szCs w:val="20"/>
        </w:rPr>
        <w:t>95% and 99</w:t>
      </w:r>
      <w:r w:rsidR="003F1233" w:rsidRPr="005D42BA">
        <w:rPr>
          <w:rFonts w:ascii="Times New Roman" w:hAnsi="Times New Roman" w:cs="Times New Roman"/>
          <w:sz w:val="20"/>
          <w:szCs w:val="20"/>
        </w:rPr>
        <w:t>%</w:t>
      </w:r>
      <w:r w:rsidR="00361313">
        <w:rPr>
          <w:rFonts w:ascii="Times New Roman" w:hAnsi="Times New Roman" w:cs="Times New Roman"/>
          <w:sz w:val="20"/>
          <w:szCs w:val="20"/>
        </w:rPr>
        <w:t xml:space="preserve"> confidence level</w:t>
      </w:r>
      <w:r w:rsidR="003F1233" w:rsidRPr="005D42BA">
        <w:rPr>
          <w:rFonts w:ascii="Times New Roman" w:hAnsi="Times New Roman" w:cs="Times New Roman"/>
          <w:sz w:val="20"/>
          <w:szCs w:val="20"/>
        </w:rPr>
        <w:t>, respectively.</w:t>
      </w:r>
    </w:p>
    <w:p w:rsidR="009D4EC6" w:rsidRPr="005D42BA" w:rsidRDefault="009D4EC6" w:rsidP="009D4EC6">
      <w:pPr>
        <w:spacing w:after="0"/>
        <w:ind w:left="-426" w:right="-1068"/>
        <w:jc w:val="both"/>
        <w:rPr>
          <w:rFonts w:ascii="Times New Roman" w:hAnsi="Times New Roman" w:cs="Times New Roman"/>
          <w:sz w:val="20"/>
          <w:szCs w:val="20"/>
        </w:rPr>
        <w:sectPr w:rsidR="009D4EC6" w:rsidRPr="005D42BA" w:rsidSect="00F31065">
          <w:pgSz w:w="16838" w:h="11906" w:orient="landscape"/>
          <w:pgMar w:top="1440" w:right="1440" w:bottom="1440" w:left="1440" w:header="709" w:footer="709" w:gutter="0"/>
          <w:cols w:space="708"/>
          <w:docGrid w:linePitch="360"/>
        </w:sectPr>
      </w:pPr>
    </w:p>
    <w:p w:rsidR="00E3388E" w:rsidRPr="005D42BA" w:rsidRDefault="00F813F1" w:rsidP="005E334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Table 4</w:t>
      </w:r>
    </w:p>
    <w:p w:rsidR="00086DC3" w:rsidRPr="005D42BA" w:rsidRDefault="00086DC3" w:rsidP="00661BF7">
      <w:pPr>
        <w:spacing w:after="40"/>
        <w:jc w:val="center"/>
        <w:rPr>
          <w:rFonts w:ascii="Times New Roman" w:hAnsi="Times New Roman" w:cs="Times New Roman"/>
          <w:b/>
          <w:sz w:val="24"/>
          <w:szCs w:val="24"/>
        </w:rPr>
      </w:pPr>
      <w:r w:rsidRPr="005D42BA">
        <w:rPr>
          <w:rFonts w:ascii="Times New Roman" w:hAnsi="Times New Roman" w:cs="Times New Roman"/>
          <w:b/>
          <w:sz w:val="24"/>
          <w:szCs w:val="24"/>
        </w:rPr>
        <w:t>Determinants of Constant-Mean-Adjusted Cumulative Abnormal Returns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310"/>
        <w:gridCol w:w="2311"/>
        <w:gridCol w:w="2311"/>
      </w:tblGrid>
      <w:tr w:rsidR="00086DC3" w:rsidRPr="005D42BA" w:rsidTr="000564AA">
        <w:tc>
          <w:tcPr>
            <w:tcW w:w="9242" w:type="dxa"/>
            <w:gridSpan w:val="4"/>
            <w:tcBorders>
              <w:top w:val="double" w:sz="4" w:space="0" w:color="auto"/>
              <w:bottom w:val="single" w:sz="4" w:space="0" w:color="auto"/>
            </w:tcBorders>
          </w:tcPr>
          <w:p w:rsidR="00086DC3" w:rsidRPr="005D42BA" w:rsidRDefault="00086DC3" w:rsidP="00086DC3">
            <w:pPr>
              <w:spacing w:before="40" w:after="40"/>
              <w:rPr>
                <w:rFonts w:ascii="Times New Roman" w:hAnsi="Times New Roman" w:cs="Times New Roman"/>
                <w:b/>
                <w:sz w:val="24"/>
                <w:szCs w:val="24"/>
              </w:rPr>
            </w:pPr>
            <w:r w:rsidRPr="005D42BA">
              <w:rPr>
                <w:rFonts w:ascii="Times New Roman" w:hAnsi="Times New Roman" w:cs="Times New Roman"/>
                <w:b/>
                <w:sz w:val="24"/>
                <w:szCs w:val="24"/>
              </w:rPr>
              <w:t>Panel A. Regressions on CAR_MA(-1,1)</w:t>
            </w:r>
          </w:p>
        </w:tc>
      </w:tr>
      <w:tr w:rsidR="00621E63" w:rsidRPr="005D42BA" w:rsidTr="003C54EC">
        <w:trPr>
          <w:trHeight w:val="294"/>
        </w:trPr>
        <w:tc>
          <w:tcPr>
            <w:tcW w:w="2310" w:type="dxa"/>
            <w:tcBorders>
              <w:top w:val="single" w:sz="4" w:space="0" w:color="auto"/>
            </w:tcBorders>
          </w:tcPr>
          <w:p w:rsidR="00621E63" w:rsidRPr="005D07CF" w:rsidRDefault="00621E63" w:rsidP="00086DC3">
            <w:pPr>
              <w:spacing w:before="40" w:after="40"/>
              <w:jc w:val="center"/>
              <w:rPr>
                <w:rFonts w:ascii="Times New Roman" w:hAnsi="Times New Roman" w:cs="Times New Roman"/>
                <w:sz w:val="24"/>
                <w:szCs w:val="24"/>
              </w:rPr>
            </w:pPr>
          </w:p>
        </w:tc>
        <w:tc>
          <w:tcPr>
            <w:tcW w:w="2310" w:type="dxa"/>
            <w:tcBorders>
              <w:top w:val="single" w:sz="4" w:space="0" w:color="auto"/>
            </w:tcBorders>
          </w:tcPr>
          <w:p w:rsidR="00621E63" w:rsidRPr="005D42BA" w:rsidRDefault="00086DC3" w:rsidP="00086DC3">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w:t>
            </w:r>
          </w:p>
        </w:tc>
        <w:tc>
          <w:tcPr>
            <w:tcW w:w="2311" w:type="dxa"/>
            <w:tcBorders>
              <w:top w:val="single" w:sz="4" w:space="0" w:color="auto"/>
            </w:tcBorders>
          </w:tcPr>
          <w:p w:rsidR="00621E63" w:rsidRPr="005D42BA" w:rsidRDefault="00086DC3" w:rsidP="00086DC3">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(2)</w:t>
            </w:r>
          </w:p>
        </w:tc>
        <w:tc>
          <w:tcPr>
            <w:tcW w:w="2311" w:type="dxa"/>
            <w:tcBorders>
              <w:top w:val="single" w:sz="4" w:space="0" w:color="auto"/>
            </w:tcBorders>
          </w:tcPr>
          <w:p w:rsidR="00621E63" w:rsidRPr="005D42BA" w:rsidRDefault="00086DC3" w:rsidP="00086DC3">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(3)</w:t>
            </w:r>
          </w:p>
        </w:tc>
      </w:tr>
      <w:tr w:rsidR="008F4A99" w:rsidRPr="005D42BA" w:rsidTr="00086DC3">
        <w:tc>
          <w:tcPr>
            <w:tcW w:w="2310" w:type="dxa"/>
          </w:tcPr>
          <w:p w:rsidR="008F4A99" w:rsidRPr="005D07CF" w:rsidRDefault="008F4A99" w:rsidP="00876752">
            <w:pPr>
              <w:spacing w:before="40" w:after="40"/>
              <w:rPr>
                <w:rFonts w:ascii="Times New Roman" w:hAnsi="Times New Roman" w:cs="Times New Roman"/>
                <w:sz w:val="24"/>
                <w:szCs w:val="24"/>
              </w:rPr>
            </w:pPr>
            <w:r w:rsidRPr="005D07CF">
              <w:rPr>
                <w:rFonts w:ascii="Times New Roman" w:hAnsi="Times New Roman" w:cs="Times New Roman"/>
                <w:sz w:val="24"/>
                <w:szCs w:val="24"/>
              </w:rPr>
              <w:t>Intercept</w:t>
            </w:r>
          </w:p>
        </w:tc>
        <w:tc>
          <w:tcPr>
            <w:tcW w:w="2310" w:type="dxa"/>
          </w:tcPr>
          <w:p w:rsidR="008F4A99" w:rsidRPr="003F1233" w:rsidRDefault="008F4A99" w:rsidP="003E785D">
            <w:pPr>
              <w:tabs>
                <w:tab w:val="decimal" w:pos="809"/>
              </w:tabs>
              <w:spacing w:before="40"/>
              <w:rPr>
                <w:rFonts w:ascii="Times New Roman" w:hAnsi="Times New Roman" w:cs="Times New Roman"/>
                <w:sz w:val="24"/>
                <w:szCs w:val="24"/>
              </w:rPr>
            </w:pPr>
            <w:r w:rsidRPr="003F1233">
              <w:rPr>
                <w:rFonts w:ascii="Times New Roman" w:hAnsi="Times New Roman" w:cs="Times New Roman"/>
                <w:sz w:val="24"/>
                <w:szCs w:val="24"/>
              </w:rPr>
              <w:t>-0.0019</w:t>
            </w:r>
          </w:p>
          <w:p w:rsidR="008F4A99" w:rsidRPr="003F1233" w:rsidRDefault="008F4A99" w:rsidP="008F4A99">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(0.0016)</w:t>
            </w:r>
            <w:r w:rsidR="00F133C1" w:rsidRPr="003F1233">
              <w:rPr>
                <w:rFonts w:ascii="Times New Roman" w:hAnsi="Times New Roman" w:cs="Times New Roman"/>
                <w:sz w:val="24"/>
                <w:szCs w:val="24"/>
              </w:rPr>
              <w:t xml:space="preserve">                               </w:t>
            </w:r>
          </w:p>
        </w:tc>
        <w:tc>
          <w:tcPr>
            <w:tcW w:w="2311" w:type="dxa"/>
          </w:tcPr>
          <w:p w:rsidR="008F4A99" w:rsidRPr="003F1233" w:rsidRDefault="00F133C1"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0.0139</w:t>
            </w:r>
          </w:p>
          <w:p w:rsidR="00F133C1" w:rsidRPr="003F1233" w:rsidRDefault="00F133C1"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w:t>
            </w:r>
            <w:r w:rsidR="00DF76A9" w:rsidRPr="003F1233">
              <w:rPr>
                <w:rFonts w:ascii="Times New Roman" w:hAnsi="Times New Roman" w:cs="Times New Roman"/>
                <w:sz w:val="24"/>
                <w:szCs w:val="24"/>
              </w:rPr>
              <w:t>0.0109</w:t>
            </w:r>
            <w:r w:rsidRPr="003F1233">
              <w:rPr>
                <w:rFonts w:ascii="Times New Roman" w:hAnsi="Times New Roman" w:cs="Times New Roman"/>
                <w:sz w:val="24"/>
                <w:szCs w:val="24"/>
              </w:rPr>
              <w:t>)</w:t>
            </w:r>
          </w:p>
        </w:tc>
        <w:tc>
          <w:tcPr>
            <w:tcW w:w="2311" w:type="dxa"/>
          </w:tcPr>
          <w:p w:rsidR="008F4A99" w:rsidRPr="003F1233" w:rsidRDefault="003C54EC"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0.0134</w:t>
            </w:r>
          </w:p>
          <w:p w:rsidR="003C54EC" w:rsidRPr="003F1233" w:rsidRDefault="003C54EC" w:rsidP="0035430D">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w:t>
            </w:r>
            <w:r w:rsidR="0035430D" w:rsidRPr="003F1233">
              <w:rPr>
                <w:rFonts w:ascii="Times New Roman" w:hAnsi="Times New Roman" w:cs="Times New Roman"/>
                <w:sz w:val="24"/>
                <w:szCs w:val="24"/>
              </w:rPr>
              <w:t>0111</w:t>
            </w:r>
            <w:r w:rsidRPr="003F1233">
              <w:rPr>
                <w:rFonts w:ascii="Times New Roman" w:hAnsi="Times New Roman" w:cs="Times New Roman"/>
                <w:sz w:val="24"/>
                <w:szCs w:val="24"/>
              </w:rPr>
              <w:t>)</w:t>
            </w:r>
          </w:p>
        </w:tc>
      </w:tr>
      <w:tr w:rsidR="00621E63" w:rsidRPr="005D42BA" w:rsidTr="00086DC3">
        <w:tc>
          <w:tcPr>
            <w:tcW w:w="2310" w:type="dxa"/>
          </w:tcPr>
          <w:p w:rsidR="00621E63" w:rsidRPr="005D07CF" w:rsidRDefault="00876752" w:rsidP="00876752">
            <w:pPr>
              <w:spacing w:before="40" w:after="40"/>
              <w:rPr>
                <w:rFonts w:ascii="Times New Roman" w:hAnsi="Times New Roman" w:cs="Times New Roman"/>
                <w:sz w:val="24"/>
                <w:szCs w:val="24"/>
              </w:rPr>
            </w:pPr>
            <w:r w:rsidRPr="005D07CF">
              <w:rPr>
                <w:rFonts w:ascii="Times New Roman" w:hAnsi="Times New Roman" w:cs="Times New Roman"/>
                <w:sz w:val="24"/>
                <w:szCs w:val="24"/>
              </w:rPr>
              <w:t>Positiveness</w:t>
            </w:r>
          </w:p>
        </w:tc>
        <w:tc>
          <w:tcPr>
            <w:tcW w:w="2310" w:type="dxa"/>
          </w:tcPr>
          <w:p w:rsidR="00621E63" w:rsidRPr="003F1233" w:rsidRDefault="008F4A99" w:rsidP="008F4A99">
            <w:pPr>
              <w:tabs>
                <w:tab w:val="decimal" w:pos="809"/>
              </w:tabs>
              <w:spacing w:before="40"/>
              <w:rPr>
                <w:rFonts w:ascii="Times New Roman" w:hAnsi="Times New Roman" w:cs="Times New Roman"/>
                <w:sz w:val="24"/>
                <w:szCs w:val="24"/>
              </w:rPr>
            </w:pPr>
            <w:r w:rsidRPr="003F1233">
              <w:rPr>
                <w:rFonts w:ascii="Times New Roman" w:hAnsi="Times New Roman" w:cs="Times New Roman"/>
                <w:sz w:val="24"/>
                <w:szCs w:val="24"/>
              </w:rPr>
              <w:t>0.5286</w:t>
            </w:r>
            <w:r w:rsidRPr="003F1233">
              <w:rPr>
                <w:rFonts w:ascii="Times New Roman" w:hAnsi="Times New Roman" w:cs="Times New Roman"/>
                <w:sz w:val="24"/>
                <w:szCs w:val="24"/>
                <w:vertAlign w:val="superscript"/>
              </w:rPr>
              <w:t>**</w:t>
            </w:r>
          </w:p>
          <w:p w:rsidR="008F4A99" w:rsidRPr="003F1233" w:rsidRDefault="008F4A99" w:rsidP="008F4A99">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(0.2614)</w:t>
            </w:r>
          </w:p>
        </w:tc>
        <w:tc>
          <w:tcPr>
            <w:tcW w:w="2311" w:type="dxa"/>
          </w:tcPr>
          <w:p w:rsidR="00621E63" w:rsidRPr="003F1233" w:rsidRDefault="00F133C1" w:rsidP="00E53842">
            <w:pPr>
              <w:tabs>
                <w:tab w:val="decimal" w:pos="767"/>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0.5278</w:t>
            </w:r>
            <w:r w:rsidRPr="003F1233">
              <w:rPr>
                <w:rFonts w:ascii="Times New Roman" w:hAnsi="Times New Roman" w:cs="Times New Roman"/>
                <w:sz w:val="24"/>
                <w:szCs w:val="24"/>
                <w:vertAlign w:val="superscript"/>
              </w:rPr>
              <w:t>**</w:t>
            </w:r>
          </w:p>
          <w:p w:rsidR="00F133C1" w:rsidRPr="003F1233" w:rsidRDefault="00F133C1"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(0.2619)</w:t>
            </w:r>
          </w:p>
        </w:tc>
        <w:tc>
          <w:tcPr>
            <w:tcW w:w="2311" w:type="dxa"/>
          </w:tcPr>
          <w:p w:rsidR="00621E63" w:rsidRPr="003F1233" w:rsidRDefault="003C54EC"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0.5341</w:t>
            </w:r>
            <w:r w:rsidRPr="003F1233">
              <w:rPr>
                <w:rFonts w:ascii="Times New Roman" w:hAnsi="Times New Roman" w:cs="Times New Roman"/>
                <w:sz w:val="24"/>
                <w:szCs w:val="24"/>
                <w:vertAlign w:val="superscript"/>
              </w:rPr>
              <w:t>**</w:t>
            </w:r>
          </w:p>
          <w:p w:rsidR="003C54EC" w:rsidRPr="003F1233" w:rsidRDefault="003C54EC"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(0.2660)</w:t>
            </w:r>
          </w:p>
        </w:tc>
      </w:tr>
      <w:tr w:rsidR="00621E63" w:rsidRPr="005D42BA" w:rsidTr="00086DC3">
        <w:tc>
          <w:tcPr>
            <w:tcW w:w="2310" w:type="dxa"/>
          </w:tcPr>
          <w:p w:rsidR="00621E63" w:rsidRPr="005D07CF" w:rsidRDefault="00876752" w:rsidP="00621E63">
            <w:pPr>
              <w:spacing w:before="40" w:after="40"/>
              <w:rPr>
                <w:rFonts w:ascii="Times New Roman" w:hAnsi="Times New Roman" w:cs="Times New Roman"/>
                <w:sz w:val="24"/>
                <w:szCs w:val="24"/>
              </w:rPr>
            </w:pPr>
            <w:r w:rsidRPr="005D07CF">
              <w:rPr>
                <w:rFonts w:ascii="Times New Roman" w:hAnsi="Times New Roman" w:cs="Times New Roman"/>
                <w:sz w:val="24"/>
                <w:szCs w:val="24"/>
              </w:rPr>
              <w:t>Size</w:t>
            </w:r>
          </w:p>
        </w:tc>
        <w:tc>
          <w:tcPr>
            <w:tcW w:w="2310" w:type="dxa"/>
          </w:tcPr>
          <w:p w:rsidR="00621E63" w:rsidRPr="005D42BA" w:rsidRDefault="00621E63" w:rsidP="008F4A99">
            <w:pPr>
              <w:tabs>
                <w:tab w:val="decimal" w:pos="809"/>
              </w:tabs>
              <w:spacing w:before="40" w:after="40"/>
              <w:rPr>
                <w:rFonts w:ascii="Times New Roman" w:hAnsi="Times New Roman" w:cs="Times New Roman"/>
                <w:sz w:val="24"/>
                <w:szCs w:val="24"/>
              </w:rPr>
            </w:pPr>
          </w:p>
        </w:tc>
        <w:tc>
          <w:tcPr>
            <w:tcW w:w="2311" w:type="dxa"/>
          </w:tcPr>
          <w:p w:rsidR="00621E63" w:rsidRPr="003F1233" w:rsidRDefault="00F133C1"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-0.0012</w:t>
            </w:r>
          </w:p>
          <w:p w:rsidR="00F133C1" w:rsidRPr="003F1233" w:rsidRDefault="00F133C1"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(0.0007)</w:t>
            </w:r>
          </w:p>
        </w:tc>
        <w:tc>
          <w:tcPr>
            <w:tcW w:w="2311" w:type="dxa"/>
          </w:tcPr>
          <w:p w:rsidR="00621E63" w:rsidRPr="003F1233" w:rsidRDefault="003C54EC"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-0.0012</w:t>
            </w:r>
          </w:p>
          <w:p w:rsidR="003C54EC" w:rsidRPr="003F1233" w:rsidRDefault="003C54EC"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(0.0008)</w:t>
            </w:r>
          </w:p>
        </w:tc>
      </w:tr>
      <w:tr w:rsidR="00621E63" w:rsidRPr="005D42BA" w:rsidTr="00086DC3">
        <w:tc>
          <w:tcPr>
            <w:tcW w:w="2310" w:type="dxa"/>
          </w:tcPr>
          <w:p w:rsidR="00621E63" w:rsidRPr="005D07CF" w:rsidRDefault="00876752" w:rsidP="001146BC">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Book</w:t>
            </w:r>
            <w:r w:rsidR="001146BC" w:rsidRPr="005D07CF">
              <w:rPr>
                <w:rFonts w:ascii="Times New Roman" w:hAnsi="Times New Roman" w:cs="Times New Roman"/>
                <w:sz w:val="24"/>
                <w:szCs w:val="24"/>
              </w:rPr>
              <w:t>_</w:t>
            </w:r>
            <w:r w:rsidRPr="005D07CF">
              <w:rPr>
                <w:rFonts w:ascii="Times New Roman" w:hAnsi="Times New Roman" w:cs="Times New Roman"/>
                <w:sz w:val="24"/>
                <w:szCs w:val="24"/>
              </w:rPr>
              <w:t>to</w:t>
            </w:r>
            <w:r w:rsidR="001146BC" w:rsidRPr="005D07CF">
              <w:rPr>
                <w:rFonts w:ascii="Times New Roman" w:hAnsi="Times New Roman" w:cs="Times New Roman"/>
                <w:sz w:val="24"/>
                <w:szCs w:val="24"/>
              </w:rPr>
              <w:t>_</w:t>
            </w:r>
            <w:r w:rsidRPr="005D07CF">
              <w:rPr>
                <w:rFonts w:ascii="Times New Roman" w:hAnsi="Times New Roman" w:cs="Times New Roman"/>
                <w:sz w:val="24"/>
                <w:szCs w:val="24"/>
              </w:rPr>
              <w:t>Market</w:t>
            </w:r>
            <w:proofErr w:type="spellEnd"/>
          </w:p>
        </w:tc>
        <w:tc>
          <w:tcPr>
            <w:tcW w:w="2310" w:type="dxa"/>
          </w:tcPr>
          <w:p w:rsidR="00621E63" w:rsidRPr="005D42BA" w:rsidRDefault="00621E63" w:rsidP="008F4A99">
            <w:pPr>
              <w:tabs>
                <w:tab w:val="decimal" w:pos="809"/>
              </w:tabs>
              <w:spacing w:before="40" w:after="40"/>
              <w:rPr>
                <w:rFonts w:ascii="Times New Roman" w:hAnsi="Times New Roman" w:cs="Times New Roman"/>
                <w:sz w:val="24"/>
                <w:szCs w:val="24"/>
              </w:rPr>
            </w:pPr>
          </w:p>
        </w:tc>
        <w:tc>
          <w:tcPr>
            <w:tcW w:w="2311" w:type="dxa"/>
          </w:tcPr>
          <w:p w:rsidR="00621E63" w:rsidRPr="003F1233" w:rsidRDefault="00F133C1"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0.0017</w:t>
            </w:r>
          </w:p>
          <w:p w:rsidR="00F133C1" w:rsidRPr="003F1233" w:rsidRDefault="00F133C1"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(0.0014)</w:t>
            </w:r>
          </w:p>
        </w:tc>
        <w:tc>
          <w:tcPr>
            <w:tcW w:w="2311" w:type="dxa"/>
          </w:tcPr>
          <w:p w:rsidR="00621E63" w:rsidRPr="003F1233" w:rsidRDefault="00F158C4" w:rsidP="00C447D7">
            <w:pPr>
              <w:tabs>
                <w:tab w:val="decimal" w:pos="866"/>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0.0029</w:t>
            </w:r>
            <w:r w:rsidRPr="003F1233">
              <w:rPr>
                <w:rFonts w:ascii="Times New Roman" w:hAnsi="Times New Roman" w:cs="Times New Roman"/>
                <w:sz w:val="24"/>
                <w:szCs w:val="24"/>
                <w:vertAlign w:val="superscript"/>
              </w:rPr>
              <w:t>*</w:t>
            </w:r>
          </w:p>
          <w:p w:rsidR="00F158C4" w:rsidRPr="003F1233" w:rsidRDefault="00F158C4"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(0.0016)</w:t>
            </w:r>
          </w:p>
        </w:tc>
      </w:tr>
      <w:tr w:rsidR="00621E63" w:rsidRPr="005D42BA" w:rsidTr="00086DC3">
        <w:tc>
          <w:tcPr>
            <w:tcW w:w="2310" w:type="dxa"/>
          </w:tcPr>
          <w:p w:rsidR="00621E63" w:rsidRPr="005D07CF" w:rsidRDefault="00876752" w:rsidP="00621E63">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Earnings_Surprise</w:t>
            </w:r>
            <w:proofErr w:type="spellEnd"/>
          </w:p>
        </w:tc>
        <w:tc>
          <w:tcPr>
            <w:tcW w:w="2310" w:type="dxa"/>
          </w:tcPr>
          <w:p w:rsidR="00621E63" w:rsidRPr="005D42BA" w:rsidRDefault="00621E63" w:rsidP="008F4A99">
            <w:pPr>
              <w:tabs>
                <w:tab w:val="decimal" w:pos="809"/>
              </w:tabs>
              <w:spacing w:before="40" w:after="40"/>
              <w:rPr>
                <w:rFonts w:ascii="Times New Roman" w:hAnsi="Times New Roman" w:cs="Times New Roman"/>
                <w:sz w:val="24"/>
                <w:szCs w:val="24"/>
              </w:rPr>
            </w:pPr>
          </w:p>
        </w:tc>
        <w:tc>
          <w:tcPr>
            <w:tcW w:w="2311" w:type="dxa"/>
          </w:tcPr>
          <w:p w:rsidR="00621E63" w:rsidRPr="005D42BA" w:rsidRDefault="00621E63" w:rsidP="00E53842">
            <w:pPr>
              <w:tabs>
                <w:tab w:val="decimal" w:pos="767"/>
              </w:tabs>
              <w:spacing w:before="40" w:after="40"/>
              <w:rPr>
                <w:rFonts w:ascii="Times New Roman" w:hAnsi="Times New Roman" w:cs="Times New Roman"/>
                <w:sz w:val="24"/>
                <w:szCs w:val="24"/>
              </w:rPr>
            </w:pPr>
          </w:p>
        </w:tc>
        <w:tc>
          <w:tcPr>
            <w:tcW w:w="2311" w:type="dxa"/>
          </w:tcPr>
          <w:p w:rsidR="00621E63" w:rsidRPr="003F1233" w:rsidRDefault="00F158C4"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0.0050</w:t>
            </w:r>
            <w:r w:rsidRPr="003F1233">
              <w:rPr>
                <w:rFonts w:ascii="Times New Roman" w:hAnsi="Times New Roman" w:cs="Times New Roman"/>
                <w:sz w:val="24"/>
                <w:szCs w:val="24"/>
                <w:vertAlign w:val="superscript"/>
              </w:rPr>
              <w:t>*</w:t>
            </w:r>
          </w:p>
        </w:tc>
      </w:tr>
      <w:tr w:rsidR="00621E63" w:rsidRPr="005D42BA" w:rsidTr="00086DC3">
        <w:tc>
          <w:tcPr>
            <w:tcW w:w="2310" w:type="dxa"/>
          </w:tcPr>
          <w:p w:rsidR="00F158C4" w:rsidRPr="005D07CF" w:rsidRDefault="00F158C4" w:rsidP="00621E63">
            <w:pPr>
              <w:spacing w:before="40" w:after="40"/>
              <w:rPr>
                <w:rFonts w:ascii="Times New Roman" w:hAnsi="Times New Roman" w:cs="Times New Roman"/>
                <w:sz w:val="24"/>
                <w:szCs w:val="24"/>
              </w:rPr>
            </w:pPr>
          </w:p>
          <w:p w:rsidR="00621E63" w:rsidRPr="005D07CF" w:rsidRDefault="00086DC3" w:rsidP="00621E63">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%Sales</w:t>
            </w:r>
          </w:p>
        </w:tc>
        <w:tc>
          <w:tcPr>
            <w:tcW w:w="2310" w:type="dxa"/>
          </w:tcPr>
          <w:p w:rsidR="00621E63" w:rsidRPr="005D42BA" w:rsidRDefault="00621E63" w:rsidP="008F4A99">
            <w:pPr>
              <w:tabs>
                <w:tab w:val="decimal" w:pos="809"/>
              </w:tabs>
              <w:spacing w:before="40" w:after="40"/>
              <w:rPr>
                <w:rFonts w:ascii="Times New Roman" w:hAnsi="Times New Roman" w:cs="Times New Roman"/>
                <w:sz w:val="24"/>
                <w:szCs w:val="24"/>
              </w:rPr>
            </w:pPr>
          </w:p>
        </w:tc>
        <w:tc>
          <w:tcPr>
            <w:tcW w:w="2311" w:type="dxa"/>
          </w:tcPr>
          <w:p w:rsidR="00621E63" w:rsidRPr="005D42BA" w:rsidRDefault="00621E63" w:rsidP="00E53842">
            <w:pPr>
              <w:tabs>
                <w:tab w:val="decimal" w:pos="767"/>
              </w:tabs>
              <w:spacing w:before="40" w:after="40"/>
              <w:rPr>
                <w:rFonts w:ascii="Times New Roman" w:hAnsi="Times New Roman" w:cs="Times New Roman"/>
                <w:sz w:val="24"/>
                <w:szCs w:val="24"/>
              </w:rPr>
            </w:pPr>
          </w:p>
        </w:tc>
        <w:tc>
          <w:tcPr>
            <w:tcW w:w="2311" w:type="dxa"/>
          </w:tcPr>
          <w:p w:rsidR="00621E63" w:rsidRPr="003F1233" w:rsidRDefault="00F158C4"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(0.0028)</w:t>
            </w:r>
          </w:p>
          <w:p w:rsidR="00F158C4" w:rsidRPr="003F1233" w:rsidRDefault="00F158C4"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0.0035</w:t>
            </w:r>
          </w:p>
          <w:p w:rsidR="00F158C4" w:rsidRPr="003F1233" w:rsidRDefault="00F158C4"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(0.0041)</w:t>
            </w:r>
          </w:p>
        </w:tc>
      </w:tr>
      <w:tr w:rsidR="00621E63" w:rsidRPr="005D42BA" w:rsidTr="00086DC3">
        <w:tc>
          <w:tcPr>
            <w:tcW w:w="2310" w:type="dxa"/>
            <w:tcBorders>
              <w:bottom w:val="single" w:sz="4" w:space="0" w:color="auto"/>
            </w:tcBorders>
          </w:tcPr>
          <w:p w:rsidR="00621E63" w:rsidRPr="005D07CF" w:rsidRDefault="00086DC3" w:rsidP="00621E63">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Leverage</w:t>
            </w:r>
          </w:p>
        </w:tc>
        <w:tc>
          <w:tcPr>
            <w:tcW w:w="2310" w:type="dxa"/>
            <w:tcBorders>
              <w:bottom w:val="single" w:sz="4" w:space="0" w:color="auto"/>
            </w:tcBorders>
          </w:tcPr>
          <w:p w:rsidR="00621E63" w:rsidRPr="005D42BA" w:rsidRDefault="00621E63" w:rsidP="008F4A99">
            <w:pPr>
              <w:tabs>
                <w:tab w:val="decimal" w:pos="809"/>
              </w:tabs>
              <w:spacing w:before="40" w:after="40"/>
              <w:rPr>
                <w:rFonts w:ascii="Times New Roman" w:hAnsi="Times New Roman" w:cs="Times New Roman"/>
                <w:sz w:val="24"/>
                <w:szCs w:val="24"/>
              </w:rPr>
            </w:pPr>
          </w:p>
        </w:tc>
        <w:tc>
          <w:tcPr>
            <w:tcW w:w="2311" w:type="dxa"/>
            <w:tcBorders>
              <w:bottom w:val="single" w:sz="4" w:space="0" w:color="auto"/>
            </w:tcBorders>
          </w:tcPr>
          <w:p w:rsidR="00621E63" w:rsidRPr="005D42BA" w:rsidRDefault="00621E63" w:rsidP="00E53842">
            <w:pPr>
              <w:tabs>
                <w:tab w:val="decimal" w:pos="767"/>
              </w:tabs>
              <w:spacing w:before="40" w:after="40"/>
              <w:rPr>
                <w:rFonts w:ascii="Times New Roman" w:hAnsi="Times New Roman" w:cs="Times New Roman"/>
                <w:sz w:val="24"/>
                <w:szCs w:val="24"/>
              </w:rPr>
            </w:pPr>
          </w:p>
        </w:tc>
        <w:tc>
          <w:tcPr>
            <w:tcW w:w="2311" w:type="dxa"/>
            <w:tcBorders>
              <w:bottom w:val="single" w:sz="4" w:space="0" w:color="auto"/>
            </w:tcBorders>
          </w:tcPr>
          <w:p w:rsidR="00621E63" w:rsidRPr="003F1233" w:rsidRDefault="00F158C4"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0.0089</w:t>
            </w:r>
          </w:p>
          <w:p w:rsidR="00F158C4" w:rsidRPr="003F1233" w:rsidRDefault="00F158C4"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(0.0115)</w:t>
            </w:r>
          </w:p>
        </w:tc>
      </w:tr>
      <w:tr w:rsidR="00621E63" w:rsidRPr="005D42BA" w:rsidTr="00086DC3">
        <w:tc>
          <w:tcPr>
            <w:tcW w:w="2310" w:type="dxa"/>
            <w:tcBorders>
              <w:top w:val="single" w:sz="4" w:space="0" w:color="auto"/>
            </w:tcBorders>
          </w:tcPr>
          <w:p w:rsidR="00621E63" w:rsidRPr="005D42BA" w:rsidRDefault="00086DC3" w:rsidP="00621E63">
            <w:pPr>
              <w:spacing w:before="40" w:after="40"/>
              <w:rPr>
                <w:rFonts w:ascii="Times New Roman" w:hAnsi="Times New Roman" w:cs="Times New Roman"/>
                <w:sz w:val="24"/>
                <w:szCs w:val="24"/>
              </w:rPr>
            </w:pPr>
            <w:r w:rsidRPr="005D42BA">
              <w:rPr>
                <w:rFonts w:ascii="Times New Roman" w:hAnsi="Times New Roman" w:cs="Times New Roman"/>
                <w:sz w:val="24"/>
                <w:szCs w:val="24"/>
              </w:rPr>
              <w:t>R-squared</w:t>
            </w:r>
          </w:p>
        </w:tc>
        <w:tc>
          <w:tcPr>
            <w:tcW w:w="2310" w:type="dxa"/>
            <w:tcBorders>
              <w:top w:val="single" w:sz="4" w:space="0" w:color="auto"/>
            </w:tcBorders>
          </w:tcPr>
          <w:p w:rsidR="00621E63" w:rsidRPr="005D42BA" w:rsidRDefault="008F4A99" w:rsidP="008F4A99">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0.2895%</w:t>
            </w:r>
          </w:p>
        </w:tc>
        <w:tc>
          <w:tcPr>
            <w:tcW w:w="2311" w:type="dxa"/>
            <w:tcBorders>
              <w:top w:val="single" w:sz="4" w:space="0" w:color="auto"/>
            </w:tcBorders>
          </w:tcPr>
          <w:p w:rsidR="00621E63" w:rsidRPr="005D42BA" w:rsidRDefault="00D3318F"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0.6013%</w:t>
            </w:r>
          </w:p>
        </w:tc>
        <w:tc>
          <w:tcPr>
            <w:tcW w:w="2311" w:type="dxa"/>
            <w:tcBorders>
              <w:top w:val="single" w:sz="4" w:space="0" w:color="auto"/>
            </w:tcBorders>
          </w:tcPr>
          <w:p w:rsidR="00621E63" w:rsidRPr="005D42BA" w:rsidRDefault="00F158C4" w:rsidP="00C447D7">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w:t>
            </w:r>
            <w:r w:rsidR="00E201B5" w:rsidRPr="005D42BA">
              <w:rPr>
                <w:rFonts w:ascii="Times New Roman" w:hAnsi="Times New Roman" w:cs="Times New Roman"/>
                <w:sz w:val="24"/>
                <w:szCs w:val="24"/>
              </w:rPr>
              <w:t>9046%</w:t>
            </w:r>
          </w:p>
        </w:tc>
      </w:tr>
      <w:tr w:rsidR="00621E63" w:rsidRPr="005D42BA" w:rsidTr="00086DC3">
        <w:tc>
          <w:tcPr>
            <w:tcW w:w="2310" w:type="dxa"/>
          </w:tcPr>
          <w:p w:rsidR="00621E63" w:rsidRPr="005D42BA" w:rsidRDefault="00086DC3" w:rsidP="00621E63">
            <w:pPr>
              <w:spacing w:before="40" w:after="40"/>
              <w:rPr>
                <w:rFonts w:ascii="Times New Roman" w:hAnsi="Times New Roman" w:cs="Times New Roman"/>
                <w:sz w:val="24"/>
                <w:szCs w:val="24"/>
              </w:rPr>
            </w:pPr>
            <w:r w:rsidRPr="005D42BA">
              <w:rPr>
                <w:rFonts w:ascii="Times New Roman" w:hAnsi="Times New Roman" w:cs="Times New Roman"/>
                <w:sz w:val="24"/>
                <w:szCs w:val="24"/>
              </w:rPr>
              <w:t>F-stat</w:t>
            </w:r>
          </w:p>
        </w:tc>
        <w:tc>
          <w:tcPr>
            <w:tcW w:w="2310" w:type="dxa"/>
          </w:tcPr>
          <w:p w:rsidR="00621E63" w:rsidRPr="005D42BA" w:rsidRDefault="008F4A99" w:rsidP="008F4A99">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4.0880</w:t>
            </w:r>
          </w:p>
        </w:tc>
        <w:tc>
          <w:tcPr>
            <w:tcW w:w="2311" w:type="dxa"/>
          </w:tcPr>
          <w:p w:rsidR="00621E63" w:rsidRPr="005D42BA" w:rsidRDefault="00D3318F"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2.8252</w:t>
            </w:r>
          </w:p>
        </w:tc>
        <w:tc>
          <w:tcPr>
            <w:tcW w:w="2311" w:type="dxa"/>
          </w:tcPr>
          <w:p w:rsidR="00621E63" w:rsidRPr="005D42BA" w:rsidRDefault="00E201B5" w:rsidP="00C447D7">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2.0966</w:t>
            </w:r>
          </w:p>
        </w:tc>
      </w:tr>
      <w:tr w:rsidR="00621E63" w:rsidRPr="005D42BA" w:rsidTr="00086DC3">
        <w:tc>
          <w:tcPr>
            <w:tcW w:w="2310" w:type="dxa"/>
          </w:tcPr>
          <w:p w:rsidR="00621E63" w:rsidRPr="005D42BA" w:rsidRDefault="00086DC3" w:rsidP="00621E63">
            <w:pPr>
              <w:spacing w:before="40" w:after="40"/>
              <w:rPr>
                <w:rFonts w:ascii="Times New Roman" w:hAnsi="Times New Roman" w:cs="Times New Roman"/>
                <w:sz w:val="24"/>
                <w:szCs w:val="24"/>
              </w:rPr>
            </w:pPr>
            <w:proofErr w:type="spellStart"/>
            <w:r w:rsidRPr="005D42BA">
              <w:rPr>
                <w:rFonts w:ascii="Times New Roman" w:hAnsi="Times New Roman" w:cs="Times New Roman"/>
                <w:sz w:val="24"/>
                <w:szCs w:val="24"/>
              </w:rPr>
              <w:t>Prob</w:t>
            </w:r>
            <w:proofErr w:type="spellEnd"/>
            <w:r w:rsidRPr="005D42BA">
              <w:rPr>
                <w:rFonts w:ascii="Times New Roman" w:hAnsi="Times New Roman" w:cs="Times New Roman"/>
                <w:sz w:val="24"/>
                <w:szCs w:val="24"/>
              </w:rPr>
              <w:t xml:space="preserve"> (F-stat)</w:t>
            </w:r>
          </w:p>
        </w:tc>
        <w:tc>
          <w:tcPr>
            <w:tcW w:w="2310" w:type="dxa"/>
          </w:tcPr>
          <w:p w:rsidR="00621E63" w:rsidRPr="005D42BA" w:rsidRDefault="008F4A99" w:rsidP="008F4A99">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0.0434</w:t>
            </w:r>
          </w:p>
        </w:tc>
        <w:tc>
          <w:tcPr>
            <w:tcW w:w="2311" w:type="dxa"/>
          </w:tcPr>
          <w:p w:rsidR="00621E63" w:rsidRPr="005D42BA" w:rsidRDefault="00D3318F"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0.0375</w:t>
            </w:r>
          </w:p>
        </w:tc>
        <w:tc>
          <w:tcPr>
            <w:tcW w:w="2311" w:type="dxa"/>
          </w:tcPr>
          <w:p w:rsidR="00621E63" w:rsidRPr="005D42BA" w:rsidRDefault="00E201B5" w:rsidP="00C447D7">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0.0509</w:t>
            </w:r>
          </w:p>
        </w:tc>
      </w:tr>
      <w:tr w:rsidR="00621E63" w:rsidRPr="005D42BA" w:rsidTr="00072718">
        <w:tc>
          <w:tcPr>
            <w:tcW w:w="2310" w:type="dxa"/>
            <w:tcBorders>
              <w:bottom w:val="single" w:sz="4" w:space="0" w:color="auto"/>
            </w:tcBorders>
          </w:tcPr>
          <w:p w:rsidR="00621E63" w:rsidRPr="005D42BA" w:rsidRDefault="00086DC3" w:rsidP="00621E63">
            <w:pPr>
              <w:spacing w:before="40" w:after="40"/>
              <w:rPr>
                <w:rFonts w:ascii="Times New Roman" w:hAnsi="Times New Roman" w:cs="Times New Roman"/>
                <w:sz w:val="24"/>
                <w:szCs w:val="24"/>
              </w:rPr>
            </w:pPr>
            <w:r w:rsidRPr="005D42BA">
              <w:rPr>
                <w:rFonts w:ascii="Times New Roman" w:hAnsi="Times New Roman" w:cs="Times New Roman"/>
                <w:sz w:val="24"/>
                <w:szCs w:val="24"/>
              </w:rPr>
              <w:t xml:space="preserve">No. obs. </w:t>
            </w:r>
          </w:p>
        </w:tc>
        <w:tc>
          <w:tcPr>
            <w:tcW w:w="2310" w:type="dxa"/>
            <w:tcBorders>
              <w:bottom w:val="single" w:sz="4" w:space="0" w:color="auto"/>
            </w:tcBorders>
          </w:tcPr>
          <w:p w:rsidR="00621E63" w:rsidRPr="005D42BA" w:rsidRDefault="008F4A99" w:rsidP="008F4A99">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1410</w:t>
            </w:r>
          </w:p>
        </w:tc>
        <w:tc>
          <w:tcPr>
            <w:tcW w:w="2311" w:type="dxa"/>
            <w:tcBorders>
              <w:bottom w:val="single" w:sz="4" w:space="0" w:color="auto"/>
            </w:tcBorders>
          </w:tcPr>
          <w:p w:rsidR="00621E63" w:rsidRPr="005D42BA" w:rsidRDefault="00D3318F" w:rsidP="00D3318F">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1405</w:t>
            </w:r>
          </w:p>
        </w:tc>
        <w:tc>
          <w:tcPr>
            <w:tcW w:w="2311" w:type="dxa"/>
            <w:tcBorders>
              <w:bottom w:val="single" w:sz="4" w:space="0" w:color="auto"/>
            </w:tcBorders>
          </w:tcPr>
          <w:p w:rsidR="00621E63" w:rsidRPr="005D42BA" w:rsidRDefault="00A837D9" w:rsidP="00E201B5">
            <w:pPr>
              <w:tabs>
                <w:tab w:val="decimal" w:pos="704"/>
                <w:tab w:val="decimal" w:pos="854"/>
              </w:tabs>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1385</w:t>
            </w:r>
          </w:p>
        </w:tc>
      </w:tr>
      <w:tr w:rsidR="00086DC3" w:rsidRPr="005D42BA" w:rsidTr="00072718">
        <w:tc>
          <w:tcPr>
            <w:tcW w:w="9242" w:type="dxa"/>
            <w:gridSpan w:val="4"/>
            <w:tcBorders>
              <w:top w:val="single" w:sz="4" w:space="0" w:color="auto"/>
              <w:bottom w:val="single" w:sz="4" w:space="0" w:color="auto"/>
            </w:tcBorders>
          </w:tcPr>
          <w:p w:rsidR="00086DC3" w:rsidRPr="005D42BA" w:rsidRDefault="00086DC3" w:rsidP="00621E63">
            <w:pPr>
              <w:spacing w:before="40" w:after="40"/>
              <w:rPr>
                <w:rFonts w:ascii="Times New Roman" w:hAnsi="Times New Roman" w:cs="Times New Roman"/>
                <w:sz w:val="24"/>
                <w:szCs w:val="24"/>
              </w:rPr>
            </w:pPr>
            <w:r w:rsidRPr="005D42BA">
              <w:rPr>
                <w:rFonts w:ascii="Times New Roman" w:hAnsi="Times New Roman" w:cs="Times New Roman"/>
                <w:b/>
                <w:sz w:val="24"/>
                <w:szCs w:val="24"/>
              </w:rPr>
              <w:t>Panel B. Regressions on CAR_MA(-1,5)</w:t>
            </w:r>
          </w:p>
        </w:tc>
      </w:tr>
      <w:tr w:rsidR="00072718" w:rsidRPr="005D42BA" w:rsidTr="00072718">
        <w:tc>
          <w:tcPr>
            <w:tcW w:w="2310" w:type="dxa"/>
            <w:tcBorders>
              <w:top w:val="single" w:sz="4" w:space="0" w:color="auto"/>
            </w:tcBorders>
          </w:tcPr>
          <w:p w:rsidR="00072718" w:rsidRPr="005D07CF" w:rsidRDefault="00072718" w:rsidP="00072718">
            <w:pPr>
              <w:spacing w:before="40" w:after="40"/>
              <w:jc w:val="center"/>
              <w:rPr>
                <w:rFonts w:ascii="Times New Roman" w:hAnsi="Times New Roman" w:cs="Times New Roman"/>
                <w:sz w:val="24"/>
                <w:szCs w:val="24"/>
              </w:rPr>
            </w:pPr>
          </w:p>
        </w:tc>
        <w:tc>
          <w:tcPr>
            <w:tcW w:w="2310" w:type="dxa"/>
            <w:tcBorders>
              <w:top w:val="single" w:sz="4" w:space="0" w:color="auto"/>
            </w:tcBorders>
          </w:tcPr>
          <w:p w:rsidR="00072718" w:rsidRPr="005D42BA" w:rsidRDefault="00072718" w:rsidP="00072718">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w:t>
            </w:r>
          </w:p>
        </w:tc>
        <w:tc>
          <w:tcPr>
            <w:tcW w:w="2311" w:type="dxa"/>
            <w:tcBorders>
              <w:top w:val="single" w:sz="4" w:space="0" w:color="auto"/>
            </w:tcBorders>
          </w:tcPr>
          <w:p w:rsidR="00072718" w:rsidRPr="005D42BA" w:rsidRDefault="00072718" w:rsidP="00072718">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(2)</w:t>
            </w:r>
          </w:p>
        </w:tc>
        <w:tc>
          <w:tcPr>
            <w:tcW w:w="2311" w:type="dxa"/>
            <w:tcBorders>
              <w:top w:val="single" w:sz="4" w:space="0" w:color="auto"/>
            </w:tcBorders>
          </w:tcPr>
          <w:p w:rsidR="00072718" w:rsidRPr="005D42BA" w:rsidRDefault="00072718" w:rsidP="00072718">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(3)</w:t>
            </w:r>
          </w:p>
        </w:tc>
      </w:tr>
      <w:tr w:rsidR="008F4A99" w:rsidRPr="005D42BA" w:rsidTr="00072718">
        <w:tc>
          <w:tcPr>
            <w:tcW w:w="2310" w:type="dxa"/>
          </w:tcPr>
          <w:p w:rsidR="008F4A99" w:rsidRPr="005D07CF" w:rsidRDefault="008F4A99"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Intercept</w:t>
            </w:r>
          </w:p>
        </w:tc>
        <w:tc>
          <w:tcPr>
            <w:tcW w:w="2310" w:type="dxa"/>
          </w:tcPr>
          <w:p w:rsidR="008F4A99" w:rsidRPr="003F1233" w:rsidRDefault="003E785D" w:rsidP="00E53842">
            <w:pPr>
              <w:tabs>
                <w:tab w:val="decimal" w:pos="810"/>
              </w:tabs>
              <w:spacing w:before="40"/>
              <w:rPr>
                <w:rFonts w:ascii="Times New Roman" w:hAnsi="Times New Roman" w:cs="Times New Roman"/>
                <w:sz w:val="24"/>
                <w:szCs w:val="24"/>
              </w:rPr>
            </w:pPr>
            <w:r w:rsidRPr="003F1233">
              <w:rPr>
                <w:rFonts w:ascii="Times New Roman" w:hAnsi="Times New Roman" w:cs="Times New Roman"/>
                <w:sz w:val="24"/>
                <w:szCs w:val="24"/>
              </w:rPr>
              <w:t>-0.0013</w:t>
            </w:r>
          </w:p>
          <w:p w:rsidR="003E785D" w:rsidRPr="003F1233" w:rsidRDefault="003E785D" w:rsidP="00E53842">
            <w:pPr>
              <w:tabs>
                <w:tab w:val="decimal" w:pos="810"/>
              </w:tabs>
              <w:spacing w:after="40"/>
              <w:rPr>
                <w:rFonts w:ascii="Times New Roman" w:hAnsi="Times New Roman" w:cs="Times New Roman"/>
                <w:sz w:val="24"/>
                <w:szCs w:val="24"/>
              </w:rPr>
            </w:pPr>
            <w:r w:rsidRPr="003F1233">
              <w:rPr>
                <w:rFonts w:ascii="Times New Roman" w:hAnsi="Times New Roman" w:cs="Times New Roman"/>
                <w:sz w:val="24"/>
                <w:szCs w:val="24"/>
              </w:rPr>
              <w:t>(0.0025)</w:t>
            </w:r>
          </w:p>
        </w:tc>
        <w:tc>
          <w:tcPr>
            <w:tcW w:w="2311" w:type="dxa"/>
          </w:tcPr>
          <w:p w:rsidR="008F4A99" w:rsidRPr="003F1233" w:rsidRDefault="00D3318F"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0.0380</w:t>
            </w:r>
          </w:p>
          <w:p w:rsidR="00D3318F" w:rsidRPr="003F1233" w:rsidRDefault="00D3318F"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(0.0163)</w:t>
            </w:r>
          </w:p>
        </w:tc>
        <w:tc>
          <w:tcPr>
            <w:tcW w:w="2311" w:type="dxa"/>
          </w:tcPr>
          <w:p w:rsidR="008F4A99" w:rsidRPr="003F1233" w:rsidRDefault="00A44B36"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 xml:space="preserve">          0.0385</w:t>
            </w:r>
            <w:r w:rsidR="00EF044F" w:rsidRPr="003F1233">
              <w:rPr>
                <w:rFonts w:ascii="Times New Roman" w:hAnsi="Times New Roman" w:cs="Times New Roman"/>
                <w:sz w:val="24"/>
                <w:szCs w:val="24"/>
                <w:vertAlign w:val="superscript"/>
              </w:rPr>
              <w:t>**</w:t>
            </w:r>
          </w:p>
          <w:p w:rsidR="00EF044F" w:rsidRPr="003F1233" w:rsidRDefault="00EF044F"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 xml:space="preserve">         (0.0165)</w:t>
            </w:r>
          </w:p>
        </w:tc>
      </w:tr>
      <w:tr w:rsidR="00072718" w:rsidRPr="005D42BA" w:rsidTr="00072718">
        <w:tc>
          <w:tcPr>
            <w:tcW w:w="2310" w:type="dxa"/>
          </w:tcPr>
          <w:p w:rsidR="00072718" w:rsidRPr="005D07CF" w:rsidRDefault="00072718"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Positiveness</w:t>
            </w:r>
          </w:p>
        </w:tc>
        <w:tc>
          <w:tcPr>
            <w:tcW w:w="2310" w:type="dxa"/>
          </w:tcPr>
          <w:p w:rsidR="00072718" w:rsidRPr="003F1233" w:rsidRDefault="003E785D" w:rsidP="00E53842">
            <w:pPr>
              <w:tabs>
                <w:tab w:val="decimal" w:pos="810"/>
              </w:tabs>
              <w:spacing w:before="40"/>
              <w:rPr>
                <w:rFonts w:ascii="Times New Roman" w:hAnsi="Times New Roman" w:cs="Times New Roman"/>
                <w:sz w:val="24"/>
                <w:szCs w:val="24"/>
              </w:rPr>
            </w:pPr>
            <w:r w:rsidRPr="003F1233">
              <w:rPr>
                <w:rFonts w:ascii="Times New Roman" w:hAnsi="Times New Roman" w:cs="Times New Roman"/>
                <w:sz w:val="24"/>
                <w:szCs w:val="24"/>
              </w:rPr>
              <w:t>0.7865</w:t>
            </w:r>
            <w:r w:rsidRPr="003F1233">
              <w:rPr>
                <w:rFonts w:ascii="Times New Roman" w:hAnsi="Times New Roman" w:cs="Times New Roman"/>
                <w:sz w:val="24"/>
                <w:szCs w:val="24"/>
                <w:vertAlign w:val="superscript"/>
              </w:rPr>
              <w:t>**</w:t>
            </w:r>
          </w:p>
          <w:p w:rsidR="003E785D" w:rsidRPr="003F1233" w:rsidRDefault="003E785D" w:rsidP="00E53842">
            <w:pPr>
              <w:tabs>
                <w:tab w:val="decimal" w:pos="810"/>
              </w:tabs>
              <w:spacing w:after="40"/>
              <w:rPr>
                <w:rFonts w:ascii="Times New Roman" w:hAnsi="Times New Roman" w:cs="Times New Roman"/>
                <w:sz w:val="24"/>
                <w:szCs w:val="24"/>
              </w:rPr>
            </w:pPr>
            <w:r w:rsidRPr="003F1233">
              <w:rPr>
                <w:rFonts w:ascii="Times New Roman" w:hAnsi="Times New Roman" w:cs="Times New Roman"/>
                <w:sz w:val="24"/>
                <w:szCs w:val="24"/>
              </w:rPr>
              <w:t>(0.3909)</w:t>
            </w:r>
          </w:p>
        </w:tc>
        <w:tc>
          <w:tcPr>
            <w:tcW w:w="2311" w:type="dxa"/>
          </w:tcPr>
          <w:p w:rsidR="00072718" w:rsidRPr="003F1233" w:rsidRDefault="00D3318F"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 xml:space="preserve">           0.7756</w:t>
            </w:r>
            <w:r w:rsidR="003C54EC" w:rsidRPr="003F1233">
              <w:rPr>
                <w:rFonts w:ascii="Times New Roman" w:hAnsi="Times New Roman" w:cs="Times New Roman"/>
                <w:sz w:val="24"/>
                <w:szCs w:val="24"/>
                <w:vertAlign w:val="superscript"/>
              </w:rPr>
              <w:t>**</w:t>
            </w:r>
          </w:p>
          <w:p w:rsidR="00D3318F" w:rsidRPr="003F1233" w:rsidRDefault="00D3318F"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(0.3907)</w:t>
            </w:r>
          </w:p>
        </w:tc>
        <w:tc>
          <w:tcPr>
            <w:tcW w:w="2311" w:type="dxa"/>
          </w:tcPr>
          <w:p w:rsidR="00072718" w:rsidRPr="003F1233" w:rsidRDefault="00F525BD"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 xml:space="preserve">          </w:t>
            </w:r>
            <w:r w:rsidR="00EF044F" w:rsidRPr="003F1233">
              <w:rPr>
                <w:rFonts w:ascii="Times New Roman" w:hAnsi="Times New Roman" w:cs="Times New Roman"/>
                <w:sz w:val="24"/>
                <w:szCs w:val="24"/>
              </w:rPr>
              <w:t>0.7640</w:t>
            </w:r>
            <w:r w:rsidRPr="003F1233">
              <w:rPr>
                <w:rFonts w:ascii="Times New Roman" w:hAnsi="Times New Roman" w:cs="Times New Roman"/>
                <w:sz w:val="24"/>
                <w:szCs w:val="24"/>
                <w:vertAlign w:val="superscript"/>
              </w:rPr>
              <w:t>*</w:t>
            </w:r>
          </w:p>
          <w:p w:rsidR="00F525BD" w:rsidRPr="003F1233" w:rsidRDefault="00F525BD" w:rsidP="00E53842">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 xml:space="preserve">         (0.3963)</w:t>
            </w:r>
          </w:p>
        </w:tc>
      </w:tr>
      <w:tr w:rsidR="00072718" w:rsidRPr="005D42BA" w:rsidTr="00086DC3">
        <w:tc>
          <w:tcPr>
            <w:tcW w:w="2310" w:type="dxa"/>
          </w:tcPr>
          <w:p w:rsidR="00072718" w:rsidRPr="005D07CF" w:rsidRDefault="00072718"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Size</w:t>
            </w:r>
          </w:p>
        </w:tc>
        <w:tc>
          <w:tcPr>
            <w:tcW w:w="2310" w:type="dxa"/>
          </w:tcPr>
          <w:p w:rsidR="00072718" w:rsidRPr="005D42BA" w:rsidRDefault="00072718" w:rsidP="008F4A99">
            <w:pPr>
              <w:tabs>
                <w:tab w:val="decimal" w:pos="810"/>
              </w:tabs>
              <w:spacing w:before="40" w:after="40"/>
              <w:rPr>
                <w:rFonts w:ascii="Times New Roman" w:hAnsi="Times New Roman" w:cs="Times New Roman"/>
                <w:sz w:val="24"/>
                <w:szCs w:val="24"/>
              </w:rPr>
            </w:pPr>
          </w:p>
        </w:tc>
        <w:tc>
          <w:tcPr>
            <w:tcW w:w="2311" w:type="dxa"/>
          </w:tcPr>
          <w:p w:rsidR="00072718" w:rsidRPr="003F1233" w:rsidRDefault="00D3318F" w:rsidP="00E53842">
            <w:pPr>
              <w:tabs>
                <w:tab w:val="decimal" w:pos="767"/>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-0.0028</w:t>
            </w:r>
            <w:r w:rsidR="003C54EC" w:rsidRPr="003F1233">
              <w:rPr>
                <w:rFonts w:ascii="Times New Roman" w:hAnsi="Times New Roman" w:cs="Times New Roman"/>
                <w:sz w:val="24"/>
                <w:szCs w:val="24"/>
                <w:vertAlign w:val="superscript"/>
              </w:rPr>
              <w:t>**</w:t>
            </w:r>
          </w:p>
          <w:p w:rsidR="00383C34" w:rsidRPr="003F1233" w:rsidRDefault="00383C34"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(0.0011)</w:t>
            </w:r>
          </w:p>
        </w:tc>
        <w:tc>
          <w:tcPr>
            <w:tcW w:w="2311" w:type="dxa"/>
          </w:tcPr>
          <w:p w:rsidR="00072718" w:rsidRPr="003F1233" w:rsidRDefault="00F525BD" w:rsidP="00C447D7">
            <w:pPr>
              <w:tabs>
                <w:tab w:val="decimal" w:pos="866"/>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 xml:space="preserve">         -0.0028</w:t>
            </w:r>
            <w:r w:rsidR="00383C34" w:rsidRPr="003F1233">
              <w:rPr>
                <w:rFonts w:ascii="Times New Roman" w:hAnsi="Times New Roman" w:cs="Times New Roman"/>
                <w:sz w:val="24"/>
                <w:szCs w:val="24"/>
                <w:vertAlign w:val="superscript"/>
              </w:rPr>
              <w:t>**</w:t>
            </w:r>
          </w:p>
          <w:p w:rsidR="00383C34" w:rsidRPr="003F1233" w:rsidRDefault="00383C34" w:rsidP="00E53842">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(0.0011)</w:t>
            </w:r>
          </w:p>
        </w:tc>
      </w:tr>
      <w:tr w:rsidR="00072718" w:rsidRPr="005D42BA" w:rsidTr="00086DC3">
        <w:tc>
          <w:tcPr>
            <w:tcW w:w="2310" w:type="dxa"/>
          </w:tcPr>
          <w:p w:rsidR="00072718" w:rsidRPr="005D07CF" w:rsidRDefault="00072718" w:rsidP="001146BC">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Book</w:t>
            </w:r>
            <w:r w:rsidR="001146BC" w:rsidRPr="005D07CF">
              <w:rPr>
                <w:rFonts w:ascii="Times New Roman" w:hAnsi="Times New Roman" w:cs="Times New Roman"/>
                <w:sz w:val="24"/>
                <w:szCs w:val="24"/>
              </w:rPr>
              <w:t>_</w:t>
            </w:r>
            <w:r w:rsidRPr="005D07CF">
              <w:rPr>
                <w:rFonts w:ascii="Times New Roman" w:hAnsi="Times New Roman" w:cs="Times New Roman"/>
                <w:sz w:val="24"/>
                <w:szCs w:val="24"/>
              </w:rPr>
              <w:t>to</w:t>
            </w:r>
            <w:r w:rsidR="001146BC" w:rsidRPr="005D07CF">
              <w:rPr>
                <w:rFonts w:ascii="Times New Roman" w:hAnsi="Times New Roman" w:cs="Times New Roman"/>
                <w:sz w:val="24"/>
                <w:szCs w:val="24"/>
              </w:rPr>
              <w:t>_</w:t>
            </w:r>
            <w:r w:rsidRPr="005D07CF">
              <w:rPr>
                <w:rFonts w:ascii="Times New Roman" w:hAnsi="Times New Roman" w:cs="Times New Roman"/>
                <w:sz w:val="24"/>
                <w:szCs w:val="24"/>
              </w:rPr>
              <w:t>Market</w:t>
            </w:r>
            <w:proofErr w:type="spellEnd"/>
          </w:p>
        </w:tc>
        <w:tc>
          <w:tcPr>
            <w:tcW w:w="2310" w:type="dxa"/>
          </w:tcPr>
          <w:p w:rsidR="00072718" w:rsidRPr="005D42BA" w:rsidRDefault="00072718" w:rsidP="008F4A99">
            <w:pPr>
              <w:tabs>
                <w:tab w:val="decimal" w:pos="810"/>
              </w:tabs>
              <w:spacing w:before="40" w:after="40"/>
              <w:rPr>
                <w:rFonts w:ascii="Times New Roman" w:hAnsi="Times New Roman" w:cs="Times New Roman"/>
                <w:sz w:val="24"/>
                <w:szCs w:val="24"/>
              </w:rPr>
            </w:pPr>
          </w:p>
        </w:tc>
        <w:tc>
          <w:tcPr>
            <w:tcW w:w="2311" w:type="dxa"/>
          </w:tcPr>
          <w:p w:rsidR="00072718" w:rsidRPr="003F1233" w:rsidRDefault="00383C34"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0.0021</w:t>
            </w:r>
          </w:p>
          <w:p w:rsidR="00383C34" w:rsidRPr="003F1233" w:rsidRDefault="00383C34"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 xml:space="preserve">(0.0022)                    </w:t>
            </w:r>
          </w:p>
        </w:tc>
        <w:tc>
          <w:tcPr>
            <w:tcW w:w="2311" w:type="dxa"/>
          </w:tcPr>
          <w:p w:rsidR="00072718" w:rsidRPr="003F1233" w:rsidRDefault="00383C34" w:rsidP="00E53842">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0.0010</w:t>
            </w:r>
          </w:p>
          <w:p w:rsidR="00383C34" w:rsidRPr="003F1233" w:rsidRDefault="00383C34"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(0.0024)</w:t>
            </w:r>
          </w:p>
        </w:tc>
      </w:tr>
      <w:tr w:rsidR="00072718" w:rsidRPr="005D42BA" w:rsidTr="00086DC3">
        <w:tc>
          <w:tcPr>
            <w:tcW w:w="2310" w:type="dxa"/>
          </w:tcPr>
          <w:p w:rsidR="00072718" w:rsidRPr="005D07CF" w:rsidRDefault="00072718" w:rsidP="00E319C0">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Earnings_Surprise</w:t>
            </w:r>
            <w:proofErr w:type="spellEnd"/>
          </w:p>
        </w:tc>
        <w:tc>
          <w:tcPr>
            <w:tcW w:w="2310" w:type="dxa"/>
          </w:tcPr>
          <w:p w:rsidR="00072718" w:rsidRPr="005D42BA" w:rsidRDefault="00072718" w:rsidP="008F4A99">
            <w:pPr>
              <w:tabs>
                <w:tab w:val="decimal" w:pos="810"/>
              </w:tabs>
              <w:spacing w:before="40" w:after="40"/>
              <w:rPr>
                <w:rFonts w:ascii="Times New Roman" w:hAnsi="Times New Roman" w:cs="Times New Roman"/>
                <w:sz w:val="24"/>
                <w:szCs w:val="24"/>
              </w:rPr>
            </w:pPr>
          </w:p>
        </w:tc>
        <w:tc>
          <w:tcPr>
            <w:tcW w:w="2311" w:type="dxa"/>
          </w:tcPr>
          <w:p w:rsidR="00072718" w:rsidRPr="005D42BA" w:rsidRDefault="00072718" w:rsidP="00E53842">
            <w:pPr>
              <w:tabs>
                <w:tab w:val="decimal" w:pos="767"/>
              </w:tabs>
              <w:spacing w:before="40" w:after="40"/>
              <w:rPr>
                <w:rFonts w:ascii="Times New Roman" w:hAnsi="Times New Roman" w:cs="Times New Roman"/>
                <w:sz w:val="24"/>
                <w:szCs w:val="24"/>
              </w:rPr>
            </w:pPr>
          </w:p>
        </w:tc>
        <w:tc>
          <w:tcPr>
            <w:tcW w:w="2311" w:type="dxa"/>
          </w:tcPr>
          <w:p w:rsidR="00072718" w:rsidRPr="003F1233" w:rsidRDefault="00383C34"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-0.0049</w:t>
            </w:r>
          </w:p>
          <w:p w:rsidR="00383C34" w:rsidRPr="003F1233" w:rsidRDefault="00383C34"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(0.0041)</w:t>
            </w:r>
          </w:p>
        </w:tc>
      </w:tr>
      <w:tr w:rsidR="00072718" w:rsidRPr="005D42BA" w:rsidTr="000727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rsidR="00072718" w:rsidRPr="005D07CF" w:rsidRDefault="00072718"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%Sales</w:t>
            </w:r>
          </w:p>
        </w:tc>
        <w:tc>
          <w:tcPr>
            <w:tcW w:w="2310" w:type="dxa"/>
            <w:tcBorders>
              <w:top w:val="nil"/>
              <w:left w:val="nil"/>
              <w:bottom w:val="nil"/>
              <w:right w:val="nil"/>
            </w:tcBorders>
          </w:tcPr>
          <w:p w:rsidR="00072718" w:rsidRPr="005D42BA" w:rsidRDefault="00072718" w:rsidP="008F4A99">
            <w:pPr>
              <w:tabs>
                <w:tab w:val="decimal" w:pos="810"/>
              </w:tabs>
              <w:spacing w:before="40" w:after="40"/>
              <w:rPr>
                <w:rFonts w:ascii="Times New Roman" w:hAnsi="Times New Roman" w:cs="Times New Roman"/>
                <w:sz w:val="24"/>
                <w:szCs w:val="24"/>
              </w:rPr>
            </w:pPr>
          </w:p>
        </w:tc>
        <w:tc>
          <w:tcPr>
            <w:tcW w:w="2311" w:type="dxa"/>
            <w:tcBorders>
              <w:top w:val="nil"/>
              <w:left w:val="nil"/>
              <w:bottom w:val="nil"/>
              <w:right w:val="nil"/>
            </w:tcBorders>
          </w:tcPr>
          <w:p w:rsidR="00072718" w:rsidRPr="005D42BA" w:rsidRDefault="00072718" w:rsidP="00E53842">
            <w:pPr>
              <w:tabs>
                <w:tab w:val="decimal" w:pos="767"/>
              </w:tabs>
              <w:spacing w:before="40" w:after="40"/>
              <w:rPr>
                <w:rFonts w:ascii="Times New Roman" w:hAnsi="Times New Roman" w:cs="Times New Roman"/>
                <w:i/>
                <w:sz w:val="24"/>
                <w:szCs w:val="24"/>
              </w:rPr>
            </w:pPr>
          </w:p>
        </w:tc>
        <w:tc>
          <w:tcPr>
            <w:tcW w:w="2311" w:type="dxa"/>
            <w:tcBorders>
              <w:top w:val="nil"/>
              <w:left w:val="nil"/>
              <w:bottom w:val="nil"/>
              <w:right w:val="nil"/>
            </w:tcBorders>
          </w:tcPr>
          <w:p w:rsidR="00383C34" w:rsidRPr="003F1233" w:rsidRDefault="005E3347"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0.0045</w:t>
            </w:r>
          </w:p>
          <w:p w:rsidR="005E3347" w:rsidRPr="003F1233" w:rsidRDefault="005E3347"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(0.0062)</w:t>
            </w:r>
          </w:p>
        </w:tc>
      </w:tr>
      <w:tr w:rsidR="00072718" w:rsidRPr="005D42BA" w:rsidTr="000727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single" w:sz="4" w:space="0" w:color="auto"/>
              <w:right w:val="nil"/>
            </w:tcBorders>
          </w:tcPr>
          <w:p w:rsidR="00072718" w:rsidRPr="005D07CF" w:rsidRDefault="00072718"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Leverage</w:t>
            </w:r>
          </w:p>
        </w:tc>
        <w:tc>
          <w:tcPr>
            <w:tcW w:w="2310" w:type="dxa"/>
            <w:tcBorders>
              <w:top w:val="nil"/>
              <w:left w:val="nil"/>
              <w:bottom w:val="single" w:sz="4" w:space="0" w:color="auto"/>
              <w:right w:val="nil"/>
            </w:tcBorders>
          </w:tcPr>
          <w:p w:rsidR="00072718" w:rsidRPr="005D42BA" w:rsidRDefault="00072718" w:rsidP="008F4A99">
            <w:pPr>
              <w:tabs>
                <w:tab w:val="decimal" w:pos="810"/>
              </w:tabs>
              <w:spacing w:before="40" w:after="40"/>
              <w:rPr>
                <w:rFonts w:ascii="Times New Roman" w:hAnsi="Times New Roman" w:cs="Times New Roman"/>
                <w:sz w:val="24"/>
                <w:szCs w:val="24"/>
              </w:rPr>
            </w:pPr>
          </w:p>
        </w:tc>
        <w:tc>
          <w:tcPr>
            <w:tcW w:w="2311" w:type="dxa"/>
            <w:tcBorders>
              <w:top w:val="nil"/>
              <w:left w:val="nil"/>
              <w:bottom w:val="single" w:sz="4" w:space="0" w:color="auto"/>
              <w:right w:val="nil"/>
            </w:tcBorders>
          </w:tcPr>
          <w:p w:rsidR="00072718" w:rsidRPr="005D42BA" w:rsidRDefault="00072718" w:rsidP="00E53842">
            <w:pPr>
              <w:tabs>
                <w:tab w:val="decimal" w:pos="767"/>
              </w:tabs>
              <w:spacing w:before="40" w:after="40"/>
              <w:rPr>
                <w:rFonts w:ascii="Times New Roman" w:hAnsi="Times New Roman" w:cs="Times New Roman"/>
                <w:sz w:val="24"/>
                <w:szCs w:val="24"/>
              </w:rPr>
            </w:pPr>
          </w:p>
        </w:tc>
        <w:tc>
          <w:tcPr>
            <w:tcW w:w="2311" w:type="dxa"/>
            <w:tcBorders>
              <w:top w:val="nil"/>
              <w:left w:val="nil"/>
              <w:bottom w:val="single" w:sz="4" w:space="0" w:color="auto"/>
              <w:right w:val="nil"/>
            </w:tcBorders>
          </w:tcPr>
          <w:p w:rsidR="00072718" w:rsidRPr="003F1233" w:rsidRDefault="005E3347" w:rsidP="00C447D7">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0.0195</w:t>
            </w:r>
          </w:p>
          <w:p w:rsidR="005E3347" w:rsidRPr="003F1233" w:rsidRDefault="005E3347" w:rsidP="00C447D7">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(0.0171)</w:t>
            </w:r>
          </w:p>
        </w:tc>
      </w:tr>
      <w:tr w:rsidR="00072718" w:rsidRPr="005D42BA" w:rsidTr="000727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single" w:sz="4" w:space="0" w:color="auto"/>
              <w:left w:val="nil"/>
              <w:bottom w:val="nil"/>
              <w:right w:val="nil"/>
            </w:tcBorders>
          </w:tcPr>
          <w:p w:rsidR="00072718" w:rsidRPr="005D42BA" w:rsidRDefault="00072718"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R-squared</w:t>
            </w:r>
          </w:p>
        </w:tc>
        <w:tc>
          <w:tcPr>
            <w:tcW w:w="2310" w:type="dxa"/>
            <w:tcBorders>
              <w:top w:val="single" w:sz="4" w:space="0" w:color="auto"/>
              <w:left w:val="nil"/>
              <w:bottom w:val="nil"/>
              <w:right w:val="nil"/>
            </w:tcBorders>
          </w:tcPr>
          <w:p w:rsidR="00072718" w:rsidRPr="005D42BA" w:rsidRDefault="003E785D" w:rsidP="007609F9">
            <w:pPr>
              <w:tabs>
                <w:tab w:val="decimal" w:pos="810"/>
              </w:tabs>
              <w:spacing w:before="40" w:after="40"/>
              <w:rPr>
                <w:rFonts w:ascii="Times New Roman" w:hAnsi="Times New Roman" w:cs="Times New Roman"/>
                <w:sz w:val="24"/>
                <w:szCs w:val="24"/>
              </w:rPr>
            </w:pPr>
            <w:r w:rsidRPr="005D42BA">
              <w:rPr>
                <w:rFonts w:ascii="Times New Roman" w:hAnsi="Times New Roman" w:cs="Times New Roman"/>
                <w:sz w:val="24"/>
                <w:szCs w:val="24"/>
              </w:rPr>
              <w:t>0.</w:t>
            </w:r>
            <w:r w:rsidR="007609F9" w:rsidRPr="005D42BA">
              <w:rPr>
                <w:rFonts w:ascii="Times New Roman" w:hAnsi="Times New Roman" w:cs="Times New Roman"/>
                <w:sz w:val="24"/>
                <w:szCs w:val="24"/>
              </w:rPr>
              <w:t>2868</w:t>
            </w:r>
            <w:r w:rsidRPr="005D42BA">
              <w:rPr>
                <w:rFonts w:ascii="Times New Roman" w:hAnsi="Times New Roman" w:cs="Times New Roman"/>
                <w:sz w:val="24"/>
                <w:szCs w:val="24"/>
              </w:rPr>
              <w:t>%</w:t>
            </w:r>
          </w:p>
        </w:tc>
        <w:tc>
          <w:tcPr>
            <w:tcW w:w="2311" w:type="dxa"/>
            <w:tcBorders>
              <w:top w:val="single" w:sz="4" w:space="0" w:color="auto"/>
              <w:left w:val="nil"/>
              <w:bottom w:val="nil"/>
              <w:right w:val="nil"/>
            </w:tcBorders>
          </w:tcPr>
          <w:p w:rsidR="00072718" w:rsidRPr="005D42BA" w:rsidRDefault="003C54EC"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0.8689</w:t>
            </w:r>
            <w:r w:rsidR="005E3347" w:rsidRPr="005D42BA">
              <w:rPr>
                <w:rFonts w:ascii="Times New Roman" w:hAnsi="Times New Roman" w:cs="Times New Roman"/>
                <w:sz w:val="24"/>
                <w:szCs w:val="24"/>
              </w:rPr>
              <w:t>%</w:t>
            </w:r>
          </w:p>
        </w:tc>
        <w:tc>
          <w:tcPr>
            <w:tcW w:w="2311" w:type="dxa"/>
            <w:tcBorders>
              <w:top w:val="single" w:sz="4" w:space="0" w:color="auto"/>
              <w:left w:val="nil"/>
              <w:bottom w:val="nil"/>
              <w:right w:val="nil"/>
            </w:tcBorders>
          </w:tcPr>
          <w:p w:rsidR="00072718" w:rsidRPr="005D42BA" w:rsidRDefault="0035430D" w:rsidP="00C447D7">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1.1473</w:t>
            </w:r>
            <w:r w:rsidR="005E3347" w:rsidRPr="005D42BA">
              <w:rPr>
                <w:rFonts w:ascii="Times New Roman" w:hAnsi="Times New Roman" w:cs="Times New Roman"/>
                <w:sz w:val="24"/>
                <w:szCs w:val="24"/>
              </w:rPr>
              <w:t>%</w:t>
            </w:r>
          </w:p>
        </w:tc>
      </w:tr>
      <w:tr w:rsidR="00072718" w:rsidRPr="005D42BA" w:rsidTr="00086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rsidR="00072718" w:rsidRPr="005D42BA" w:rsidRDefault="00072718"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F-stat</w:t>
            </w:r>
          </w:p>
        </w:tc>
        <w:tc>
          <w:tcPr>
            <w:tcW w:w="2310" w:type="dxa"/>
            <w:tcBorders>
              <w:top w:val="nil"/>
              <w:left w:val="nil"/>
              <w:bottom w:val="nil"/>
              <w:right w:val="nil"/>
            </w:tcBorders>
          </w:tcPr>
          <w:p w:rsidR="00072718" w:rsidRPr="005D42BA" w:rsidRDefault="003E785D" w:rsidP="008F4A99">
            <w:pPr>
              <w:tabs>
                <w:tab w:val="decimal" w:pos="810"/>
              </w:tabs>
              <w:spacing w:before="40" w:after="40"/>
              <w:rPr>
                <w:rFonts w:ascii="Times New Roman" w:hAnsi="Times New Roman" w:cs="Times New Roman"/>
                <w:sz w:val="24"/>
                <w:szCs w:val="24"/>
              </w:rPr>
            </w:pPr>
            <w:r w:rsidRPr="005D42BA">
              <w:rPr>
                <w:rFonts w:ascii="Times New Roman" w:hAnsi="Times New Roman" w:cs="Times New Roman"/>
                <w:sz w:val="24"/>
                <w:szCs w:val="24"/>
              </w:rPr>
              <w:t>4.0492</w:t>
            </w:r>
          </w:p>
        </w:tc>
        <w:tc>
          <w:tcPr>
            <w:tcW w:w="2311" w:type="dxa"/>
            <w:tcBorders>
              <w:top w:val="nil"/>
              <w:left w:val="nil"/>
              <w:bottom w:val="nil"/>
              <w:right w:val="nil"/>
            </w:tcBorders>
          </w:tcPr>
          <w:p w:rsidR="00072718" w:rsidRPr="005D42BA" w:rsidRDefault="003C54EC"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 xml:space="preserve">   </w:t>
            </w:r>
            <w:r w:rsidR="00A837D9" w:rsidRPr="005D42BA">
              <w:rPr>
                <w:rFonts w:ascii="Times New Roman" w:hAnsi="Times New Roman" w:cs="Times New Roman"/>
                <w:sz w:val="24"/>
                <w:szCs w:val="24"/>
              </w:rPr>
              <w:t>4.0933</w:t>
            </w:r>
          </w:p>
        </w:tc>
        <w:tc>
          <w:tcPr>
            <w:tcW w:w="2311" w:type="dxa"/>
            <w:tcBorders>
              <w:top w:val="nil"/>
              <w:left w:val="nil"/>
              <w:bottom w:val="nil"/>
              <w:right w:val="nil"/>
            </w:tcBorders>
          </w:tcPr>
          <w:p w:rsidR="00072718" w:rsidRPr="005D42BA" w:rsidRDefault="005E3347" w:rsidP="00C447D7">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2.6654</w:t>
            </w:r>
          </w:p>
        </w:tc>
      </w:tr>
      <w:tr w:rsidR="00072718" w:rsidRPr="005D42BA" w:rsidTr="00056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rsidR="00072718" w:rsidRPr="005D42BA" w:rsidRDefault="00072718" w:rsidP="00E319C0">
            <w:pPr>
              <w:spacing w:before="40" w:after="40"/>
              <w:rPr>
                <w:rFonts w:ascii="Times New Roman" w:hAnsi="Times New Roman" w:cs="Times New Roman"/>
                <w:sz w:val="24"/>
                <w:szCs w:val="24"/>
              </w:rPr>
            </w:pPr>
            <w:proofErr w:type="spellStart"/>
            <w:r w:rsidRPr="005D42BA">
              <w:rPr>
                <w:rFonts w:ascii="Times New Roman" w:hAnsi="Times New Roman" w:cs="Times New Roman"/>
                <w:sz w:val="24"/>
                <w:szCs w:val="24"/>
              </w:rPr>
              <w:t>Prob</w:t>
            </w:r>
            <w:proofErr w:type="spellEnd"/>
            <w:r w:rsidRPr="005D42BA">
              <w:rPr>
                <w:rFonts w:ascii="Times New Roman" w:hAnsi="Times New Roman" w:cs="Times New Roman"/>
                <w:sz w:val="24"/>
                <w:szCs w:val="24"/>
              </w:rPr>
              <w:t xml:space="preserve"> (F-stat)</w:t>
            </w:r>
          </w:p>
        </w:tc>
        <w:tc>
          <w:tcPr>
            <w:tcW w:w="2310" w:type="dxa"/>
            <w:tcBorders>
              <w:top w:val="nil"/>
              <w:left w:val="nil"/>
              <w:bottom w:val="nil"/>
              <w:right w:val="nil"/>
            </w:tcBorders>
          </w:tcPr>
          <w:p w:rsidR="00072718" w:rsidRPr="005D42BA" w:rsidRDefault="003E785D" w:rsidP="008F4A99">
            <w:pPr>
              <w:tabs>
                <w:tab w:val="decimal" w:pos="810"/>
              </w:tabs>
              <w:spacing w:before="40" w:after="40"/>
              <w:rPr>
                <w:rFonts w:ascii="Times New Roman" w:hAnsi="Times New Roman" w:cs="Times New Roman"/>
                <w:sz w:val="24"/>
                <w:szCs w:val="24"/>
              </w:rPr>
            </w:pPr>
            <w:r w:rsidRPr="005D42BA">
              <w:rPr>
                <w:rFonts w:ascii="Times New Roman" w:hAnsi="Times New Roman" w:cs="Times New Roman"/>
                <w:sz w:val="24"/>
                <w:szCs w:val="24"/>
              </w:rPr>
              <w:t>0.0444</w:t>
            </w:r>
          </w:p>
        </w:tc>
        <w:tc>
          <w:tcPr>
            <w:tcW w:w="2311" w:type="dxa"/>
            <w:tcBorders>
              <w:top w:val="nil"/>
              <w:left w:val="nil"/>
              <w:bottom w:val="nil"/>
              <w:right w:val="nil"/>
            </w:tcBorders>
          </w:tcPr>
          <w:p w:rsidR="00072718" w:rsidRPr="005D42BA" w:rsidRDefault="003C54EC"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0.0066</w:t>
            </w:r>
          </w:p>
        </w:tc>
        <w:tc>
          <w:tcPr>
            <w:tcW w:w="2311" w:type="dxa"/>
            <w:tcBorders>
              <w:top w:val="nil"/>
              <w:left w:val="nil"/>
              <w:bottom w:val="nil"/>
              <w:right w:val="nil"/>
            </w:tcBorders>
          </w:tcPr>
          <w:p w:rsidR="00072718" w:rsidRPr="005D42BA" w:rsidRDefault="005E3347" w:rsidP="00C447D7">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0.0142</w:t>
            </w:r>
          </w:p>
        </w:tc>
      </w:tr>
      <w:tr w:rsidR="00072718" w:rsidRPr="005D42BA" w:rsidTr="00056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double" w:sz="4" w:space="0" w:color="auto"/>
              <w:right w:val="nil"/>
            </w:tcBorders>
          </w:tcPr>
          <w:p w:rsidR="00072718" w:rsidRPr="005D42BA" w:rsidRDefault="00072718"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 xml:space="preserve">No. obs. </w:t>
            </w:r>
          </w:p>
        </w:tc>
        <w:tc>
          <w:tcPr>
            <w:tcW w:w="2310" w:type="dxa"/>
            <w:tcBorders>
              <w:top w:val="nil"/>
              <w:left w:val="nil"/>
              <w:bottom w:val="double" w:sz="4" w:space="0" w:color="auto"/>
              <w:right w:val="nil"/>
            </w:tcBorders>
          </w:tcPr>
          <w:p w:rsidR="00072718" w:rsidRPr="005D42BA" w:rsidRDefault="003E785D" w:rsidP="003E785D">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1410</w:t>
            </w:r>
          </w:p>
        </w:tc>
        <w:tc>
          <w:tcPr>
            <w:tcW w:w="2311" w:type="dxa"/>
            <w:tcBorders>
              <w:top w:val="nil"/>
              <w:left w:val="nil"/>
              <w:bottom w:val="double" w:sz="4" w:space="0" w:color="auto"/>
              <w:right w:val="nil"/>
            </w:tcBorders>
          </w:tcPr>
          <w:p w:rsidR="00072718" w:rsidRPr="005D42BA" w:rsidRDefault="003C54EC" w:rsidP="003C54EC">
            <w:pPr>
              <w:tabs>
                <w:tab w:val="decimal" w:pos="483"/>
              </w:tabs>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1405</w:t>
            </w:r>
          </w:p>
        </w:tc>
        <w:tc>
          <w:tcPr>
            <w:tcW w:w="2311" w:type="dxa"/>
            <w:tcBorders>
              <w:top w:val="nil"/>
              <w:left w:val="nil"/>
              <w:bottom w:val="double" w:sz="4" w:space="0" w:color="auto"/>
              <w:right w:val="nil"/>
            </w:tcBorders>
          </w:tcPr>
          <w:p w:rsidR="00072718" w:rsidRPr="005D42BA" w:rsidRDefault="00A837D9" w:rsidP="005E3347">
            <w:pPr>
              <w:tabs>
                <w:tab w:val="decimal" w:pos="724"/>
                <w:tab w:val="center" w:pos="809"/>
              </w:tabs>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1385</w:t>
            </w:r>
          </w:p>
        </w:tc>
      </w:tr>
    </w:tbl>
    <w:p w:rsidR="000564AA" w:rsidRPr="005D42BA" w:rsidRDefault="00C344DD" w:rsidP="00C344DD">
      <w:pPr>
        <w:spacing w:after="0" w:line="240" w:lineRule="auto"/>
        <w:jc w:val="both"/>
        <w:rPr>
          <w:rFonts w:ascii="Times New Roman" w:hAnsi="Times New Roman" w:cs="Times New Roman"/>
          <w:sz w:val="20"/>
          <w:szCs w:val="20"/>
        </w:rPr>
      </w:pPr>
      <w:r w:rsidRPr="005D42BA">
        <w:rPr>
          <w:rFonts w:ascii="Times New Roman" w:hAnsi="Times New Roman" w:cs="Times New Roman"/>
          <w:sz w:val="20"/>
          <w:szCs w:val="20"/>
        </w:rPr>
        <w:t>Note: This table reports regressions where the constant-mean-adjusted cu</w:t>
      </w:r>
      <w:r w:rsidR="001A060C" w:rsidRPr="005D42BA">
        <w:rPr>
          <w:rFonts w:ascii="Times New Roman" w:hAnsi="Times New Roman" w:cs="Times New Roman"/>
          <w:sz w:val="20"/>
          <w:szCs w:val="20"/>
        </w:rPr>
        <w:t>mulative returns are taken to act as</w:t>
      </w:r>
      <w:r w:rsidRPr="005D42BA">
        <w:rPr>
          <w:rFonts w:ascii="Times New Roman" w:hAnsi="Times New Roman" w:cs="Times New Roman"/>
          <w:sz w:val="20"/>
          <w:szCs w:val="20"/>
        </w:rPr>
        <w:t xml:space="preserve"> a dependent variable. Panel A models the CAR measured in the (-1,1) event window, while Panel B extends the window to (-1,5). All of the explanatory </w:t>
      </w:r>
      <w:r w:rsidR="00F813F1">
        <w:rPr>
          <w:rFonts w:ascii="Times New Roman" w:hAnsi="Times New Roman" w:cs="Times New Roman"/>
          <w:sz w:val="20"/>
          <w:szCs w:val="20"/>
        </w:rPr>
        <w:t>variables are defined in Table 1</w:t>
      </w:r>
      <w:r w:rsidRPr="005D42BA">
        <w:rPr>
          <w:rFonts w:ascii="Times New Roman" w:hAnsi="Times New Roman" w:cs="Times New Roman"/>
          <w:sz w:val="20"/>
          <w:szCs w:val="20"/>
        </w:rPr>
        <w:t xml:space="preserve">. </w:t>
      </w:r>
      <w:r w:rsidR="00E319C0" w:rsidRPr="005D42BA">
        <w:rPr>
          <w:rFonts w:ascii="Times New Roman" w:hAnsi="Times New Roman" w:cs="Times New Roman"/>
          <w:sz w:val="20"/>
          <w:szCs w:val="20"/>
        </w:rPr>
        <w:t xml:space="preserve">The table presents coefficient estimates with the corresponding standard errors in parentheses, coefficient of determination, the F-test for the null hypothesis that </w:t>
      </w:r>
      <w:r w:rsidR="001A060C" w:rsidRPr="005D42BA">
        <w:rPr>
          <w:rFonts w:ascii="Times New Roman" w:hAnsi="Times New Roman" w:cs="Times New Roman"/>
          <w:sz w:val="20"/>
          <w:szCs w:val="20"/>
        </w:rPr>
        <w:t>the</w:t>
      </w:r>
      <w:r w:rsidR="00E319C0" w:rsidRPr="005D42BA">
        <w:rPr>
          <w:rFonts w:ascii="Times New Roman" w:hAnsi="Times New Roman" w:cs="Times New Roman"/>
          <w:sz w:val="20"/>
          <w:szCs w:val="20"/>
        </w:rPr>
        <w:t xml:space="preserve"> regressors </w:t>
      </w:r>
      <w:r w:rsidR="001A060C" w:rsidRPr="005D42BA">
        <w:rPr>
          <w:rFonts w:ascii="Times New Roman" w:hAnsi="Times New Roman" w:cs="Times New Roman"/>
          <w:sz w:val="20"/>
          <w:szCs w:val="20"/>
        </w:rPr>
        <w:t xml:space="preserve">are jointly statistically insignificant and the number of observations. </w:t>
      </w:r>
      <w:r w:rsidR="001A060C" w:rsidRPr="005D42BA">
        <w:rPr>
          <w:rFonts w:ascii="Times New Roman" w:hAnsi="Times New Roman" w:cs="Times New Roman"/>
          <w:sz w:val="20"/>
          <w:szCs w:val="20"/>
          <w:vertAlign w:val="superscript"/>
        </w:rPr>
        <w:t>*</w:t>
      </w:r>
      <w:r w:rsidR="001A060C" w:rsidRPr="005D42BA">
        <w:rPr>
          <w:rFonts w:ascii="Times New Roman" w:hAnsi="Times New Roman" w:cs="Times New Roman"/>
          <w:sz w:val="20"/>
          <w:szCs w:val="20"/>
        </w:rPr>
        <w:t xml:space="preserve">, </w:t>
      </w:r>
      <w:r w:rsidR="001A060C" w:rsidRPr="005D42BA">
        <w:rPr>
          <w:rFonts w:ascii="Times New Roman" w:hAnsi="Times New Roman" w:cs="Times New Roman"/>
          <w:sz w:val="20"/>
          <w:szCs w:val="20"/>
          <w:vertAlign w:val="superscript"/>
        </w:rPr>
        <w:t>**</w:t>
      </w:r>
      <w:r w:rsidR="001A060C" w:rsidRPr="005D42BA">
        <w:rPr>
          <w:rFonts w:ascii="Times New Roman" w:hAnsi="Times New Roman" w:cs="Times New Roman"/>
          <w:sz w:val="20"/>
          <w:szCs w:val="20"/>
        </w:rPr>
        <w:t xml:space="preserve">, </w:t>
      </w:r>
      <w:r w:rsidR="001A060C" w:rsidRPr="005D42BA">
        <w:rPr>
          <w:rFonts w:ascii="Times New Roman" w:hAnsi="Times New Roman" w:cs="Times New Roman"/>
          <w:sz w:val="20"/>
          <w:szCs w:val="20"/>
          <w:vertAlign w:val="superscript"/>
        </w:rPr>
        <w:t>***</w:t>
      </w:r>
      <w:r w:rsidR="00E319C0" w:rsidRPr="005D42BA">
        <w:rPr>
          <w:rFonts w:ascii="Times New Roman" w:hAnsi="Times New Roman" w:cs="Times New Roman"/>
          <w:sz w:val="20"/>
          <w:szCs w:val="20"/>
        </w:rPr>
        <w:t xml:space="preserve"> </w:t>
      </w:r>
      <w:r w:rsidR="001A060C" w:rsidRPr="005D42BA">
        <w:rPr>
          <w:rFonts w:ascii="Times New Roman" w:hAnsi="Times New Roman" w:cs="Times New Roman"/>
          <w:sz w:val="20"/>
          <w:szCs w:val="20"/>
        </w:rPr>
        <w:t xml:space="preserve">denote statistical significance at 10%, 5% and 1%, respectively. </w:t>
      </w:r>
    </w:p>
    <w:p w:rsidR="00C344DD" w:rsidRPr="005D42BA" w:rsidRDefault="00C344DD" w:rsidP="00C344DD">
      <w:pPr>
        <w:spacing w:after="0" w:line="240" w:lineRule="auto"/>
        <w:jc w:val="both"/>
        <w:rPr>
          <w:rFonts w:ascii="Times New Roman" w:hAnsi="Times New Roman" w:cs="Times New Roman"/>
          <w:sz w:val="20"/>
          <w:szCs w:val="20"/>
        </w:rPr>
        <w:sectPr w:rsidR="00C344DD" w:rsidRPr="005D42BA" w:rsidSect="00661BF7">
          <w:pgSz w:w="11906" w:h="16838"/>
          <w:pgMar w:top="238" w:right="1440" w:bottom="249" w:left="1440" w:header="709" w:footer="709" w:gutter="0"/>
          <w:cols w:space="708"/>
          <w:docGrid w:linePitch="360"/>
        </w:sectPr>
      </w:pPr>
    </w:p>
    <w:p w:rsidR="00A04CF2" w:rsidRPr="005D42BA" w:rsidRDefault="00983FB1" w:rsidP="001915C6">
      <w:pPr>
        <w:spacing w:after="0" w:line="240" w:lineRule="auto"/>
        <w:jc w:val="center"/>
        <w:rPr>
          <w:rFonts w:ascii="Times New Roman" w:hAnsi="Times New Roman" w:cs="Times New Roman"/>
          <w:b/>
          <w:sz w:val="24"/>
          <w:szCs w:val="24"/>
        </w:rPr>
      </w:pPr>
      <w:r w:rsidRPr="005D42BA">
        <w:rPr>
          <w:rFonts w:ascii="Times New Roman" w:hAnsi="Times New Roman" w:cs="Times New Roman"/>
          <w:b/>
          <w:sz w:val="24"/>
          <w:szCs w:val="24"/>
        </w:rPr>
        <w:lastRenderedPageBreak/>
        <w:t xml:space="preserve">Table </w:t>
      </w:r>
      <w:r w:rsidR="00F813F1">
        <w:rPr>
          <w:rFonts w:ascii="Times New Roman" w:hAnsi="Times New Roman" w:cs="Times New Roman"/>
          <w:b/>
          <w:sz w:val="24"/>
          <w:szCs w:val="24"/>
        </w:rPr>
        <w:t>5</w:t>
      </w:r>
    </w:p>
    <w:p w:rsidR="00A04CF2" w:rsidRPr="005D42BA" w:rsidRDefault="00A04CF2" w:rsidP="00661BF7">
      <w:pPr>
        <w:spacing w:after="40" w:line="240" w:lineRule="auto"/>
        <w:jc w:val="center"/>
        <w:rPr>
          <w:rFonts w:ascii="Times New Roman" w:hAnsi="Times New Roman" w:cs="Times New Roman"/>
          <w:b/>
          <w:sz w:val="24"/>
          <w:szCs w:val="24"/>
        </w:rPr>
      </w:pPr>
      <w:r w:rsidRPr="005D42BA">
        <w:rPr>
          <w:rFonts w:ascii="Times New Roman" w:hAnsi="Times New Roman" w:cs="Times New Roman"/>
          <w:b/>
          <w:sz w:val="24"/>
          <w:szCs w:val="24"/>
        </w:rPr>
        <w:t>Determinants of Market-Model-Adjusted Cumulative Abnormal Returns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310"/>
        <w:gridCol w:w="2311"/>
        <w:gridCol w:w="2311"/>
      </w:tblGrid>
      <w:tr w:rsidR="00A04CF2" w:rsidRPr="005D42BA" w:rsidTr="000564AA">
        <w:tc>
          <w:tcPr>
            <w:tcW w:w="9242" w:type="dxa"/>
            <w:gridSpan w:val="4"/>
            <w:tcBorders>
              <w:top w:val="double" w:sz="4" w:space="0" w:color="auto"/>
              <w:bottom w:val="single" w:sz="4" w:space="0" w:color="auto"/>
            </w:tcBorders>
          </w:tcPr>
          <w:p w:rsidR="00A04CF2" w:rsidRPr="005D42BA" w:rsidRDefault="00A04CF2" w:rsidP="00A04CF2">
            <w:pPr>
              <w:spacing w:before="40" w:after="40"/>
              <w:rPr>
                <w:rFonts w:ascii="Times New Roman" w:hAnsi="Times New Roman" w:cs="Times New Roman"/>
                <w:b/>
                <w:sz w:val="24"/>
                <w:szCs w:val="24"/>
              </w:rPr>
            </w:pPr>
            <w:r w:rsidRPr="005D42BA">
              <w:rPr>
                <w:rFonts w:ascii="Times New Roman" w:hAnsi="Times New Roman" w:cs="Times New Roman"/>
                <w:b/>
                <w:sz w:val="24"/>
                <w:szCs w:val="24"/>
              </w:rPr>
              <w:t>Panel A. Regressions on CAR_MM(-1,1)</w:t>
            </w:r>
          </w:p>
        </w:tc>
      </w:tr>
      <w:tr w:rsidR="00A04CF2" w:rsidRPr="005D42BA" w:rsidTr="00E319C0">
        <w:tc>
          <w:tcPr>
            <w:tcW w:w="2310" w:type="dxa"/>
            <w:tcBorders>
              <w:top w:val="single" w:sz="4" w:space="0" w:color="auto"/>
            </w:tcBorders>
          </w:tcPr>
          <w:p w:rsidR="00A04CF2" w:rsidRPr="005D42BA" w:rsidRDefault="00A04CF2" w:rsidP="00E319C0">
            <w:pPr>
              <w:spacing w:before="40" w:after="40"/>
              <w:jc w:val="center"/>
              <w:rPr>
                <w:rFonts w:ascii="Times New Roman" w:hAnsi="Times New Roman" w:cs="Times New Roman"/>
                <w:sz w:val="24"/>
                <w:szCs w:val="24"/>
              </w:rPr>
            </w:pPr>
          </w:p>
        </w:tc>
        <w:tc>
          <w:tcPr>
            <w:tcW w:w="2310" w:type="dxa"/>
            <w:tcBorders>
              <w:top w:val="single" w:sz="4" w:space="0" w:color="auto"/>
            </w:tcBorders>
          </w:tcPr>
          <w:p w:rsidR="00A04CF2" w:rsidRPr="005D42BA" w:rsidRDefault="00A04CF2" w:rsidP="00E53842">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w:t>
            </w:r>
          </w:p>
        </w:tc>
        <w:tc>
          <w:tcPr>
            <w:tcW w:w="2311" w:type="dxa"/>
            <w:tcBorders>
              <w:top w:val="single" w:sz="4" w:space="0" w:color="auto"/>
            </w:tcBorders>
          </w:tcPr>
          <w:p w:rsidR="00A04CF2" w:rsidRPr="005D42BA" w:rsidRDefault="00A04CF2" w:rsidP="00E319C0">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(2)</w:t>
            </w:r>
          </w:p>
        </w:tc>
        <w:tc>
          <w:tcPr>
            <w:tcW w:w="2311" w:type="dxa"/>
            <w:tcBorders>
              <w:top w:val="single" w:sz="4" w:space="0" w:color="auto"/>
            </w:tcBorders>
          </w:tcPr>
          <w:p w:rsidR="00A04CF2" w:rsidRPr="005D42BA" w:rsidRDefault="00A04CF2" w:rsidP="00E319C0">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(3)</w:t>
            </w:r>
          </w:p>
        </w:tc>
      </w:tr>
      <w:tr w:rsidR="00A04CF2" w:rsidRPr="005D42BA" w:rsidTr="00E319C0">
        <w:tc>
          <w:tcPr>
            <w:tcW w:w="2310" w:type="dxa"/>
          </w:tcPr>
          <w:p w:rsidR="000722FF" w:rsidRPr="005D07CF" w:rsidRDefault="000722FF"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Intercept</w:t>
            </w:r>
          </w:p>
          <w:p w:rsidR="000722FF" w:rsidRPr="005D07CF" w:rsidRDefault="000722FF" w:rsidP="00E319C0">
            <w:pPr>
              <w:spacing w:before="40" w:after="40"/>
              <w:rPr>
                <w:rFonts w:ascii="Times New Roman" w:hAnsi="Times New Roman" w:cs="Times New Roman"/>
                <w:sz w:val="24"/>
                <w:szCs w:val="24"/>
              </w:rPr>
            </w:pPr>
          </w:p>
          <w:p w:rsidR="00A04CF2" w:rsidRPr="005D07CF" w:rsidRDefault="00A04CF2"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Positiveness</w:t>
            </w:r>
          </w:p>
        </w:tc>
        <w:tc>
          <w:tcPr>
            <w:tcW w:w="2310" w:type="dxa"/>
          </w:tcPr>
          <w:p w:rsidR="000722FF" w:rsidRPr="003F1233" w:rsidRDefault="000722FF" w:rsidP="00E53842">
            <w:pPr>
              <w:tabs>
                <w:tab w:val="decimal" w:pos="809"/>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-0.0024</w:t>
            </w:r>
            <w:r w:rsidRPr="003F1233">
              <w:rPr>
                <w:rFonts w:ascii="Times New Roman" w:hAnsi="Times New Roman" w:cs="Times New Roman"/>
                <w:sz w:val="24"/>
                <w:szCs w:val="24"/>
                <w:vertAlign w:val="superscript"/>
              </w:rPr>
              <w:t>*</w:t>
            </w:r>
          </w:p>
          <w:p w:rsidR="000722FF" w:rsidRPr="003F1233" w:rsidRDefault="00B734D4" w:rsidP="00E53842">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(0.001</w:t>
            </w:r>
            <w:r w:rsidR="002A4378" w:rsidRPr="003F1233">
              <w:rPr>
                <w:rFonts w:ascii="Times New Roman" w:hAnsi="Times New Roman" w:cs="Times New Roman"/>
                <w:sz w:val="24"/>
                <w:szCs w:val="24"/>
              </w:rPr>
              <w:t>4</w:t>
            </w:r>
            <w:r w:rsidR="000722FF" w:rsidRPr="003F1233">
              <w:rPr>
                <w:rFonts w:ascii="Times New Roman" w:hAnsi="Times New Roman" w:cs="Times New Roman"/>
                <w:sz w:val="24"/>
                <w:szCs w:val="24"/>
              </w:rPr>
              <w:t>)</w:t>
            </w:r>
          </w:p>
          <w:p w:rsidR="005E3347" w:rsidRPr="003F1233" w:rsidRDefault="000722FF" w:rsidP="00E53842">
            <w:pPr>
              <w:tabs>
                <w:tab w:val="decimal" w:pos="809"/>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0.5456</w:t>
            </w:r>
            <w:r w:rsidRPr="003F1233">
              <w:rPr>
                <w:rFonts w:ascii="Times New Roman" w:hAnsi="Times New Roman" w:cs="Times New Roman"/>
                <w:sz w:val="24"/>
                <w:szCs w:val="24"/>
                <w:vertAlign w:val="superscript"/>
              </w:rPr>
              <w:t>**</w:t>
            </w:r>
          </w:p>
          <w:p w:rsidR="000722FF" w:rsidRPr="005D42BA" w:rsidRDefault="000722FF" w:rsidP="00E53842">
            <w:pPr>
              <w:tabs>
                <w:tab w:val="decimal" w:pos="809"/>
              </w:tabs>
              <w:spacing w:after="40"/>
              <w:rPr>
                <w:rFonts w:ascii="Times New Roman" w:hAnsi="Times New Roman" w:cs="Times New Roman"/>
                <w:i/>
                <w:sz w:val="24"/>
                <w:szCs w:val="24"/>
              </w:rPr>
            </w:pPr>
            <w:r w:rsidRPr="003F1233">
              <w:rPr>
                <w:rFonts w:ascii="Times New Roman" w:hAnsi="Times New Roman" w:cs="Times New Roman"/>
                <w:sz w:val="24"/>
                <w:szCs w:val="24"/>
              </w:rPr>
              <w:t>(0.2307)</w:t>
            </w:r>
          </w:p>
        </w:tc>
        <w:tc>
          <w:tcPr>
            <w:tcW w:w="2311" w:type="dxa"/>
          </w:tcPr>
          <w:p w:rsidR="00A04CF2" w:rsidRPr="003F1233" w:rsidRDefault="00365A7C"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0.0082</w:t>
            </w:r>
          </w:p>
          <w:p w:rsidR="00365A7C" w:rsidRPr="003F1233" w:rsidRDefault="00365A7C"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(0.0097)</w:t>
            </w:r>
          </w:p>
          <w:p w:rsidR="00365A7C" w:rsidRPr="003F1233" w:rsidRDefault="00365A7C"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0.5438</w:t>
            </w:r>
            <w:r w:rsidR="008A7497" w:rsidRPr="003F1233">
              <w:rPr>
                <w:rFonts w:ascii="Times New Roman" w:hAnsi="Times New Roman" w:cs="Times New Roman"/>
                <w:sz w:val="24"/>
                <w:szCs w:val="24"/>
                <w:vertAlign w:val="superscript"/>
              </w:rPr>
              <w:t>**</w:t>
            </w:r>
          </w:p>
          <w:p w:rsidR="00365A7C" w:rsidRPr="003F1233" w:rsidRDefault="00365A7C"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(0.2314)</w:t>
            </w:r>
          </w:p>
        </w:tc>
        <w:tc>
          <w:tcPr>
            <w:tcW w:w="2311" w:type="dxa"/>
          </w:tcPr>
          <w:p w:rsidR="00A04CF2" w:rsidRPr="003F1233" w:rsidRDefault="00993453" w:rsidP="00993453">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0.0080</w:t>
            </w:r>
          </w:p>
          <w:p w:rsidR="00993453" w:rsidRPr="003F1233" w:rsidRDefault="00993453" w:rsidP="00993453">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(0.0098)</w:t>
            </w:r>
          </w:p>
          <w:p w:rsidR="00993453" w:rsidRPr="003F1233" w:rsidRDefault="00993453" w:rsidP="00993453">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0.5586</w:t>
            </w:r>
            <w:r w:rsidRPr="003F1233">
              <w:rPr>
                <w:rFonts w:ascii="Times New Roman" w:hAnsi="Times New Roman" w:cs="Times New Roman"/>
                <w:sz w:val="24"/>
                <w:szCs w:val="24"/>
                <w:vertAlign w:val="superscript"/>
              </w:rPr>
              <w:t>**</w:t>
            </w:r>
          </w:p>
          <w:p w:rsidR="00993453" w:rsidRPr="003F1233" w:rsidRDefault="00993453" w:rsidP="00993453">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(0.2353)</w:t>
            </w:r>
          </w:p>
        </w:tc>
      </w:tr>
      <w:tr w:rsidR="00A04CF2" w:rsidRPr="005D42BA" w:rsidTr="00E319C0">
        <w:tc>
          <w:tcPr>
            <w:tcW w:w="2310" w:type="dxa"/>
          </w:tcPr>
          <w:p w:rsidR="00A04CF2" w:rsidRPr="005D07CF" w:rsidRDefault="00A04CF2"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t>Size</w:t>
            </w:r>
          </w:p>
        </w:tc>
        <w:tc>
          <w:tcPr>
            <w:tcW w:w="2310" w:type="dxa"/>
          </w:tcPr>
          <w:p w:rsidR="00A04CF2" w:rsidRPr="005D42BA" w:rsidRDefault="00A04CF2" w:rsidP="00E53842">
            <w:pPr>
              <w:tabs>
                <w:tab w:val="decimal" w:pos="809"/>
              </w:tabs>
              <w:spacing w:before="120" w:after="40"/>
              <w:rPr>
                <w:rFonts w:ascii="Times New Roman" w:hAnsi="Times New Roman" w:cs="Times New Roman"/>
                <w:i/>
                <w:sz w:val="24"/>
                <w:szCs w:val="24"/>
              </w:rPr>
            </w:pPr>
          </w:p>
        </w:tc>
        <w:tc>
          <w:tcPr>
            <w:tcW w:w="2311" w:type="dxa"/>
          </w:tcPr>
          <w:p w:rsidR="00A04CF2" w:rsidRPr="003F1233" w:rsidRDefault="00365A7C"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-0.0008</w:t>
            </w:r>
          </w:p>
          <w:p w:rsidR="00365A7C" w:rsidRPr="003F1233" w:rsidRDefault="00365A7C"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(0.0007)</w:t>
            </w:r>
          </w:p>
        </w:tc>
        <w:tc>
          <w:tcPr>
            <w:tcW w:w="2311" w:type="dxa"/>
          </w:tcPr>
          <w:p w:rsidR="00A04CF2" w:rsidRPr="003F1233" w:rsidRDefault="00993453" w:rsidP="00993453">
            <w:pPr>
              <w:tabs>
                <w:tab w:val="decimal" w:pos="866"/>
                <w:tab w:val="decimal" w:pos="914"/>
              </w:tabs>
              <w:spacing w:before="40"/>
              <w:rPr>
                <w:rFonts w:ascii="Times New Roman" w:hAnsi="Times New Roman" w:cs="Times New Roman"/>
                <w:sz w:val="24"/>
                <w:szCs w:val="24"/>
              </w:rPr>
            </w:pPr>
            <w:r w:rsidRPr="003F1233">
              <w:rPr>
                <w:rFonts w:ascii="Times New Roman" w:hAnsi="Times New Roman" w:cs="Times New Roman"/>
                <w:sz w:val="24"/>
                <w:szCs w:val="24"/>
              </w:rPr>
              <w:t xml:space="preserve">           -0.0008</w:t>
            </w:r>
          </w:p>
          <w:p w:rsidR="00993453" w:rsidRPr="003F1233" w:rsidRDefault="00993453" w:rsidP="00993453">
            <w:pPr>
              <w:tabs>
                <w:tab w:val="decimal" w:pos="866"/>
                <w:tab w:val="decimal" w:pos="914"/>
              </w:tabs>
              <w:spacing w:after="40"/>
              <w:rPr>
                <w:rFonts w:ascii="Times New Roman" w:hAnsi="Times New Roman" w:cs="Times New Roman"/>
                <w:sz w:val="24"/>
                <w:szCs w:val="24"/>
              </w:rPr>
            </w:pPr>
            <w:r w:rsidRPr="003F1233">
              <w:rPr>
                <w:rFonts w:ascii="Times New Roman" w:hAnsi="Times New Roman" w:cs="Times New Roman"/>
                <w:sz w:val="24"/>
                <w:szCs w:val="24"/>
              </w:rPr>
              <w:t xml:space="preserve">           (0.0007) </w:t>
            </w:r>
          </w:p>
        </w:tc>
      </w:tr>
      <w:tr w:rsidR="00A04CF2" w:rsidRPr="005D42BA" w:rsidTr="00E319C0">
        <w:tc>
          <w:tcPr>
            <w:tcW w:w="2310" w:type="dxa"/>
          </w:tcPr>
          <w:p w:rsidR="00A04CF2" w:rsidRPr="005D07CF" w:rsidRDefault="001146BC" w:rsidP="001146BC">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Book_</w:t>
            </w:r>
            <w:r w:rsidR="00A04CF2" w:rsidRPr="005D07CF">
              <w:rPr>
                <w:rFonts w:ascii="Times New Roman" w:hAnsi="Times New Roman" w:cs="Times New Roman"/>
                <w:sz w:val="24"/>
                <w:szCs w:val="24"/>
              </w:rPr>
              <w:t>to</w:t>
            </w:r>
            <w:r w:rsidRPr="005D07CF">
              <w:rPr>
                <w:rFonts w:ascii="Times New Roman" w:hAnsi="Times New Roman" w:cs="Times New Roman"/>
                <w:sz w:val="24"/>
                <w:szCs w:val="24"/>
              </w:rPr>
              <w:t>_</w:t>
            </w:r>
            <w:r w:rsidR="00A04CF2" w:rsidRPr="005D07CF">
              <w:rPr>
                <w:rFonts w:ascii="Times New Roman" w:hAnsi="Times New Roman" w:cs="Times New Roman"/>
                <w:sz w:val="24"/>
                <w:szCs w:val="24"/>
              </w:rPr>
              <w:t>Market</w:t>
            </w:r>
            <w:proofErr w:type="spellEnd"/>
          </w:p>
        </w:tc>
        <w:tc>
          <w:tcPr>
            <w:tcW w:w="2310" w:type="dxa"/>
          </w:tcPr>
          <w:p w:rsidR="00A04CF2" w:rsidRPr="005D42BA" w:rsidRDefault="00A04CF2" w:rsidP="00E53842">
            <w:pPr>
              <w:tabs>
                <w:tab w:val="decimal" w:pos="809"/>
                <w:tab w:val="decimal" w:pos="885"/>
              </w:tabs>
              <w:spacing w:before="40" w:after="40"/>
              <w:rPr>
                <w:rFonts w:ascii="Times New Roman" w:hAnsi="Times New Roman" w:cs="Times New Roman"/>
                <w:sz w:val="24"/>
                <w:szCs w:val="24"/>
              </w:rPr>
            </w:pPr>
          </w:p>
        </w:tc>
        <w:tc>
          <w:tcPr>
            <w:tcW w:w="2311" w:type="dxa"/>
          </w:tcPr>
          <w:p w:rsidR="00A04CF2" w:rsidRPr="003F1233" w:rsidRDefault="00365A7C"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0.0004</w:t>
            </w:r>
          </w:p>
          <w:p w:rsidR="00365A7C" w:rsidRPr="003F1233" w:rsidRDefault="00365A7C"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(0.0013)</w:t>
            </w:r>
          </w:p>
        </w:tc>
        <w:tc>
          <w:tcPr>
            <w:tcW w:w="2311" w:type="dxa"/>
          </w:tcPr>
          <w:p w:rsidR="00A04CF2" w:rsidRPr="003F1233" w:rsidRDefault="00993453" w:rsidP="001915C6">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0.0007</w:t>
            </w:r>
          </w:p>
          <w:p w:rsidR="00993453" w:rsidRPr="003F1233" w:rsidRDefault="00993453" w:rsidP="001915C6">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(0.0014)</w:t>
            </w:r>
          </w:p>
        </w:tc>
      </w:tr>
      <w:tr w:rsidR="00A04CF2" w:rsidRPr="005D42BA" w:rsidTr="00E319C0">
        <w:tc>
          <w:tcPr>
            <w:tcW w:w="2310" w:type="dxa"/>
          </w:tcPr>
          <w:p w:rsidR="00A04CF2" w:rsidRPr="005D07CF" w:rsidRDefault="00A04CF2" w:rsidP="00E319C0">
            <w:pPr>
              <w:spacing w:before="40" w:after="40"/>
              <w:rPr>
                <w:rFonts w:ascii="Times New Roman" w:hAnsi="Times New Roman" w:cs="Times New Roman"/>
                <w:sz w:val="24"/>
                <w:szCs w:val="24"/>
              </w:rPr>
            </w:pPr>
            <w:proofErr w:type="spellStart"/>
            <w:r w:rsidRPr="005D07CF">
              <w:rPr>
                <w:rFonts w:ascii="Times New Roman" w:hAnsi="Times New Roman" w:cs="Times New Roman"/>
                <w:sz w:val="24"/>
                <w:szCs w:val="24"/>
              </w:rPr>
              <w:t>Earnings_Surprise</w:t>
            </w:r>
            <w:proofErr w:type="spellEnd"/>
          </w:p>
        </w:tc>
        <w:tc>
          <w:tcPr>
            <w:tcW w:w="2310" w:type="dxa"/>
          </w:tcPr>
          <w:p w:rsidR="00A04CF2" w:rsidRPr="005D42BA" w:rsidRDefault="00A04CF2" w:rsidP="00E53842">
            <w:pPr>
              <w:tabs>
                <w:tab w:val="decimal" w:pos="809"/>
                <w:tab w:val="decimal" w:pos="885"/>
              </w:tabs>
              <w:spacing w:before="40" w:after="40"/>
              <w:rPr>
                <w:rFonts w:ascii="Times New Roman" w:hAnsi="Times New Roman" w:cs="Times New Roman"/>
                <w:sz w:val="24"/>
                <w:szCs w:val="24"/>
              </w:rPr>
            </w:pPr>
          </w:p>
        </w:tc>
        <w:tc>
          <w:tcPr>
            <w:tcW w:w="2311" w:type="dxa"/>
          </w:tcPr>
          <w:p w:rsidR="00A04CF2" w:rsidRPr="005D42BA" w:rsidRDefault="00A04CF2" w:rsidP="00E53842">
            <w:pPr>
              <w:tabs>
                <w:tab w:val="decimal" w:pos="767"/>
              </w:tabs>
              <w:spacing w:before="40" w:after="40"/>
              <w:rPr>
                <w:rFonts w:ascii="Times New Roman" w:hAnsi="Times New Roman" w:cs="Times New Roman"/>
                <w:sz w:val="24"/>
                <w:szCs w:val="24"/>
              </w:rPr>
            </w:pPr>
          </w:p>
        </w:tc>
        <w:tc>
          <w:tcPr>
            <w:tcW w:w="2311" w:type="dxa"/>
          </w:tcPr>
          <w:p w:rsidR="00A04CF2" w:rsidRPr="003F1233" w:rsidRDefault="00993453" w:rsidP="001915C6">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0.0019</w:t>
            </w:r>
          </w:p>
          <w:p w:rsidR="00993453" w:rsidRPr="003F1233" w:rsidRDefault="00993453" w:rsidP="001915C6">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(0.0024)</w:t>
            </w:r>
          </w:p>
        </w:tc>
      </w:tr>
      <w:tr w:rsidR="00A04CF2" w:rsidRPr="005D42BA" w:rsidTr="00E319C0">
        <w:tc>
          <w:tcPr>
            <w:tcW w:w="2310" w:type="dxa"/>
          </w:tcPr>
          <w:p w:rsidR="00A04CF2" w:rsidRPr="005D07CF" w:rsidRDefault="00A04CF2"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%Sales</w:t>
            </w:r>
          </w:p>
        </w:tc>
        <w:tc>
          <w:tcPr>
            <w:tcW w:w="2310" w:type="dxa"/>
          </w:tcPr>
          <w:p w:rsidR="00A04CF2" w:rsidRPr="005D42BA" w:rsidRDefault="00A04CF2" w:rsidP="00E53842">
            <w:pPr>
              <w:tabs>
                <w:tab w:val="decimal" w:pos="809"/>
                <w:tab w:val="decimal" w:pos="885"/>
              </w:tabs>
              <w:spacing w:before="40" w:after="40"/>
              <w:rPr>
                <w:rFonts w:ascii="Times New Roman" w:hAnsi="Times New Roman" w:cs="Times New Roman"/>
                <w:sz w:val="24"/>
                <w:szCs w:val="24"/>
              </w:rPr>
            </w:pPr>
          </w:p>
        </w:tc>
        <w:tc>
          <w:tcPr>
            <w:tcW w:w="2311" w:type="dxa"/>
          </w:tcPr>
          <w:p w:rsidR="00A04CF2" w:rsidRPr="005D42BA" w:rsidRDefault="00A04CF2" w:rsidP="00E53842">
            <w:pPr>
              <w:tabs>
                <w:tab w:val="decimal" w:pos="767"/>
              </w:tabs>
              <w:spacing w:before="40" w:after="40"/>
              <w:rPr>
                <w:rFonts w:ascii="Times New Roman" w:hAnsi="Times New Roman" w:cs="Times New Roman"/>
                <w:sz w:val="24"/>
                <w:szCs w:val="24"/>
              </w:rPr>
            </w:pPr>
          </w:p>
        </w:tc>
        <w:tc>
          <w:tcPr>
            <w:tcW w:w="2311" w:type="dxa"/>
          </w:tcPr>
          <w:p w:rsidR="00A04CF2" w:rsidRPr="003F1233" w:rsidRDefault="00993453" w:rsidP="001915C6">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-0.0004</w:t>
            </w:r>
          </w:p>
          <w:p w:rsidR="00993453" w:rsidRPr="003F1233" w:rsidRDefault="00993453" w:rsidP="001915C6">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(0.0037)</w:t>
            </w:r>
          </w:p>
        </w:tc>
      </w:tr>
      <w:tr w:rsidR="00A04CF2" w:rsidRPr="005D42BA" w:rsidTr="00E319C0">
        <w:tc>
          <w:tcPr>
            <w:tcW w:w="2310" w:type="dxa"/>
            <w:tcBorders>
              <w:bottom w:val="single" w:sz="4" w:space="0" w:color="auto"/>
            </w:tcBorders>
          </w:tcPr>
          <w:p w:rsidR="00A04CF2" w:rsidRPr="005D07CF" w:rsidRDefault="00A04CF2" w:rsidP="00E319C0">
            <w:pPr>
              <w:spacing w:before="40" w:after="40"/>
              <w:rPr>
                <w:rFonts w:ascii="Times New Roman" w:hAnsi="Times New Roman" w:cs="Times New Roman"/>
                <w:sz w:val="24"/>
                <w:szCs w:val="24"/>
              </w:rPr>
            </w:pPr>
            <w:r w:rsidRPr="005D07CF">
              <w:rPr>
                <w:rFonts w:ascii="Times New Roman" w:hAnsi="Times New Roman" w:cs="Times New Roman"/>
                <w:sz w:val="24"/>
                <w:szCs w:val="24"/>
              </w:rPr>
              <w:sym w:font="Symbol" w:char="F044"/>
            </w:r>
            <w:r w:rsidRPr="005D07CF">
              <w:rPr>
                <w:rFonts w:ascii="Times New Roman" w:hAnsi="Times New Roman" w:cs="Times New Roman"/>
                <w:sz w:val="24"/>
                <w:szCs w:val="24"/>
              </w:rPr>
              <w:t>Leverage</w:t>
            </w:r>
          </w:p>
        </w:tc>
        <w:tc>
          <w:tcPr>
            <w:tcW w:w="2310" w:type="dxa"/>
            <w:tcBorders>
              <w:bottom w:val="single" w:sz="4" w:space="0" w:color="auto"/>
            </w:tcBorders>
          </w:tcPr>
          <w:p w:rsidR="00A04CF2" w:rsidRPr="005D42BA" w:rsidRDefault="00A04CF2" w:rsidP="00E53842">
            <w:pPr>
              <w:tabs>
                <w:tab w:val="decimal" w:pos="809"/>
                <w:tab w:val="decimal" w:pos="885"/>
              </w:tabs>
              <w:spacing w:before="40" w:after="40"/>
              <w:rPr>
                <w:rFonts w:ascii="Times New Roman" w:hAnsi="Times New Roman" w:cs="Times New Roman"/>
                <w:sz w:val="24"/>
                <w:szCs w:val="24"/>
              </w:rPr>
            </w:pPr>
          </w:p>
        </w:tc>
        <w:tc>
          <w:tcPr>
            <w:tcW w:w="2311" w:type="dxa"/>
            <w:tcBorders>
              <w:bottom w:val="single" w:sz="4" w:space="0" w:color="auto"/>
            </w:tcBorders>
          </w:tcPr>
          <w:p w:rsidR="00A04CF2" w:rsidRPr="005D42BA" w:rsidRDefault="00A04CF2" w:rsidP="00E53842">
            <w:pPr>
              <w:tabs>
                <w:tab w:val="decimal" w:pos="767"/>
              </w:tabs>
              <w:spacing w:before="40" w:after="40"/>
              <w:rPr>
                <w:rFonts w:ascii="Times New Roman" w:hAnsi="Times New Roman" w:cs="Times New Roman"/>
                <w:sz w:val="24"/>
                <w:szCs w:val="24"/>
              </w:rPr>
            </w:pPr>
          </w:p>
        </w:tc>
        <w:tc>
          <w:tcPr>
            <w:tcW w:w="2311" w:type="dxa"/>
            <w:tcBorders>
              <w:bottom w:val="single" w:sz="4" w:space="0" w:color="auto"/>
            </w:tcBorders>
          </w:tcPr>
          <w:p w:rsidR="00A04CF2" w:rsidRPr="003F1233" w:rsidRDefault="00993453" w:rsidP="001915C6">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0.0031</w:t>
            </w:r>
          </w:p>
          <w:p w:rsidR="00993453" w:rsidRPr="003F1233" w:rsidRDefault="00993453" w:rsidP="001915C6">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(0.0102)</w:t>
            </w:r>
          </w:p>
        </w:tc>
      </w:tr>
      <w:tr w:rsidR="00A04CF2" w:rsidRPr="005D42BA" w:rsidTr="00E319C0">
        <w:tc>
          <w:tcPr>
            <w:tcW w:w="2310" w:type="dxa"/>
            <w:tcBorders>
              <w:top w:val="single" w:sz="4" w:space="0" w:color="auto"/>
            </w:tcBorders>
          </w:tcPr>
          <w:p w:rsidR="00A04CF2" w:rsidRPr="005D42BA" w:rsidRDefault="00A04CF2"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R-squared</w:t>
            </w:r>
          </w:p>
        </w:tc>
        <w:tc>
          <w:tcPr>
            <w:tcW w:w="2310" w:type="dxa"/>
            <w:tcBorders>
              <w:top w:val="single" w:sz="4" w:space="0" w:color="auto"/>
            </w:tcBorders>
          </w:tcPr>
          <w:p w:rsidR="00A04CF2" w:rsidRPr="005D42BA" w:rsidRDefault="000722FF" w:rsidP="00E53842">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0.3955%</w:t>
            </w:r>
          </w:p>
        </w:tc>
        <w:tc>
          <w:tcPr>
            <w:tcW w:w="2311" w:type="dxa"/>
            <w:tcBorders>
              <w:top w:val="single" w:sz="4" w:space="0" w:color="auto"/>
            </w:tcBorders>
          </w:tcPr>
          <w:p w:rsidR="00A04CF2" w:rsidRPr="005D42BA" w:rsidRDefault="008A7497"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0.5007%</w:t>
            </w:r>
          </w:p>
        </w:tc>
        <w:tc>
          <w:tcPr>
            <w:tcW w:w="2311" w:type="dxa"/>
            <w:tcBorders>
              <w:top w:val="single" w:sz="4" w:space="0" w:color="auto"/>
            </w:tcBorders>
          </w:tcPr>
          <w:p w:rsidR="00A04CF2" w:rsidRPr="005D42BA" w:rsidRDefault="006A0F29" w:rsidP="006A0F29">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0.5655%</w:t>
            </w:r>
          </w:p>
        </w:tc>
      </w:tr>
      <w:tr w:rsidR="00A04CF2" w:rsidRPr="005D42BA" w:rsidTr="00E319C0">
        <w:tc>
          <w:tcPr>
            <w:tcW w:w="2310" w:type="dxa"/>
          </w:tcPr>
          <w:p w:rsidR="00A04CF2" w:rsidRPr="005D42BA" w:rsidRDefault="00A04CF2"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F-stat</w:t>
            </w:r>
          </w:p>
        </w:tc>
        <w:tc>
          <w:tcPr>
            <w:tcW w:w="2310" w:type="dxa"/>
          </w:tcPr>
          <w:p w:rsidR="00A04CF2" w:rsidRPr="005D42BA" w:rsidRDefault="000722FF" w:rsidP="00E53842">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5.5911</w:t>
            </w:r>
          </w:p>
        </w:tc>
        <w:tc>
          <w:tcPr>
            <w:tcW w:w="2311" w:type="dxa"/>
          </w:tcPr>
          <w:p w:rsidR="00A04CF2" w:rsidRPr="005D42BA" w:rsidRDefault="008A7497"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2.3501</w:t>
            </w:r>
          </w:p>
        </w:tc>
        <w:tc>
          <w:tcPr>
            <w:tcW w:w="2311" w:type="dxa"/>
          </w:tcPr>
          <w:p w:rsidR="00A04CF2" w:rsidRPr="005D42BA" w:rsidRDefault="006A0F29" w:rsidP="006A0F29">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1.3062</w:t>
            </w:r>
          </w:p>
        </w:tc>
      </w:tr>
      <w:tr w:rsidR="00A04CF2" w:rsidRPr="005D42BA" w:rsidTr="00E319C0">
        <w:tc>
          <w:tcPr>
            <w:tcW w:w="2310" w:type="dxa"/>
          </w:tcPr>
          <w:p w:rsidR="00A04CF2" w:rsidRPr="005D42BA" w:rsidRDefault="00A04CF2" w:rsidP="00E319C0">
            <w:pPr>
              <w:spacing w:before="40" w:after="40"/>
              <w:rPr>
                <w:rFonts w:ascii="Times New Roman" w:hAnsi="Times New Roman" w:cs="Times New Roman"/>
                <w:sz w:val="24"/>
                <w:szCs w:val="24"/>
              </w:rPr>
            </w:pPr>
            <w:proofErr w:type="spellStart"/>
            <w:r w:rsidRPr="005D42BA">
              <w:rPr>
                <w:rFonts w:ascii="Times New Roman" w:hAnsi="Times New Roman" w:cs="Times New Roman"/>
                <w:sz w:val="24"/>
                <w:szCs w:val="24"/>
              </w:rPr>
              <w:t>Prob</w:t>
            </w:r>
            <w:proofErr w:type="spellEnd"/>
            <w:r w:rsidRPr="005D42BA">
              <w:rPr>
                <w:rFonts w:ascii="Times New Roman" w:hAnsi="Times New Roman" w:cs="Times New Roman"/>
                <w:sz w:val="24"/>
                <w:szCs w:val="24"/>
              </w:rPr>
              <w:t xml:space="preserve"> (F-stat)</w:t>
            </w:r>
          </w:p>
        </w:tc>
        <w:tc>
          <w:tcPr>
            <w:tcW w:w="2310" w:type="dxa"/>
          </w:tcPr>
          <w:p w:rsidR="00A04CF2" w:rsidRPr="005D42BA" w:rsidRDefault="000722FF" w:rsidP="00E53842">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0.0182</w:t>
            </w:r>
          </w:p>
        </w:tc>
        <w:tc>
          <w:tcPr>
            <w:tcW w:w="2311" w:type="dxa"/>
          </w:tcPr>
          <w:p w:rsidR="00A04CF2" w:rsidRPr="005D42BA" w:rsidRDefault="008A7497"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0.0708</w:t>
            </w:r>
          </w:p>
        </w:tc>
        <w:tc>
          <w:tcPr>
            <w:tcW w:w="2311" w:type="dxa"/>
          </w:tcPr>
          <w:p w:rsidR="00A04CF2" w:rsidRPr="005D42BA" w:rsidRDefault="006A0F29" w:rsidP="006A0F29">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0.2511</w:t>
            </w:r>
          </w:p>
        </w:tc>
      </w:tr>
      <w:tr w:rsidR="00A04CF2" w:rsidRPr="005D42BA" w:rsidTr="00E319C0">
        <w:tc>
          <w:tcPr>
            <w:tcW w:w="2310" w:type="dxa"/>
            <w:tcBorders>
              <w:bottom w:val="single" w:sz="4" w:space="0" w:color="auto"/>
            </w:tcBorders>
          </w:tcPr>
          <w:p w:rsidR="00A04CF2" w:rsidRPr="005D42BA" w:rsidRDefault="00A04CF2"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 xml:space="preserve">No. obs. </w:t>
            </w:r>
          </w:p>
        </w:tc>
        <w:tc>
          <w:tcPr>
            <w:tcW w:w="2310" w:type="dxa"/>
            <w:tcBorders>
              <w:bottom w:val="single" w:sz="4" w:space="0" w:color="auto"/>
            </w:tcBorders>
          </w:tcPr>
          <w:p w:rsidR="00A04CF2" w:rsidRPr="005D42BA" w:rsidRDefault="000722FF" w:rsidP="00E53842">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1410</w:t>
            </w:r>
          </w:p>
        </w:tc>
        <w:tc>
          <w:tcPr>
            <w:tcW w:w="2311" w:type="dxa"/>
            <w:tcBorders>
              <w:bottom w:val="single" w:sz="4" w:space="0" w:color="auto"/>
            </w:tcBorders>
          </w:tcPr>
          <w:p w:rsidR="00A04CF2" w:rsidRPr="005D42BA" w:rsidRDefault="009076A6" w:rsidP="00E53842">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1405</w:t>
            </w:r>
          </w:p>
        </w:tc>
        <w:tc>
          <w:tcPr>
            <w:tcW w:w="2311" w:type="dxa"/>
            <w:tcBorders>
              <w:bottom w:val="single" w:sz="4" w:space="0" w:color="auto"/>
            </w:tcBorders>
          </w:tcPr>
          <w:p w:rsidR="00A04CF2" w:rsidRPr="005D42BA" w:rsidRDefault="009076A6" w:rsidP="00E53842">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1385</w:t>
            </w:r>
          </w:p>
        </w:tc>
      </w:tr>
      <w:tr w:rsidR="00A04CF2" w:rsidRPr="005D42BA" w:rsidTr="00E319C0">
        <w:tc>
          <w:tcPr>
            <w:tcW w:w="9242" w:type="dxa"/>
            <w:gridSpan w:val="4"/>
            <w:tcBorders>
              <w:top w:val="single" w:sz="4" w:space="0" w:color="auto"/>
              <w:bottom w:val="single" w:sz="4" w:space="0" w:color="auto"/>
            </w:tcBorders>
          </w:tcPr>
          <w:p w:rsidR="00A04CF2" w:rsidRPr="005D42BA" w:rsidRDefault="00A04CF2" w:rsidP="00A04CF2">
            <w:pPr>
              <w:spacing w:before="40" w:after="40"/>
              <w:rPr>
                <w:rFonts w:ascii="Times New Roman" w:hAnsi="Times New Roman" w:cs="Times New Roman"/>
                <w:sz w:val="24"/>
                <w:szCs w:val="24"/>
              </w:rPr>
            </w:pPr>
            <w:r w:rsidRPr="005D42BA">
              <w:rPr>
                <w:rFonts w:ascii="Times New Roman" w:hAnsi="Times New Roman" w:cs="Times New Roman"/>
                <w:b/>
                <w:sz w:val="24"/>
                <w:szCs w:val="24"/>
              </w:rPr>
              <w:t>Panel B. Regressions on CAR_MM(-1,5)</w:t>
            </w:r>
          </w:p>
        </w:tc>
      </w:tr>
      <w:tr w:rsidR="00A04CF2" w:rsidRPr="005D42BA" w:rsidTr="00E319C0">
        <w:tc>
          <w:tcPr>
            <w:tcW w:w="2310" w:type="dxa"/>
            <w:tcBorders>
              <w:top w:val="single" w:sz="4" w:space="0" w:color="auto"/>
            </w:tcBorders>
          </w:tcPr>
          <w:p w:rsidR="00A04CF2" w:rsidRPr="005D42BA" w:rsidRDefault="00A04CF2" w:rsidP="00E319C0">
            <w:pPr>
              <w:spacing w:before="40" w:after="40"/>
              <w:jc w:val="center"/>
              <w:rPr>
                <w:rFonts w:ascii="Times New Roman" w:hAnsi="Times New Roman" w:cs="Times New Roman"/>
                <w:i/>
                <w:sz w:val="24"/>
                <w:szCs w:val="24"/>
              </w:rPr>
            </w:pPr>
          </w:p>
        </w:tc>
        <w:tc>
          <w:tcPr>
            <w:tcW w:w="2310" w:type="dxa"/>
            <w:tcBorders>
              <w:top w:val="single" w:sz="4" w:space="0" w:color="auto"/>
            </w:tcBorders>
          </w:tcPr>
          <w:p w:rsidR="00A04CF2" w:rsidRPr="005D42BA" w:rsidRDefault="00A04CF2" w:rsidP="00E319C0">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w:t>
            </w:r>
          </w:p>
        </w:tc>
        <w:tc>
          <w:tcPr>
            <w:tcW w:w="2311" w:type="dxa"/>
            <w:tcBorders>
              <w:top w:val="single" w:sz="4" w:space="0" w:color="auto"/>
            </w:tcBorders>
          </w:tcPr>
          <w:p w:rsidR="00A04CF2" w:rsidRPr="005D42BA" w:rsidRDefault="00A04CF2" w:rsidP="00E319C0">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(2)</w:t>
            </w:r>
          </w:p>
        </w:tc>
        <w:tc>
          <w:tcPr>
            <w:tcW w:w="2311" w:type="dxa"/>
            <w:tcBorders>
              <w:top w:val="single" w:sz="4" w:space="0" w:color="auto"/>
            </w:tcBorders>
          </w:tcPr>
          <w:p w:rsidR="00A04CF2" w:rsidRPr="005D42BA" w:rsidRDefault="00A04CF2" w:rsidP="00E319C0">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(3)</w:t>
            </w:r>
          </w:p>
        </w:tc>
      </w:tr>
      <w:tr w:rsidR="00A04CF2" w:rsidRPr="005D42BA" w:rsidTr="00E319C0">
        <w:tc>
          <w:tcPr>
            <w:tcW w:w="2310" w:type="dxa"/>
          </w:tcPr>
          <w:p w:rsidR="000722FF" w:rsidRPr="003F1233" w:rsidRDefault="000722FF" w:rsidP="00E319C0">
            <w:pPr>
              <w:spacing w:before="40" w:after="40"/>
              <w:rPr>
                <w:rFonts w:ascii="Times New Roman" w:hAnsi="Times New Roman" w:cs="Times New Roman"/>
                <w:sz w:val="24"/>
                <w:szCs w:val="24"/>
              </w:rPr>
            </w:pPr>
            <w:r w:rsidRPr="003F1233">
              <w:rPr>
                <w:rFonts w:ascii="Times New Roman" w:hAnsi="Times New Roman" w:cs="Times New Roman"/>
                <w:sz w:val="24"/>
                <w:szCs w:val="24"/>
              </w:rPr>
              <w:t>Intercept</w:t>
            </w:r>
          </w:p>
          <w:p w:rsidR="000722FF" w:rsidRPr="003F1233" w:rsidRDefault="000722FF" w:rsidP="00E319C0">
            <w:pPr>
              <w:spacing w:before="40" w:after="40"/>
              <w:rPr>
                <w:rFonts w:ascii="Times New Roman" w:hAnsi="Times New Roman" w:cs="Times New Roman"/>
                <w:sz w:val="24"/>
                <w:szCs w:val="24"/>
              </w:rPr>
            </w:pPr>
          </w:p>
          <w:p w:rsidR="00A04CF2" w:rsidRPr="003F1233" w:rsidRDefault="00A04CF2" w:rsidP="00E319C0">
            <w:pPr>
              <w:spacing w:before="40" w:after="40"/>
              <w:rPr>
                <w:rFonts w:ascii="Times New Roman" w:hAnsi="Times New Roman" w:cs="Times New Roman"/>
                <w:sz w:val="24"/>
                <w:szCs w:val="24"/>
              </w:rPr>
            </w:pPr>
            <w:r w:rsidRPr="003F1233">
              <w:rPr>
                <w:rFonts w:ascii="Times New Roman" w:hAnsi="Times New Roman" w:cs="Times New Roman"/>
                <w:sz w:val="24"/>
                <w:szCs w:val="24"/>
              </w:rPr>
              <w:t>Positiveness</w:t>
            </w:r>
          </w:p>
        </w:tc>
        <w:tc>
          <w:tcPr>
            <w:tcW w:w="2310" w:type="dxa"/>
          </w:tcPr>
          <w:p w:rsidR="00A04CF2" w:rsidRPr="003F1233" w:rsidRDefault="00365A7C" w:rsidP="00E53842">
            <w:pPr>
              <w:tabs>
                <w:tab w:val="decimal" w:pos="809"/>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-0.0042</w:t>
            </w:r>
            <w:r w:rsidR="00B734D4" w:rsidRPr="003F1233">
              <w:rPr>
                <w:rFonts w:ascii="Times New Roman" w:hAnsi="Times New Roman" w:cs="Times New Roman"/>
                <w:sz w:val="24"/>
                <w:szCs w:val="24"/>
                <w:vertAlign w:val="superscript"/>
              </w:rPr>
              <w:t>*</w:t>
            </w:r>
          </w:p>
          <w:p w:rsidR="00365A7C" w:rsidRPr="003F1233" w:rsidRDefault="00365A7C" w:rsidP="00E53842">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(0.0022)</w:t>
            </w:r>
          </w:p>
          <w:p w:rsidR="00365A7C" w:rsidRPr="003F1233" w:rsidRDefault="00365A7C" w:rsidP="00E53842">
            <w:pPr>
              <w:tabs>
                <w:tab w:val="decimal" w:pos="809"/>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0.9759</w:t>
            </w:r>
            <w:r w:rsidRPr="003F1233">
              <w:rPr>
                <w:rFonts w:ascii="Times New Roman" w:hAnsi="Times New Roman" w:cs="Times New Roman"/>
                <w:sz w:val="24"/>
                <w:szCs w:val="24"/>
                <w:vertAlign w:val="superscript"/>
              </w:rPr>
              <w:t>***</w:t>
            </w:r>
          </w:p>
          <w:p w:rsidR="00365A7C" w:rsidRPr="003F1233" w:rsidRDefault="00365A7C" w:rsidP="00E53842">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(0.3425)</w:t>
            </w:r>
          </w:p>
        </w:tc>
        <w:tc>
          <w:tcPr>
            <w:tcW w:w="2311" w:type="dxa"/>
          </w:tcPr>
          <w:p w:rsidR="00A04CF2" w:rsidRPr="003F1233" w:rsidRDefault="00CF483D"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0.0249</w:t>
            </w:r>
            <w:r w:rsidRPr="003F1233">
              <w:rPr>
                <w:rFonts w:ascii="Times New Roman" w:hAnsi="Times New Roman" w:cs="Times New Roman"/>
                <w:sz w:val="24"/>
                <w:szCs w:val="24"/>
                <w:vertAlign w:val="superscript"/>
              </w:rPr>
              <w:t>*</w:t>
            </w:r>
          </w:p>
          <w:p w:rsidR="00CF483D" w:rsidRPr="003F1233" w:rsidRDefault="00CF483D"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(0.0143)</w:t>
            </w:r>
          </w:p>
          <w:p w:rsidR="00CF483D" w:rsidRPr="003F1233" w:rsidRDefault="00CF483D"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0.9613</w:t>
            </w:r>
            <w:r w:rsidRPr="003F1233">
              <w:rPr>
                <w:rFonts w:ascii="Times New Roman" w:hAnsi="Times New Roman" w:cs="Times New Roman"/>
                <w:sz w:val="24"/>
                <w:szCs w:val="24"/>
                <w:vertAlign w:val="superscript"/>
              </w:rPr>
              <w:t>***</w:t>
            </w:r>
          </w:p>
          <w:p w:rsidR="00CF483D" w:rsidRPr="003F1233" w:rsidRDefault="00CF483D"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(0.3428)</w:t>
            </w:r>
          </w:p>
        </w:tc>
        <w:tc>
          <w:tcPr>
            <w:tcW w:w="2311" w:type="dxa"/>
          </w:tcPr>
          <w:p w:rsidR="00A04CF2" w:rsidRPr="003F1233" w:rsidRDefault="00A95A41" w:rsidP="00F67CB1">
            <w:pPr>
              <w:tabs>
                <w:tab w:val="decimal" w:pos="899"/>
              </w:tabs>
              <w:spacing w:before="40"/>
              <w:rPr>
                <w:rFonts w:ascii="Times New Roman" w:hAnsi="Times New Roman" w:cs="Times New Roman"/>
                <w:sz w:val="24"/>
                <w:szCs w:val="24"/>
              </w:rPr>
            </w:pPr>
            <w:r w:rsidRPr="003F1233">
              <w:rPr>
                <w:rFonts w:ascii="Times New Roman" w:hAnsi="Times New Roman" w:cs="Times New Roman"/>
                <w:sz w:val="24"/>
                <w:szCs w:val="24"/>
              </w:rPr>
              <w:t>0.0262</w:t>
            </w:r>
            <w:r w:rsidR="00F67CB1" w:rsidRPr="003F1233">
              <w:rPr>
                <w:rFonts w:ascii="Times New Roman" w:hAnsi="Times New Roman" w:cs="Times New Roman"/>
                <w:sz w:val="24"/>
                <w:szCs w:val="24"/>
                <w:vertAlign w:val="superscript"/>
              </w:rPr>
              <w:t>*</w:t>
            </w:r>
          </w:p>
          <w:p w:rsidR="00A95A41" w:rsidRPr="003F1233" w:rsidRDefault="00A95A41" w:rsidP="00F67CB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w:t>
            </w:r>
            <w:r w:rsidR="001915C6" w:rsidRPr="003F1233">
              <w:rPr>
                <w:rFonts w:ascii="Times New Roman" w:hAnsi="Times New Roman" w:cs="Times New Roman"/>
                <w:sz w:val="24"/>
                <w:szCs w:val="24"/>
              </w:rPr>
              <w:t>0.0145</w:t>
            </w:r>
            <w:r w:rsidRPr="003F1233">
              <w:rPr>
                <w:rFonts w:ascii="Times New Roman" w:hAnsi="Times New Roman" w:cs="Times New Roman"/>
                <w:sz w:val="24"/>
                <w:szCs w:val="24"/>
              </w:rPr>
              <w:t>)</w:t>
            </w:r>
          </w:p>
          <w:p w:rsidR="00975D67" w:rsidRPr="003F1233" w:rsidRDefault="00975D67" w:rsidP="00F67CB1">
            <w:pPr>
              <w:tabs>
                <w:tab w:val="decimal" w:pos="899"/>
              </w:tabs>
              <w:spacing w:before="40"/>
              <w:rPr>
                <w:rFonts w:ascii="Times New Roman" w:hAnsi="Times New Roman" w:cs="Times New Roman"/>
                <w:sz w:val="24"/>
                <w:szCs w:val="24"/>
              </w:rPr>
            </w:pPr>
            <w:r w:rsidRPr="003F1233">
              <w:rPr>
                <w:rFonts w:ascii="Times New Roman" w:hAnsi="Times New Roman" w:cs="Times New Roman"/>
                <w:sz w:val="24"/>
                <w:szCs w:val="24"/>
              </w:rPr>
              <w:t>1.0017</w:t>
            </w:r>
            <w:r w:rsidR="00F67CB1" w:rsidRPr="003F1233">
              <w:rPr>
                <w:rFonts w:ascii="Times New Roman" w:hAnsi="Times New Roman" w:cs="Times New Roman"/>
                <w:sz w:val="24"/>
                <w:szCs w:val="24"/>
                <w:vertAlign w:val="superscript"/>
              </w:rPr>
              <w:t>**</w:t>
            </w:r>
            <w:r w:rsidR="001915C6" w:rsidRPr="003F1233">
              <w:rPr>
                <w:rFonts w:ascii="Times New Roman" w:hAnsi="Times New Roman" w:cs="Times New Roman"/>
                <w:sz w:val="24"/>
                <w:szCs w:val="24"/>
                <w:vertAlign w:val="superscript"/>
              </w:rPr>
              <w:t>*</w:t>
            </w:r>
          </w:p>
          <w:p w:rsidR="00975D67" w:rsidRPr="003F1233" w:rsidRDefault="00975D67" w:rsidP="00373A6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(0.347</w:t>
            </w:r>
            <w:r w:rsidR="00373A61" w:rsidRPr="003F1233">
              <w:rPr>
                <w:rFonts w:ascii="Times New Roman" w:hAnsi="Times New Roman" w:cs="Times New Roman"/>
                <w:sz w:val="24"/>
                <w:szCs w:val="24"/>
              </w:rPr>
              <w:t>7</w:t>
            </w:r>
            <w:r w:rsidRPr="003F1233">
              <w:rPr>
                <w:rFonts w:ascii="Times New Roman" w:hAnsi="Times New Roman" w:cs="Times New Roman"/>
                <w:sz w:val="24"/>
                <w:szCs w:val="24"/>
              </w:rPr>
              <w:t>)</w:t>
            </w:r>
          </w:p>
        </w:tc>
      </w:tr>
      <w:tr w:rsidR="00A04CF2" w:rsidRPr="005D42BA" w:rsidTr="00E319C0">
        <w:tc>
          <w:tcPr>
            <w:tcW w:w="2310" w:type="dxa"/>
          </w:tcPr>
          <w:p w:rsidR="00A04CF2" w:rsidRPr="003F1233" w:rsidRDefault="00A04CF2" w:rsidP="00E319C0">
            <w:pPr>
              <w:spacing w:before="40" w:after="40"/>
              <w:rPr>
                <w:rFonts w:ascii="Times New Roman" w:hAnsi="Times New Roman" w:cs="Times New Roman"/>
                <w:sz w:val="24"/>
                <w:szCs w:val="24"/>
              </w:rPr>
            </w:pPr>
            <w:r w:rsidRPr="003F1233">
              <w:rPr>
                <w:rFonts w:ascii="Times New Roman" w:hAnsi="Times New Roman" w:cs="Times New Roman"/>
                <w:sz w:val="24"/>
                <w:szCs w:val="24"/>
              </w:rPr>
              <w:t>Size</w:t>
            </w:r>
          </w:p>
        </w:tc>
        <w:tc>
          <w:tcPr>
            <w:tcW w:w="2310" w:type="dxa"/>
          </w:tcPr>
          <w:p w:rsidR="00A04CF2" w:rsidRPr="003F1233" w:rsidRDefault="00A04CF2" w:rsidP="00E53842">
            <w:pPr>
              <w:tabs>
                <w:tab w:val="decimal" w:pos="809"/>
              </w:tabs>
              <w:spacing w:before="40" w:after="40"/>
              <w:rPr>
                <w:rFonts w:ascii="Times New Roman" w:hAnsi="Times New Roman" w:cs="Times New Roman"/>
                <w:sz w:val="24"/>
                <w:szCs w:val="24"/>
              </w:rPr>
            </w:pPr>
          </w:p>
        </w:tc>
        <w:tc>
          <w:tcPr>
            <w:tcW w:w="2311" w:type="dxa"/>
          </w:tcPr>
          <w:p w:rsidR="00A04CF2" w:rsidRPr="003F1233" w:rsidRDefault="00CF483D"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-0.0020</w:t>
            </w:r>
            <w:r w:rsidRPr="003F1233">
              <w:rPr>
                <w:rFonts w:ascii="Times New Roman" w:hAnsi="Times New Roman" w:cs="Times New Roman"/>
                <w:sz w:val="24"/>
                <w:szCs w:val="24"/>
                <w:vertAlign w:val="superscript"/>
              </w:rPr>
              <w:t>**</w:t>
            </w:r>
          </w:p>
          <w:p w:rsidR="00CF483D" w:rsidRPr="003F1233" w:rsidRDefault="00CF483D"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(0.0010)</w:t>
            </w:r>
          </w:p>
        </w:tc>
        <w:tc>
          <w:tcPr>
            <w:tcW w:w="2311" w:type="dxa"/>
          </w:tcPr>
          <w:p w:rsidR="00A04CF2" w:rsidRPr="003F1233" w:rsidRDefault="00F67CB1" w:rsidP="00F67CB1">
            <w:pPr>
              <w:tabs>
                <w:tab w:val="decimal" w:pos="899"/>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-0.0020</w:t>
            </w:r>
            <w:r w:rsidR="001915C6" w:rsidRPr="003F1233">
              <w:rPr>
                <w:rFonts w:ascii="Times New Roman" w:hAnsi="Times New Roman" w:cs="Times New Roman"/>
                <w:sz w:val="24"/>
                <w:szCs w:val="24"/>
                <w:vertAlign w:val="superscript"/>
              </w:rPr>
              <w:t>**</w:t>
            </w:r>
          </w:p>
          <w:p w:rsidR="00F67CB1" w:rsidRPr="003F1233" w:rsidRDefault="00F67CB1" w:rsidP="00F67CB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(0.0010)</w:t>
            </w:r>
          </w:p>
        </w:tc>
      </w:tr>
      <w:tr w:rsidR="00A04CF2" w:rsidRPr="005D42BA" w:rsidTr="00E319C0">
        <w:tc>
          <w:tcPr>
            <w:tcW w:w="2310" w:type="dxa"/>
          </w:tcPr>
          <w:p w:rsidR="00A04CF2" w:rsidRPr="003F1233" w:rsidRDefault="00A04CF2" w:rsidP="001146BC">
            <w:pPr>
              <w:spacing w:before="40" w:after="40"/>
              <w:rPr>
                <w:rFonts w:ascii="Times New Roman" w:hAnsi="Times New Roman" w:cs="Times New Roman"/>
                <w:sz w:val="24"/>
                <w:szCs w:val="24"/>
              </w:rPr>
            </w:pPr>
            <w:proofErr w:type="spellStart"/>
            <w:r w:rsidRPr="003F1233">
              <w:rPr>
                <w:rFonts w:ascii="Times New Roman" w:hAnsi="Times New Roman" w:cs="Times New Roman"/>
                <w:sz w:val="24"/>
                <w:szCs w:val="24"/>
              </w:rPr>
              <w:t>Book</w:t>
            </w:r>
            <w:r w:rsidR="001146BC" w:rsidRPr="003F1233">
              <w:rPr>
                <w:rFonts w:ascii="Times New Roman" w:hAnsi="Times New Roman" w:cs="Times New Roman"/>
                <w:sz w:val="24"/>
                <w:szCs w:val="24"/>
              </w:rPr>
              <w:t>_</w:t>
            </w:r>
            <w:r w:rsidRPr="003F1233">
              <w:rPr>
                <w:rFonts w:ascii="Times New Roman" w:hAnsi="Times New Roman" w:cs="Times New Roman"/>
                <w:sz w:val="24"/>
                <w:szCs w:val="24"/>
              </w:rPr>
              <w:t>to</w:t>
            </w:r>
            <w:r w:rsidR="001146BC" w:rsidRPr="003F1233">
              <w:rPr>
                <w:rFonts w:ascii="Times New Roman" w:hAnsi="Times New Roman" w:cs="Times New Roman"/>
                <w:sz w:val="24"/>
                <w:szCs w:val="24"/>
              </w:rPr>
              <w:t>_</w:t>
            </w:r>
            <w:r w:rsidRPr="003F1233">
              <w:rPr>
                <w:rFonts w:ascii="Times New Roman" w:hAnsi="Times New Roman" w:cs="Times New Roman"/>
                <w:sz w:val="24"/>
                <w:szCs w:val="24"/>
              </w:rPr>
              <w:t>Market</w:t>
            </w:r>
            <w:proofErr w:type="spellEnd"/>
          </w:p>
        </w:tc>
        <w:tc>
          <w:tcPr>
            <w:tcW w:w="2310" w:type="dxa"/>
          </w:tcPr>
          <w:p w:rsidR="00A04CF2" w:rsidRPr="005D42BA" w:rsidRDefault="00A04CF2" w:rsidP="00E53842">
            <w:pPr>
              <w:tabs>
                <w:tab w:val="decimal" w:pos="809"/>
              </w:tabs>
              <w:spacing w:before="40" w:after="40"/>
              <w:rPr>
                <w:rFonts w:ascii="Times New Roman" w:hAnsi="Times New Roman" w:cs="Times New Roman"/>
                <w:sz w:val="24"/>
                <w:szCs w:val="24"/>
              </w:rPr>
            </w:pPr>
          </w:p>
        </w:tc>
        <w:tc>
          <w:tcPr>
            <w:tcW w:w="2311" w:type="dxa"/>
          </w:tcPr>
          <w:p w:rsidR="00484B1F" w:rsidRPr="003F1233" w:rsidRDefault="00CF483D" w:rsidP="00E53842">
            <w:pPr>
              <w:tabs>
                <w:tab w:val="decimal" w:pos="767"/>
              </w:tabs>
              <w:spacing w:before="40"/>
              <w:rPr>
                <w:rFonts w:ascii="Times New Roman" w:hAnsi="Times New Roman" w:cs="Times New Roman"/>
                <w:sz w:val="24"/>
                <w:szCs w:val="24"/>
              </w:rPr>
            </w:pPr>
            <w:r w:rsidRPr="003F1233">
              <w:rPr>
                <w:rFonts w:ascii="Times New Roman" w:hAnsi="Times New Roman" w:cs="Times New Roman"/>
                <w:sz w:val="24"/>
                <w:szCs w:val="24"/>
              </w:rPr>
              <w:t>-0.00</w:t>
            </w:r>
            <w:r w:rsidR="00373A61" w:rsidRPr="003F1233">
              <w:rPr>
                <w:rFonts w:ascii="Times New Roman" w:hAnsi="Times New Roman" w:cs="Times New Roman"/>
                <w:sz w:val="24"/>
                <w:szCs w:val="24"/>
              </w:rPr>
              <w:t>1</w:t>
            </w:r>
            <w:r w:rsidRPr="003F1233">
              <w:rPr>
                <w:rFonts w:ascii="Times New Roman" w:hAnsi="Times New Roman" w:cs="Times New Roman"/>
                <w:sz w:val="24"/>
                <w:szCs w:val="24"/>
              </w:rPr>
              <w:t>0</w:t>
            </w:r>
          </w:p>
          <w:p w:rsidR="00F67CB1" w:rsidRPr="003F1233" w:rsidRDefault="00F67CB1" w:rsidP="00E53842">
            <w:pPr>
              <w:tabs>
                <w:tab w:val="decimal" w:pos="767"/>
              </w:tabs>
              <w:spacing w:after="40"/>
              <w:rPr>
                <w:rFonts w:ascii="Times New Roman" w:hAnsi="Times New Roman" w:cs="Times New Roman"/>
                <w:sz w:val="24"/>
                <w:szCs w:val="24"/>
              </w:rPr>
            </w:pPr>
            <w:r w:rsidRPr="003F1233">
              <w:rPr>
                <w:rFonts w:ascii="Times New Roman" w:hAnsi="Times New Roman" w:cs="Times New Roman"/>
                <w:sz w:val="24"/>
                <w:szCs w:val="24"/>
              </w:rPr>
              <w:t>(</w:t>
            </w:r>
            <w:r w:rsidR="00B734D4" w:rsidRPr="003F1233">
              <w:rPr>
                <w:rFonts w:ascii="Times New Roman" w:hAnsi="Times New Roman" w:cs="Times New Roman"/>
                <w:sz w:val="24"/>
                <w:szCs w:val="24"/>
              </w:rPr>
              <w:t>0.0019</w:t>
            </w:r>
            <w:r w:rsidRPr="003F1233">
              <w:rPr>
                <w:rFonts w:ascii="Times New Roman" w:hAnsi="Times New Roman" w:cs="Times New Roman"/>
                <w:sz w:val="24"/>
                <w:szCs w:val="24"/>
              </w:rPr>
              <w:t>)</w:t>
            </w:r>
          </w:p>
        </w:tc>
        <w:tc>
          <w:tcPr>
            <w:tcW w:w="2311" w:type="dxa"/>
          </w:tcPr>
          <w:p w:rsidR="00A04CF2" w:rsidRPr="003F1233" w:rsidRDefault="00F67CB1" w:rsidP="00F67CB1">
            <w:pPr>
              <w:tabs>
                <w:tab w:val="decimal" w:pos="899"/>
              </w:tabs>
              <w:spacing w:before="40"/>
              <w:rPr>
                <w:rFonts w:ascii="Times New Roman" w:hAnsi="Times New Roman" w:cs="Times New Roman"/>
                <w:sz w:val="24"/>
                <w:szCs w:val="24"/>
              </w:rPr>
            </w:pPr>
            <w:r w:rsidRPr="003F1233">
              <w:rPr>
                <w:rFonts w:ascii="Times New Roman" w:hAnsi="Times New Roman" w:cs="Times New Roman"/>
                <w:sz w:val="24"/>
                <w:szCs w:val="24"/>
              </w:rPr>
              <w:t>-0.0029</w:t>
            </w:r>
          </w:p>
          <w:p w:rsidR="00F67CB1" w:rsidRPr="003F1233" w:rsidRDefault="00F67CB1" w:rsidP="00F67CB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(0.0021)</w:t>
            </w:r>
          </w:p>
        </w:tc>
      </w:tr>
      <w:tr w:rsidR="00A04CF2" w:rsidRPr="005D42BA" w:rsidTr="00E319C0">
        <w:tc>
          <w:tcPr>
            <w:tcW w:w="2310" w:type="dxa"/>
          </w:tcPr>
          <w:p w:rsidR="00A04CF2" w:rsidRPr="003F1233" w:rsidRDefault="00A04CF2" w:rsidP="00E319C0">
            <w:pPr>
              <w:spacing w:before="40" w:after="40"/>
              <w:rPr>
                <w:rFonts w:ascii="Times New Roman" w:hAnsi="Times New Roman" w:cs="Times New Roman"/>
                <w:sz w:val="24"/>
                <w:szCs w:val="24"/>
              </w:rPr>
            </w:pPr>
            <w:proofErr w:type="spellStart"/>
            <w:r w:rsidRPr="003F1233">
              <w:rPr>
                <w:rFonts w:ascii="Times New Roman" w:hAnsi="Times New Roman" w:cs="Times New Roman"/>
                <w:sz w:val="24"/>
                <w:szCs w:val="24"/>
              </w:rPr>
              <w:t>Earnings_Surprise</w:t>
            </w:r>
            <w:proofErr w:type="spellEnd"/>
          </w:p>
        </w:tc>
        <w:tc>
          <w:tcPr>
            <w:tcW w:w="2310" w:type="dxa"/>
          </w:tcPr>
          <w:p w:rsidR="00A04CF2" w:rsidRPr="005D42BA" w:rsidRDefault="00A04CF2" w:rsidP="00E53842">
            <w:pPr>
              <w:tabs>
                <w:tab w:val="decimal" w:pos="809"/>
              </w:tabs>
              <w:spacing w:before="40" w:after="40"/>
              <w:rPr>
                <w:rFonts w:ascii="Times New Roman" w:hAnsi="Times New Roman" w:cs="Times New Roman"/>
                <w:sz w:val="24"/>
                <w:szCs w:val="24"/>
              </w:rPr>
            </w:pPr>
          </w:p>
        </w:tc>
        <w:tc>
          <w:tcPr>
            <w:tcW w:w="2311" w:type="dxa"/>
          </w:tcPr>
          <w:p w:rsidR="00A04CF2" w:rsidRPr="005D42BA" w:rsidRDefault="00A04CF2" w:rsidP="00E53842">
            <w:pPr>
              <w:tabs>
                <w:tab w:val="decimal" w:pos="767"/>
              </w:tabs>
              <w:spacing w:after="40"/>
              <w:rPr>
                <w:rFonts w:ascii="Times New Roman" w:hAnsi="Times New Roman" w:cs="Times New Roman"/>
                <w:i/>
                <w:sz w:val="24"/>
                <w:szCs w:val="24"/>
              </w:rPr>
            </w:pPr>
          </w:p>
        </w:tc>
        <w:tc>
          <w:tcPr>
            <w:tcW w:w="2311" w:type="dxa"/>
          </w:tcPr>
          <w:p w:rsidR="00A04CF2" w:rsidRPr="003F1233" w:rsidRDefault="00F67CB1" w:rsidP="00F67CB1">
            <w:pPr>
              <w:tabs>
                <w:tab w:val="decimal" w:pos="899"/>
              </w:tabs>
              <w:spacing w:before="40"/>
              <w:rPr>
                <w:rFonts w:ascii="Times New Roman" w:hAnsi="Times New Roman" w:cs="Times New Roman"/>
                <w:sz w:val="24"/>
                <w:szCs w:val="24"/>
              </w:rPr>
            </w:pPr>
            <w:r w:rsidRPr="003F1233">
              <w:rPr>
                <w:rFonts w:ascii="Times New Roman" w:hAnsi="Times New Roman" w:cs="Times New Roman"/>
                <w:sz w:val="24"/>
                <w:szCs w:val="24"/>
              </w:rPr>
              <w:t>-0.0078</w:t>
            </w:r>
            <w:r w:rsidR="001915C6" w:rsidRPr="003F1233">
              <w:rPr>
                <w:rFonts w:ascii="Times New Roman" w:hAnsi="Times New Roman" w:cs="Times New Roman"/>
                <w:sz w:val="24"/>
                <w:szCs w:val="24"/>
                <w:vertAlign w:val="superscript"/>
              </w:rPr>
              <w:t>**</w:t>
            </w:r>
          </w:p>
          <w:p w:rsidR="00F67CB1" w:rsidRPr="003F1233" w:rsidRDefault="00F67CB1" w:rsidP="00F67CB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(0.0036)</w:t>
            </w:r>
          </w:p>
        </w:tc>
      </w:tr>
      <w:tr w:rsidR="00A04CF2" w:rsidRPr="005D42BA" w:rsidTr="00E319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rsidR="00A04CF2" w:rsidRPr="003F1233" w:rsidRDefault="00A04CF2" w:rsidP="00E319C0">
            <w:pPr>
              <w:spacing w:before="40" w:after="40"/>
              <w:rPr>
                <w:rFonts w:ascii="Times New Roman" w:hAnsi="Times New Roman" w:cs="Times New Roman"/>
                <w:sz w:val="24"/>
                <w:szCs w:val="24"/>
              </w:rPr>
            </w:pPr>
            <w:r w:rsidRPr="003F1233">
              <w:rPr>
                <w:rFonts w:ascii="Times New Roman" w:hAnsi="Times New Roman" w:cs="Times New Roman"/>
                <w:sz w:val="24"/>
                <w:szCs w:val="24"/>
              </w:rPr>
              <w:sym w:font="Symbol" w:char="F044"/>
            </w:r>
            <w:r w:rsidRPr="003F1233">
              <w:rPr>
                <w:rFonts w:ascii="Times New Roman" w:hAnsi="Times New Roman" w:cs="Times New Roman"/>
                <w:sz w:val="24"/>
                <w:szCs w:val="24"/>
              </w:rPr>
              <w:t>%Sales</w:t>
            </w:r>
          </w:p>
        </w:tc>
        <w:tc>
          <w:tcPr>
            <w:tcW w:w="2310" w:type="dxa"/>
            <w:tcBorders>
              <w:top w:val="nil"/>
              <w:left w:val="nil"/>
              <w:bottom w:val="nil"/>
              <w:right w:val="nil"/>
            </w:tcBorders>
          </w:tcPr>
          <w:p w:rsidR="00A04CF2" w:rsidRPr="005D42BA" w:rsidRDefault="00A04CF2" w:rsidP="00E53842">
            <w:pPr>
              <w:tabs>
                <w:tab w:val="decimal" w:pos="809"/>
              </w:tabs>
              <w:spacing w:before="40" w:after="40"/>
              <w:rPr>
                <w:rFonts w:ascii="Times New Roman" w:hAnsi="Times New Roman" w:cs="Times New Roman"/>
                <w:sz w:val="24"/>
                <w:szCs w:val="24"/>
              </w:rPr>
            </w:pPr>
          </w:p>
        </w:tc>
        <w:tc>
          <w:tcPr>
            <w:tcW w:w="2311" w:type="dxa"/>
            <w:tcBorders>
              <w:top w:val="nil"/>
              <w:left w:val="nil"/>
              <w:bottom w:val="nil"/>
              <w:right w:val="nil"/>
            </w:tcBorders>
          </w:tcPr>
          <w:p w:rsidR="00A04CF2" w:rsidRPr="005D42BA" w:rsidRDefault="00A04CF2" w:rsidP="00E53842">
            <w:pPr>
              <w:tabs>
                <w:tab w:val="decimal" w:pos="767"/>
              </w:tabs>
              <w:spacing w:before="40" w:after="40"/>
              <w:rPr>
                <w:rFonts w:ascii="Times New Roman" w:hAnsi="Times New Roman" w:cs="Times New Roman"/>
                <w:sz w:val="24"/>
                <w:szCs w:val="24"/>
              </w:rPr>
            </w:pPr>
          </w:p>
        </w:tc>
        <w:tc>
          <w:tcPr>
            <w:tcW w:w="2311" w:type="dxa"/>
            <w:tcBorders>
              <w:top w:val="nil"/>
              <w:left w:val="nil"/>
              <w:bottom w:val="nil"/>
              <w:right w:val="nil"/>
            </w:tcBorders>
          </w:tcPr>
          <w:p w:rsidR="00A04CF2" w:rsidRPr="003F1233" w:rsidRDefault="00F67CB1" w:rsidP="00F67CB1">
            <w:pPr>
              <w:tabs>
                <w:tab w:val="decimal" w:pos="899"/>
              </w:tabs>
              <w:spacing w:before="40"/>
              <w:rPr>
                <w:rFonts w:ascii="Times New Roman" w:hAnsi="Times New Roman" w:cs="Times New Roman"/>
                <w:sz w:val="24"/>
                <w:szCs w:val="24"/>
              </w:rPr>
            </w:pPr>
            <w:r w:rsidRPr="003F1233">
              <w:rPr>
                <w:rFonts w:ascii="Times New Roman" w:hAnsi="Times New Roman" w:cs="Times New Roman"/>
                <w:sz w:val="24"/>
                <w:szCs w:val="24"/>
              </w:rPr>
              <w:t>-0.0045</w:t>
            </w:r>
          </w:p>
          <w:p w:rsidR="00F67CB1" w:rsidRPr="003F1233" w:rsidRDefault="00F67CB1" w:rsidP="00F67CB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(0.0054)</w:t>
            </w:r>
          </w:p>
        </w:tc>
      </w:tr>
      <w:tr w:rsidR="00A04CF2" w:rsidRPr="005D42BA" w:rsidTr="00E319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single" w:sz="4" w:space="0" w:color="auto"/>
              <w:right w:val="nil"/>
            </w:tcBorders>
          </w:tcPr>
          <w:p w:rsidR="00A04CF2" w:rsidRPr="003F1233" w:rsidRDefault="00A04CF2" w:rsidP="00E319C0">
            <w:pPr>
              <w:spacing w:before="40" w:after="40"/>
              <w:rPr>
                <w:rFonts w:ascii="Times New Roman" w:hAnsi="Times New Roman" w:cs="Times New Roman"/>
                <w:sz w:val="24"/>
                <w:szCs w:val="24"/>
              </w:rPr>
            </w:pPr>
            <w:r w:rsidRPr="003F1233">
              <w:rPr>
                <w:rFonts w:ascii="Times New Roman" w:hAnsi="Times New Roman" w:cs="Times New Roman"/>
                <w:sz w:val="24"/>
                <w:szCs w:val="24"/>
              </w:rPr>
              <w:sym w:font="Symbol" w:char="F044"/>
            </w:r>
            <w:r w:rsidRPr="003F1233">
              <w:rPr>
                <w:rFonts w:ascii="Times New Roman" w:hAnsi="Times New Roman" w:cs="Times New Roman"/>
                <w:sz w:val="24"/>
                <w:szCs w:val="24"/>
              </w:rPr>
              <w:t>Leverage</w:t>
            </w:r>
          </w:p>
        </w:tc>
        <w:tc>
          <w:tcPr>
            <w:tcW w:w="2310" w:type="dxa"/>
            <w:tcBorders>
              <w:top w:val="nil"/>
              <w:left w:val="nil"/>
              <w:bottom w:val="single" w:sz="4" w:space="0" w:color="auto"/>
              <w:right w:val="nil"/>
            </w:tcBorders>
          </w:tcPr>
          <w:p w:rsidR="00A04CF2" w:rsidRPr="005D42BA" w:rsidRDefault="00A04CF2" w:rsidP="00E53842">
            <w:pPr>
              <w:tabs>
                <w:tab w:val="decimal" w:pos="809"/>
              </w:tabs>
              <w:spacing w:before="40" w:after="40"/>
              <w:rPr>
                <w:rFonts w:ascii="Times New Roman" w:hAnsi="Times New Roman" w:cs="Times New Roman"/>
                <w:sz w:val="24"/>
                <w:szCs w:val="24"/>
              </w:rPr>
            </w:pPr>
          </w:p>
        </w:tc>
        <w:tc>
          <w:tcPr>
            <w:tcW w:w="2311" w:type="dxa"/>
            <w:tcBorders>
              <w:top w:val="nil"/>
              <w:left w:val="nil"/>
              <w:bottom w:val="single" w:sz="4" w:space="0" w:color="auto"/>
              <w:right w:val="nil"/>
            </w:tcBorders>
          </w:tcPr>
          <w:p w:rsidR="00A04CF2" w:rsidRPr="005D42BA" w:rsidRDefault="00A04CF2" w:rsidP="00E53842">
            <w:pPr>
              <w:tabs>
                <w:tab w:val="decimal" w:pos="767"/>
              </w:tabs>
              <w:spacing w:before="40" w:after="40"/>
              <w:rPr>
                <w:rFonts w:ascii="Times New Roman" w:hAnsi="Times New Roman" w:cs="Times New Roman"/>
                <w:sz w:val="24"/>
                <w:szCs w:val="24"/>
              </w:rPr>
            </w:pPr>
          </w:p>
        </w:tc>
        <w:tc>
          <w:tcPr>
            <w:tcW w:w="2311" w:type="dxa"/>
            <w:tcBorders>
              <w:top w:val="nil"/>
              <w:left w:val="nil"/>
              <w:bottom w:val="single" w:sz="4" w:space="0" w:color="auto"/>
              <w:right w:val="nil"/>
            </w:tcBorders>
          </w:tcPr>
          <w:p w:rsidR="00A04CF2" w:rsidRPr="003F1233" w:rsidRDefault="00F67CB1" w:rsidP="00F67CB1">
            <w:pPr>
              <w:tabs>
                <w:tab w:val="decimal" w:pos="899"/>
              </w:tabs>
              <w:spacing w:before="40"/>
              <w:rPr>
                <w:rFonts w:ascii="Times New Roman" w:hAnsi="Times New Roman" w:cs="Times New Roman"/>
                <w:sz w:val="24"/>
                <w:szCs w:val="24"/>
              </w:rPr>
            </w:pPr>
            <w:r w:rsidRPr="003F1233">
              <w:rPr>
                <w:rFonts w:ascii="Times New Roman" w:hAnsi="Times New Roman" w:cs="Times New Roman"/>
                <w:sz w:val="24"/>
                <w:szCs w:val="24"/>
              </w:rPr>
              <w:t>-0.0034</w:t>
            </w:r>
          </w:p>
          <w:p w:rsidR="00F67CB1" w:rsidRPr="003F1233" w:rsidRDefault="00F67CB1" w:rsidP="00F67CB1">
            <w:pPr>
              <w:tabs>
                <w:tab w:val="decimal" w:pos="899"/>
              </w:tabs>
              <w:spacing w:after="40"/>
              <w:rPr>
                <w:rFonts w:ascii="Times New Roman" w:hAnsi="Times New Roman" w:cs="Times New Roman"/>
                <w:sz w:val="24"/>
                <w:szCs w:val="24"/>
              </w:rPr>
            </w:pPr>
            <w:r w:rsidRPr="003F1233">
              <w:rPr>
                <w:rFonts w:ascii="Times New Roman" w:hAnsi="Times New Roman" w:cs="Times New Roman"/>
                <w:sz w:val="24"/>
                <w:szCs w:val="24"/>
              </w:rPr>
              <w:t>(0.0150)</w:t>
            </w:r>
          </w:p>
        </w:tc>
      </w:tr>
      <w:tr w:rsidR="00A04CF2" w:rsidRPr="005D42BA" w:rsidTr="00E319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single" w:sz="4" w:space="0" w:color="auto"/>
              <w:left w:val="nil"/>
              <w:bottom w:val="nil"/>
              <w:right w:val="nil"/>
            </w:tcBorders>
          </w:tcPr>
          <w:p w:rsidR="00A04CF2" w:rsidRPr="005D42BA" w:rsidRDefault="00A04CF2"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R-squared</w:t>
            </w:r>
          </w:p>
        </w:tc>
        <w:tc>
          <w:tcPr>
            <w:tcW w:w="2310" w:type="dxa"/>
            <w:tcBorders>
              <w:top w:val="single" w:sz="4" w:space="0" w:color="auto"/>
              <w:left w:val="nil"/>
              <w:bottom w:val="nil"/>
              <w:right w:val="nil"/>
            </w:tcBorders>
          </w:tcPr>
          <w:p w:rsidR="00A04CF2" w:rsidRPr="005D42BA" w:rsidRDefault="00365A7C" w:rsidP="00E53842">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0.5733%</w:t>
            </w:r>
          </w:p>
        </w:tc>
        <w:tc>
          <w:tcPr>
            <w:tcW w:w="2311" w:type="dxa"/>
            <w:tcBorders>
              <w:top w:val="single" w:sz="4" w:space="0" w:color="auto"/>
              <w:left w:val="nil"/>
              <w:bottom w:val="nil"/>
              <w:right w:val="nil"/>
            </w:tcBorders>
          </w:tcPr>
          <w:p w:rsidR="00A04CF2" w:rsidRPr="005D42BA" w:rsidRDefault="00CF483D"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0.8603%</w:t>
            </w:r>
          </w:p>
        </w:tc>
        <w:tc>
          <w:tcPr>
            <w:tcW w:w="2311" w:type="dxa"/>
            <w:tcBorders>
              <w:top w:val="single" w:sz="4" w:space="0" w:color="auto"/>
              <w:left w:val="nil"/>
              <w:bottom w:val="nil"/>
              <w:right w:val="nil"/>
            </w:tcBorders>
          </w:tcPr>
          <w:p w:rsidR="00993453" w:rsidRPr="005D42BA" w:rsidRDefault="001915C6" w:rsidP="00A95A41">
            <w:pPr>
              <w:tabs>
                <w:tab w:val="decimal" w:pos="899"/>
              </w:tabs>
              <w:spacing w:before="40" w:after="40"/>
              <w:rPr>
                <w:rFonts w:ascii="Times New Roman" w:hAnsi="Times New Roman" w:cs="Times New Roman"/>
                <w:sz w:val="24"/>
                <w:szCs w:val="24"/>
              </w:rPr>
            </w:pPr>
            <w:r w:rsidRPr="005D42BA">
              <w:rPr>
                <w:rFonts w:ascii="Times New Roman" w:hAnsi="Times New Roman" w:cs="Times New Roman"/>
                <w:sz w:val="24"/>
                <w:szCs w:val="24"/>
              </w:rPr>
              <w:t>1.2954%</w:t>
            </w:r>
          </w:p>
        </w:tc>
      </w:tr>
      <w:tr w:rsidR="00A04CF2" w:rsidRPr="005D42BA" w:rsidTr="00E319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rsidR="00A04CF2" w:rsidRPr="005D42BA" w:rsidRDefault="00A04CF2"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F-stat</w:t>
            </w:r>
          </w:p>
        </w:tc>
        <w:tc>
          <w:tcPr>
            <w:tcW w:w="2310" w:type="dxa"/>
            <w:tcBorders>
              <w:top w:val="nil"/>
              <w:left w:val="nil"/>
              <w:bottom w:val="nil"/>
              <w:right w:val="nil"/>
            </w:tcBorders>
          </w:tcPr>
          <w:p w:rsidR="00A04CF2" w:rsidRPr="005D42BA" w:rsidRDefault="00365A7C" w:rsidP="00E53842">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8.1189</w:t>
            </w:r>
          </w:p>
        </w:tc>
        <w:tc>
          <w:tcPr>
            <w:tcW w:w="2311" w:type="dxa"/>
            <w:tcBorders>
              <w:top w:val="nil"/>
              <w:left w:val="nil"/>
              <w:bottom w:val="nil"/>
              <w:right w:val="nil"/>
            </w:tcBorders>
          </w:tcPr>
          <w:p w:rsidR="00A04CF2" w:rsidRPr="005D42BA" w:rsidRDefault="00CF483D"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4.0527</w:t>
            </w:r>
          </w:p>
        </w:tc>
        <w:tc>
          <w:tcPr>
            <w:tcW w:w="2311" w:type="dxa"/>
            <w:tcBorders>
              <w:top w:val="nil"/>
              <w:left w:val="nil"/>
              <w:bottom w:val="nil"/>
              <w:right w:val="nil"/>
            </w:tcBorders>
          </w:tcPr>
          <w:p w:rsidR="00A04CF2" w:rsidRPr="005D42BA" w:rsidRDefault="001915C6" w:rsidP="00A95A41">
            <w:pPr>
              <w:tabs>
                <w:tab w:val="decimal" w:pos="899"/>
              </w:tabs>
              <w:spacing w:before="40" w:after="40"/>
              <w:rPr>
                <w:rFonts w:ascii="Times New Roman" w:hAnsi="Times New Roman" w:cs="Times New Roman"/>
                <w:sz w:val="24"/>
                <w:szCs w:val="24"/>
              </w:rPr>
            </w:pPr>
            <w:r w:rsidRPr="005D42BA">
              <w:rPr>
                <w:rFonts w:ascii="Times New Roman" w:hAnsi="Times New Roman" w:cs="Times New Roman"/>
                <w:sz w:val="24"/>
                <w:szCs w:val="24"/>
              </w:rPr>
              <w:t>3.0142</w:t>
            </w:r>
          </w:p>
        </w:tc>
      </w:tr>
      <w:tr w:rsidR="00A04CF2" w:rsidRPr="005D42BA" w:rsidTr="00056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rsidR="00A04CF2" w:rsidRPr="005D42BA" w:rsidRDefault="00A04CF2" w:rsidP="00E319C0">
            <w:pPr>
              <w:spacing w:before="40" w:after="40"/>
              <w:rPr>
                <w:rFonts w:ascii="Times New Roman" w:hAnsi="Times New Roman" w:cs="Times New Roman"/>
                <w:sz w:val="24"/>
                <w:szCs w:val="24"/>
              </w:rPr>
            </w:pPr>
            <w:proofErr w:type="spellStart"/>
            <w:r w:rsidRPr="005D42BA">
              <w:rPr>
                <w:rFonts w:ascii="Times New Roman" w:hAnsi="Times New Roman" w:cs="Times New Roman"/>
                <w:sz w:val="24"/>
                <w:szCs w:val="24"/>
              </w:rPr>
              <w:t>Prob</w:t>
            </w:r>
            <w:proofErr w:type="spellEnd"/>
            <w:r w:rsidRPr="005D42BA">
              <w:rPr>
                <w:rFonts w:ascii="Times New Roman" w:hAnsi="Times New Roman" w:cs="Times New Roman"/>
                <w:sz w:val="24"/>
                <w:szCs w:val="24"/>
              </w:rPr>
              <w:t xml:space="preserve"> (F-stat)</w:t>
            </w:r>
          </w:p>
        </w:tc>
        <w:tc>
          <w:tcPr>
            <w:tcW w:w="2310" w:type="dxa"/>
            <w:tcBorders>
              <w:top w:val="nil"/>
              <w:left w:val="nil"/>
              <w:bottom w:val="nil"/>
              <w:right w:val="nil"/>
            </w:tcBorders>
          </w:tcPr>
          <w:p w:rsidR="00A04CF2" w:rsidRPr="005D42BA" w:rsidRDefault="00365A7C" w:rsidP="00E53842">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0.0044</w:t>
            </w:r>
          </w:p>
        </w:tc>
        <w:tc>
          <w:tcPr>
            <w:tcW w:w="2311" w:type="dxa"/>
            <w:tcBorders>
              <w:top w:val="nil"/>
              <w:left w:val="nil"/>
              <w:bottom w:val="nil"/>
              <w:right w:val="nil"/>
            </w:tcBorders>
          </w:tcPr>
          <w:p w:rsidR="00A04CF2" w:rsidRPr="005D42BA" w:rsidRDefault="00CF483D" w:rsidP="00E53842">
            <w:pPr>
              <w:tabs>
                <w:tab w:val="decimal" w:pos="767"/>
              </w:tabs>
              <w:spacing w:before="40" w:after="40"/>
              <w:rPr>
                <w:rFonts w:ascii="Times New Roman" w:hAnsi="Times New Roman" w:cs="Times New Roman"/>
                <w:sz w:val="24"/>
                <w:szCs w:val="24"/>
              </w:rPr>
            </w:pPr>
            <w:r w:rsidRPr="005D42BA">
              <w:rPr>
                <w:rFonts w:ascii="Times New Roman" w:hAnsi="Times New Roman" w:cs="Times New Roman"/>
                <w:sz w:val="24"/>
                <w:szCs w:val="24"/>
              </w:rPr>
              <w:t>0.0070</w:t>
            </w:r>
          </w:p>
        </w:tc>
        <w:tc>
          <w:tcPr>
            <w:tcW w:w="2311" w:type="dxa"/>
            <w:tcBorders>
              <w:top w:val="nil"/>
              <w:left w:val="nil"/>
              <w:bottom w:val="nil"/>
              <w:right w:val="nil"/>
            </w:tcBorders>
          </w:tcPr>
          <w:p w:rsidR="00A04CF2" w:rsidRPr="005D42BA" w:rsidRDefault="001915C6" w:rsidP="00373A61">
            <w:pPr>
              <w:tabs>
                <w:tab w:val="decimal" w:pos="899"/>
              </w:tabs>
              <w:spacing w:before="40" w:after="40"/>
              <w:rPr>
                <w:rFonts w:ascii="Times New Roman" w:hAnsi="Times New Roman" w:cs="Times New Roman"/>
                <w:sz w:val="24"/>
                <w:szCs w:val="24"/>
              </w:rPr>
            </w:pPr>
            <w:r w:rsidRPr="005D42BA">
              <w:rPr>
                <w:rFonts w:ascii="Times New Roman" w:hAnsi="Times New Roman" w:cs="Times New Roman"/>
                <w:sz w:val="24"/>
                <w:szCs w:val="24"/>
              </w:rPr>
              <w:t>0.006</w:t>
            </w:r>
            <w:r w:rsidR="00373A61" w:rsidRPr="005D42BA">
              <w:rPr>
                <w:rFonts w:ascii="Times New Roman" w:hAnsi="Times New Roman" w:cs="Times New Roman"/>
                <w:sz w:val="24"/>
                <w:szCs w:val="24"/>
              </w:rPr>
              <w:t>2</w:t>
            </w:r>
          </w:p>
        </w:tc>
      </w:tr>
      <w:tr w:rsidR="00A04CF2" w:rsidRPr="005D42BA" w:rsidTr="00056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double" w:sz="4" w:space="0" w:color="auto"/>
              <w:right w:val="nil"/>
            </w:tcBorders>
          </w:tcPr>
          <w:p w:rsidR="00A04CF2" w:rsidRPr="005D42BA" w:rsidRDefault="00A04CF2" w:rsidP="00E319C0">
            <w:pPr>
              <w:spacing w:before="40" w:after="40"/>
              <w:rPr>
                <w:rFonts w:ascii="Times New Roman" w:hAnsi="Times New Roman" w:cs="Times New Roman"/>
                <w:sz w:val="24"/>
                <w:szCs w:val="24"/>
              </w:rPr>
            </w:pPr>
            <w:r w:rsidRPr="005D42BA">
              <w:rPr>
                <w:rFonts w:ascii="Times New Roman" w:hAnsi="Times New Roman" w:cs="Times New Roman"/>
                <w:sz w:val="24"/>
                <w:szCs w:val="24"/>
              </w:rPr>
              <w:t xml:space="preserve">No. obs. </w:t>
            </w:r>
          </w:p>
        </w:tc>
        <w:tc>
          <w:tcPr>
            <w:tcW w:w="2310" w:type="dxa"/>
            <w:tcBorders>
              <w:top w:val="nil"/>
              <w:left w:val="nil"/>
              <w:bottom w:val="double" w:sz="4" w:space="0" w:color="auto"/>
              <w:right w:val="nil"/>
            </w:tcBorders>
          </w:tcPr>
          <w:p w:rsidR="00A04CF2" w:rsidRPr="005D42BA" w:rsidRDefault="00365A7C" w:rsidP="00E53842">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1410</w:t>
            </w:r>
          </w:p>
        </w:tc>
        <w:tc>
          <w:tcPr>
            <w:tcW w:w="2311" w:type="dxa"/>
            <w:tcBorders>
              <w:top w:val="nil"/>
              <w:left w:val="nil"/>
              <w:bottom w:val="double" w:sz="4" w:space="0" w:color="auto"/>
              <w:right w:val="nil"/>
            </w:tcBorders>
          </w:tcPr>
          <w:p w:rsidR="00A04CF2" w:rsidRPr="005D42BA" w:rsidRDefault="009076A6" w:rsidP="00E53842">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1405</w:t>
            </w:r>
          </w:p>
        </w:tc>
        <w:tc>
          <w:tcPr>
            <w:tcW w:w="2311" w:type="dxa"/>
            <w:tcBorders>
              <w:top w:val="nil"/>
              <w:left w:val="nil"/>
              <w:bottom w:val="double" w:sz="4" w:space="0" w:color="auto"/>
              <w:right w:val="nil"/>
            </w:tcBorders>
          </w:tcPr>
          <w:p w:rsidR="00A04CF2" w:rsidRPr="005D42BA" w:rsidRDefault="001915C6" w:rsidP="009076A6">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w:t>
            </w:r>
            <w:r w:rsidR="009076A6" w:rsidRPr="005D42BA">
              <w:rPr>
                <w:rFonts w:ascii="Times New Roman" w:hAnsi="Times New Roman" w:cs="Times New Roman"/>
                <w:sz w:val="24"/>
                <w:szCs w:val="24"/>
              </w:rPr>
              <w:t>385</w:t>
            </w:r>
          </w:p>
        </w:tc>
      </w:tr>
    </w:tbl>
    <w:p w:rsidR="00F259DC" w:rsidRPr="005D42BA" w:rsidRDefault="00F259DC" w:rsidP="00F259DC">
      <w:pPr>
        <w:jc w:val="both"/>
        <w:rPr>
          <w:rFonts w:ascii="Times New Roman" w:hAnsi="Times New Roman" w:cs="Times New Roman"/>
          <w:sz w:val="20"/>
          <w:szCs w:val="20"/>
        </w:rPr>
      </w:pPr>
      <w:r w:rsidRPr="005D42BA">
        <w:rPr>
          <w:rFonts w:ascii="Times New Roman" w:hAnsi="Times New Roman" w:cs="Times New Roman"/>
          <w:sz w:val="20"/>
          <w:szCs w:val="20"/>
        </w:rPr>
        <w:t xml:space="preserve">Note: This table reports the </w:t>
      </w:r>
      <w:r w:rsidR="00941DC2" w:rsidRPr="005D42BA">
        <w:rPr>
          <w:rFonts w:ascii="Times New Roman" w:hAnsi="Times New Roman" w:cs="Times New Roman"/>
          <w:sz w:val="20"/>
          <w:szCs w:val="20"/>
        </w:rPr>
        <w:t>estimates of</w:t>
      </w:r>
      <w:r w:rsidRPr="005D42BA">
        <w:rPr>
          <w:rFonts w:ascii="Times New Roman" w:hAnsi="Times New Roman" w:cs="Times New Roman"/>
          <w:sz w:val="20"/>
          <w:szCs w:val="20"/>
        </w:rPr>
        <w:t xml:space="preserve"> </w:t>
      </w:r>
      <w:r w:rsidR="00941DC2" w:rsidRPr="005D42BA">
        <w:rPr>
          <w:rFonts w:ascii="Times New Roman" w:hAnsi="Times New Roman" w:cs="Times New Roman"/>
          <w:sz w:val="20"/>
          <w:szCs w:val="20"/>
        </w:rPr>
        <w:t>regressions</w:t>
      </w:r>
      <w:r w:rsidRPr="005D42BA">
        <w:rPr>
          <w:rFonts w:ascii="Times New Roman" w:hAnsi="Times New Roman" w:cs="Times New Roman"/>
          <w:sz w:val="20"/>
          <w:szCs w:val="20"/>
        </w:rPr>
        <w:t xml:space="preserve"> where the </w:t>
      </w:r>
      <w:r w:rsidR="00941DC2" w:rsidRPr="005D42BA">
        <w:rPr>
          <w:rFonts w:ascii="Times New Roman" w:hAnsi="Times New Roman" w:cs="Times New Roman"/>
          <w:sz w:val="20"/>
          <w:szCs w:val="20"/>
        </w:rPr>
        <w:t xml:space="preserve">market-model-adjusted </w:t>
      </w:r>
      <w:r w:rsidRPr="005D42BA">
        <w:rPr>
          <w:rFonts w:ascii="Times New Roman" w:hAnsi="Times New Roman" w:cs="Times New Roman"/>
          <w:sz w:val="20"/>
          <w:szCs w:val="20"/>
        </w:rPr>
        <w:t xml:space="preserve">cumulative </w:t>
      </w:r>
      <w:r w:rsidR="00941DC2" w:rsidRPr="005D42BA">
        <w:rPr>
          <w:rFonts w:ascii="Times New Roman" w:hAnsi="Times New Roman" w:cs="Times New Roman"/>
          <w:sz w:val="20"/>
          <w:szCs w:val="20"/>
        </w:rPr>
        <w:t xml:space="preserve">abnormal return is the dependent variable. The results in Panel A refer to the CAR computed in the (-1,1) window, whereas Panel B is based on the (-1,5) window. Standard errors are given in parentheses below the parameter estimates. R-square, F-statistic for the joint significance of explanatory variables and the number of observations are presented at the bottom of each panel. </w:t>
      </w:r>
      <w:r w:rsidR="00941DC2" w:rsidRPr="005D42BA">
        <w:rPr>
          <w:rFonts w:ascii="Times New Roman" w:hAnsi="Times New Roman" w:cs="Times New Roman"/>
          <w:sz w:val="20"/>
          <w:szCs w:val="20"/>
          <w:vertAlign w:val="superscript"/>
        </w:rPr>
        <w:t>*</w:t>
      </w:r>
      <w:r w:rsidR="00941DC2" w:rsidRPr="005D42BA">
        <w:rPr>
          <w:rFonts w:ascii="Times New Roman" w:hAnsi="Times New Roman" w:cs="Times New Roman"/>
          <w:sz w:val="20"/>
          <w:szCs w:val="20"/>
        </w:rPr>
        <w:t xml:space="preserve">, </w:t>
      </w:r>
      <w:r w:rsidR="00941DC2" w:rsidRPr="005D42BA">
        <w:rPr>
          <w:rFonts w:ascii="Times New Roman" w:hAnsi="Times New Roman" w:cs="Times New Roman"/>
          <w:sz w:val="20"/>
          <w:szCs w:val="20"/>
          <w:vertAlign w:val="superscript"/>
        </w:rPr>
        <w:t>**</w:t>
      </w:r>
      <w:r w:rsidR="00941DC2" w:rsidRPr="005D42BA">
        <w:rPr>
          <w:rFonts w:ascii="Times New Roman" w:hAnsi="Times New Roman" w:cs="Times New Roman"/>
          <w:sz w:val="20"/>
          <w:szCs w:val="20"/>
        </w:rPr>
        <w:t xml:space="preserve">, </w:t>
      </w:r>
      <w:r w:rsidR="00941DC2" w:rsidRPr="005D42BA">
        <w:rPr>
          <w:rFonts w:ascii="Times New Roman" w:hAnsi="Times New Roman" w:cs="Times New Roman"/>
          <w:sz w:val="20"/>
          <w:szCs w:val="20"/>
          <w:vertAlign w:val="superscript"/>
        </w:rPr>
        <w:t>***</w:t>
      </w:r>
      <w:r w:rsidR="00941DC2" w:rsidRPr="005D42BA">
        <w:rPr>
          <w:rFonts w:ascii="Times New Roman" w:hAnsi="Times New Roman" w:cs="Times New Roman"/>
          <w:sz w:val="20"/>
          <w:szCs w:val="20"/>
        </w:rPr>
        <w:t xml:space="preserve"> denote statistical significance at 10%, 5% and 1%, respectively.</w:t>
      </w:r>
    </w:p>
    <w:p w:rsidR="00F259DC" w:rsidRPr="005D42BA" w:rsidRDefault="00F259DC" w:rsidP="00232DB2">
      <w:pPr>
        <w:jc w:val="center"/>
        <w:rPr>
          <w:rFonts w:ascii="Times New Roman" w:hAnsi="Times New Roman" w:cs="Times New Roman"/>
          <w:b/>
          <w:sz w:val="24"/>
          <w:szCs w:val="24"/>
        </w:rPr>
        <w:sectPr w:rsidR="00F259DC" w:rsidRPr="005D42BA" w:rsidSect="00661BF7">
          <w:pgSz w:w="11906" w:h="16838"/>
          <w:pgMar w:top="238" w:right="1440" w:bottom="249" w:left="1440" w:header="709" w:footer="709" w:gutter="0"/>
          <w:cols w:space="708"/>
          <w:docGrid w:linePitch="360"/>
        </w:sectPr>
      </w:pPr>
    </w:p>
    <w:p w:rsidR="008664FC" w:rsidRPr="005D42BA" w:rsidRDefault="00F813F1" w:rsidP="008664FC">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Table 6</w:t>
      </w:r>
    </w:p>
    <w:p w:rsidR="008664FC" w:rsidRPr="005D42BA" w:rsidRDefault="008664FC" w:rsidP="008664FC">
      <w:pPr>
        <w:spacing w:after="0"/>
        <w:jc w:val="center"/>
        <w:rPr>
          <w:rFonts w:ascii="Times New Roman" w:hAnsi="Times New Roman" w:cs="Times New Roman"/>
          <w:b/>
          <w:sz w:val="24"/>
          <w:szCs w:val="24"/>
        </w:rPr>
      </w:pPr>
      <w:r w:rsidRPr="005D42BA">
        <w:rPr>
          <w:rFonts w:ascii="Times New Roman" w:hAnsi="Times New Roman" w:cs="Times New Roman"/>
          <w:b/>
          <w:sz w:val="24"/>
          <w:szCs w:val="24"/>
        </w:rPr>
        <w:t>Market Reaction and the Tone of Annual Report Narrative</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310"/>
        <w:gridCol w:w="2311"/>
        <w:gridCol w:w="2311"/>
        <w:gridCol w:w="2311"/>
      </w:tblGrid>
      <w:tr w:rsidR="008664FC" w:rsidRPr="005D42BA" w:rsidTr="00080BEC">
        <w:trPr>
          <w:trHeight w:val="294"/>
          <w:jc w:val="center"/>
        </w:trPr>
        <w:tc>
          <w:tcPr>
            <w:tcW w:w="2310" w:type="dxa"/>
            <w:tcBorders>
              <w:top w:val="double" w:sz="4" w:space="0" w:color="auto"/>
              <w:bottom w:val="single" w:sz="4" w:space="0" w:color="auto"/>
            </w:tcBorders>
          </w:tcPr>
          <w:p w:rsidR="008664FC" w:rsidRPr="005D42BA" w:rsidRDefault="008664FC" w:rsidP="00080BEC">
            <w:pPr>
              <w:spacing w:before="40" w:after="40"/>
              <w:jc w:val="center"/>
              <w:rPr>
                <w:rFonts w:ascii="Times New Roman" w:hAnsi="Times New Roman" w:cs="Times New Roman"/>
                <w:sz w:val="24"/>
                <w:szCs w:val="24"/>
              </w:rPr>
            </w:pPr>
          </w:p>
        </w:tc>
        <w:tc>
          <w:tcPr>
            <w:tcW w:w="4621" w:type="dxa"/>
            <w:gridSpan w:val="2"/>
            <w:tcBorders>
              <w:top w:val="double" w:sz="4" w:space="0" w:color="auto"/>
              <w:bottom w:val="single" w:sz="4" w:space="0" w:color="auto"/>
            </w:tcBorders>
          </w:tcPr>
          <w:p w:rsidR="008664FC" w:rsidRPr="005D42BA" w:rsidRDefault="008664FC" w:rsidP="00080BEC">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 xml:space="preserve">Determinants of </w:t>
            </w:r>
          </w:p>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b/>
                <w:sz w:val="24"/>
                <w:szCs w:val="24"/>
              </w:rPr>
              <w:t xml:space="preserve">Constant-Mean-Adjusted Returns </w:t>
            </w:r>
          </w:p>
        </w:tc>
        <w:tc>
          <w:tcPr>
            <w:tcW w:w="4622" w:type="dxa"/>
            <w:gridSpan w:val="2"/>
            <w:tcBorders>
              <w:top w:val="double" w:sz="4" w:space="0" w:color="auto"/>
              <w:bottom w:val="single" w:sz="4" w:space="0" w:color="auto"/>
            </w:tcBorders>
          </w:tcPr>
          <w:p w:rsidR="008664FC" w:rsidRPr="005D42BA" w:rsidRDefault="008664FC" w:rsidP="00080BEC">
            <w:pPr>
              <w:spacing w:before="40" w:after="40"/>
              <w:jc w:val="center"/>
              <w:rPr>
                <w:rFonts w:ascii="Times New Roman" w:hAnsi="Times New Roman" w:cs="Times New Roman"/>
                <w:b/>
                <w:sz w:val="24"/>
                <w:szCs w:val="24"/>
              </w:rPr>
            </w:pPr>
            <w:r w:rsidRPr="005D42BA">
              <w:rPr>
                <w:rFonts w:ascii="Times New Roman" w:hAnsi="Times New Roman" w:cs="Times New Roman"/>
                <w:b/>
                <w:sz w:val="24"/>
                <w:szCs w:val="24"/>
              </w:rPr>
              <w:t xml:space="preserve">Determinants of </w:t>
            </w:r>
          </w:p>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b/>
                <w:sz w:val="24"/>
                <w:szCs w:val="24"/>
              </w:rPr>
              <w:t>Market-Model-Adjusted Returns</w:t>
            </w:r>
          </w:p>
        </w:tc>
      </w:tr>
      <w:tr w:rsidR="008664FC" w:rsidRPr="005D42BA" w:rsidTr="00080BEC">
        <w:trPr>
          <w:trHeight w:val="294"/>
          <w:jc w:val="center"/>
        </w:trPr>
        <w:tc>
          <w:tcPr>
            <w:tcW w:w="2310" w:type="dxa"/>
            <w:tcBorders>
              <w:top w:val="single" w:sz="4" w:space="0" w:color="auto"/>
            </w:tcBorders>
          </w:tcPr>
          <w:p w:rsidR="008664FC" w:rsidRPr="005D42BA" w:rsidRDefault="008664FC" w:rsidP="00080BEC">
            <w:pPr>
              <w:spacing w:before="40" w:after="40"/>
              <w:jc w:val="center"/>
              <w:rPr>
                <w:rFonts w:ascii="Times New Roman" w:hAnsi="Times New Roman" w:cs="Times New Roman"/>
                <w:sz w:val="24"/>
                <w:szCs w:val="24"/>
              </w:rPr>
            </w:pPr>
          </w:p>
        </w:tc>
        <w:tc>
          <w:tcPr>
            <w:tcW w:w="2310" w:type="dxa"/>
            <w:tcBorders>
              <w:top w:val="sing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w:t>
            </w:r>
          </w:p>
        </w:tc>
        <w:tc>
          <w:tcPr>
            <w:tcW w:w="2311" w:type="dxa"/>
            <w:tcBorders>
              <w:top w:val="sing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(2)</w:t>
            </w:r>
          </w:p>
        </w:tc>
        <w:tc>
          <w:tcPr>
            <w:tcW w:w="2311" w:type="dxa"/>
            <w:tcBorders>
              <w:top w:val="sing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(3)</w:t>
            </w:r>
          </w:p>
        </w:tc>
        <w:tc>
          <w:tcPr>
            <w:tcW w:w="2311" w:type="dxa"/>
            <w:tcBorders>
              <w:top w:val="sing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(4)</w:t>
            </w:r>
          </w:p>
        </w:tc>
      </w:tr>
      <w:tr w:rsidR="008664FC" w:rsidRPr="005D42BA" w:rsidTr="00080BEC">
        <w:trPr>
          <w:jc w:val="center"/>
        </w:trPr>
        <w:tc>
          <w:tcPr>
            <w:tcW w:w="2310" w:type="dxa"/>
          </w:tcPr>
          <w:p w:rsidR="008664FC" w:rsidRPr="003F1233" w:rsidRDefault="008664FC" w:rsidP="00080BEC">
            <w:pPr>
              <w:spacing w:before="40" w:after="40"/>
              <w:rPr>
                <w:rFonts w:ascii="Times New Roman" w:hAnsi="Times New Roman" w:cs="Times New Roman"/>
                <w:sz w:val="24"/>
                <w:szCs w:val="24"/>
              </w:rPr>
            </w:pPr>
            <w:r w:rsidRPr="003F1233">
              <w:rPr>
                <w:rFonts w:ascii="Times New Roman" w:hAnsi="Times New Roman" w:cs="Times New Roman"/>
                <w:sz w:val="24"/>
                <w:szCs w:val="24"/>
              </w:rPr>
              <w:t>Intercept</w:t>
            </w:r>
          </w:p>
        </w:tc>
        <w:tc>
          <w:tcPr>
            <w:tcW w:w="2310" w:type="dxa"/>
          </w:tcPr>
          <w:p w:rsidR="008664FC" w:rsidRPr="003F1233" w:rsidRDefault="008664FC" w:rsidP="00080BEC">
            <w:pPr>
              <w:tabs>
                <w:tab w:val="decimal" w:pos="809"/>
              </w:tabs>
              <w:spacing w:before="40"/>
              <w:rPr>
                <w:rFonts w:ascii="Times New Roman" w:hAnsi="Times New Roman" w:cs="Times New Roman"/>
                <w:sz w:val="24"/>
                <w:szCs w:val="24"/>
              </w:rPr>
            </w:pPr>
            <w:r w:rsidRPr="003F1233">
              <w:rPr>
                <w:rFonts w:ascii="Times New Roman" w:hAnsi="Times New Roman" w:cs="Times New Roman"/>
                <w:sz w:val="24"/>
                <w:szCs w:val="24"/>
              </w:rPr>
              <w:t>0.0007</w:t>
            </w:r>
          </w:p>
          <w:p w:rsidR="008664FC" w:rsidRPr="003F1233" w:rsidRDefault="008664FC" w:rsidP="00080BEC">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(0.0011)</w:t>
            </w:r>
          </w:p>
        </w:tc>
        <w:tc>
          <w:tcPr>
            <w:tcW w:w="2311" w:type="dxa"/>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0.0164</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(0.0110)</w:t>
            </w:r>
          </w:p>
        </w:tc>
        <w:tc>
          <w:tcPr>
            <w:tcW w:w="2311" w:type="dxa"/>
          </w:tcPr>
          <w:p w:rsidR="008664FC" w:rsidRPr="005D42BA" w:rsidRDefault="008664FC" w:rsidP="00080BEC">
            <w:pPr>
              <w:tabs>
                <w:tab w:val="decimal" w:pos="831"/>
              </w:tabs>
              <w:spacing w:before="40"/>
              <w:rPr>
                <w:rFonts w:ascii="Times New Roman" w:hAnsi="Times New Roman" w:cs="Times New Roman"/>
                <w:sz w:val="24"/>
                <w:szCs w:val="24"/>
              </w:rPr>
            </w:pPr>
            <w:r w:rsidRPr="005D42BA">
              <w:rPr>
                <w:rFonts w:ascii="Times New Roman" w:hAnsi="Times New Roman" w:cs="Times New Roman"/>
                <w:sz w:val="24"/>
                <w:szCs w:val="24"/>
              </w:rPr>
              <w:t>0.0002</w:t>
            </w:r>
          </w:p>
          <w:p w:rsidR="008664FC" w:rsidRPr="003F1233" w:rsidRDefault="008664FC" w:rsidP="00080BEC">
            <w:pPr>
              <w:tabs>
                <w:tab w:val="decimal" w:pos="831"/>
              </w:tabs>
              <w:spacing w:after="40"/>
              <w:rPr>
                <w:rFonts w:ascii="Times New Roman" w:hAnsi="Times New Roman" w:cs="Times New Roman"/>
                <w:sz w:val="24"/>
                <w:szCs w:val="24"/>
              </w:rPr>
            </w:pPr>
            <w:r w:rsidRPr="003F1233">
              <w:rPr>
                <w:rFonts w:ascii="Times New Roman" w:hAnsi="Times New Roman" w:cs="Times New Roman"/>
                <w:sz w:val="24"/>
                <w:szCs w:val="24"/>
              </w:rPr>
              <w:t>(0.0009)</w:t>
            </w:r>
          </w:p>
        </w:tc>
        <w:tc>
          <w:tcPr>
            <w:tcW w:w="2311" w:type="dxa"/>
          </w:tcPr>
          <w:p w:rsidR="008664FC" w:rsidRPr="003F1233" w:rsidRDefault="008664FC" w:rsidP="00080BEC">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0.0112</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(0.0097)</w:t>
            </w:r>
          </w:p>
        </w:tc>
      </w:tr>
      <w:tr w:rsidR="008664FC" w:rsidRPr="005D42BA" w:rsidTr="00080BEC">
        <w:trPr>
          <w:jc w:val="center"/>
        </w:trPr>
        <w:tc>
          <w:tcPr>
            <w:tcW w:w="2310" w:type="dxa"/>
          </w:tcPr>
          <w:p w:rsidR="008664FC" w:rsidRPr="003F1233" w:rsidRDefault="008664FC" w:rsidP="00080BEC">
            <w:pPr>
              <w:spacing w:before="40" w:after="40"/>
              <w:rPr>
                <w:rFonts w:ascii="Times New Roman" w:hAnsi="Times New Roman" w:cs="Times New Roman"/>
                <w:sz w:val="24"/>
                <w:szCs w:val="24"/>
              </w:rPr>
            </w:pPr>
            <w:r w:rsidRPr="003F1233">
              <w:rPr>
                <w:rFonts w:ascii="Times New Roman" w:hAnsi="Times New Roman" w:cs="Times New Roman"/>
                <w:sz w:val="24"/>
                <w:szCs w:val="24"/>
              </w:rPr>
              <w:t>Tone</w:t>
            </w:r>
          </w:p>
        </w:tc>
        <w:tc>
          <w:tcPr>
            <w:tcW w:w="2310" w:type="dxa"/>
          </w:tcPr>
          <w:p w:rsidR="008664FC" w:rsidRPr="003F1233" w:rsidRDefault="008664FC" w:rsidP="00080BEC">
            <w:pPr>
              <w:tabs>
                <w:tab w:val="decimal" w:pos="809"/>
              </w:tabs>
              <w:spacing w:before="40"/>
              <w:rPr>
                <w:rFonts w:ascii="Times New Roman" w:hAnsi="Times New Roman" w:cs="Times New Roman"/>
                <w:sz w:val="24"/>
                <w:szCs w:val="24"/>
              </w:rPr>
            </w:pPr>
            <w:r w:rsidRPr="003F1233">
              <w:rPr>
                <w:rFonts w:ascii="Times New Roman" w:hAnsi="Times New Roman" w:cs="Times New Roman"/>
                <w:sz w:val="24"/>
                <w:szCs w:val="24"/>
              </w:rPr>
              <w:t>0.0013</w:t>
            </w:r>
            <w:r w:rsidRPr="003F1233">
              <w:rPr>
                <w:rFonts w:ascii="Times New Roman" w:hAnsi="Times New Roman" w:cs="Times New Roman"/>
                <w:sz w:val="24"/>
                <w:szCs w:val="24"/>
                <w:vertAlign w:val="superscript"/>
              </w:rPr>
              <w:t>*</w:t>
            </w:r>
          </w:p>
          <w:p w:rsidR="008664FC" w:rsidRPr="003F1233" w:rsidRDefault="008664FC" w:rsidP="00080BEC">
            <w:pPr>
              <w:tabs>
                <w:tab w:val="decimal" w:pos="809"/>
              </w:tabs>
              <w:spacing w:after="40"/>
              <w:rPr>
                <w:rFonts w:ascii="Times New Roman" w:hAnsi="Times New Roman" w:cs="Times New Roman"/>
                <w:sz w:val="24"/>
                <w:szCs w:val="24"/>
              </w:rPr>
            </w:pPr>
            <w:r w:rsidRPr="003F1233">
              <w:rPr>
                <w:rFonts w:ascii="Times New Roman" w:hAnsi="Times New Roman" w:cs="Times New Roman"/>
                <w:sz w:val="24"/>
                <w:szCs w:val="24"/>
              </w:rPr>
              <w:t>(0.0008)</w:t>
            </w:r>
          </w:p>
        </w:tc>
        <w:tc>
          <w:tcPr>
            <w:tcW w:w="2311" w:type="dxa"/>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0.0015</w:t>
            </w:r>
            <w:r w:rsidRPr="003F1233">
              <w:rPr>
                <w:rFonts w:ascii="Times New Roman" w:hAnsi="Times New Roman" w:cs="Times New Roman"/>
                <w:sz w:val="24"/>
                <w:szCs w:val="24"/>
                <w:vertAlign w:val="superscript"/>
              </w:rPr>
              <w:t>*</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(0.0008)</w:t>
            </w:r>
          </w:p>
        </w:tc>
        <w:tc>
          <w:tcPr>
            <w:tcW w:w="2311" w:type="dxa"/>
          </w:tcPr>
          <w:p w:rsidR="008664FC" w:rsidRPr="005D42BA" w:rsidRDefault="008664FC" w:rsidP="00080BEC">
            <w:pPr>
              <w:tabs>
                <w:tab w:val="decimal" w:pos="831"/>
              </w:tabs>
              <w:spacing w:before="40"/>
              <w:rPr>
                <w:rFonts w:ascii="Times New Roman" w:hAnsi="Times New Roman" w:cs="Times New Roman"/>
                <w:sz w:val="24"/>
                <w:szCs w:val="24"/>
                <w:vertAlign w:val="superscript"/>
              </w:rPr>
            </w:pPr>
            <w:r w:rsidRPr="005D42BA">
              <w:rPr>
                <w:rFonts w:ascii="Times New Roman" w:hAnsi="Times New Roman" w:cs="Times New Roman"/>
                <w:sz w:val="24"/>
                <w:szCs w:val="24"/>
              </w:rPr>
              <w:t>0.0015</w:t>
            </w:r>
            <w:r w:rsidRPr="005D42BA">
              <w:rPr>
                <w:rFonts w:ascii="Times New Roman" w:hAnsi="Times New Roman" w:cs="Times New Roman"/>
                <w:sz w:val="24"/>
                <w:szCs w:val="24"/>
                <w:vertAlign w:val="superscript"/>
              </w:rPr>
              <w:t>**</w:t>
            </w:r>
          </w:p>
          <w:p w:rsidR="008664FC" w:rsidRPr="003F1233" w:rsidRDefault="008664FC" w:rsidP="00080BEC">
            <w:pPr>
              <w:tabs>
                <w:tab w:val="decimal" w:pos="831"/>
              </w:tabs>
              <w:spacing w:after="40"/>
              <w:rPr>
                <w:rFonts w:ascii="Times New Roman" w:hAnsi="Times New Roman" w:cs="Times New Roman"/>
                <w:sz w:val="24"/>
                <w:szCs w:val="24"/>
              </w:rPr>
            </w:pPr>
            <w:r w:rsidRPr="003F1233">
              <w:rPr>
                <w:rFonts w:ascii="Times New Roman" w:hAnsi="Times New Roman" w:cs="Times New Roman"/>
                <w:sz w:val="24"/>
                <w:szCs w:val="24"/>
              </w:rPr>
              <w:t>(0.0007)</w:t>
            </w:r>
          </w:p>
        </w:tc>
        <w:tc>
          <w:tcPr>
            <w:tcW w:w="2311" w:type="dxa"/>
          </w:tcPr>
          <w:p w:rsidR="008664FC" w:rsidRPr="003F1233" w:rsidRDefault="008664FC" w:rsidP="00080BEC">
            <w:pPr>
              <w:tabs>
                <w:tab w:val="decimal" w:pos="866"/>
              </w:tabs>
              <w:spacing w:before="40"/>
              <w:rPr>
                <w:rFonts w:ascii="Times New Roman" w:hAnsi="Times New Roman" w:cs="Times New Roman"/>
                <w:sz w:val="24"/>
                <w:szCs w:val="24"/>
                <w:vertAlign w:val="superscript"/>
              </w:rPr>
            </w:pPr>
            <w:r w:rsidRPr="003F1233">
              <w:rPr>
                <w:rFonts w:ascii="Times New Roman" w:hAnsi="Times New Roman" w:cs="Times New Roman"/>
                <w:sz w:val="24"/>
                <w:szCs w:val="24"/>
              </w:rPr>
              <w:t>0.0016</w:t>
            </w:r>
            <w:r w:rsidRPr="003F1233">
              <w:rPr>
                <w:rFonts w:ascii="Times New Roman" w:hAnsi="Times New Roman" w:cs="Times New Roman"/>
                <w:sz w:val="24"/>
                <w:szCs w:val="24"/>
                <w:vertAlign w:val="superscript"/>
              </w:rPr>
              <w:t>**</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(0.0007)</w:t>
            </w:r>
          </w:p>
        </w:tc>
      </w:tr>
      <w:tr w:rsidR="008664FC" w:rsidRPr="005D42BA" w:rsidTr="00080BEC">
        <w:trPr>
          <w:jc w:val="center"/>
        </w:trPr>
        <w:tc>
          <w:tcPr>
            <w:tcW w:w="2310" w:type="dxa"/>
          </w:tcPr>
          <w:p w:rsidR="008664FC" w:rsidRPr="003F1233" w:rsidRDefault="008664FC" w:rsidP="00080BEC">
            <w:pPr>
              <w:spacing w:before="40" w:after="40"/>
              <w:rPr>
                <w:rFonts w:ascii="Times New Roman" w:hAnsi="Times New Roman" w:cs="Times New Roman"/>
                <w:sz w:val="24"/>
                <w:szCs w:val="24"/>
              </w:rPr>
            </w:pPr>
            <w:r w:rsidRPr="003F1233">
              <w:rPr>
                <w:rFonts w:ascii="Times New Roman" w:hAnsi="Times New Roman" w:cs="Times New Roman"/>
                <w:sz w:val="24"/>
                <w:szCs w:val="24"/>
              </w:rPr>
              <w:t>Size</w:t>
            </w:r>
          </w:p>
        </w:tc>
        <w:tc>
          <w:tcPr>
            <w:tcW w:w="2310" w:type="dxa"/>
          </w:tcPr>
          <w:p w:rsidR="008664FC" w:rsidRPr="005D42BA" w:rsidRDefault="008664FC" w:rsidP="00080BEC">
            <w:pPr>
              <w:tabs>
                <w:tab w:val="decimal" w:pos="809"/>
              </w:tabs>
              <w:spacing w:before="40" w:after="40"/>
              <w:rPr>
                <w:rFonts w:ascii="Times New Roman" w:hAnsi="Times New Roman" w:cs="Times New Roman"/>
                <w:sz w:val="24"/>
                <w:szCs w:val="24"/>
              </w:rPr>
            </w:pPr>
          </w:p>
        </w:tc>
        <w:tc>
          <w:tcPr>
            <w:tcW w:w="2311" w:type="dxa"/>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-0.0012</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(0.0008)</w:t>
            </w:r>
          </w:p>
        </w:tc>
        <w:tc>
          <w:tcPr>
            <w:tcW w:w="2311" w:type="dxa"/>
          </w:tcPr>
          <w:p w:rsidR="008664FC" w:rsidRPr="005D42BA" w:rsidRDefault="008664FC" w:rsidP="00080BEC">
            <w:pPr>
              <w:tabs>
                <w:tab w:val="decimal" w:pos="831"/>
              </w:tabs>
              <w:spacing w:after="40"/>
              <w:rPr>
                <w:rFonts w:ascii="Times New Roman" w:hAnsi="Times New Roman" w:cs="Times New Roman"/>
                <w:i/>
                <w:sz w:val="24"/>
                <w:szCs w:val="24"/>
              </w:rPr>
            </w:pPr>
          </w:p>
        </w:tc>
        <w:tc>
          <w:tcPr>
            <w:tcW w:w="2311" w:type="dxa"/>
          </w:tcPr>
          <w:p w:rsidR="008664FC" w:rsidRPr="003F1233" w:rsidRDefault="008664FC" w:rsidP="00080BEC">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-0.0008</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(0.0007)</w:t>
            </w:r>
          </w:p>
        </w:tc>
      </w:tr>
      <w:tr w:rsidR="008664FC" w:rsidRPr="005D42BA" w:rsidTr="00080BEC">
        <w:trPr>
          <w:jc w:val="center"/>
        </w:trPr>
        <w:tc>
          <w:tcPr>
            <w:tcW w:w="2310" w:type="dxa"/>
          </w:tcPr>
          <w:p w:rsidR="008664FC" w:rsidRPr="003F1233" w:rsidRDefault="008664FC" w:rsidP="00080BEC">
            <w:pPr>
              <w:spacing w:before="40" w:after="40"/>
              <w:rPr>
                <w:rFonts w:ascii="Times New Roman" w:hAnsi="Times New Roman" w:cs="Times New Roman"/>
                <w:sz w:val="24"/>
                <w:szCs w:val="24"/>
              </w:rPr>
            </w:pPr>
            <w:proofErr w:type="spellStart"/>
            <w:r w:rsidRPr="003F1233">
              <w:rPr>
                <w:rFonts w:ascii="Times New Roman" w:hAnsi="Times New Roman" w:cs="Times New Roman"/>
                <w:sz w:val="24"/>
                <w:szCs w:val="24"/>
              </w:rPr>
              <w:t>Book_to_Market</w:t>
            </w:r>
            <w:proofErr w:type="spellEnd"/>
          </w:p>
        </w:tc>
        <w:tc>
          <w:tcPr>
            <w:tcW w:w="2310" w:type="dxa"/>
          </w:tcPr>
          <w:p w:rsidR="008664FC" w:rsidRPr="005D42BA" w:rsidRDefault="008664FC" w:rsidP="00080BEC">
            <w:pPr>
              <w:tabs>
                <w:tab w:val="decimal" w:pos="809"/>
              </w:tabs>
              <w:spacing w:before="40" w:after="40"/>
              <w:rPr>
                <w:rFonts w:ascii="Times New Roman" w:hAnsi="Times New Roman" w:cs="Times New Roman"/>
                <w:sz w:val="24"/>
                <w:szCs w:val="24"/>
              </w:rPr>
            </w:pPr>
          </w:p>
        </w:tc>
        <w:tc>
          <w:tcPr>
            <w:tcW w:w="2311" w:type="dxa"/>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0.0031</w:t>
            </w:r>
            <w:r w:rsidRPr="003F1233">
              <w:rPr>
                <w:rFonts w:ascii="Times New Roman" w:hAnsi="Times New Roman" w:cs="Times New Roman"/>
                <w:sz w:val="24"/>
                <w:szCs w:val="24"/>
                <w:vertAlign w:val="superscript"/>
              </w:rPr>
              <w:t>*</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(0.0016)</w:t>
            </w:r>
          </w:p>
        </w:tc>
        <w:tc>
          <w:tcPr>
            <w:tcW w:w="2311" w:type="dxa"/>
          </w:tcPr>
          <w:p w:rsidR="008664FC" w:rsidRPr="005D42BA" w:rsidRDefault="008664FC" w:rsidP="00080BEC">
            <w:pPr>
              <w:tabs>
                <w:tab w:val="decimal" w:pos="831"/>
              </w:tabs>
              <w:spacing w:after="40"/>
              <w:rPr>
                <w:rFonts w:ascii="Times New Roman" w:hAnsi="Times New Roman" w:cs="Times New Roman"/>
                <w:i/>
                <w:sz w:val="24"/>
                <w:szCs w:val="24"/>
              </w:rPr>
            </w:pPr>
          </w:p>
        </w:tc>
        <w:tc>
          <w:tcPr>
            <w:tcW w:w="2311" w:type="dxa"/>
          </w:tcPr>
          <w:p w:rsidR="008664FC" w:rsidRPr="003F1233" w:rsidRDefault="008664FC" w:rsidP="00080BEC">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0.0009</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(0.0014)</w:t>
            </w:r>
          </w:p>
        </w:tc>
      </w:tr>
      <w:tr w:rsidR="008664FC" w:rsidRPr="005D42BA" w:rsidTr="00080BEC">
        <w:trPr>
          <w:jc w:val="center"/>
        </w:trPr>
        <w:tc>
          <w:tcPr>
            <w:tcW w:w="2310" w:type="dxa"/>
          </w:tcPr>
          <w:p w:rsidR="008664FC" w:rsidRPr="003F1233" w:rsidRDefault="008664FC" w:rsidP="00080BEC">
            <w:pPr>
              <w:spacing w:before="40" w:after="40"/>
              <w:rPr>
                <w:rFonts w:ascii="Times New Roman" w:hAnsi="Times New Roman" w:cs="Times New Roman"/>
                <w:sz w:val="24"/>
                <w:szCs w:val="24"/>
              </w:rPr>
            </w:pPr>
            <w:proofErr w:type="spellStart"/>
            <w:r w:rsidRPr="003F1233">
              <w:rPr>
                <w:rFonts w:ascii="Times New Roman" w:hAnsi="Times New Roman" w:cs="Times New Roman"/>
                <w:sz w:val="24"/>
                <w:szCs w:val="24"/>
              </w:rPr>
              <w:t>Earnings_Surprise</w:t>
            </w:r>
            <w:proofErr w:type="spellEnd"/>
          </w:p>
        </w:tc>
        <w:tc>
          <w:tcPr>
            <w:tcW w:w="2310" w:type="dxa"/>
          </w:tcPr>
          <w:p w:rsidR="008664FC" w:rsidRPr="005D42BA" w:rsidRDefault="008664FC" w:rsidP="00080BEC">
            <w:pPr>
              <w:tabs>
                <w:tab w:val="decimal" w:pos="809"/>
              </w:tabs>
              <w:spacing w:before="40" w:after="40"/>
              <w:rPr>
                <w:rFonts w:ascii="Times New Roman" w:hAnsi="Times New Roman" w:cs="Times New Roman"/>
                <w:sz w:val="24"/>
                <w:szCs w:val="24"/>
              </w:rPr>
            </w:pPr>
          </w:p>
        </w:tc>
        <w:tc>
          <w:tcPr>
            <w:tcW w:w="2311" w:type="dxa"/>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0.0051</w:t>
            </w:r>
            <w:r w:rsidRPr="003F1233">
              <w:rPr>
                <w:rFonts w:ascii="Times New Roman" w:hAnsi="Times New Roman" w:cs="Times New Roman"/>
                <w:sz w:val="24"/>
                <w:szCs w:val="24"/>
                <w:vertAlign w:val="superscript"/>
              </w:rPr>
              <w:t>*</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(0.0028)</w:t>
            </w:r>
          </w:p>
        </w:tc>
        <w:tc>
          <w:tcPr>
            <w:tcW w:w="2311" w:type="dxa"/>
          </w:tcPr>
          <w:p w:rsidR="008664FC" w:rsidRPr="005D42BA" w:rsidRDefault="008664FC" w:rsidP="00080BEC">
            <w:pPr>
              <w:tabs>
                <w:tab w:val="decimal" w:pos="831"/>
              </w:tabs>
              <w:spacing w:before="40" w:after="40"/>
              <w:rPr>
                <w:rFonts w:ascii="Times New Roman" w:hAnsi="Times New Roman" w:cs="Times New Roman"/>
                <w:sz w:val="24"/>
                <w:szCs w:val="24"/>
              </w:rPr>
            </w:pPr>
          </w:p>
        </w:tc>
        <w:tc>
          <w:tcPr>
            <w:tcW w:w="2311" w:type="dxa"/>
          </w:tcPr>
          <w:p w:rsidR="008664FC" w:rsidRPr="003F1233" w:rsidRDefault="008664FC" w:rsidP="00080BEC">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0.0021</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(0.0024)</w:t>
            </w:r>
          </w:p>
        </w:tc>
      </w:tr>
      <w:tr w:rsidR="008664FC" w:rsidRPr="005D42BA" w:rsidTr="00080BEC">
        <w:trPr>
          <w:jc w:val="center"/>
        </w:trPr>
        <w:tc>
          <w:tcPr>
            <w:tcW w:w="2310" w:type="dxa"/>
          </w:tcPr>
          <w:p w:rsidR="008664FC" w:rsidRPr="003F1233" w:rsidRDefault="008664FC" w:rsidP="00080BEC">
            <w:pPr>
              <w:spacing w:before="40" w:after="40"/>
              <w:rPr>
                <w:rFonts w:ascii="Times New Roman" w:hAnsi="Times New Roman" w:cs="Times New Roman"/>
                <w:sz w:val="24"/>
                <w:szCs w:val="24"/>
              </w:rPr>
            </w:pPr>
            <w:r w:rsidRPr="003F1233">
              <w:rPr>
                <w:rFonts w:ascii="Times New Roman" w:hAnsi="Times New Roman" w:cs="Times New Roman"/>
                <w:sz w:val="24"/>
                <w:szCs w:val="24"/>
              </w:rPr>
              <w:sym w:font="Symbol" w:char="F044"/>
            </w:r>
            <w:r w:rsidRPr="003F1233">
              <w:rPr>
                <w:rFonts w:ascii="Times New Roman" w:hAnsi="Times New Roman" w:cs="Times New Roman"/>
                <w:sz w:val="24"/>
                <w:szCs w:val="24"/>
              </w:rPr>
              <w:t>%Sales</w:t>
            </w:r>
          </w:p>
        </w:tc>
        <w:tc>
          <w:tcPr>
            <w:tcW w:w="2310" w:type="dxa"/>
          </w:tcPr>
          <w:p w:rsidR="008664FC" w:rsidRPr="005D42BA" w:rsidRDefault="008664FC" w:rsidP="00080BEC">
            <w:pPr>
              <w:tabs>
                <w:tab w:val="decimal" w:pos="809"/>
              </w:tabs>
              <w:spacing w:before="40" w:after="40"/>
              <w:rPr>
                <w:rFonts w:ascii="Times New Roman" w:hAnsi="Times New Roman" w:cs="Times New Roman"/>
                <w:sz w:val="24"/>
                <w:szCs w:val="24"/>
              </w:rPr>
            </w:pPr>
          </w:p>
        </w:tc>
        <w:tc>
          <w:tcPr>
            <w:tcW w:w="2311" w:type="dxa"/>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0.0032</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(0.0041)</w:t>
            </w:r>
          </w:p>
        </w:tc>
        <w:tc>
          <w:tcPr>
            <w:tcW w:w="2311" w:type="dxa"/>
          </w:tcPr>
          <w:p w:rsidR="008664FC" w:rsidRPr="005D42BA" w:rsidRDefault="008664FC" w:rsidP="00080BEC">
            <w:pPr>
              <w:tabs>
                <w:tab w:val="decimal" w:pos="831"/>
              </w:tabs>
              <w:spacing w:before="40" w:after="40"/>
              <w:rPr>
                <w:rFonts w:ascii="Times New Roman" w:hAnsi="Times New Roman" w:cs="Times New Roman"/>
                <w:sz w:val="24"/>
                <w:szCs w:val="24"/>
              </w:rPr>
            </w:pPr>
          </w:p>
        </w:tc>
        <w:tc>
          <w:tcPr>
            <w:tcW w:w="2311" w:type="dxa"/>
          </w:tcPr>
          <w:p w:rsidR="008664FC" w:rsidRPr="003F1233" w:rsidRDefault="008664FC" w:rsidP="00080BEC">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-0.0007</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(0.0037)</w:t>
            </w:r>
          </w:p>
        </w:tc>
      </w:tr>
      <w:tr w:rsidR="008664FC" w:rsidRPr="005D42BA" w:rsidTr="00080BEC">
        <w:trPr>
          <w:jc w:val="center"/>
        </w:trPr>
        <w:tc>
          <w:tcPr>
            <w:tcW w:w="2310" w:type="dxa"/>
            <w:tcBorders>
              <w:bottom w:val="single" w:sz="4" w:space="0" w:color="auto"/>
            </w:tcBorders>
          </w:tcPr>
          <w:p w:rsidR="008664FC" w:rsidRPr="003F1233" w:rsidRDefault="008664FC" w:rsidP="00080BEC">
            <w:pPr>
              <w:spacing w:before="40" w:after="40"/>
              <w:rPr>
                <w:rFonts w:ascii="Times New Roman" w:hAnsi="Times New Roman" w:cs="Times New Roman"/>
                <w:sz w:val="24"/>
                <w:szCs w:val="24"/>
              </w:rPr>
            </w:pPr>
            <w:r w:rsidRPr="003F1233">
              <w:rPr>
                <w:rFonts w:ascii="Times New Roman" w:hAnsi="Times New Roman" w:cs="Times New Roman"/>
                <w:sz w:val="24"/>
                <w:szCs w:val="24"/>
              </w:rPr>
              <w:sym w:font="Symbol" w:char="F044"/>
            </w:r>
            <w:r w:rsidRPr="003F1233">
              <w:rPr>
                <w:rFonts w:ascii="Times New Roman" w:hAnsi="Times New Roman" w:cs="Times New Roman"/>
                <w:sz w:val="24"/>
                <w:szCs w:val="24"/>
              </w:rPr>
              <w:t>Leverage</w:t>
            </w:r>
          </w:p>
        </w:tc>
        <w:tc>
          <w:tcPr>
            <w:tcW w:w="2310" w:type="dxa"/>
            <w:tcBorders>
              <w:bottom w:val="single" w:sz="4" w:space="0" w:color="auto"/>
            </w:tcBorders>
          </w:tcPr>
          <w:p w:rsidR="008664FC" w:rsidRPr="005D42BA" w:rsidRDefault="008664FC" w:rsidP="00080BEC">
            <w:pPr>
              <w:tabs>
                <w:tab w:val="decimal" w:pos="809"/>
              </w:tabs>
              <w:spacing w:before="40" w:after="40"/>
              <w:rPr>
                <w:rFonts w:ascii="Times New Roman" w:hAnsi="Times New Roman" w:cs="Times New Roman"/>
                <w:sz w:val="24"/>
                <w:szCs w:val="24"/>
              </w:rPr>
            </w:pPr>
          </w:p>
        </w:tc>
        <w:tc>
          <w:tcPr>
            <w:tcW w:w="2311" w:type="dxa"/>
            <w:tcBorders>
              <w:bottom w:val="single" w:sz="4" w:space="0" w:color="auto"/>
            </w:tcBorders>
          </w:tcPr>
          <w:p w:rsidR="008664FC" w:rsidRPr="003F1233" w:rsidRDefault="008664FC" w:rsidP="00080BEC">
            <w:pPr>
              <w:tabs>
                <w:tab w:val="decimal" w:pos="909"/>
              </w:tabs>
              <w:spacing w:before="40"/>
              <w:rPr>
                <w:rFonts w:ascii="Times New Roman" w:hAnsi="Times New Roman" w:cs="Times New Roman"/>
                <w:sz w:val="24"/>
                <w:szCs w:val="24"/>
              </w:rPr>
            </w:pPr>
            <w:r w:rsidRPr="003F1233">
              <w:rPr>
                <w:rFonts w:ascii="Times New Roman" w:hAnsi="Times New Roman" w:cs="Times New Roman"/>
                <w:sz w:val="24"/>
                <w:szCs w:val="24"/>
              </w:rPr>
              <w:t>0.0091</w:t>
            </w:r>
          </w:p>
          <w:p w:rsidR="008664FC" w:rsidRPr="003F1233" w:rsidRDefault="008664FC" w:rsidP="00080BEC">
            <w:pPr>
              <w:tabs>
                <w:tab w:val="decimal" w:pos="909"/>
              </w:tabs>
              <w:spacing w:after="40"/>
              <w:rPr>
                <w:rFonts w:ascii="Times New Roman" w:hAnsi="Times New Roman" w:cs="Times New Roman"/>
                <w:sz w:val="24"/>
                <w:szCs w:val="24"/>
              </w:rPr>
            </w:pPr>
            <w:r w:rsidRPr="003F1233">
              <w:rPr>
                <w:rFonts w:ascii="Times New Roman" w:hAnsi="Times New Roman" w:cs="Times New Roman"/>
                <w:sz w:val="24"/>
                <w:szCs w:val="24"/>
              </w:rPr>
              <w:t>(0.0115)</w:t>
            </w:r>
          </w:p>
        </w:tc>
        <w:tc>
          <w:tcPr>
            <w:tcW w:w="2311" w:type="dxa"/>
            <w:tcBorders>
              <w:bottom w:val="single" w:sz="4" w:space="0" w:color="auto"/>
            </w:tcBorders>
          </w:tcPr>
          <w:p w:rsidR="008664FC" w:rsidRPr="005D42BA" w:rsidRDefault="008664FC" w:rsidP="00080BEC">
            <w:pPr>
              <w:tabs>
                <w:tab w:val="decimal" w:pos="831"/>
              </w:tabs>
              <w:spacing w:before="40" w:after="40"/>
              <w:rPr>
                <w:rFonts w:ascii="Times New Roman" w:hAnsi="Times New Roman" w:cs="Times New Roman"/>
                <w:sz w:val="24"/>
                <w:szCs w:val="24"/>
              </w:rPr>
            </w:pPr>
          </w:p>
        </w:tc>
        <w:tc>
          <w:tcPr>
            <w:tcW w:w="2311" w:type="dxa"/>
            <w:tcBorders>
              <w:bottom w:val="single" w:sz="4" w:space="0" w:color="auto"/>
            </w:tcBorders>
          </w:tcPr>
          <w:p w:rsidR="008664FC" w:rsidRPr="003F1233" w:rsidRDefault="008664FC" w:rsidP="00080BEC">
            <w:pPr>
              <w:tabs>
                <w:tab w:val="decimal" w:pos="866"/>
              </w:tabs>
              <w:spacing w:before="40"/>
              <w:rPr>
                <w:rFonts w:ascii="Times New Roman" w:hAnsi="Times New Roman" w:cs="Times New Roman"/>
                <w:sz w:val="24"/>
                <w:szCs w:val="24"/>
              </w:rPr>
            </w:pPr>
            <w:r w:rsidRPr="003F1233">
              <w:rPr>
                <w:rFonts w:ascii="Times New Roman" w:hAnsi="Times New Roman" w:cs="Times New Roman"/>
                <w:sz w:val="24"/>
                <w:szCs w:val="24"/>
              </w:rPr>
              <w:t>0.0033</w:t>
            </w:r>
          </w:p>
          <w:p w:rsidR="008664FC" w:rsidRPr="003F1233" w:rsidRDefault="008664FC" w:rsidP="00080BEC">
            <w:pPr>
              <w:tabs>
                <w:tab w:val="decimal" w:pos="866"/>
              </w:tabs>
              <w:spacing w:after="40"/>
              <w:rPr>
                <w:rFonts w:ascii="Times New Roman" w:hAnsi="Times New Roman" w:cs="Times New Roman"/>
                <w:sz w:val="24"/>
                <w:szCs w:val="24"/>
              </w:rPr>
            </w:pPr>
            <w:r w:rsidRPr="003F1233">
              <w:rPr>
                <w:rFonts w:ascii="Times New Roman" w:hAnsi="Times New Roman" w:cs="Times New Roman"/>
                <w:sz w:val="24"/>
                <w:szCs w:val="24"/>
              </w:rPr>
              <w:t>(0.0102)</w:t>
            </w:r>
          </w:p>
        </w:tc>
      </w:tr>
      <w:tr w:rsidR="008664FC" w:rsidRPr="005D42BA" w:rsidTr="00080BEC">
        <w:trPr>
          <w:jc w:val="center"/>
        </w:trPr>
        <w:tc>
          <w:tcPr>
            <w:tcW w:w="2310" w:type="dxa"/>
            <w:tcBorders>
              <w:top w:val="single" w:sz="4" w:space="0" w:color="auto"/>
            </w:tcBorders>
          </w:tcPr>
          <w:p w:rsidR="008664FC" w:rsidRPr="005D42BA" w:rsidRDefault="008664FC" w:rsidP="00080BEC">
            <w:pPr>
              <w:spacing w:before="40" w:after="40"/>
              <w:rPr>
                <w:rFonts w:ascii="Times New Roman" w:hAnsi="Times New Roman" w:cs="Times New Roman"/>
                <w:sz w:val="24"/>
                <w:szCs w:val="24"/>
              </w:rPr>
            </w:pPr>
            <w:r w:rsidRPr="005D42BA">
              <w:rPr>
                <w:rFonts w:ascii="Times New Roman" w:hAnsi="Times New Roman" w:cs="Times New Roman"/>
                <w:sz w:val="24"/>
                <w:szCs w:val="24"/>
              </w:rPr>
              <w:t>R-squared</w:t>
            </w:r>
          </w:p>
        </w:tc>
        <w:tc>
          <w:tcPr>
            <w:tcW w:w="2310" w:type="dxa"/>
            <w:tcBorders>
              <w:top w:val="single" w:sz="4" w:space="0" w:color="auto"/>
            </w:tcBorders>
          </w:tcPr>
          <w:p w:rsidR="008664FC" w:rsidRPr="005D42BA" w:rsidRDefault="008664FC" w:rsidP="00080BEC">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0.2100%</w:t>
            </w:r>
          </w:p>
        </w:tc>
        <w:tc>
          <w:tcPr>
            <w:tcW w:w="2311" w:type="dxa"/>
            <w:tcBorders>
              <w:top w:val="single" w:sz="4" w:space="0" w:color="auto"/>
            </w:tcBorders>
          </w:tcPr>
          <w:p w:rsidR="008664FC" w:rsidRPr="005D42BA" w:rsidRDefault="008664FC" w:rsidP="00080BEC">
            <w:pPr>
              <w:tabs>
                <w:tab w:val="decimal" w:pos="909"/>
              </w:tabs>
              <w:spacing w:before="40" w:after="40"/>
              <w:rPr>
                <w:rFonts w:ascii="Times New Roman" w:hAnsi="Times New Roman" w:cs="Times New Roman"/>
                <w:sz w:val="24"/>
                <w:szCs w:val="24"/>
              </w:rPr>
            </w:pPr>
            <w:r w:rsidRPr="005D42BA">
              <w:rPr>
                <w:rFonts w:ascii="Times New Roman" w:hAnsi="Times New Roman" w:cs="Times New Roman"/>
                <w:sz w:val="24"/>
                <w:szCs w:val="24"/>
              </w:rPr>
              <w:t>0.8624%</w:t>
            </w:r>
          </w:p>
        </w:tc>
        <w:tc>
          <w:tcPr>
            <w:tcW w:w="2311" w:type="dxa"/>
            <w:tcBorders>
              <w:top w:val="single" w:sz="4" w:space="0" w:color="auto"/>
            </w:tcBorders>
          </w:tcPr>
          <w:p w:rsidR="008664FC" w:rsidRPr="005D42BA" w:rsidRDefault="008664FC" w:rsidP="00080BEC">
            <w:pPr>
              <w:tabs>
                <w:tab w:val="decimal" w:pos="831"/>
              </w:tabs>
              <w:spacing w:before="40" w:after="40"/>
              <w:rPr>
                <w:rFonts w:ascii="Times New Roman" w:hAnsi="Times New Roman" w:cs="Times New Roman"/>
                <w:sz w:val="24"/>
                <w:szCs w:val="24"/>
              </w:rPr>
            </w:pPr>
            <w:r w:rsidRPr="005D42BA">
              <w:rPr>
                <w:rFonts w:ascii="Times New Roman" w:hAnsi="Times New Roman" w:cs="Times New Roman"/>
                <w:sz w:val="24"/>
                <w:szCs w:val="24"/>
              </w:rPr>
              <w:t>0.3413%</w:t>
            </w:r>
          </w:p>
        </w:tc>
        <w:tc>
          <w:tcPr>
            <w:tcW w:w="2311" w:type="dxa"/>
            <w:tcBorders>
              <w:top w:val="single" w:sz="4" w:space="0" w:color="auto"/>
            </w:tcBorders>
          </w:tcPr>
          <w:p w:rsidR="008664FC" w:rsidRPr="005D42BA" w:rsidRDefault="008664FC" w:rsidP="00080BEC">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0.5364%</w:t>
            </w:r>
          </w:p>
        </w:tc>
      </w:tr>
      <w:tr w:rsidR="008664FC" w:rsidRPr="005D42BA" w:rsidTr="00080BEC">
        <w:trPr>
          <w:jc w:val="center"/>
        </w:trPr>
        <w:tc>
          <w:tcPr>
            <w:tcW w:w="2310" w:type="dxa"/>
          </w:tcPr>
          <w:p w:rsidR="008664FC" w:rsidRPr="005D42BA" w:rsidRDefault="008664FC" w:rsidP="00080BEC">
            <w:pPr>
              <w:spacing w:before="40" w:after="40"/>
              <w:rPr>
                <w:rFonts w:ascii="Times New Roman" w:hAnsi="Times New Roman" w:cs="Times New Roman"/>
                <w:sz w:val="24"/>
                <w:szCs w:val="24"/>
              </w:rPr>
            </w:pPr>
            <w:r w:rsidRPr="005D42BA">
              <w:rPr>
                <w:rFonts w:ascii="Times New Roman" w:hAnsi="Times New Roman" w:cs="Times New Roman"/>
                <w:sz w:val="24"/>
                <w:szCs w:val="24"/>
              </w:rPr>
              <w:t>F-stat</w:t>
            </w:r>
          </w:p>
        </w:tc>
        <w:tc>
          <w:tcPr>
            <w:tcW w:w="2310" w:type="dxa"/>
          </w:tcPr>
          <w:p w:rsidR="008664FC" w:rsidRPr="005D42BA" w:rsidRDefault="008664FC" w:rsidP="00080BEC">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2.9630</w:t>
            </w:r>
          </w:p>
        </w:tc>
        <w:tc>
          <w:tcPr>
            <w:tcW w:w="2311" w:type="dxa"/>
          </w:tcPr>
          <w:p w:rsidR="008664FC" w:rsidRPr="005D42BA" w:rsidRDefault="008664FC" w:rsidP="00080BEC">
            <w:pPr>
              <w:tabs>
                <w:tab w:val="decimal" w:pos="909"/>
              </w:tabs>
              <w:spacing w:before="40" w:after="40"/>
              <w:rPr>
                <w:rFonts w:ascii="Times New Roman" w:hAnsi="Times New Roman" w:cs="Times New Roman"/>
                <w:sz w:val="24"/>
                <w:szCs w:val="24"/>
              </w:rPr>
            </w:pPr>
            <w:r w:rsidRPr="005D42BA">
              <w:rPr>
                <w:rFonts w:ascii="Times New Roman" w:hAnsi="Times New Roman" w:cs="Times New Roman"/>
                <w:sz w:val="24"/>
                <w:szCs w:val="24"/>
              </w:rPr>
              <w:t>1.9978</w:t>
            </w:r>
          </w:p>
        </w:tc>
        <w:tc>
          <w:tcPr>
            <w:tcW w:w="2311" w:type="dxa"/>
          </w:tcPr>
          <w:p w:rsidR="008664FC" w:rsidRPr="005D42BA" w:rsidRDefault="008664FC" w:rsidP="00080BEC">
            <w:pPr>
              <w:tabs>
                <w:tab w:val="decimal" w:pos="831"/>
              </w:tabs>
              <w:spacing w:before="40" w:after="40"/>
              <w:rPr>
                <w:rFonts w:ascii="Times New Roman" w:hAnsi="Times New Roman" w:cs="Times New Roman"/>
                <w:sz w:val="24"/>
                <w:szCs w:val="24"/>
              </w:rPr>
            </w:pPr>
            <w:r w:rsidRPr="005D42BA">
              <w:rPr>
                <w:rFonts w:ascii="Times New Roman" w:hAnsi="Times New Roman" w:cs="Times New Roman"/>
                <w:sz w:val="24"/>
                <w:szCs w:val="24"/>
              </w:rPr>
              <w:t>4.8213</w:t>
            </w:r>
          </w:p>
        </w:tc>
        <w:tc>
          <w:tcPr>
            <w:tcW w:w="2311" w:type="dxa"/>
          </w:tcPr>
          <w:p w:rsidR="008664FC" w:rsidRPr="005D42BA" w:rsidRDefault="008664FC" w:rsidP="00080BEC">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1.2387</w:t>
            </w:r>
          </w:p>
        </w:tc>
      </w:tr>
      <w:tr w:rsidR="008664FC" w:rsidRPr="005D42BA" w:rsidTr="00080BEC">
        <w:trPr>
          <w:jc w:val="center"/>
        </w:trPr>
        <w:tc>
          <w:tcPr>
            <w:tcW w:w="2310" w:type="dxa"/>
          </w:tcPr>
          <w:p w:rsidR="008664FC" w:rsidRPr="005D42BA" w:rsidRDefault="008664FC" w:rsidP="00080BEC">
            <w:pPr>
              <w:spacing w:before="40" w:after="40"/>
              <w:rPr>
                <w:rFonts w:ascii="Times New Roman" w:hAnsi="Times New Roman" w:cs="Times New Roman"/>
                <w:sz w:val="24"/>
                <w:szCs w:val="24"/>
              </w:rPr>
            </w:pPr>
            <w:proofErr w:type="spellStart"/>
            <w:r w:rsidRPr="005D42BA">
              <w:rPr>
                <w:rFonts w:ascii="Times New Roman" w:hAnsi="Times New Roman" w:cs="Times New Roman"/>
                <w:sz w:val="24"/>
                <w:szCs w:val="24"/>
              </w:rPr>
              <w:t>Prob</w:t>
            </w:r>
            <w:proofErr w:type="spellEnd"/>
            <w:r w:rsidRPr="005D42BA">
              <w:rPr>
                <w:rFonts w:ascii="Times New Roman" w:hAnsi="Times New Roman" w:cs="Times New Roman"/>
                <w:sz w:val="24"/>
                <w:szCs w:val="24"/>
              </w:rPr>
              <w:t xml:space="preserve"> (F-stat)</w:t>
            </w:r>
          </w:p>
        </w:tc>
        <w:tc>
          <w:tcPr>
            <w:tcW w:w="2310" w:type="dxa"/>
          </w:tcPr>
          <w:p w:rsidR="008664FC" w:rsidRPr="005D42BA" w:rsidRDefault="008664FC" w:rsidP="00080BEC">
            <w:pPr>
              <w:tabs>
                <w:tab w:val="decimal" w:pos="809"/>
              </w:tabs>
              <w:spacing w:before="40" w:after="40"/>
              <w:rPr>
                <w:rFonts w:ascii="Times New Roman" w:hAnsi="Times New Roman" w:cs="Times New Roman"/>
                <w:sz w:val="24"/>
                <w:szCs w:val="24"/>
              </w:rPr>
            </w:pPr>
            <w:r w:rsidRPr="005D42BA">
              <w:rPr>
                <w:rFonts w:ascii="Times New Roman" w:hAnsi="Times New Roman" w:cs="Times New Roman"/>
                <w:sz w:val="24"/>
                <w:szCs w:val="24"/>
              </w:rPr>
              <w:t>0.0854</w:t>
            </w:r>
          </w:p>
        </w:tc>
        <w:tc>
          <w:tcPr>
            <w:tcW w:w="2311" w:type="dxa"/>
          </w:tcPr>
          <w:p w:rsidR="008664FC" w:rsidRPr="005D42BA" w:rsidRDefault="008664FC" w:rsidP="00080BEC">
            <w:pPr>
              <w:tabs>
                <w:tab w:val="decimal" w:pos="909"/>
              </w:tabs>
              <w:spacing w:before="40" w:after="40"/>
              <w:rPr>
                <w:rFonts w:ascii="Times New Roman" w:hAnsi="Times New Roman" w:cs="Times New Roman"/>
                <w:sz w:val="24"/>
                <w:szCs w:val="24"/>
              </w:rPr>
            </w:pPr>
            <w:r w:rsidRPr="005D42BA">
              <w:rPr>
                <w:rFonts w:ascii="Times New Roman" w:hAnsi="Times New Roman" w:cs="Times New Roman"/>
                <w:sz w:val="24"/>
                <w:szCs w:val="24"/>
              </w:rPr>
              <w:t>0.0630</w:t>
            </w:r>
          </w:p>
        </w:tc>
        <w:tc>
          <w:tcPr>
            <w:tcW w:w="2311" w:type="dxa"/>
          </w:tcPr>
          <w:p w:rsidR="008664FC" w:rsidRPr="005D42BA" w:rsidRDefault="008664FC" w:rsidP="00080BEC">
            <w:pPr>
              <w:tabs>
                <w:tab w:val="decimal" w:pos="831"/>
              </w:tabs>
              <w:spacing w:before="40" w:after="40"/>
              <w:rPr>
                <w:rFonts w:ascii="Times New Roman" w:hAnsi="Times New Roman" w:cs="Times New Roman"/>
                <w:sz w:val="24"/>
                <w:szCs w:val="24"/>
              </w:rPr>
            </w:pPr>
            <w:r w:rsidRPr="005D42BA">
              <w:rPr>
                <w:rFonts w:ascii="Times New Roman" w:hAnsi="Times New Roman" w:cs="Times New Roman"/>
                <w:sz w:val="24"/>
                <w:szCs w:val="24"/>
              </w:rPr>
              <w:t>0.0283</w:t>
            </w:r>
          </w:p>
        </w:tc>
        <w:tc>
          <w:tcPr>
            <w:tcW w:w="2311" w:type="dxa"/>
          </w:tcPr>
          <w:p w:rsidR="008664FC" w:rsidRPr="005D42BA" w:rsidRDefault="008664FC" w:rsidP="00080BEC">
            <w:pPr>
              <w:tabs>
                <w:tab w:val="decimal" w:pos="866"/>
              </w:tabs>
              <w:spacing w:before="40" w:after="40"/>
              <w:rPr>
                <w:rFonts w:ascii="Times New Roman" w:hAnsi="Times New Roman" w:cs="Times New Roman"/>
                <w:sz w:val="24"/>
                <w:szCs w:val="24"/>
              </w:rPr>
            </w:pPr>
            <w:r w:rsidRPr="005D42BA">
              <w:rPr>
                <w:rFonts w:ascii="Times New Roman" w:hAnsi="Times New Roman" w:cs="Times New Roman"/>
                <w:sz w:val="24"/>
                <w:szCs w:val="24"/>
              </w:rPr>
              <w:t>0.2835</w:t>
            </w:r>
          </w:p>
        </w:tc>
      </w:tr>
      <w:tr w:rsidR="008664FC" w:rsidRPr="005D42BA" w:rsidTr="00080BEC">
        <w:trPr>
          <w:jc w:val="center"/>
        </w:trPr>
        <w:tc>
          <w:tcPr>
            <w:tcW w:w="2310" w:type="dxa"/>
            <w:tcBorders>
              <w:bottom w:val="double" w:sz="4" w:space="0" w:color="auto"/>
            </w:tcBorders>
          </w:tcPr>
          <w:p w:rsidR="008664FC" w:rsidRPr="005D42BA" w:rsidRDefault="008664FC" w:rsidP="00080BEC">
            <w:pPr>
              <w:spacing w:before="40" w:after="40"/>
              <w:rPr>
                <w:rFonts w:ascii="Times New Roman" w:hAnsi="Times New Roman" w:cs="Times New Roman"/>
                <w:sz w:val="24"/>
                <w:szCs w:val="24"/>
              </w:rPr>
            </w:pPr>
            <w:r w:rsidRPr="005D42BA">
              <w:rPr>
                <w:rFonts w:ascii="Times New Roman" w:hAnsi="Times New Roman" w:cs="Times New Roman"/>
                <w:sz w:val="24"/>
                <w:szCs w:val="24"/>
              </w:rPr>
              <w:t xml:space="preserve">No. obs. </w:t>
            </w:r>
          </w:p>
        </w:tc>
        <w:tc>
          <w:tcPr>
            <w:tcW w:w="2310" w:type="dxa"/>
            <w:tcBorders>
              <w:bottom w:val="doub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1410</w:t>
            </w:r>
          </w:p>
        </w:tc>
        <w:tc>
          <w:tcPr>
            <w:tcW w:w="2311" w:type="dxa"/>
            <w:tcBorders>
              <w:bottom w:val="doub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1385</w:t>
            </w:r>
          </w:p>
        </w:tc>
        <w:tc>
          <w:tcPr>
            <w:tcW w:w="2311" w:type="dxa"/>
            <w:tcBorders>
              <w:bottom w:val="double" w:sz="4" w:space="0" w:color="auto"/>
            </w:tcBorders>
          </w:tcPr>
          <w:p w:rsidR="008664FC" w:rsidRPr="005D42BA" w:rsidRDefault="008664FC" w:rsidP="00080BEC">
            <w:pPr>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1410</w:t>
            </w:r>
          </w:p>
        </w:tc>
        <w:tc>
          <w:tcPr>
            <w:tcW w:w="2311" w:type="dxa"/>
            <w:tcBorders>
              <w:bottom w:val="double" w:sz="4" w:space="0" w:color="auto"/>
            </w:tcBorders>
          </w:tcPr>
          <w:p w:rsidR="008664FC" w:rsidRPr="005D42BA" w:rsidRDefault="008664FC" w:rsidP="00080BEC">
            <w:pPr>
              <w:tabs>
                <w:tab w:val="decimal" w:pos="704"/>
                <w:tab w:val="decimal" w:pos="854"/>
              </w:tabs>
              <w:spacing w:before="40" w:after="40"/>
              <w:jc w:val="center"/>
              <w:rPr>
                <w:rFonts w:ascii="Times New Roman" w:hAnsi="Times New Roman" w:cs="Times New Roman"/>
                <w:sz w:val="24"/>
                <w:szCs w:val="24"/>
              </w:rPr>
            </w:pPr>
            <w:r w:rsidRPr="005D42BA">
              <w:rPr>
                <w:rFonts w:ascii="Times New Roman" w:hAnsi="Times New Roman" w:cs="Times New Roman"/>
                <w:sz w:val="24"/>
                <w:szCs w:val="24"/>
              </w:rPr>
              <w:t>1385</w:t>
            </w:r>
          </w:p>
        </w:tc>
      </w:tr>
    </w:tbl>
    <w:p w:rsidR="008664FC" w:rsidRPr="005D42BA" w:rsidRDefault="008664FC" w:rsidP="008664FC">
      <w:pPr>
        <w:ind w:left="1134" w:right="1200"/>
        <w:jc w:val="both"/>
      </w:pPr>
      <w:r w:rsidRPr="005D42BA">
        <w:rPr>
          <w:rFonts w:ascii="Times New Roman" w:hAnsi="Times New Roman" w:cs="Times New Roman"/>
          <w:sz w:val="20"/>
          <w:szCs w:val="20"/>
        </w:rPr>
        <w:t xml:space="preserve">Note: This table reports the estimates of regressions where the abnormal returns in the (-1,1) event window act as the dependent variable. Standard errors are given in parentheses below the parameter estimates. R-square, F-statistic for the joint significance of explanatory variables and the number of observations are presented at the bottom of the table. </w:t>
      </w:r>
      <w:r w:rsidRPr="005D42BA">
        <w:rPr>
          <w:rFonts w:ascii="Times New Roman" w:hAnsi="Times New Roman" w:cs="Times New Roman"/>
          <w:sz w:val="20"/>
          <w:szCs w:val="20"/>
          <w:vertAlign w:val="superscript"/>
        </w:rPr>
        <w:t>*</w:t>
      </w:r>
      <w:r w:rsidRPr="005D42BA">
        <w:rPr>
          <w:rFonts w:ascii="Times New Roman" w:hAnsi="Times New Roman" w:cs="Times New Roman"/>
          <w:sz w:val="20"/>
          <w:szCs w:val="20"/>
        </w:rPr>
        <w:t xml:space="preserve">, </w:t>
      </w:r>
      <w:r w:rsidRPr="005D42BA">
        <w:rPr>
          <w:rFonts w:ascii="Times New Roman" w:hAnsi="Times New Roman" w:cs="Times New Roman"/>
          <w:sz w:val="20"/>
          <w:szCs w:val="20"/>
          <w:vertAlign w:val="superscript"/>
        </w:rPr>
        <w:t>**</w:t>
      </w:r>
      <w:r w:rsidRPr="005D42BA">
        <w:rPr>
          <w:rFonts w:ascii="Times New Roman" w:hAnsi="Times New Roman" w:cs="Times New Roman"/>
          <w:sz w:val="20"/>
          <w:szCs w:val="20"/>
        </w:rPr>
        <w:t xml:space="preserve">, </w:t>
      </w:r>
      <w:r w:rsidRPr="005D42BA">
        <w:rPr>
          <w:rFonts w:ascii="Times New Roman" w:hAnsi="Times New Roman" w:cs="Times New Roman"/>
          <w:sz w:val="20"/>
          <w:szCs w:val="20"/>
          <w:vertAlign w:val="superscript"/>
        </w:rPr>
        <w:t>***</w:t>
      </w:r>
      <w:r w:rsidRPr="005D42BA">
        <w:rPr>
          <w:rFonts w:ascii="Times New Roman" w:hAnsi="Times New Roman" w:cs="Times New Roman"/>
          <w:sz w:val="20"/>
          <w:szCs w:val="20"/>
        </w:rPr>
        <w:t xml:space="preserve"> denote statistical significance at 10%, 5% and 1%, respectively.</w:t>
      </w:r>
    </w:p>
    <w:p w:rsidR="008664FC" w:rsidRPr="005D42BA" w:rsidRDefault="008664FC">
      <w:pPr>
        <w:rPr>
          <w:rFonts w:ascii="Times New Roman" w:hAnsi="Times New Roman" w:cs="Times New Roman"/>
          <w:b/>
          <w:sz w:val="24"/>
          <w:szCs w:val="24"/>
        </w:rPr>
      </w:pPr>
    </w:p>
    <w:p w:rsidR="008664FC" w:rsidRPr="005D42BA" w:rsidRDefault="008664FC" w:rsidP="00232DB2">
      <w:pPr>
        <w:jc w:val="center"/>
        <w:rPr>
          <w:rFonts w:ascii="Times New Roman" w:hAnsi="Times New Roman" w:cs="Times New Roman"/>
          <w:b/>
          <w:sz w:val="24"/>
          <w:szCs w:val="24"/>
        </w:rPr>
        <w:sectPr w:rsidR="008664FC" w:rsidRPr="005D42BA" w:rsidSect="008664FC">
          <w:pgSz w:w="16838" w:h="11906" w:orient="landscape"/>
          <w:pgMar w:top="1440" w:right="1440" w:bottom="1440" w:left="1440" w:header="709" w:footer="709" w:gutter="0"/>
          <w:cols w:space="708"/>
          <w:docGrid w:linePitch="360"/>
        </w:sectPr>
      </w:pPr>
    </w:p>
    <w:p w:rsidR="00562855" w:rsidRPr="005D42BA" w:rsidRDefault="00562855" w:rsidP="00562855">
      <w:pPr>
        <w:jc w:val="center"/>
        <w:rPr>
          <w:rFonts w:ascii="Times New Roman" w:hAnsi="Times New Roman" w:cs="Times New Roman"/>
          <w:b/>
          <w:sz w:val="24"/>
          <w:szCs w:val="24"/>
        </w:rPr>
      </w:pPr>
      <w:r w:rsidRPr="005D42BA">
        <w:rPr>
          <w:rFonts w:ascii="Times New Roman" w:hAnsi="Times New Roman" w:cs="Times New Roman"/>
          <w:b/>
          <w:sz w:val="24"/>
          <w:szCs w:val="24"/>
        </w:rPr>
        <w:lastRenderedPageBreak/>
        <w:t>Appendix I</w:t>
      </w:r>
    </w:p>
    <w:p w:rsidR="00562855" w:rsidRPr="003F1233" w:rsidRDefault="00562855" w:rsidP="00562855">
      <w:pPr>
        <w:jc w:val="center"/>
        <w:rPr>
          <w:rFonts w:ascii="Times New Roman" w:eastAsia="MS Mincho" w:hAnsi="Times New Roman" w:cs="Times New Roman"/>
          <w:b/>
          <w:sz w:val="24"/>
          <w:szCs w:val="24"/>
        </w:rPr>
      </w:pPr>
      <w:r w:rsidRPr="005D42BA">
        <w:rPr>
          <w:rFonts w:ascii="Times New Roman" w:eastAsia="MS Mincho" w:hAnsi="Times New Roman" w:cs="Times New Roman"/>
          <w:b/>
          <w:sz w:val="24"/>
          <w:szCs w:val="24"/>
        </w:rPr>
        <w:t>Thesaurus of Positive Words</w:t>
      </w:r>
    </w:p>
    <w:p w:rsidR="00562855" w:rsidRPr="003F1233" w:rsidRDefault="00562855" w:rsidP="00562855">
      <w:pPr>
        <w:ind w:left="426" w:right="521"/>
        <w:jc w:val="both"/>
        <w:rPr>
          <w:rFonts w:ascii="Times New Roman" w:eastAsia="MS Mincho" w:hAnsi="Times New Roman" w:cs="Times New Roman"/>
          <w:sz w:val="24"/>
          <w:szCs w:val="24"/>
        </w:rPr>
      </w:pPr>
      <w:r w:rsidRPr="003F1233">
        <w:rPr>
          <w:rFonts w:ascii="Times New Roman" w:eastAsia="MS Mincho" w:hAnsi="Times New Roman" w:cs="Times New Roman"/>
          <w:sz w:val="24"/>
          <w:szCs w:val="24"/>
        </w:rPr>
        <w:t>positive, positives, success, successes, successful, succeed, succeeds, succeeding, succeeded, accomplish, accomplishes, accomplishing, accomplished, accomplishment, accomplishments, strong, strength, strengths, certain, certainty, definite, solid, excellent, good, leading, achieve, achieves, achieved, achieving, achievement, achievements, progress, progressing, deliver, delivers, delivered, delivering, leader, leading, pleased, reward, rewards, rewarding, rewarded, opportunity, opportunities, enjoy, enjoys, enjoying, enjoyed, encouraged, encouraging, up, increase, increases, increasing,  increased, rise, rises, rising, rose, risen, improve, improves, improving, improved, improvement, improvements, strengthen, strengthens, strengthening, strengthened, stronger, strongest, better, best, more, most, above, record, high, higher, highest, greater, greatest, larger, largest, grow, grows, growing, grew, grown, growth, expand, expands, expanding, expanded, expansion, exceed, exceeds, exceeded, exceeding, beat, beats, beating</w:t>
      </w:r>
    </w:p>
    <w:p w:rsidR="00562855" w:rsidRPr="005D42BA" w:rsidRDefault="00562855" w:rsidP="00562855">
      <w:pPr>
        <w:jc w:val="center"/>
        <w:rPr>
          <w:rFonts w:ascii="Times New Roman" w:hAnsi="Times New Roman" w:cs="Times New Roman"/>
          <w:b/>
          <w:sz w:val="24"/>
          <w:szCs w:val="24"/>
        </w:rPr>
      </w:pPr>
    </w:p>
    <w:p w:rsidR="00562855" w:rsidRPr="005D42BA" w:rsidRDefault="00562855">
      <w:pPr>
        <w:rPr>
          <w:rFonts w:ascii="Times New Roman" w:hAnsi="Times New Roman" w:cs="Times New Roman"/>
          <w:b/>
          <w:sz w:val="24"/>
          <w:szCs w:val="24"/>
        </w:rPr>
      </w:pPr>
      <w:r w:rsidRPr="005D42BA">
        <w:rPr>
          <w:rFonts w:ascii="Times New Roman" w:hAnsi="Times New Roman" w:cs="Times New Roman"/>
          <w:b/>
          <w:sz w:val="24"/>
          <w:szCs w:val="24"/>
        </w:rPr>
        <w:br w:type="page"/>
      </w:r>
    </w:p>
    <w:p w:rsidR="00621E63" w:rsidRPr="005D42BA" w:rsidRDefault="00232DB2" w:rsidP="00232DB2">
      <w:pPr>
        <w:jc w:val="center"/>
        <w:rPr>
          <w:rFonts w:ascii="Times New Roman" w:hAnsi="Times New Roman" w:cs="Times New Roman"/>
          <w:b/>
          <w:sz w:val="24"/>
          <w:szCs w:val="24"/>
        </w:rPr>
      </w:pPr>
      <w:r w:rsidRPr="005D42BA">
        <w:rPr>
          <w:rFonts w:ascii="Times New Roman" w:hAnsi="Times New Roman" w:cs="Times New Roman"/>
          <w:b/>
          <w:sz w:val="24"/>
          <w:szCs w:val="24"/>
        </w:rPr>
        <w:lastRenderedPageBreak/>
        <w:t>Appendix</w:t>
      </w:r>
      <w:r w:rsidR="00400B3A" w:rsidRPr="005D42BA">
        <w:rPr>
          <w:rFonts w:ascii="Times New Roman" w:hAnsi="Times New Roman" w:cs="Times New Roman"/>
          <w:b/>
          <w:sz w:val="24"/>
          <w:szCs w:val="24"/>
        </w:rPr>
        <w:t xml:space="preserve"> II</w:t>
      </w:r>
    </w:p>
    <w:p w:rsidR="00232DB2" w:rsidRPr="005D42BA" w:rsidRDefault="00232DB2" w:rsidP="00232DB2">
      <w:pPr>
        <w:jc w:val="center"/>
        <w:rPr>
          <w:rFonts w:ascii="Times New Roman" w:hAnsi="Times New Roman" w:cs="Times New Roman"/>
          <w:b/>
          <w:sz w:val="24"/>
          <w:szCs w:val="24"/>
        </w:rPr>
      </w:pPr>
      <w:r w:rsidRPr="005D42BA">
        <w:rPr>
          <w:rFonts w:ascii="Times New Roman" w:hAnsi="Times New Roman" w:cs="Times New Roman"/>
          <w:b/>
          <w:sz w:val="24"/>
          <w:szCs w:val="24"/>
        </w:rPr>
        <w:t>Companies and Number of Annual Reports Included in the Sample</w:t>
      </w:r>
    </w:p>
    <w:tbl>
      <w:tblPr>
        <w:tblW w:w="8716" w:type="dxa"/>
        <w:jc w:val="center"/>
        <w:tblInd w:w="93" w:type="dxa"/>
        <w:tblLook w:val="04A0"/>
      </w:tblPr>
      <w:tblGrid>
        <w:gridCol w:w="3843"/>
        <w:gridCol w:w="400"/>
        <w:gridCol w:w="400"/>
        <w:gridCol w:w="3633"/>
        <w:gridCol w:w="440"/>
      </w:tblGrid>
      <w:tr w:rsidR="00C95BF0" w:rsidRPr="005D42BA" w:rsidTr="000564AA">
        <w:trPr>
          <w:trHeight w:val="285"/>
          <w:jc w:val="center"/>
        </w:trPr>
        <w:tc>
          <w:tcPr>
            <w:tcW w:w="3843" w:type="dxa"/>
            <w:tcBorders>
              <w:top w:val="double" w:sz="4" w:space="0" w:color="auto"/>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3i Group</w:t>
            </w:r>
          </w:p>
        </w:tc>
        <w:tc>
          <w:tcPr>
            <w:tcW w:w="400" w:type="dxa"/>
            <w:tcBorders>
              <w:top w:val="double" w:sz="4" w:space="0" w:color="auto"/>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double" w:sz="4" w:space="0" w:color="auto"/>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double" w:sz="4" w:space="0" w:color="auto"/>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Capita</w:t>
            </w:r>
          </w:p>
        </w:tc>
        <w:tc>
          <w:tcPr>
            <w:tcW w:w="440" w:type="dxa"/>
            <w:tcBorders>
              <w:top w:val="double" w:sz="4" w:space="0" w:color="auto"/>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3i Infrastructure</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Carillion</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Admiral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Carnival</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Amec</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Carpetright</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Amlin</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Catlin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Anglo American</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Centrica</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Antofagasta</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Close Brothers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Arm Holdings</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Cobham</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Ashmore</w:t>
            </w:r>
            <w:proofErr w:type="spellEnd"/>
            <w:r w:rsidRPr="005D42BA">
              <w:rPr>
                <w:rFonts w:ascii="Times New Roman" w:eastAsia="Times New Roman" w:hAnsi="Times New Roman" w:cs="Times New Roman"/>
                <w:color w:val="000000"/>
                <w:sz w:val="24"/>
                <w:szCs w:val="24"/>
                <w:lang w:eastAsia="en-GB"/>
              </w:rPr>
              <w:t xml:space="preserve">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Colt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Ashtead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Compass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Associated </w:t>
            </w:r>
            <w:proofErr w:type="spellStart"/>
            <w:r w:rsidRPr="005D42BA">
              <w:rPr>
                <w:rFonts w:ascii="Times New Roman" w:eastAsia="Times New Roman" w:hAnsi="Times New Roman" w:cs="Times New Roman"/>
                <w:color w:val="000000"/>
                <w:sz w:val="24"/>
                <w:szCs w:val="24"/>
                <w:lang w:eastAsia="en-GB"/>
              </w:rPr>
              <w:t>Brit.Foods</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Computacenter</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Astrazeneca</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CRH</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Aveva</w:t>
            </w:r>
            <w:proofErr w:type="spellEnd"/>
            <w:r w:rsidRPr="005D42BA">
              <w:rPr>
                <w:rFonts w:ascii="Times New Roman" w:eastAsia="Times New Roman" w:hAnsi="Times New Roman" w:cs="Times New Roman"/>
                <w:color w:val="000000"/>
                <w:sz w:val="24"/>
                <w:szCs w:val="24"/>
                <w:lang w:eastAsia="en-GB"/>
              </w:rPr>
              <w:t xml:space="preserve">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Croda</w:t>
            </w:r>
            <w:proofErr w:type="spellEnd"/>
            <w:r w:rsidRPr="005D42BA">
              <w:rPr>
                <w:rFonts w:ascii="Times New Roman" w:eastAsia="Times New Roman" w:hAnsi="Times New Roman" w:cs="Times New Roman"/>
                <w:color w:val="000000"/>
                <w:sz w:val="24"/>
                <w:szCs w:val="24"/>
                <w:lang w:eastAsia="en-GB"/>
              </w:rPr>
              <w:t xml:space="preserve"> International</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Aviva</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CSR</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Babcock Intl.</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Daejan</w:t>
            </w:r>
            <w:proofErr w:type="spellEnd"/>
            <w:r w:rsidRPr="005D42BA">
              <w:rPr>
                <w:rFonts w:ascii="Times New Roman" w:eastAsia="Times New Roman" w:hAnsi="Times New Roman" w:cs="Times New Roman"/>
                <w:color w:val="000000"/>
                <w:sz w:val="24"/>
                <w:szCs w:val="24"/>
                <w:lang w:eastAsia="en-GB"/>
              </w:rPr>
              <w:t xml:space="preserve"> Holdings</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BAE Systems</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Dairy Crest</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Balfour Beatty</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De La Rue</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Barratt Developments</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Debenhams</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BBA Aviation</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Dechra</w:t>
            </w:r>
            <w:proofErr w:type="spellEnd"/>
            <w:r w:rsidRPr="005D42BA">
              <w:rPr>
                <w:rFonts w:ascii="Times New Roman" w:eastAsia="Times New Roman" w:hAnsi="Times New Roman" w:cs="Times New Roman"/>
                <w:color w:val="000000"/>
                <w:sz w:val="24"/>
                <w:szCs w:val="24"/>
                <w:lang w:eastAsia="en-GB"/>
              </w:rPr>
              <w:t xml:space="preserve"> Pharmaceuticals</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Beazley</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Diageo</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Bellway</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Dialight</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Berendsen</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Diploma</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Berkeley Group </w:t>
            </w:r>
            <w:proofErr w:type="spellStart"/>
            <w:r w:rsidRPr="005D42BA">
              <w:rPr>
                <w:rFonts w:ascii="Times New Roman" w:eastAsia="Times New Roman" w:hAnsi="Times New Roman" w:cs="Times New Roman"/>
                <w:color w:val="000000"/>
                <w:sz w:val="24"/>
                <w:szCs w:val="24"/>
                <w:lang w:eastAsia="en-GB"/>
              </w:rPr>
              <w:t>Hdg</w:t>
            </w:r>
            <w:proofErr w:type="spellEnd"/>
            <w:r w:rsidRPr="005D42BA">
              <w:rPr>
                <w:rFonts w:ascii="Times New Roman" w:eastAsia="Times New Roman" w:hAnsi="Times New Roman" w:cs="Times New Roman"/>
                <w:color w:val="000000"/>
                <w:sz w:val="24"/>
                <w:szCs w:val="24"/>
                <w:lang w:eastAsia="en-GB"/>
              </w:rPr>
              <w:t>.(The)</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Dixons Retail</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BG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Domino Printing Sciences</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BHP Billiton</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Drax</w:t>
            </w:r>
            <w:proofErr w:type="spellEnd"/>
            <w:r w:rsidRPr="005D42BA">
              <w:rPr>
                <w:rFonts w:ascii="Times New Roman" w:eastAsia="Times New Roman" w:hAnsi="Times New Roman" w:cs="Times New Roman"/>
                <w:color w:val="000000"/>
                <w:sz w:val="24"/>
                <w:szCs w:val="24"/>
                <w:lang w:eastAsia="en-GB"/>
              </w:rPr>
              <w:t xml:space="preserve">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Big Yellow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Dunelm</w:t>
            </w:r>
            <w:proofErr w:type="spellEnd"/>
            <w:r w:rsidRPr="005D42BA">
              <w:rPr>
                <w:rFonts w:ascii="Times New Roman" w:eastAsia="Times New Roman" w:hAnsi="Times New Roman" w:cs="Times New Roman"/>
                <w:color w:val="000000"/>
                <w:sz w:val="24"/>
                <w:szCs w:val="24"/>
                <w:lang w:eastAsia="en-GB"/>
              </w:rPr>
              <w:t xml:space="preserve">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Blackrock World </w:t>
            </w:r>
            <w:proofErr w:type="spellStart"/>
            <w:r w:rsidRPr="005D42BA">
              <w:rPr>
                <w:rFonts w:ascii="Times New Roman" w:eastAsia="Times New Roman" w:hAnsi="Times New Roman" w:cs="Times New Roman"/>
                <w:color w:val="000000"/>
                <w:sz w:val="24"/>
                <w:szCs w:val="24"/>
                <w:lang w:eastAsia="en-GB"/>
              </w:rPr>
              <w:t>Mng</w:t>
            </w:r>
            <w:proofErr w:type="spellEnd"/>
            <w:r w:rsidRPr="005D42BA">
              <w:rPr>
                <w:rFonts w:ascii="Times New Roman" w:eastAsia="Times New Roman" w:hAnsi="Times New Roman" w:cs="Times New Roman"/>
                <w:color w:val="000000"/>
                <w:sz w:val="24"/>
                <w:szCs w:val="24"/>
                <w:lang w:eastAsia="en-GB"/>
              </w:rPr>
              <w:t>.</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Electrocomp</w:t>
            </w:r>
            <w:proofErr w:type="spellEnd"/>
            <w:r w:rsidRPr="005D42BA">
              <w:rPr>
                <w:rFonts w:ascii="Times New Roman" w:eastAsia="Times New Roman" w:hAnsi="Times New Roman" w:cs="Times New Roman"/>
                <w:color w:val="000000"/>
                <w:sz w:val="24"/>
                <w:szCs w:val="24"/>
                <w:lang w:eastAsia="en-GB"/>
              </w:rPr>
              <w:t>.</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Bodycote</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Elementis</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Booker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Eurasian </w:t>
            </w:r>
            <w:proofErr w:type="spellStart"/>
            <w:r w:rsidRPr="005D42BA">
              <w:rPr>
                <w:rFonts w:ascii="Times New Roman" w:eastAsia="Times New Roman" w:hAnsi="Times New Roman" w:cs="Times New Roman"/>
                <w:color w:val="000000"/>
                <w:sz w:val="24"/>
                <w:szCs w:val="24"/>
                <w:lang w:eastAsia="en-GB"/>
              </w:rPr>
              <w:t>Natres.Corp</w:t>
            </w:r>
            <w:proofErr w:type="spellEnd"/>
            <w:r w:rsidRPr="005D42BA">
              <w:rPr>
                <w:rFonts w:ascii="Times New Roman" w:eastAsia="Times New Roman" w:hAnsi="Times New Roman" w:cs="Times New Roman"/>
                <w:color w:val="000000"/>
                <w:sz w:val="24"/>
                <w:szCs w:val="24"/>
                <w:lang w:eastAsia="en-GB"/>
              </w:rPr>
              <w:t>.</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Bovis</w:t>
            </w:r>
            <w:proofErr w:type="spellEnd"/>
            <w:r w:rsidRPr="005D42BA">
              <w:rPr>
                <w:rFonts w:ascii="Times New Roman" w:eastAsia="Times New Roman" w:hAnsi="Times New Roman" w:cs="Times New Roman"/>
                <w:color w:val="000000"/>
                <w:sz w:val="24"/>
                <w:szCs w:val="24"/>
                <w:lang w:eastAsia="en-GB"/>
              </w:rPr>
              <w:t xml:space="preserve"> Homes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Experian</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Fenner</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Brewin</w:t>
            </w:r>
            <w:proofErr w:type="spellEnd"/>
            <w:r w:rsidRPr="005D42BA">
              <w:rPr>
                <w:rFonts w:ascii="Times New Roman" w:eastAsia="Times New Roman" w:hAnsi="Times New Roman" w:cs="Times New Roman"/>
                <w:color w:val="000000"/>
                <w:sz w:val="24"/>
                <w:szCs w:val="24"/>
                <w:lang w:eastAsia="en-GB"/>
              </w:rPr>
              <w:t xml:space="preserve"> Dolphin</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Ferrexpo</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British American Tobacco</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Fidessa</w:t>
            </w:r>
            <w:proofErr w:type="spellEnd"/>
            <w:r w:rsidRPr="005D42BA">
              <w:rPr>
                <w:rFonts w:ascii="Times New Roman" w:eastAsia="Times New Roman" w:hAnsi="Times New Roman" w:cs="Times New Roman"/>
                <w:color w:val="000000"/>
                <w:sz w:val="24"/>
                <w:szCs w:val="24"/>
                <w:lang w:eastAsia="en-GB"/>
              </w:rPr>
              <w:t xml:space="preserve">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British Land</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First Group</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British Sky </w:t>
            </w:r>
            <w:proofErr w:type="spellStart"/>
            <w:r w:rsidRPr="005D42BA">
              <w:rPr>
                <w:rFonts w:ascii="Times New Roman" w:eastAsia="Times New Roman" w:hAnsi="Times New Roman" w:cs="Times New Roman"/>
                <w:color w:val="000000"/>
                <w:sz w:val="24"/>
                <w:szCs w:val="24"/>
                <w:lang w:eastAsia="en-GB"/>
              </w:rPr>
              <w:t>Bcast.Group</w:t>
            </w:r>
            <w:proofErr w:type="spellEnd"/>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Fresnillo</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Britvic</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G4S</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BT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Galliford</w:t>
            </w:r>
            <w:proofErr w:type="spellEnd"/>
            <w:r w:rsidRPr="005D42BA">
              <w:rPr>
                <w:rFonts w:ascii="Times New Roman" w:eastAsia="Times New Roman" w:hAnsi="Times New Roman" w:cs="Times New Roman"/>
                <w:color w:val="000000"/>
                <w:sz w:val="24"/>
                <w:szCs w:val="24"/>
                <w:lang w:eastAsia="en-GB"/>
              </w:rPr>
              <w:t xml:space="preserve"> Try</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BTG</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Genus</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Bunzl</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GKN</w:t>
            </w:r>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Burberry Group</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Glaxosmithkline</w:t>
            </w:r>
            <w:proofErr w:type="spellEnd"/>
          </w:p>
        </w:tc>
        <w:tc>
          <w:tcPr>
            <w:tcW w:w="44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C95BF0">
        <w:trPr>
          <w:trHeight w:val="285"/>
          <w:jc w:val="center"/>
        </w:trPr>
        <w:tc>
          <w:tcPr>
            <w:tcW w:w="3843" w:type="dxa"/>
            <w:tcBorders>
              <w:top w:val="nil"/>
              <w:left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Bwin</w:t>
            </w:r>
            <w:proofErr w:type="spellEnd"/>
            <w:r w:rsidRPr="005D42BA">
              <w:rPr>
                <w:rFonts w:ascii="Times New Roman" w:eastAsia="Times New Roman" w:hAnsi="Times New Roman" w:cs="Times New Roman"/>
                <w:color w:val="000000"/>
                <w:sz w:val="24"/>
                <w:szCs w:val="24"/>
                <w:lang w:eastAsia="en-GB"/>
              </w:rPr>
              <w:t xml:space="preserve"> Party Digital </w:t>
            </w:r>
            <w:proofErr w:type="spellStart"/>
            <w:r w:rsidRPr="005D42BA">
              <w:rPr>
                <w:rFonts w:ascii="Times New Roman" w:eastAsia="Times New Roman" w:hAnsi="Times New Roman" w:cs="Times New Roman"/>
                <w:color w:val="000000"/>
                <w:sz w:val="24"/>
                <w:szCs w:val="24"/>
                <w:lang w:eastAsia="en-GB"/>
              </w:rPr>
              <w:t>Entm</w:t>
            </w:r>
            <w:proofErr w:type="spellEnd"/>
            <w:r w:rsidRPr="005D42BA">
              <w:rPr>
                <w:rFonts w:ascii="Times New Roman" w:eastAsia="Times New Roman" w:hAnsi="Times New Roman" w:cs="Times New Roman"/>
                <w:color w:val="000000"/>
                <w:sz w:val="24"/>
                <w:szCs w:val="24"/>
                <w:lang w:eastAsia="en-GB"/>
              </w:rPr>
              <w:t>.</w:t>
            </w:r>
          </w:p>
        </w:tc>
        <w:tc>
          <w:tcPr>
            <w:tcW w:w="400" w:type="dxa"/>
            <w:tcBorders>
              <w:top w:val="nil"/>
              <w:left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Glencore</w:t>
            </w:r>
            <w:proofErr w:type="spellEnd"/>
            <w:r w:rsidRPr="005D42BA">
              <w:rPr>
                <w:rFonts w:ascii="Times New Roman" w:eastAsia="Times New Roman" w:hAnsi="Times New Roman" w:cs="Times New Roman"/>
                <w:color w:val="000000"/>
                <w:sz w:val="24"/>
                <w:szCs w:val="24"/>
                <w:lang w:eastAsia="en-GB"/>
              </w:rPr>
              <w:t xml:space="preserve"> Xstrata</w:t>
            </w:r>
          </w:p>
        </w:tc>
        <w:tc>
          <w:tcPr>
            <w:tcW w:w="440" w:type="dxa"/>
            <w:tcBorders>
              <w:top w:val="nil"/>
              <w:left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2</w:t>
            </w:r>
          </w:p>
        </w:tc>
      </w:tr>
      <w:tr w:rsidR="00C95BF0" w:rsidRPr="005D42BA" w:rsidTr="00C95BF0">
        <w:trPr>
          <w:trHeight w:val="285"/>
          <w:jc w:val="center"/>
        </w:trPr>
        <w:tc>
          <w:tcPr>
            <w:tcW w:w="3843" w:type="dxa"/>
            <w:tcBorders>
              <w:top w:val="nil"/>
              <w:left w:val="nil"/>
              <w:bottom w:val="single" w:sz="4" w:space="0" w:color="auto"/>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Cable &amp; Wireless </w:t>
            </w:r>
            <w:proofErr w:type="spellStart"/>
            <w:r w:rsidRPr="005D42BA">
              <w:rPr>
                <w:rFonts w:ascii="Times New Roman" w:eastAsia="Times New Roman" w:hAnsi="Times New Roman" w:cs="Times New Roman"/>
                <w:color w:val="000000"/>
                <w:sz w:val="24"/>
                <w:szCs w:val="24"/>
                <w:lang w:eastAsia="en-GB"/>
              </w:rPr>
              <w:t>Comms</w:t>
            </w:r>
            <w:proofErr w:type="spellEnd"/>
            <w:r w:rsidRPr="005D42BA">
              <w:rPr>
                <w:rFonts w:ascii="Times New Roman" w:eastAsia="Times New Roman" w:hAnsi="Times New Roman" w:cs="Times New Roman"/>
                <w:color w:val="000000"/>
                <w:sz w:val="24"/>
                <w:szCs w:val="24"/>
                <w:lang w:eastAsia="en-GB"/>
              </w:rPr>
              <w:t>.</w:t>
            </w:r>
          </w:p>
        </w:tc>
        <w:tc>
          <w:tcPr>
            <w:tcW w:w="400" w:type="dxa"/>
            <w:tcBorders>
              <w:top w:val="nil"/>
              <w:left w:val="nil"/>
              <w:bottom w:val="single" w:sz="4" w:space="0" w:color="auto"/>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00" w:type="dxa"/>
            <w:tcBorders>
              <w:top w:val="nil"/>
              <w:left w:val="nil"/>
              <w:bottom w:val="single" w:sz="4" w:space="0" w:color="auto"/>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3" w:type="dxa"/>
            <w:tcBorders>
              <w:top w:val="nil"/>
              <w:left w:val="nil"/>
              <w:bottom w:val="single" w:sz="4" w:space="0" w:color="auto"/>
              <w:right w:val="nil"/>
            </w:tcBorders>
            <w:shd w:val="clear" w:color="auto" w:fill="auto"/>
            <w:noWrap/>
            <w:vAlign w:val="bottom"/>
            <w:hideMark/>
          </w:tcPr>
          <w:p w:rsidR="00C95BF0" w:rsidRPr="005D42BA" w:rsidRDefault="002B08AA"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Go-Ahead Group</w:t>
            </w:r>
          </w:p>
        </w:tc>
        <w:tc>
          <w:tcPr>
            <w:tcW w:w="440" w:type="dxa"/>
            <w:tcBorders>
              <w:top w:val="nil"/>
              <w:left w:val="nil"/>
              <w:bottom w:val="single" w:sz="4" w:space="0" w:color="auto"/>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bl>
    <w:p w:rsidR="00C95BF0" w:rsidRPr="005D42BA" w:rsidRDefault="00C95BF0">
      <w:pPr>
        <w:rPr>
          <w:rFonts w:ascii="Times New Roman" w:hAnsi="Times New Roman" w:cs="Times New Roman"/>
          <w:b/>
          <w:sz w:val="24"/>
          <w:szCs w:val="24"/>
        </w:rPr>
      </w:pPr>
      <w:r w:rsidRPr="005D42BA">
        <w:rPr>
          <w:rFonts w:ascii="Times New Roman" w:hAnsi="Times New Roman" w:cs="Times New Roman"/>
          <w:b/>
          <w:sz w:val="24"/>
          <w:szCs w:val="24"/>
        </w:rPr>
        <w:br w:type="page"/>
      </w:r>
    </w:p>
    <w:p w:rsidR="00232DB2" w:rsidRPr="005D42BA" w:rsidRDefault="00701F0A" w:rsidP="00232DB2">
      <w:pPr>
        <w:jc w:val="center"/>
        <w:rPr>
          <w:rFonts w:ascii="Times New Roman" w:hAnsi="Times New Roman" w:cs="Times New Roman"/>
          <w:b/>
          <w:sz w:val="24"/>
          <w:szCs w:val="24"/>
        </w:rPr>
      </w:pPr>
      <w:r w:rsidRPr="005D42BA">
        <w:rPr>
          <w:rFonts w:ascii="Times New Roman" w:hAnsi="Times New Roman" w:cs="Times New Roman"/>
          <w:b/>
          <w:sz w:val="24"/>
          <w:szCs w:val="24"/>
        </w:rPr>
        <w:lastRenderedPageBreak/>
        <w:t>Companies and Number of Annual Reports Included in the Sample</w:t>
      </w:r>
      <w:r w:rsidR="00C95BF0" w:rsidRPr="005D42BA">
        <w:rPr>
          <w:rFonts w:ascii="Times New Roman" w:hAnsi="Times New Roman" w:cs="Times New Roman"/>
          <w:b/>
          <w:sz w:val="24"/>
          <w:szCs w:val="24"/>
        </w:rPr>
        <w:t xml:space="preserve"> (</w:t>
      </w:r>
      <w:r w:rsidRPr="005D42BA">
        <w:rPr>
          <w:rFonts w:ascii="Times New Roman" w:hAnsi="Times New Roman" w:cs="Times New Roman"/>
          <w:b/>
          <w:sz w:val="24"/>
          <w:szCs w:val="24"/>
        </w:rPr>
        <w:t>C</w:t>
      </w:r>
      <w:r w:rsidR="00C95BF0" w:rsidRPr="005D42BA">
        <w:rPr>
          <w:rFonts w:ascii="Times New Roman" w:hAnsi="Times New Roman" w:cs="Times New Roman"/>
          <w:b/>
          <w:sz w:val="24"/>
          <w:szCs w:val="24"/>
        </w:rPr>
        <w:t>ontinued)</w:t>
      </w:r>
    </w:p>
    <w:tbl>
      <w:tblPr>
        <w:tblW w:w="8772" w:type="dxa"/>
        <w:jc w:val="center"/>
        <w:tblInd w:w="93" w:type="dxa"/>
        <w:tblLook w:val="04A0"/>
      </w:tblPr>
      <w:tblGrid>
        <w:gridCol w:w="3700"/>
        <w:gridCol w:w="460"/>
        <w:gridCol w:w="460"/>
        <w:gridCol w:w="3632"/>
        <w:gridCol w:w="520"/>
      </w:tblGrid>
      <w:tr w:rsidR="00C95BF0" w:rsidRPr="005D42BA" w:rsidTr="007F391E">
        <w:trPr>
          <w:trHeight w:val="285"/>
          <w:jc w:val="center"/>
        </w:trPr>
        <w:tc>
          <w:tcPr>
            <w:tcW w:w="3700" w:type="dxa"/>
            <w:tcBorders>
              <w:top w:val="single" w:sz="4" w:space="0" w:color="auto"/>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Grainger</w:t>
            </w:r>
          </w:p>
        </w:tc>
        <w:tc>
          <w:tcPr>
            <w:tcW w:w="460" w:type="dxa"/>
            <w:tcBorders>
              <w:top w:val="single" w:sz="4" w:space="0" w:color="auto"/>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single" w:sz="4" w:space="0" w:color="auto"/>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single" w:sz="4" w:space="0" w:color="auto"/>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Millennium &amp; </w:t>
            </w:r>
            <w:proofErr w:type="spellStart"/>
            <w:r w:rsidRPr="005D42BA">
              <w:rPr>
                <w:rFonts w:ascii="Times New Roman" w:eastAsia="Times New Roman" w:hAnsi="Times New Roman" w:cs="Times New Roman"/>
                <w:color w:val="000000"/>
                <w:sz w:val="24"/>
                <w:szCs w:val="24"/>
                <w:lang w:eastAsia="en-GB"/>
              </w:rPr>
              <w:t>Cpth.Htls</w:t>
            </w:r>
            <w:proofErr w:type="spellEnd"/>
            <w:r w:rsidRPr="005D42BA">
              <w:rPr>
                <w:rFonts w:ascii="Times New Roman" w:eastAsia="Times New Roman" w:hAnsi="Times New Roman" w:cs="Times New Roman"/>
                <w:color w:val="000000"/>
                <w:sz w:val="24"/>
                <w:szCs w:val="24"/>
                <w:lang w:eastAsia="en-GB"/>
              </w:rPr>
              <w:t>.</w:t>
            </w:r>
          </w:p>
        </w:tc>
        <w:tc>
          <w:tcPr>
            <w:tcW w:w="520" w:type="dxa"/>
            <w:tcBorders>
              <w:top w:val="single" w:sz="4" w:space="0" w:color="auto"/>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Great Portland Estates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Mitchells &amp; Butlers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Greene King</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MITIE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Greggs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Mondi</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Halfords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National Express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Halma</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National Grid</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Hammerson</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Next</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Hansteen</w:t>
            </w:r>
            <w:proofErr w:type="spellEnd"/>
            <w:r w:rsidRPr="005D42BA">
              <w:rPr>
                <w:rFonts w:ascii="Times New Roman" w:eastAsia="Times New Roman" w:hAnsi="Times New Roman" w:cs="Times New Roman"/>
                <w:color w:val="000000"/>
                <w:sz w:val="24"/>
                <w:szCs w:val="24"/>
                <w:lang w:eastAsia="en-GB"/>
              </w:rPr>
              <w:t xml:space="preserve"> Holdings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Oxford Instruments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Hargreaves </w:t>
            </w:r>
            <w:proofErr w:type="spellStart"/>
            <w:r w:rsidRPr="005D42BA">
              <w:rPr>
                <w:rFonts w:ascii="Times New Roman" w:eastAsia="Times New Roman" w:hAnsi="Times New Roman" w:cs="Times New Roman"/>
                <w:color w:val="000000"/>
                <w:sz w:val="24"/>
                <w:szCs w:val="24"/>
                <w:lang w:eastAsia="en-GB"/>
              </w:rPr>
              <w:t>Lansdown</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Paragon </w:t>
            </w:r>
            <w:proofErr w:type="spellStart"/>
            <w:r w:rsidRPr="005D42BA">
              <w:rPr>
                <w:rFonts w:ascii="Times New Roman" w:eastAsia="Times New Roman" w:hAnsi="Times New Roman" w:cs="Times New Roman"/>
                <w:color w:val="000000"/>
                <w:sz w:val="24"/>
                <w:szCs w:val="24"/>
                <w:lang w:eastAsia="en-GB"/>
              </w:rPr>
              <w:t>Gp.Of</w:t>
            </w:r>
            <w:proofErr w:type="spellEnd"/>
            <w:r w:rsidRPr="005D42BA">
              <w:rPr>
                <w:rFonts w:ascii="Times New Roman" w:eastAsia="Times New Roman" w:hAnsi="Times New Roman" w:cs="Times New Roman"/>
                <w:color w:val="000000"/>
                <w:sz w:val="24"/>
                <w:szCs w:val="24"/>
                <w:lang w:eastAsia="en-GB"/>
              </w:rPr>
              <w:t xml:space="preserve"> Cos.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Hays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Paypoint</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Henderson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Pearson</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HICL Infrastructure</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Pennon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Hikma</w:t>
            </w:r>
            <w:proofErr w:type="spellEnd"/>
            <w:r w:rsidRPr="005D42BA">
              <w:rPr>
                <w:rFonts w:ascii="Times New Roman" w:eastAsia="Times New Roman" w:hAnsi="Times New Roman" w:cs="Times New Roman"/>
                <w:color w:val="000000"/>
                <w:sz w:val="24"/>
                <w:szCs w:val="24"/>
                <w:lang w:eastAsia="en-GB"/>
              </w:rPr>
              <w:t xml:space="preserve"> Pharmaceuticals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Persimmon</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Hiscox</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Petrofac</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Hochschild</w:t>
            </w:r>
            <w:proofErr w:type="spellEnd"/>
            <w:r w:rsidRPr="005D42BA">
              <w:rPr>
                <w:rFonts w:ascii="Times New Roman" w:eastAsia="Times New Roman" w:hAnsi="Times New Roman" w:cs="Times New Roman"/>
                <w:color w:val="000000"/>
                <w:sz w:val="24"/>
                <w:szCs w:val="24"/>
                <w:lang w:eastAsia="en-GB"/>
              </w:rPr>
              <w:t xml:space="preserve"> Mining</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Phoenix Group </w:t>
            </w:r>
            <w:proofErr w:type="spellStart"/>
            <w:r w:rsidRPr="005D42BA">
              <w:rPr>
                <w:rFonts w:ascii="Times New Roman" w:eastAsia="Times New Roman" w:hAnsi="Times New Roman" w:cs="Times New Roman"/>
                <w:color w:val="000000"/>
                <w:sz w:val="24"/>
                <w:szCs w:val="24"/>
                <w:lang w:eastAsia="en-GB"/>
              </w:rPr>
              <w:t>Hdg</w:t>
            </w:r>
            <w:proofErr w:type="spellEnd"/>
            <w:r w:rsidRPr="005D42BA">
              <w:rPr>
                <w:rFonts w:ascii="Times New Roman" w:eastAsia="Times New Roman" w:hAnsi="Times New Roman" w:cs="Times New Roman"/>
                <w:color w:val="000000"/>
                <w:sz w:val="24"/>
                <w:szCs w:val="24"/>
                <w:lang w:eastAsia="en-GB"/>
              </w:rPr>
              <w:t>. (Lon)</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3</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Home Retail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Polar Capital </w:t>
            </w:r>
            <w:proofErr w:type="spellStart"/>
            <w:r w:rsidRPr="005D42BA">
              <w:rPr>
                <w:rFonts w:ascii="Times New Roman" w:eastAsia="Times New Roman" w:hAnsi="Times New Roman" w:cs="Times New Roman"/>
                <w:color w:val="000000"/>
                <w:sz w:val="24"/>
                <w:szCs w:val="24"/>
                <w:lang w:eastAsia="en-GB"/>
              </w:rPr>
              <w:t>Tech.Tst</w:t>
            </w:r>
            <w:proofErr w:type="spellEnd"/>
            <w:r w:rsidRPr="005D42BA">
              <w:rPr>
                <w:rFonts w:ascii="Times New Roman" w:eastAsia="Times New Roman" w:hAnsi="Times New Roman" w:cs="Times New Roman"/>
                <w:color w:val="000000"/>
                <w:sz w:val="24"/>
                <w:szCs w:val="24"/>
                <w:lang w:eastAsia="en-GB"/>
              </w:rPr>
              <w:t>.</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Homeserve</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Premier </w:t>
            </w:r>
            <w:proofErr w:type="spellStart"/>
            <w:r w:rsidRPr="005D42BA">
              <w:rPr>
                <w:rFonts w:ascii="Times New Roman" w:eastAsia="Times New Roman" w:hAnsi="Times New Roman" w:cs="Times New Roman"/>
                <w:color w:val="000000"/>
                <w:sz w:val="24"/>
                <w:szCs w:val="24"/>
                <w:lang w:eastAsia="en-GB"/>
              </w:rPr>
              <w:t>Farnell</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Howden Joinery </w:t>
            </w:r>
            <w:proofErr w:type="spellStart"/>
            <w:r w:rsidRPr="005D42BA">
              <w:rPr>
                <w:rFonts w:ascii="Times New Roman" w:eastAsia="Times New Roman" w:hAnsi="Times New Roman" w:cs="Times New Roman"/>
                <w:color w:val="000000"/>
                <w:sz w:val="24"/>
                <w:szCs w:val="24"/>
                <w:lang w:eastAsia="en-GB"/>
              </w:rPr>
              <w:t>Gp</w:t>
            </w:r>
            <w:proofErr w:type="spellEnd"/>
            <w:r w:rsidRPr="005D42BA">
              <w:rPr>
                <w:rFonts w:ascii="Times New Roman" w:eastAsia="Times New Roman" w:hAnsi="Times New Roman" w:cs="Times New Roman"/>
                <w:color w:val="000000"/>
                <w:sz w:val="24"/>
                <w:szCs w:val="24"/>
                <w:lang w:eastAsia="en-GB"/>
              </w:rPr>
              <w:t>.</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PZ Cussons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Hunting</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Qinetiq</w:t>
            </w:r>
            <w:proofErr w:type="spellEnd"/>
            <w:r w:rsidRPr="005D42BA">
              <w:rPr>
                <w:rFonts w:ascii="Times New Roman" w:eastAsia="Times New Roman" w:hAnsi="Times New Roman" w:cs="Times New Roman"/>
                <w:color w:val="000000"/>
                <w:sz w:val="24"/>
                <w:szCs w:val="24"/>
                <w:lang w:eastAsia="en-GB"/>
              </w:rPr>
              <w:t xml:space="preserve">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ICAP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Randgold</w:t>
            </w:r>
            <w:proofErr w:type="spellEnd"/>
            <w:r w:rsidRPr="005D42BA">
              <w:rPr>
                <w:rFonts w:ascii="Times New Roman" w:eastAsia="Times New Roman" w:hAnsi="Times New Roman" w:cs="Times New Roman"/>
                <w:color w:val="000000"/>
                <w:sz w:val="24"/>
                <w:szCs w:val="24"/>
                <w:lang w:eastAsia="en-GB"/>
              </w:rPr>
              <w:t xml:space="preserve"> Resources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Ictl.Htls.Gp</w:t>
            </w:r>
            <w:proofErr w:type="spellEnd"/>
            <w:r w:rsidRPr="005D42BA">
              <w:rPr>
                <w:rFonts w:ascii="Times New Roman" w:eastAsia="Times New Roman" w:hAnsi="Times New Roman" w:cs="Times New Roman"/>
                <w:color w:val="000000"/>
                <w:sz w:val="24"/>
                <w:szCs w:val="24"/>
                <w:lang w:eastAsia="en-GB"/>
              </w:rPr>
              <w:t>.</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Rank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IG Group Holdings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Rathbone</w:t>
            </w:r>
            <w:proofErr w:type="spellEnd"/>
            <w:r w:rsidRPr="005D42BA">
              <w:rPr>
                <w:rFonts w:ascii="Times New Roman" w:eastAsia="Times New Roman" w:hAnsi="Times New Roman" w:cs="Times New Roman"/>
                <w:color w:val="000000"/>
                <w:sz w:val="24"/>
                <w:szCs w:val="24"/>
                <w:lang w:eastAsia="en-GB"/>
              </w:rPr>
              <w:t xml:space="preserve"> Brothers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IMI</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Reckitt Benckiser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Imperial Tobacco </w:t>
            </w:r>
            <w:proofErr w:type="spellStart"/>
            <w:r w:rsidRPr="005D42BA">
              <w:rPr>
                <w:rFonts w:ascii="Times New Roman" w:eastAsia="Times New Roman" w:hAnsi="Times New Roman" w:cs="Times New Roman"/>
                <w:color w:val="000000"/>
                <w:sz w:val="24"/>
                <w:szCs w:val="24"/>
                <w:lang w:eastAsia="en-GB"/>
              </w:rPr>
              <w:t>Gp</w:t>
            </w:r>
            <w:proofErr w:type="spellEnd"/>
            <w:r w:rsidRPr="005D42BA">
              <w:rPr>
                <w:rFonts w:ascii="Times New Roman" w:eastAsia="Times New Roman" w:hAnsi="Times New Roman" w:cs="Times New Roman"/>
                <w:color w:val="000000"/>
                <w:sz w:val="24"/>
                <w:szCs w:val="24"/>
                <w:lang w:eastAsia="en-GB"/>
              </w:rPr>
              <w:t>.</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Redrow</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Inchcape</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Reed Elsevier</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Informa</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Regus</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Inmarsat</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Renishaw</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Intermediate Capital </w:t>
            </w:r>
            <w:proofErr w:type="spellStart"/>
            <w:r w:rsidRPr="005D42BA">
              <w:rPr>
                <w:rFonts w:ascii="Times New Roman" w:eastAsia="Times New Roman" w:hAnsi="Times New Roman" w:cs="Times New Roman"/>
                <w:color w:val="000000"/>
                <w:sz w:val="24"/>
                <w:szCs w:val="24"/>
                <w:lang w:eastAsia="en-GB"/>
              </w:rPr>
              <w:t>Gp</w:t>
            </w:r>
            <w:proofErr w:type="spellEnd"/>
            <w:r w:rsidRPr="005D42BA">
              <w:rPr>
                <w:rFonts w:ascii="Times New Roman" w:eastAsia="Times New Roman" w:hAnsi="Times New Roman" w:cs="Times New Roman"/>
                <w:color w:val="000000"/>
                <w:sz w:val="24"/>
                <w:szCs w:val="24"/>
                <w:lang w:eastAsia="en-GB"/>
              </w:rPr>
              <w:t>.</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Rentokil Initial</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Interserve</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Resolution</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4</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Intertek</w:t>
            </w:r>
            <w:proofErr w:type="spellEnd"/>
            <w:r w:rsidRPr="005D42BA">
              <w:rPr>
                <w:rFonts w:ascii="Times New Roman" w:eastAsia="Times New Roman" w:hAnsi="Times New Roman" w:cs="Times New Roman"/>
                <w:color w:val="000000"/>
                <w:sz w:val="24"/>
                <w:szCs w:val="24"/>
                <w:lang w:eastAsia="en-GB"/>
              </w:rPr>
              <w:t xml:space="preserve">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Restaurant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Invensys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Rexam</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IP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Rightmove</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ITE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Rio Tinto</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ITV</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RIT Capital Partners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Jardine</w:t>
            </w:r>
            <w:proofErr w:type="spellEnd"/>
            <w:r w:rsidRPr="005D42BA">
              <w:rPr>
                <w:rFonts w:ascii="Times New Roman" w:eastAsia="Times New Roman" w:hAnsi="Times New Roman" w:cs="Times New Roman"/>
                <w:color w:val="000000"/>
                <w:sz w:val="24"/>
                <w:szCs w:val="24"/>
                <w:lang w:eastAsia="en-GB"/>
              </w:rPr>
              <w:t xml:space="preserve"> Lloyd Thompson</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Rotork</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Kazakhmys</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RPC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Kcom</w:t>
            </w:r>
            <w:proofErr w:type="spellEnd"/>
            <w:r w:rsidRPr="005D42BA">
              <w:rPr>
                <w:rFonts w:ascii="Times New Roman" w:eastAsia="Times New Roman" w:hAnsi="Times New Roman" w:cs="Times New Roman"/>
                <w:color w:val="000000"/>
                <w:sz w:val="24"/>
                <w:szCs w:val="24"/>
                <w:lang w:eastAsia="en-GB"/>
              </w:rPr>
              <w:t xml:space="preserve">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RPS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Kenmare Res. (Lon)</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Sabmiller</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Kier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Sage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Kingfisher</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Salamander Energy</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Ladbrokes</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Savills</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Lonmin</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Schroders</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Man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Segro</w:t>
            </w:r>
            <w:proofErr w:type="spellEnd"/>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Marks &amp; Spencer Group</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Senior</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Meggitt</w:t>
            </w:r>
            <w:proofErr w:type="spellEnd"/>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Serco Group</w:t>
            </w:r>
          </w:p>
        </w:tc>
        <w:tc>
          <w:tcPr>
            <w:tcW w:w="520" w:type="dxa"/>
            <w:tcBorders>
              <w:top w:val="nil"/>
              <w:left w:val="nil"/>
              <w:bottom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Menzies</w:t>
            </w:r>
            <w:proofErr w:type="spellEnd"/>
            <w:r w:rsidRPr="005D42BA">
              <w:rPr>
                <w:rFonts w:ascii="Times New Roman" w:eastAsia="Times New Roman" w:hAnsi="Times New Roman" w:cs="Times New Roman"/>
                <w:color w:val="000000"/>
                <w:sz w:val="24"/>
                <w:szCs w:val="24"/>
                <w:lang w:eastAsia="en-GB"/>
              </w:rPr>
              <w:t xml:space="preserve"> (John)</w:t>
            </w:r>
          </w:p>
        </w:tc>
        <w:tc>
          <w:tcPr>
            <w:tcW w:w="460" w:type="dxa"/>
            <w:tcBorders>
              <w:top w:val="nil"/>
              <w:left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Severn Trent</w:t>
            </w:r>
          </w:p>
        </w:tc>
        <w:tc>
          <w:tcPr>
            <w:tcW w:w="520" w:type="dxa"/>
            <w:tcBorders>
              <w:top w:val="nil"/>
              <w:left w:val="nil"/>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95BF0" w:rsidRPr="005D42BA" w:rsidTr="007F391E">
        <w:trPr>
          <w:trHeight w:val="285"/>
          <w:jc w:val="center"/>
        </w:trPr>
        <w:tc>
          <w:tcPr>
            <w:tcW w:w="3700" w:type="dxa"/>
            <w:tcBorders>
              <w:top w:val="nil"/>
              <w:left w:val="nil"/>
              <w:bottom w:val="single" w:sz="4" w:space="0" w:color="auto"/>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Michael Page Intl.</w:t>
            </w:r>
          </w:p>
        </w:tc>
        <w:tc>
          <w:tcPr>
            <w:tcW w:w="460" w:type="dxa"/>
            <w:tcBorders>
              <w:top w:val="nil"/>
              <w:left w:val="nil"/>
              <w:bottom w:val="single" w:sz="4" w:space="0" w:color="auto"/>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460" w:type="dxa"/>
            <w:tcBorders>
              <w:top w:val="nil"/>
              <w:left w:val="nil"/>
              <w:bottom w:val="single" w:sz="4" w:space="0" w:color="auto"/>
              <w:right w:val="nil"/>
            </w:tcBorders>
            <w:shd w:val="clear" w:color="auto" w:fill="auto"/>
            <w:noWrap/>
            <w:vAlign w:val="bottom"/>
            <w:hideMark/>
          </w:tcPr>
          <w:p w:rsidR="00C95BF0" w:rsidRPr="005D42BA" w:rsidRDefault="00C95BF0" w:rsidP="00C95BF0">
            <w:pPr>
              <w:spacing w:after="0" w:line="240" w:lineRule="auto"/>
              <w:rPr>
                <w:rFonts w:ascii="Times New Roman" w:eastAsia="Times New Roman" w:hAnsi="Times New Roman" w:cs="Times New Roman"/>
                <w:color w:val="000000"/>
                <w:sz w:val="24"/>
                <w:szCs w:val="24"/>
                <w:lang w:eastAsia="en-GB"/>
              </w:rPr>
            </w:pPr>
          </w:p>
        </w:tc>
        <w:tc>
          <w:tcPr>
            <w:tcW w:w="3632" w:type="dxa"/>
            <w:tcBorders>
              <w:top w:val="nil"/>
              <w:left w:val="nil"/>
              <w:bottom w:val="single" w:sz="4" w:space="0" w:color="auto"/>
              <w:right w:val="nil"/>
            </w:tcBorders>
            <w:shd w:val="clear" w:color="auto" w:fill="auto"/>
            <w:noWrap/>
            <w:vAlign w:val="bottom"/>
            <w:hideMark/>
          </w:tcPr>
          <w:p w:rsidR="00C95BF0" w:rsidRPr="005D42BA" w:rsidRDefault="003B74BE" w:rsidP="00C95BF0">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Shaftesbury</w:t>
            </w:r>
          </w:p>
        </w:tc>
        <w:tc>
          <w:tcPr>
            <w:tcW w:w="520" w:type="dxa"/>
            <w:tcBorders>
              <w:top w:val="nil"/>
              <w:left w:val="nil"/>
              <w:bottom w:val="single" w:sz="4" w:space="0" w:color="auto"/>
              <w:right w:val="nil"/>
            </w:tcBorders>
            <w:shd w:val="clear" w:color="auto" w:fill="auto"/>
            <w:noWrap/>
            <w:vAlign w:val="bottom"/>
            <w:hideMark/>
          </w:tcPr>
          <w:p w:rsidR="00C95BF0" w:rsidRPr="005D42BA" w:rsidRDefault="00C95BF0" w:rsidP="00C95BF0">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bl>
    <w:p w:rsidR="007F391E" w:rsidRPr="005D42BA" w:rsidRDefault="00701F0A" w:rsidP="007F391E">
      <w:pPr>
        <w:jc w:val="center"/>
        <w:rPr>
          <w:rFonts w:ascii="Times New Roman" w:hAnsi="Times New Roman" w:cs="Times New Roman"/>
          <w:b/>
          <w:sz w:val="24"/>
          <w:szCs w:val="24"/>
        </w:rPr>
      </w:pPr>
      <w:r w:rsidRPr="005D42BA">
        <w:rPr>
          <w:rFonts w:ascii="Times New Roman" w:hAnsi="Times New Roman" w:cs="Times New Roman"/>
          <w:b/>
          <w:sz w:val="24"/>
          <w:szCs w:val="24"/>
        </w:rPr>
        <w:lastRenderedPageBreak/>
        <w:t>Companies and Number of Annual Reports Included in the Sample</w:t>
      </w:r>
      <w:r w:rsidR="007F391E" w:rsidRPr="005D42BA">
        <w:rPr>
          <w:rFonts w:ascii="Times New Roman" w:hAnsi="Times New Roman" w:cs="Times New Roman"/>
          <w:b/>
          <w:sz w:val="24"/>
          <w:szCs w:val="24"/>
        </w:rPr>
        <w:t xml:space="preserve"> (</w:t>
      </w:r>
      <w:r w:rsidRPr="005D42BA">
        <w:rPr>
          <w:rFonts w:ascii="Times New Roman" w:hAnsi="Times New Roman" w:cs="Times New Roman"/>
          <w:b/>
          <w:sz w:val="24"/>
          <w:szCs w:val="24"/>
        </w:rPr>
        <w:t>C</w:t>
      </w:r>
      <w:r w:rsidR="007F391E" w:rsidRPr="005D42BA">
        <w:rPr>
          <w:rFonts w:ascii="Times New Roman" w:hAnsi="Times New Roman" w:cs="Times New Roman"/>
          <w:b/>
          <w:sz w:val="24"/>
          <w:szCs w:val="24"/>
        </w:rPr>
        <w:t>ontinued)</w:t>
      </w:r>
    </w:p>
    <w:tbl>
      <w:tblPr>
        <w:tblW w:w="8569" w:type="dxa"/>
        <w:jc w:val="center"/>
        <w:tblInd w:w="93" w:type="dxa"/>
        <w:tblLook w:val="04A0"/>
      </w:tblPr>
      <w:tblGrid>
        <w:gridCol w:w="3559"/>
        <w:gridCol w:w="520"/>
        <w:gridCol w:w="520"/>
        <w:gridCol w:w="3450"/>
        <w:gridCol w:w="520"/>
      </w:tblGrid>
      <w:tr w:rsidR="00CC1FCC" w:rsidRPr="005D42BA" w:rsidTr="00CC1FCC">
        <w:trPr>
          <w:trHeight w:val="285"/>
          <w:jc w:val="center"/>
        </w:trPr>
        <w:tc>
          <w:tcPr>
            <w:tcW w:w="3559" w:type="dxa"/>
            <w:tcBorders>
              <w:top w:val="single" w:sz="4" w:space="0" w:color="auto"/>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SIG</w:t>
            </w:r>
          </w:p>
        </w:tc>
        <w:tc>
          <w:tcPr>
            <w:tcW w:w="520" w:type="dxa"/>
            <w:tcBorders>
              <w:top w:val="single" w:sz="4" w:space="0" w:color="auto"/>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single" w:sz="4" w:space="0" w:color="auto"/>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single" w:sz="4" w:space="0" w:color="auto"/>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Tesco</w:t>
            </w:r>
          </w:p>
        </w:tc>
        <w:tc>
          <w:tcPr>
            <w:tcW w:w="520" w:type="dxa"/>
            <w:tcBorders>
              <w:top w:val="single" w:sz="4" w:space="0" w:color="auto"/>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Smith &amp; Nephew</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Travis Perkins</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Smiths Group</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Tullett</w:t>
            </w:r>
            <w:proofErr w:type="spellEnd"/>
            <w:r w:rsidRPr="005D42BA">
              <w:rPr>
                <w:rFonts w:ascii="Times New Roman" w:eastAsia="Times New Roman" w:hAnsi="Times New Roman" w:cs="Times New Roman"/>
                <w:color w:val="000000"/>
                <w:sz w:val="24"/>
                <w:szCs w:val="24"/>
                <w:lang w:eastAsia="en-GB"/>
              </w:rPr>
              <w:t xml:space="preserve"> </w:t>
            </w:r>
            <w:proofErr w:type="spellStart"/>
            <w:r w:rsidRPr="005D42BA">
              <w:rPr>
                <w:rFonts w:ascii="Times New Roman" w:eastAsia="Times New Roman" w:hAnsi="Times New Roman" w:cs="Times New Roman"/>
                <w:color w:val="000000"/>
                <w:sz w:val="24"/>
                <w:szCs w:val="24"/>
                <w:lang w:eastAsia="en-GB"/>
              </w:rPr>
              <w:t>Prebon</w:t>
            </w:r>
            <w:proofErr w:type="spellEnd"/>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SOCO International</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Tullow</w:t>
            </w:r>
            <w:proofErr w:type="spellEnd"/>
            <w:r w:rsidRPr="005D42BA">
              <w:rPr>
                <w:rFonts w:ascii="Times New Roman" w:eastAsia="Times New Roman" w:hAnsi="Times New Roman" w:cs="Times New Roman"/>
                <w:color w:val="000000"/>
                <w:sz w:val="24"/>
                <w:szCs w:val="24"/>
                <w:lang w:eastAsia="en-GB"/>
              </w:rPr>
              <w:t xml:space="preserve"> Oil</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Spectris</w:t>
            </w:r>
            <w:proofErr w:type="spellEnd"/>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UBM</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Spirax-Sarco</w:t>
            </w:r>
            <w:proofErr w:type="spellEnd"/>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 xml:space="preserve">Ultra Electronics </w:t>
            </w:r>
            <w:proofErr w:type="spellStart"/>
            <w:r w:rsidRPr="005D42BA">
              <w:rPr>
                <w:rFonts w:ascii="Times New Roman" w:eastAsia="Times New Roman" w:hAnsi="Times New Roman" w:cs="Times New Roman"/>
                <w:color w:val="000000"/>
                <w:sz w:val="24"/>
                <w:szCs w:val="24"/>
                <w:lang w:eastAsia="en-GB"/>
              </w:rPr>
              <w:t>Hdg</w:t>
            </w:r>
            <w:proofErr w:type="spellEnd"/>
            <w:r w:rsidRPr="005D42BA">
              <w:rPr>
                <w:rFonts w:ascii="Times New Roman" w:eastAsia="Times New Roman" w:hAnsi="Times New Roman" w:cs="Times New Roman"/>
                <w:color w:val="000000"/>
                <w:sz w:val="24"/>
                <w:szCs w:val="24"/>
                <w:lang w:eastAsia="en-GB"/>
              </w:rPr>
              <w:t>.</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Spirent Communications</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Unilever (UK)</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Sports Direct Intl.</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Vedanta Resources</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SSE</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Victrex</w:t>
            </w:r>
            <w:proofErr w:type="spellEnd"/>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SVG Capital</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Vodafone Group</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Synergy Health</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Weir Group</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Tate &amp; Lyle</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WH Smith</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Taylor Wimpey</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Whitbread</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CC1FCC">
        <w:trPr>
          <w:trHeight w:val="285"/>
          <w:jc w:val="center"/>
        </w:trPr>
        <w:tc>
          <w:tcPr>
            <w:tcW w:w="3559"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Ted Baker</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William Hill</w:t>
            </w:r>
          </w:p>
        </w:tc>
        <w:tc>
          <w:tcPr>
            <w:tcW w:w="520" w:type="dxa"/>
            <w:tcBorders>
              <w:top w:val="nil"/>
              <w:left w:val="nil"/>
              <w:bottom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0564AA">
        <w:trPr>
          <w:trHeight w:val="285"/>
          <w:jc w:val="center"/>
        </w:trPr>
        <w:tc>
          <w:tcPr>
            <w:tcW w:w="3559" w:type="dxa"/>
            <w:tcBorders>
              <w:top w:val="nil"/>
              <w:left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proofErr w:type="spellStart"/>
            <w:r w:rsidRPr="005D42BA">
              <w:rPr>
                <w:rFonts w:ascii="Times New Roman" w:eastAsia="Times New Roman" w:hAnsi="Times New Roman" w:cs="Times New Roman"/>
                <w:color w:val="000000"/>
                <w:sz w:val="24"/>
                <w:szCs w:val="24"/>
                <w:lang w:eastAsia="en-GB"/>
              </w:rPr>
              <w:t>Telecity</w:t>
            </w:r>
            <w:proofErr w:type="spellEnd"/>
            <w:r w:rsidRPr="005D42BA">
              <w:rPr>
                <w:rFonts w:ascii="Times New Roman" w:eastAsia="Times New Roman" w:hAnsi="Times New Roman" w:cs="Times New Roman"/>
                <w:color w:val="000000"/>
                <w:sz w:val="24"/>
                <w:szCs w:val="24"/>
                <w:lang w:eastAsia="en-GB"/>
              </w:rPr>
              <w:t xml:space="preserve"> Group</w:t>
            </w:r>
          </w:p>
        </w:tc>
        <w:tc>
          <w:tcPr>
            <w:tcW w:w="520" w:type="dxa"/>
            <w:tcBorders>
              <w:top w:val="nil"/>
              <w:left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5</w:t>
            </w:r>
          </w:p>
        </w:tc>
        <w:tc>
          <w:tcPr>
            <w:tcW w:w="520" w:type="dxa"/>
            <w:tcBorders>
              <w:top w:val="nil"/>
              <w:left w:val="nil"/>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WPP</w:t>
            </w:r>
          </w:p>
        </w:tc>
        <w:tc>
          <w:tcPr>
            <w:tcW w:w="520" w:type="dxa"/>
            <w:tcBorders>
              <w:top w:val="nil"/>
              <w:left w:val="nil"/>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r>
      <w:tr w:rsidR="00CC1FCC" w:rsidRPr="005D42BA" w:rsidTr="000564AA">
        <w:trPr>
          <w:trHeight w:val="285"/>
          <w:jc w:val="center"/>
        </w:trPr>
        <w:tc>
          <w:tcPr>
            <w:tcW w:w="3559" w:type="dxa"/>
            <w:tcBorders>
              <w:top w:val="nil"/>
              <w:left w:val="nil"/>
              <w:bottom w:val="double" w:sz="4" w:space="0" w:color="auto"/>
              <w:right w:val="nil"/>
            </w:tcBorders>
            <w:shd w:val="clear" w:color="auto" w:fill="auto"/>
            <w:noWrap/>
            <w:vAlign w:val="bottom"/>
            <w:hideMark/>
          </w:tcPr>
          <w:p w:rsidR="00CC1FCC" w:rsidRPr="005D42BA" w:rsidRDefault="009E58B6" w:rsidP="00CC1FCC">
            <w:pPr>
              <w:spacing w:after="0" w:line="240" w:lineRule="auto"/>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Telecom Plus</w:t>
            </w:r>
          </w:p>
        </w:tc>
        <w:tc>
          <w:tcPr>
            <w:tcW w:w="520" w:type="dxa"/>
            <w:tcBorders>
              <w:top w:val="nil"/>
              <w:left w:val="nil"/>
              <w:bottom w:val="double" w:sz="4" w:space="0" w:color="auto"/>
              <w:right w:val="nil"/>
            </w:tcBorders>
            <w:shd w:val="clear" w:color="auto" w:fill="auto"/>
            <w:noWrap/>
            <w:vAlign w:val="bottom"/>
            <w:hideMark/>
          </w:tcPr>
          <w:p w:rsidR="00CC1FCC" w:rsidRPr="005D42BA" w:rsidRDefault="00CC1FCC" w:rsidP="00CC1FCC">
            <w:pPr>
              <w:spacing w:after="0" w:line="240" w:lineRule="auto"/>
              <w:jc w:val="right"/>
              <w:rPr>
                <w:rFonts w:ascii="Times New Roman" w:eastAsia="Times New Roman" w:hAnsi="Times New Roman" w:cs="Times New Roman"/>
                <w:color w:val="000000"/>
                <w:sz w:val="24"/>
                <w:szCs w:val="24"/>
                <w:lang w:eastAsia="en-GB"/>
              </w:rPr>
            </w:pPr>
            <w:r w:rsidRPr="005D42BA">
              <w:rPr>
                <w:rFonts w:ascii="Times New Roman" w:eastAsia="Times New Roman" w:hAnsi="Times New Roman" w:cs="Times New Roman"/>
                <w:color w:val="000000"/>
                <w:sz w:val="24"/>
                <w:szCs w:val="24"/>
                <w:lang w:eastAsia="en-GB"/>
              </w:rPr>
              <w:t>7</w:t>
            </w:r>
          </w:p>
        </w:tc>
        <w:tc>
          <w:tcPr>
            <w:tcW w:w="520" w:type="dxa"/>
            <w:tcBorders>
              <w:top w:val="nil"/>
              <w:left w:val="nil"/>
              <w:bottom w:val="double" w:sz="4" w:space="0" w:color="auto"/>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3450" w:type="dxa"/>
            <w:tcBorders>
              <w:top w:val="nil"/>
              <w:left w:val="nil"/>
              <w:bottom w:val="double" w:sz="4" w:space="0" w:color="auto"/>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c>
          <w:tcPr>
            <w:tcW w:w="520" w:type="dxa"/>
            <w:tcBorders>
              <w:top w:val="nil"/>
              <w:left w:val="nil"/>
              <w:bottom w:val="double" w:sz="4" w:space="0" w:color="auto"/>
              <w:right w:val="nil"/>
            </w:tcBorders>
            <w:shd w:val="clear" w:color="auto" w:fill="auto"/>
            <w:noWrap/>
            <w:vAlign w:val="bottom"/>
            <w:hideMark/>
          </w:tcPr>
          <w:p w:rsidR="00CC1FCC" w:rsidRPr="005D42BA" w:rsidRDefault="00CC1FCC" w:rsidP="00CC1FCC">
            <w:pPr>
              <w:spacing w:after="0" w:line="240" w:lineRule="auto"/>
              <w:rPr>
                <w:rFonts w:ascii="Times New Roman" w:eastAsia="Times New Roman" w:hAnsi="Times New Roman" w:cs="Times New Roman"/>
                <w:color w:val="000000"/>
                <w:sz w:val="24"/>
                <w:szCs w:val="24"/>
                <w:lang w:eastAsia="en-GB"/>
              </w:rPr>
            </w:pPr>
          </w:p>
        </w:tc>
      </w:tr>
    </w:tbl>
    <w:p w:rsidR="00C95BF0" w:rsidRPr="005D42BA" w:rsidRDefault="007D20FC" w:rsidP="007D20FC">
      <w:pPr>
        <w:ind w:left="284" w:right="237"/>
        <w:jc w:val="both"/>
        <w:rPr>
          <w:rFonts w:ascii="Times New Roman" w:hAnsi="Times New Roman" w:cs="Times New Roman"/>
          <w:sz w:val="20"/>
          <w:szCs w:val="20"/>
        </w:rPr>
      </w:pPr>
      <w:r w:rsidRPr="005D42BA">
        <w:rPr>
          <w:rFonts w:ascii="Times New Roman" w:hAnsi="Times New Roman" w:cs="Times New Roman"/>
          <w:sz w:val="20"/>
          <w:szCs w:val="20"/>
        </w:rPr>
        <w:t xml:space="preserve">Note: </w:t>
      </w:r>
      <w:r w:rsidR="004A2813" w:rsidRPr="005D42BA">
        <w:rPr>
          <w:rFonts w:ascii="Times New Roman" w:hAnsi="Times New Roman" w:cs="Times New Roman"/>
          <w:sz w:val="20"/>
          <w:szCs w:val="20"/>
        </w:rPr>
        <w:t xml:space="preserve">This table presents a list of companies included in the sample and the number of annual reports used for each of the companies. The number of reports sums to 1410, which is our sample size. </w:t>
      </w:r>
    </w:p>
    <w:sectPr w:rsidR="00C95BF0" w:rsidRPr="005D42BA" w:rsidSect="00F53A8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295" w:rsidRDefault="00D84295" w:rsidP="00F31065">
      <w:pPr>
        <w:spacing w:after="0" w:line="240" w:lineRule="auto"/>
      </w:pPr>
      <w:r>
        <w:separator/>
      </w:r>
    </w:p>
  </w:endnote>
  <w:endnote w:type="continuationSeparator" w:id="0">
    <w:p w:rsidR="00D84295" w:rsidRDefault="00D84295" w:rsidP="00F31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4806"/>
      <w:docPartObj>
        <w:docPartGallery w:val="Page Numbers (Bottom of Page)"/>
        <w:docPartUnique/>
      </w:docPartObj>
    </w:sdtPr>
    <w:sdtContent>
      <w:p w:rsidR="00D84295" w:rsidRDefault="004049C7">
        <w:pPr>
          <w:pStyle w:val="Stopka"/>
          <w:jc w:val="center"/>
        </w:pPr>
        <w:r>
          <w:fldChar w:fldCharType="begin"/>
        </w:r>
        <w:r w:rsidR="00D84295">
          <w:instrText xml:space="preserve"> PAGE   \* MERGEFORMAT </w:instrText>
        </w:r>
        <w:r>
          <w:fldChar w:fldCharType="separate"/>
        </w:r>
        <w:r w:rsidR="003B5E81">
          <w:rPr>
            <w:noProof/>
          </w:rPr>
          <w:t>5</w:t>
        </w:r>
        <w:r>
          <w:rPr>
            <w:noProof/>
          </w:rPr>
          <w:fldChar w:fldCharType="end"/>
        </w:r>
      </w:p>
    </w:sdtContent>
  </w:sdt>
  <w:p w:rsidR="00D84295" w:rsidRDefault="00D8429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295" w:rsidRDefault="00D84295" w:rsidP="00F31065">
      <w:pPr>
        <w:spacing w:after="0" w:line="240" w:lineRule="auto"/>
      </w:pPr>
      <w:r>
        <w:separator/>
      </w:r>
    </w:p>
  </w:footnote>
  <w:footnote w:type="continuationSeparator" w:id="0">
    <w:p w:rsidR="00D84295" w:rsidRDefault="00D84295" w:rsidP="00F31065">
      <w:pPr>
        <w:spacing w:after="0" w:line="240" w:lineRule="auto"/>
      </w:pPr>
      <w:r>
        <w:continuationSeparator/>
      </w:r>
    </w:p>
  </w:footnote>
  <w:footnote w:id="1">
    <w:p w:rsidR="00D84295" w:rsidRDefault="00D84295">
      <w:pPr>
        <w:pStyle w:val="Tekstprzypisudolnego"/>
      </w:pPr>
      <w:r>
        <w:rPr>
          <w:rStyle w:val="Odwoanieprzypisudolnego"/>
        </w:rPr>
        <w:footnoteRef/>
      </w:r>
      <w:r>
        <w:t xml:space="preserve"> </w:t>
      </w:r>
      <w:r w:rsidRPr="005D4FD4">
        <w:rPr>
          <w:rFonts w:ascii="Times New Roman" w:hAnsi="Times New Roman" w:cs="Times New Roman"/>
        </w:rPr>
        <w:t>This obligation arises from the regulatory need to enforce the</w:t>
      </w:r>
      <w:r w:rsidRPr="005D4FD4">
        <w:rPr>
          <w:rFonts w:ascii="Times New Roman" w:hAnsi="Times New Roman" w:cs="Times New Roman"/>
          <w:lang w:val="en-US"/>
        </w:rPr>
        <w:t xml:space="preserve"> Companies</w:t>
      </w:r>
      <w:r>
        <w:rPr>
          <w:rFonts w:ascii="Times New Roman" w:hAnsi="Times New Roman" w:cs="Times New Roman"/>
          <w:lang w:val="en-US"/>
        </w:rPr>
        <w:t xml:space="preserve"> Act 2006 and the amendments to this act introduced in 2013. This regulatory body also issued guidance on strategic and directors’ reports. </w:t>
      </w:r>
    </w:p>
  </w:footnote>
  <w:footnote w:id="2">
    <w:p w:rsidR="00D84295" w:rsidRPr="00ED6E73" w:rsidRDefault="00D84295" w:rsidP="00380A6F">
      <w:pPr>
        <w:pStyle w:val="Tekstprzypisudolnego"/>
        <w:rPr>
          <w:rFonts w:cs="Times New Roman"/>
        </w:rPr>
      </w:pPr>
      <w:r>
        <w:rPr>
          <w:rStyle w:val="Odwoanieprzypisudolnego"/>
        </w:rPr>
        <w:footnoteRef/>
      </w:r>
      <w:r>
        <w:t xml:space="preserve"> </w:t>
      </w:r>
      <w:r>
        <w:rPr>
          <w:rFonts w:ascii="Times New Roman" w:eastAsia="MS Mincho" w:hAnsi="Times New Roman" w:cs="Times New Roman"/>
        </w:rPr>
        <w:t xml:space="preserve">Diction has become a very popular software package and has found many applications in political science, communication studies, linguistics, business studies, and sociology. Creators of the software track all publications that used it and list them on the following website http://www.dictionsoftware.com/published-studies/ . At the time of writing this paper, Diction was used by the authors of 151 refereed journal articles, 15 books and monographs, 58 book chapters, 68 conference presentations, as well as 49 working papers and proceedings. Notable examples of applications of the Diction software in the field of accounting include </w:t>
      </w:r>
      <w:proofErr w:type="spellStart"/>
      <w:r w:rsidRPr="0099192F">
        <w:rPr>
          <w:rFonts w:ascii="Times New Roman" w:eastAsia="MS Mincho" w:hAnsi="Times New Roman" w:cs="Times New Roman"/>
          <w:lang w:val="en-US"/>
        </w:rPr>
        <w:t>Syd</w:t>
      </w:r>
      <w:r>
        <w:rPr>
          <w:rFonts w:ascii="Times New Roman" w:eastAsia="MS Mincho" w:hAnsi="Times New Roman" w:cs="Times New Roman"/>
          <w:lang w:val="en-US"/>
        </w:rPr>
        <w:t>s</w:t>
      </w:r>
      <w:r w:rsidRPr="0099192F">
        <w:rPr>
          <w:rFonts w:ascii="Times New Roman" w:eastAsia="MS Mincho" w:hAnsi="Times New Roman" w:cs="Times New Roman"/>
          <w:lang w:val="en-US"/>
        </w:rPr>
        <w:t>erff</w:t>
      </w:r>
      <w:proofErr w:type="spellEnd"/>
      <w:r w:rsidRPr="0099192F">
        <w:rPr>
          <w:rFonts w:ascii="Times New Roman" w:eastAsia="MS Mincho" w:hAnsi="Times New Roman" w:cs="Times New Roman"/>
          <w:lang w:val="en-US"/>
        </w:rPr>
        <w:t xml:space="preserve"> and </w:t>
      </w:r>
      <w:proofErr w:type="spellStart"/>
      <w:r w:rsidRPr="0099192F">
        <w:rPr>
          <w:rFonts w:ascii="Times New Roman" w:eastAsia="MS Mincho" w:hAnsi="Times New Roman" w:cs="Times New Roman"/>
          <w:lang w:val="en-US"/>
        </w:rPr>
        <w:t>Weetman</w:t>
      </w:r>
      <w:proofErr w:type="spellEnd"/>
      <w:r w:rsidRPr="0099192F">
        <w:rPr>
          <w:rFonts w:ascii="Times New Roman" w:eastAsia="MS Mincho" w:hAnsi="Times New Roman" w:cs="Times New Roman"/>
          <w:lang w:val="en-US"/>
        </w:rPr>
        <w:t xml:space="preserve"> (2002)</w:t>
      </w:r>
      <w:r>
        <w:rPr>
          <w:rFonts w:ascii="Times New Roman" w:eastAsia="MS Mincho" w:hAnsi="Times New Roman" w:cs="Times New Roman"/>
          <w:lang w:val="en-US"/>
        </w:rPr>
        <w:t xml:space="preserve">, </w:t>
      </w:r>
      <w:proofErr w:type="spellStart"/>
      <w:r>
        <w:rPr>
          <w:rFonts w:ascii="Times New Roman" w:eastAsia="MS Mincho" w:hAnsi="Times New Roman" w:cs="Times New Roman"/>
          <w:lang w:val="en-US"/>
        </w:rPr>
        <w:t>Yuthas</w:t>
      </w:r>
      <w:proofErr w:type="spellEnd"/>
      <w:r>
        <w:rPr>
          <w:rFonts w:ascii="Times New Roman" w:eastAsia="MS Mincho" w:hAnsi="Times New Roman" w:cs="Times New Roman"/>
          <w:lang w:val="en-US"/>
        </w:rPr>
        <w:t>, Rogers and Dillard</w:t>
      </w:r>
      <w:r w:rsidRPr="0099192F">
        <w:rPr>
          <w:rFonts w:ascii="Times New Roman" w:eastAsia="MS Mincho" w:hAnsi="Times New Roman" w:cs="Times New Roman"/>
          <w:lang w:val="en-US"/>
        </w:rPr>
        <w:t xml:space="preserve"> (2002)</w:t>
      </w:r>
      <w:r>
        <w:rPr>
          <w:rFonts w:ascii="Times New Roman" w:eastAsia="MS Mincho" w:hAnsi="Times New Roman" w:cs="Times New Roman"/>
          <w:lang w:val="en-US"/>
        </w:rPr>
        <w:t xml:space="preserve">, </w:t>
      </w:r>
      <w:r w:rsidRPr="0099192F">
        <w:rPr>
          <w:rFonts w:ascii="Times New Roman" w:eastAsia="MS Mincho" w:hAnsi="Times New Roman" w:cs="Times New Roman"/>
          <w:lang w:val="en-US"/>
        </w:rPr>
        <w:t>Deme</w:t>
      </w:r>
      <w:r>
        <w:rPr>
          <w:rFonts w:ascii="Times New Roman" w:eastAsia="MS Mincho" w:hAnsi="Times New Roman" w:cs="Times New Roman"/>
          <w:lang w:val="en-US"/>
        </w:rPr>
        <w:t>rs and Vega (2010),</w:t>
      </w:r>
      <w:r w:rsidRPr="0099192F">
        <w:rPr>
          <w:rFonts w:ascii="Times New Roman" w:eastAsia="MS Mincho" w:hAnsi="Times New Roman" w:cs="Times New Roman"/>
          <w:lang w:val="en-US"/>
        </w:rPr>
        <w:t xml:space="preserve"> Rogers </w:t>
      </w:r>
      <w:r w:rsidRPr="0099192F">
        <w:rPr>
          <w:rFonts w:ascii="Times New Roman" w:eastAsia="MS Mincho" w:hAnsi="Times New Roman" w:cs="Times New Roman"/>
          <w:i/>
          <w:lang w:val="en-US"/>
        </w:rPr>
        <w:t>et al.</w:t>
      </w:r>
      <w:r w:rsidRPr="0099192F">
        <w:rPr>
          <w:rFonts w:ascii="Times New Roman" w:eastAsia="MS Mincho" w:hAnsi="Times New Roman" w:cs="Times New Roman"/>
          <w:lang w:val="en-US"/>
        </w:rPr>
        <w:t xml:space="preserve"> (2011)</w:t>
      </w:r>
      <w:r>
        <w:rPr>
          <w:rFonts w:ascii="Times New Roman" w:eastAsia="MS Mincho" w:hAnsi="Times New Roman" w:cs="Times New Roman"/>
          <w:lang w:val="en-US"/>
        </w:rPr>
        <w:t xml:space="preserve">, </w:t>
      </w:r>
      <w:r w:rsidRPr="0099192F">
        <w:rPr>
          <w:rFonts w:ascii="Times New Roman" w:eastAsia="MS Mincho" w:hAnsi="Times New Roman" w:cs="Times New Roman"/>
          <w:lang w:val="en-US"/>
        </w:rPr>
        <w:t>Craig and Brennan (2012)</w:t>
      </w:r>
      <w:r>
        <w:rPr>
          <w:rFonts w:ascii="Times New Roman" w:eastAsia="MS Mincho" w:hAnsi="Times New Roman" w:cs="Times New Roman"/>
          <w:lang w:val="en-US"/>
        </w:rPr>
        <w:t xml:space="preserve">, and </w:t>
      </w:r>
      <w:r w:rsidRPr="0099192F">
        <w:rPr>
          <w:rFonts w:ascii="Times New Roman" w:eastAsia="MS Mincho" w:hAnsi="Times New Roman" w:cs="Times New Roman"/>
          <w:lang w:val="en-US"/>
        </w:rPr>
        <w:t xml:space="preserve">Davis </w:t>
      </w:r>
      <w:r w:rsidRPr="0099192F">
        <w:rPr>
          <w:rFonts w:ascii="Times New Roman" w:eastAsia="MS Mincho" w:hAnsi="Times New Roman" w:cs="Times New Roman"/>
          <w:i/>
          <w:lang w:val="en-US"/>
        </w:rPr>
        <w:t>et al.</w:t>
      </w:r>
      <w:r w:rsidRPr="0099192F">
        <w:rPr>
          <w:rFonts w:ascii="Times New Roman" w:eastAsia="MS Mincho" w:hAnsi="Times New Roman" w:cs="Times New Roman"/>
          <w:lang w:val="en-US"/>
        </w:rPr>
        <w:t xml:space="preserve"> (2012)</w:t>
      </w:r>
      <w:r>
        <w:rPr>
          <w:rFonts w:ascii="Times New Roman" w:eastAsia="MS Mincho" w:hAnsi="Times New Roman" w:cs="Times New Roman"/>
          <w:lang w:val="en-US"/>
        </w:rPr>
        <w:t>.</w:t>
      </w:r>
    </w:p>
  </w:footnote>
  <w:footnote w:id="3">
    <w:p w:rsidR="00D84295" w:rsidRDefault="00D84295">
      <w:pPr>
        <w:pStyle w:val="Tekstprzypisudolnego"/>
      </w:pPr>
      <w:r w:rsidRPr="00A507BC">
        <w:rPr>
          <w:rStyle w:val="Odwoanieprzypisudolnego"/>
          <w:rFonts w:ascii="Times New Roman" w:hAnsi="Times New Roman" w:cs="Times New Roman"/>
        </w:rPr>
        <w:footnoteRef/>
      </w:r>
      <w:r w:rsidRPr="00A507BC">
        <w:rPr>
          <w:rFonts w:ascii="Times New Roman" w:hAnsi="Times New Roman" w:cs="Times New Roman"/>
        </w:rPr>
        <w:t xml:space="preserve"> The mitigation </w:t>
      </w:r>
      <w:r>
        <w:rPr>
          <w:rFonts w:ascii="Times New Roman" w:hAnsi="Times New Roman" w:cs="Times New Roman"/>
        </w:rPr>
        <w:t>of the problem of polysemy can</w:t>
      </w:r>
      <w:r w:rsidRPr="00A507BC">
        <w:rPr>
          <w:rFonts w:ascii="Times New Roman" w:hAnsi="Times New Roman" w:cs="Times New Roman"/>
        </w:rPr>
        <w:t xml:space="preserve"> be nicely illustrated with the word “beat”. In everyday language this word would be associated with violence, while in the context of financial reporting which often refers to beating forecasts or expectations this word may have positive connotations.</w:t>
      </w:r>
      <w:r>
        <w:t xml:space="preserve">  </w:t>
      </w:r>
    </w:p>
  </w:footnote>
  <w:footnote w:id="4">
    <w:p w:rsidR="00D84295" w:rsidRDefault="00D84295">
      <w:pPr>
        <w:pStyle w:val="Tekstprzypisudolnego"/>
      </w:pPr>
      <w:r>
        <w:rPr>
          <w:rStyle w:val="Odwoanieprzypisudolnego"/>
        </w:rPr>
        <w:footnoteRef/>
      </w:r>
      <w:r>
        <w:t xml:space="preserve"> </w:t>
      </w:r>
      <w:r w:rsidRPr="00C239A5">
        <w:rPr>
          <w:rFonts w:ascii="Times New Roman" w:eastAsia="MS Mincho" w:hAnsi="Times New Roman" w:cs="Times New Roman"/>
        </w:rPr>
        <w:t>Banks and other financial institutions have a different mode of operation compared to other business</w:t>
      </w:r>
      <w:r>
        <w:rPr>
          <w:rFonts w:ascii="Times New Roman" w:eastAsia="MS Mincho" w:hAnsi="Times New Roman" w:cs="Times New Roman"/>
        </w:rPr>
        <w:t>es</w:t>
      </w:r>
      <w:r w:rsidRPr="00C239A5">
        <w:rPr>
          <w:rFonts w:ascii="Times New Roman" w:eastAsia="MS Mincho" w:hAnsi="Times New Roman" w:cs="Times New Roman"/>
        </w:rPr>
        <w:t xml:space="preserve"> and the financial reporting of these entities is specialized in nature. They have to comply, for instance, with IAS 30 or the Basel Accord and are regulated by the Financial Conduct Authority and Prudential Regulation Authority at the Bank of England. The institutions are subjected to stress testing, have to comply with minimum capital requirements and focus a lot of attention on liquidity and risk management. As a result, the structure of their annual report narratives differs significantly from that of a typical listed company. Some of the </w:t>
      </w:r>
      <w:r>
        <w:rPr>
          <w:rFonts w:ascii="Times New Roman" w:eastAsia="MS Mincho" w:hAnsi="Times New Roman" w:cs="Times New Roman"/>
        </w:rPr>
        <w:t xml:space="preserve">other </w:t>
      </w:r>
      <w:r w:rsidRPr="00C239A5">
        <w:rPr>
          <w:rFonts w:ascii="Times New Roman" w:eastAsia="MS Mincho" w:hAnsi="Times New Roman" w:cs="Times New Roman"/>
        </w:rPr>
        <w:t xml:space="preserve">content analysis studies performed for the UK market </w:t>
      </w:r>
      <w:r>
        <w:rPr>
          <w:rFonts w:ascii="Times New Roman" w:eastAsia="MS Mincho" w:hAnsi="Times New Roman" w:cs="Times New Roman"/>
        </w:rPr>
        <w:t>also concentrate exclusively</w:t>
      </w:r>
      <w:r w:rsidRPr="00C239A5">
        <w:rPr>
          <w:rFonts w:ascii="Times New Roman" w:eastAsia="MS Mincho" w:hAnsi="Times New Roman" w:cs="Times New Roman"/>
        </w:rPr>
        <w:t xml:space="preserve"> on non-financial firms (</w:t>
      </w:r>
      <w:r>
        <w:rPr>
          <w:rFonts w:ascii="Times New Roman" w:eastAsia="MS Mincho" w:hAnsi="Times New Roman" w:cs="Times New Roman"/>
        </w:rPr>
        <w:t xml:space="preserve">see </w:t>
      </w:r>
      <w:proofErr w:type="spellStart"/>
      <w:r>
        <w:rPr>
          <w:rFonts w:ascii="Times New Roman" w:eastAsia="MS Mincho" w:hAnsi="Times New Roman" w:cs="Times New Roman"/>
        </w:rPr>
        <w:t>Cla</w:t>
      </w:r>
      <w:r w:rsidRPr="00C239A5">
        <w:rPr>
          <w:rFonts w:ascii="Times New Roman" w:eastAsia="MS Mincho" w:hAnsi="Times New Roman" w:cs="Times New Roman"/>
        </w:rPr>
        <w:t>tworthy</w:t>
      </w:r>
      <w:proofErr w:type="spellEnd"/>
      <w:r w:rsidRPr="00C239A5">
        <w:rPr>
          <w:rFonts w:ascii="Times New Roman" w:eastAsia="MS Mincho" w:hAnsi="Times New Roman" w:cs="Times New Roman"/>
        </w:rPr>
        <w:t xml:space="preserve"> and Jones, 2003; </w:t>
      </w:r>
      <w:proofErr w:type="spellStart"/>
      <w:r w:rsidRPr="00C239A5">
        <w:rPr>
          <w:rFonts w:ascii="Times New Roman" w:eastAsia="MS Mincho" w:hAnsi="Times New Roman" w:cs="Times New Roman"/>
        </w:rPr>
        <w:t>Schleicher</w:t>
      </w:r>
      <w:proofErr w:type="spellEnd"/>
      <w:r w:rsidRPr="00C239A5">
        <w:rPr>
          <w:rFonts w:ascii="Times New Roman" w:eastAsia="MS Mincho" w:hAnsi="Times New Roman" w:cs="Times New Roman"/>
        </w:rPr>
        <w:t xml:space="preserve"> and Walker, 2010).</w:t>
      </w:r>
    </w:p>
  </w:footnote>
  <w:footnote w:id="5">
    <w:p w:rsidR="00D84295" w:rsidRDefault="00D84295">
      <w:pPr>
        <w:pStyle w:val="Tekstprzypisudolnego"/>
      </w:pPr>
      <w:r>
        <w:rPr>
          <w:rStyle w:val="Odwoanieprzypisudolnego"/>
        </w:rPr>
        <w:footnoteRef/>
      </w:r>
      <w:r>
        <w:t xml:space="preserve"> Detailed results can be obtained from the authors upon request. </w:t>
      </w:r>
    </w:p>
  </w:footnote>
  <w:footnote w:id="6">
    <w:p w:rsidR="00D84295" w:rsidRPr="00A507BC" w:rsidRDefault="00D84295" w:rsidP="00294C7A">
      <w:pPr>
        <w:pStyle w:val="Tekstprzypisudolnego"/>
        <w:rPr>
          <w:rFonts w:ascii="Times New Roman" w:hAnsi="Times New Roman" w:cs="Times New Roman"/>
        </w:rPr>
      </w:pPr>
      <w:r w:rsidRPr="00A507BC">
        <w:rPr>
          <w:rStyle w:val="Odwoanieprzypisudolnego"/>
          <w:rFonts w:ascii="Times New Roman" w:hAnsi="Times New Roman" w:cs="Times New Roman"/>
        </w:rPr>
        <w:footnoteRef/>
      </w:r>
      <w:r w:rsidRPr="00A507BC">
        <w:rPr>
          <w:rFonts w:ascii="Times New Roman" w:hAnsi="Times New Roman" w:cs="Times New Roman"/>
        </w:rPr>
        <w:t xml:space="preserve"> As a matter of convention, Diction software converts frequencies into </w:t>
      </w:r>
      <w:r w:rsidRPr="00A507BC">
        <w:rPr>
          <w:rFonts w:ascii="Times New Roman" w:hAnsi="Times New Roman" w:cs="Times New Roman"/>
          <w:i/>
        </w:rPr>
        <w:t>z</w:t>
      </w:r>
      <w:r w:rsidRPr="00A507BC">
        <w:rPr>
          <w:rFonts w:ascii="Times New Roman" w:hAnsi="Times New Roman" w:cs="Times New Roman"/>
        </w:rPr>
        <w:t xml:space="preserve">-scores before aggregating them.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74CD"/>
    <w:multiLevelType w:val="hybridMultilevel"/>
    <w:tmpl w:val="61627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3DA6594"/>
    <w:multiLevelType w:val="hybridMultilevel"/>
    <w:tmpl w:val="36D4B97A"/>
    <w:lvl w:ilvl="0" w:tplc="913C3B0A">
      <w:start w:val="5"/>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7652F7"/>
    <w:multiLevelType w:val="hybridMultilevel"/>
    <w:tmpl w:val="0C847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035344"/>
    <w:multiLevelType w:val="hybridMultilevel"/>
    <w:tmpl w:val="5A02993A"/>
    <w:lvl w:ilvl="0" w:tplc="E482DA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C6F561E"/>
    <w:multiLevelType w:val="hybridMultilevel"/>
    <w:tmpl w:val="EB2468AC"/>
    <w:lvl w:ilvl="0" w:tplc="0DEC947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EC74E7B"/>
    <w:multiLevelType w:val="hybridMultilevel"/>
    <w:tmpl w:val="F5D0BC5A"/>
    <w:lvl w:ilvl="0" w:tplc="D7EACF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F6F46DB"/>
    <w:multiLevelType w:val="hybridMultilevel"/>
    <w:tmpl w:val="2A1CDC00"/>
    <w:lvl w:ilvl="0" w:tplc="88769172">
      <w:start w:val="5"/>
      <w:numFmt w:val="bullet"/>
      <w:lvlText w:val=""/>
      <w:lvlJc w:val="left"/>
      <w:pPr>
        <w:ind w:left="1080" w:hanging="360"/>
      </w:pPr>
      <w:rPr>
        <w:rFonts w:ascii="Symbol" w:eastAsiaTheme="minorHAns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429043CE"/>
    <w:multiLevelType w:val="hybridMultilevel"/>
    <w:tmpl w:val="218E96A6"/>
    <w:lvl w:ilvl="0" w:tplc="5260A5F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8A52947"/>
    <w:multiLevelType w:val="hybridMultilevel"/>
    <w:tmpl w:val="E33C17C4"/>
    <w:lvl w:ilvl="0" w:tplc="35ECFC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4010041"/>
    <w:multiLevelType w:val="hybridMultilevel"/>
    <w:tmpl w:val="DBB67F44"/>
    <w:lvl w:ilvl="0" w:tplc="3DCC424C">
      <w:start w:val="5"/>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6CA4B87"/>
    <w:multiLevelType w:val="hybridMultilevel"/>
    <w:tmpl w:val="30BCFD44"/>
    <w:lvl w:ilvl="0" w:tplc="361630E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0BC44F6"/>
    <w:multiLevelType w:val="hybridMultilevel"/>
    <w:tmpl w:val="999A5826"/>
    <w:lvl w:ilvl="0" w:tplc="3F40D658">
      <w:start w:val="5"/>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58830AA"/>
    <w:multiLevelType w:val="hybridMultilevel"/>
    <w:tmpl w:val="3F2E425E"/>
    <w:lvl w:ilvl="0" w:tplc="B6C8A7C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2"/>
  </w:num>
  <w:num w:numId="3">
    <w:abstractNumId w:val="10"/>
  </w:num>
  <w:num w:numId="4">
    <w:abstractNumId w:val="7"/>
  </w:num>
  <w:num w:numId="5">
    <w:abstractNumId w:val="3"/>
  </w:num>
  <w:num w:numId="6">
    <w:abstractNumId w:val="5"/>
  </w:num>
  <w:num w:numId="7">
    <w:abstractNumId w:val="8"/>
  </w:num>
  <w:num w:numId="8">
    <w:abstractNumId w:val="0"/>
  </w:num>
  <w:num w:numId="9">
    <w:abstractNumId w:val="1"/>
  </w:num>
  <w:num w:numId="10">
    <w:abstractNumId w:val="9"/>
  </w:num>
  <w:num w:numId="11">
    <w:abstractNumId w:val="11"/>
  </w:num>
  <w:num w:numId="12">
    <w:abstractNumId w:val="6"/>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21E63"/>
    <w:rsid w:val="0001083E"/>
    <w:rsid w:val="00014B69"/>
    <w:rsid w:val="00025042"/>
    <w:rsid w:val="00025F70"/>
    <w:rsid w:val="00027BDD"/>
    <w:rsid w:val="00030B6D"/>
    <w:rsid w:val="00031CA7"/>
    <w:rsid w:val="0003302E"/>
    <w:rsid w:val="00037B51"/>
    <w:rsid w:val="00041962"/>
    <w:rsid w:val="00050D5F"/>
    <w:rsid w:val="0005547E"/>
    <w:rsid w:val="000564AA"/>
    <w:rsid w:val="00056CB2"/>
    <w:rsid w:val="00065409"/>
    <w:rsid w:val="00065F59"/>
    <w:rsid w:val="000722FF"/>
    <w:rsid w:val="00072718"/>
    <w:rsid w:val="00075735"/>
    <w:rsid w:val="00080BEC"/>
    <w:rsid w:val="0008224F"/>
    <w:rsid w:val="00083AA5"/>
    <w:rsid w:val="00084651"/>
    <w:rsid w:val="00086BA1"/>
    <w:rsid w:val="00086DC3"/>
    <w:rsid w:val="00087FF9"/>
    <w:rsid w:val="0009169B"/>
    <w:rsid w:val="000A1511"/>
    <w:rsid w:val="000A1CB8"/>
    <w:rsid w:val="000A46DF"/>
    <w:rsid w:val="000A62C3"/>
    <w:rsid w:val="000A7186"/>
    <w:rsid w:val="000B1066"/>
    <w:rsid w:val="000B1AAB"/>
    <w:rsid w:val="000B7644"/>
    <w:rsid w:val="000B7975"/>
    <w:rsid w:val="000C00BC"/>
    <w:rsid w:val="000C0F6C"/>
    <w:rsid w:val="000C2CB6"/>
    <w:rsid w:val="000C3178"/>
    <w:rsid w:val="000C31FA"/>
    <w:rsid w:val="000C3E62"/>
    <w:rsid w:val="000D0C27"/>
    <w:rsid w:val="000D124A"/>
    <w:rsid w:val="000D360D"/>
    <w:rsid w:val="000E01FA"/>
    <w:rsid w:val="000E24BD"/>
    <w:rsid w:val="000E59B7"/>
    <w:rsid w:val="000F008D"/>
    <w:rsid w:val="000F0FF5"/>
    <w:rsid w:val="000F57FB"/>
    <w:rsid w:val="000F69DB"/>
    <w:rsid w:val="0010270C"/>
    <w:rsid w:val="00106118"/>
    <w:rsid w:val="001110B9"/>
    <w:rsid w:val="001146BC"/>
    <w:rsid w:val="001151E0"/>
    <w:rsid w:val="001169C9"/>
    <w:rsid w:val="0012007B"/>
    <w:rsid w:val="001258D0"/>
    <w:rsid w:val="00142BA7"/>
    <w:rsid w:val="001449EA"/>
    <w:rsid w:val="00146D4D"/>
    <w:rsid w:val="001703EF"/>
    <w:rsid w:val="00174F50"/>
    <w:rsid w:val="00175667"/>
    <w:rsid w:val="00176A29"/>
    <w:rsid w:val="00185321"/>
    <w:rsid w:val="001870FA"/>
    <w:rsid w:val="00187100"/>
    <w:rsid w:val="00191226"/>
    <w:rsid w:val="001915C6"/>
    <w:rsid w:val="00196009"/>
    <w:rsid w:val="00197553"/>
    <w:rsid w:val="00197D13"/>
    <w:rsid w:val="001A0515"/>
    <w:rsid w:val="001A060C"/>
    <w:rsid w:val="001A5547"/>
    <w:rsid w:val="001B5EE2"/>
    <w:rsid w:val="001B7FB7"/>
    <w:rsid w:val="001C2A01"/>
    <w:rsid w:val="001C69C3"/>
    <w:rsid w:val="001F09C9"/>
    <w:rsid w:val="001F0B84"/>
    <w:rsid w:val="001F1558"/>
    <w:rsid w:val="001F1CAC"/>
    <w:rsid w:val="001F3B36"/>
    <w:rsid w:val="001F5079"/>
    <w:rsid w:val="00201EE4"/>
    <w:rsid w:val="00202085"/>
    <w:rsid w:val="002034D8"/>
    <w:rsid w:val="00204CAA"/>
    <w:rsid w:val="00205E54"/>
    <w:rsid w:val="00206682"/>
    <w:rsid w:val="00210B6D"/>
    <w:rsid w:val="002117B6"/>
    <w:rsid w:val="00214A2B"/>
    <w:rsid w:val="002152C9"/>
    <w:rsid w:val="0022253B"/>
    <w:rsid w:val="00224A33"/>
    <w:rsid w:val="00227366"/>
    <w:rsid w:val="00232DB2"/>
    <w:rsid w:val="00233E3A"/>
    <w:rsid w:val="00237D99"/>
    <w:rsid w:val="002515A1"/>
    <w:rsid w:val="002532CE"/>
    <w:rsid w:val="00256805"/>
    <w:rsid w:val="00257486"/>
    <w:rsid w:val="002618B8"/>
    <w:rsid w:val="00267347"/>
    <w:rsid w:val="00274F17"/>
    <w:rsid w:val="00275DD2"/>
    <w:rsid w:val="002766C1"/>
    <w:rsid w:val="00284EF2"/>
    <w:rsid w:val="00294C7A"/>
    <w:rsid w:val="00296816"/>
    <w:rsid w:val="002A058E"/>
    <w:rsid w:val="002A1C79"/>
    <w:rsid w:val="002A27B6"/>
    <w:rsid w:val="002A4378"/>
    <w:rsid w:val="002A5DD5"/>
    <w:rsid w:val="002B08AA"/>
    <w:rsid w:val="002B1C1D"/>
    <w:rsid w:val="002B4B8C"/>
    <w:rsid w:val="002B4E69"/>
    <w:rsid w:val="002B5181"/>
    <w:rsid w:val="002B7B30"/>
    <w:rsid w:val="002D6CA6"/>
    <w:rsid w:val="002D7AE4"/>
    <w:rsid w:val="002E05F3"/>
    <w:rsid w:val="002E622D"/>
    <w:rsid w:val="002E673C"/>
    <w:rsid w:val="002E6C25"/>
    <w:rsid w:val="002F5694"/>
    <w:rsid w:val="003010D9"/>
    <w:rsid w:val="00301582"/>
    <w:rsid w:val="00305239"/>
    <w:rsid w:val="0030737C"/>
    <w:rsid w:val="00307EAD"/>
    <w:rsid w:val="00314A6D"/>
    <w:rsid w:val="00320400"/>
    <w:rsid w:val="003235C2"/>
    <w:rsid w:val="00330F20"/>
    <w:rsid w:val="00333B57"/>
    <w:rsid w:val="003373FE"/>
    <w:rsid w:val="00337C81"/>
    <w:rsid w:val="00341619"/>
    <w:rsid w:val="0034183B"/>
    <w:rsid w:val="0035430D"/>
    <w:rsid w:val="00361313"/>
    <w:rsid w:val="003627A1"/>
    <w:rsid w:val="00365A7C"/>
    <w:rsid w:val="00370492"/>
    <w:rsid w:val="00373A61"/>
    <w:rsid w:val="00376003"/>
    <w:rsid w:val="00376E1E"/>
    <w:rsid w:val="003776E0"/>
    <w:rsid w:val="00380A6F"/>
    <w:rsid w:val="00382D71"/>
    <w:rsid w:val="003835E2"/>
    <w:rsid w:val="00383C34"/>
    <w:rsid w:val="00387B4C"/>
    <w:rsid w:val="003923F7"/>
    <w:rsid w:val="00392956"/>
    <w:rsid w:val="0039672B"/>
    <w:rsid w:val="003A0A5B"/>
    <w:rsid w:val="003A3910"/>
    <w:rsid w:val="003A5F4B"/>
    <w:rsid w:val="003A77EE"/>
    <w:rsid w:val="003B218C"/>
    <w:rsid w:val="003B5660"/>
    <w:rsid w:val="003B5E81"/>
    <w:rsid w:val="003B74BE"/>
    <w:rsid w:val="003C2AAE"/>
    <w:rsid w:val="003C4F26"/>
    <w:rsid w:val="003C54EC"/>
    <w:rsid w:val="003D14DF"/>
    <w:rsid w:val="003D15D4"/>
    <w:rsid w:val="003D1965"/>
    <w:rsid w:val="003D1C2B"/>
    <w:rsid w:val="003D2054"/>
    <w:rsid w:val="003D70A5"/>
    <w:rsid w:val="003D7E13"/>
    <w:rsid w:val="003E023E"/>
    <w:rsid w:val="003E1B33"/>
    <w:rsid w:val="003E2FE2"/>
    <w:rsid w:val="003E4504"/>
    <w:rsid w:val="003E785D"/>
    <w:rsid w:val="003F0F0C"/>
    <w:rsid w:val="003F1233"/>
    <w:rsid w:val="003F14E3"/>
    <w:rsid w:val="003F5954"/>
    <w:rsid w:val="00400B3A"/>
    <w:rsid w:val="00404511"/>
    <w:rsid w:val="004049C7"/>
    <w:rsid w:val="00405B88"/>
    <w:rsid w:val="00405E58"/>
    <w:rsid w:val="00407E5B"/>
    <w:rsid w:val="00410C5B"/>
    <w:rsid w:val="00413281"/>
    <w:rsid w:val="00413C51"/>
    <w:rsid w:val="00413C52"/>
    <w:rsid w:val="00420C09"/>
    <w:rsid w:val="004211B7"/>
    <w:rsid w:val="00423775"/>
    <w:rsid w:val="00423803"/>
    <w:rsid w:val="0043311B"/>
    <w:rsid w:val="004342D2"/>
    <w:rsid w:val="00436A29"/>
    <w:rsid w:val="00441C26"/>
    <w:rsid w:val="00444902"/>
    <w:rsid w:val="0044601F"/>
    <w:rsid w:val="00454FA9"/>
    <w:rsid w:val="00463643"/>
    <w:rsid w:val="00463E58"/>
    <w:rsid w:val="00470BFA"/>
    <w:rsid w:val="00484B1F"/>
    <w:rsid w:val="00490461"/>
    <w:rsid w:val="00496D2B"/>
    <w:rsid w:val="00497BF5"/>
    <w:rsid w:val="004A0976"/>
    <w:rsid w:val="004A0CDC"/>
    <w:rsid w:val="004A1C2B"/>
    <w:rsid w:val="004A2813"/>
    <w:rsid w:val="004B03AC"/>
    <w:rsid w:val="004B0E6B"/>
    <w:rsid w:val="004B3BE0"/>
    <w:rsid w:val="004B4228"/>
    <w:rsid w:val="004B44FC"/>
    <w:rsid w:val="004B5E87"/>
    <w:rsid w:val="004C4316"/>
    <w:rsid w:val="004C6DCB"/>
    <w:rsid w:val="004C71DD"/>
    <w:rsid w:val="004C7E26"/>
    <w:rsid w:val="004D6080"/>
    <w:rsid w:val="004E22FC"/>
    <w:rsid w:val="004E272F"/>
    <w:rsid w:val="004E363E"/>
    <w:rsid w:val="004E5A73"/>
    <w:rsid w:val="004F1C84"/>
    <w:rsid w:val="004F24CA"/>
    <w:rsid w:val="004F6A56"/>
    <w:rsid w:val="0050309F"/>
    <w:rsid w:val="00507969"/>
    <w:rsid w:val="005113F2"/>
    <w:rsid w:val="005146EE"/>
    <w:rsid w:val="00515E0A"/>
    <w:rsid w:val="0051713E"/>
    <w:rsid w:val="005216E1"/>
    <w:rsid w:val="0052489C"/>
    <w:rsid w:val="00527888"/>
    <w:rsid w:val="005435A8"/>
    <w:rsid w:val="00544625"/>
    <w:rsid w:val="00547215"/>
    <w:rsid w:val="00553AEA"/>
    <w:rsid w:val="00562855"/>
    <w:rsid w:val="00563BA0"/>
    <w:rsid w:val="005761F0"/>
    <w:rsid w:val="005804CA"/>
    <w:rsid w:val="00585843"/>
    <w:rsid w:val="00592675"/>
    <w:rsid w:val="00597D98"/>
    <w:rsid w:val="005A075E"/>
    <w:rsid w:val="005A093E"/>
    <w:rsid w:val="005A28F2"/>
    <w:rsid w:val="005A2CD6"/>
    <w:rsid w:val="005B3B77"/>
    <w:rsid w:val="005B5E07"/>
    <w:rsid w:val="005C0A12"/>
    <w:rsid w:val="005C2870"/>
    <w:rsid w:val="005C42D4"/>
    <w:rsid w:val="005D0592"/>
    <w:rsid w:val="005D07CF"/>
    <w:rsid w:val="005D3A75"/>
    <w:rsid w:val="005D414A"/>
    <w:rsid w:val="005D42BA"/>
    <w:rsid w:val="005D4FD4"/>
    <w:rsid w:val="005D6B3A"/>
    <w:rsid w:val="005E31EA"/>
    <w:rsid w:val="005E3347"/>
    <w:rsid w:val="005E3D7F"/>
    <w:rsid w:val="005E4239"/>
    <w:rsid w:val="005E48E3"/>
    <w:rsid w:val="005F2623"/>
    <w:rsid w:val="005F6414"/>
    <w:rsid w:val="006060D8"/>
    <w:rsid w:val="00616C25"/>
    <w:rsid w:val="00620B08"/>
    <w:rsid w:val="00621E63"/>
    <w:rsid w:val="006261EB"/>
    <w:rsid w:val="00632D1D"/>
    <w:rsid w:val="00632E47"/>
    <w:rsid w:val="00634669"/>
    <w:rsid w:val="00641870"/>
    <w:rsid w:val="00643607"/>
    <w:rsid w:val="00646352"/>
    <w:rsid w:val="00654AB1"/>
    <w:rsid w:val="0065546D"/>
    <w:rsid w:val="00655C89"/>
    <w:rsid w:val="00660359"/>
    <w:rsid w:val="00661A38"/>
    <w:rsid w:val="00661BF7"/>
    <w:rsid w:val="00662855"/>
    <w:rsid w:val="00662D18"/>
    <w:rsid w:val="006642D8"/>
    <w:rsid w:val="00665A17"/>
    <w:rsid w:val="006666B1"/>
    <w:rsid w:val="006707ED"/>
    <w:rsid w:val="00674632"/>
    <w:rsid w:val="00675F80"/>
    <w:rsid w:val="0068477D"/>
    <w:rsid w:val="006862C5"/>
    <w:rsid w:val="006A02AC"/>
    <w:rsid w:val="006A0F29"/>
    <w:rsid w:val="006A2094"/>
    <w:rsid w:val="006A3B74"/>
    <w:rsid w:val="006A6B11"/>
    <w:rsid w:val="006B5FD9"/>
    <w:rsid w:val="006C3981"/>
    <w:rsid w:val="006C52A2"/>
    <w:rsid w:val="006C5490"/>
    <w:rsid w:val="006C5C68"/>
    <w:rsid w:val="006C7369"/>
    <w:rsid w:val="006D3990"/>
    <w:rsid w:val="006D5545"/>
    <w:rsid w:val="006E098B"/>
    <w:rsid w:val="006E7788"/>
    <w:rsid w:val="006F18A4"/>
    <w:rsid w:val="006F3F8F"/>
    <w:rsid w:val="006F445E"/>
    <w:rsid w:val="006F52C4"/>
    <w:rsid w:val="006F68AC"/>
    <w:rsid w:val="00701F0A"/>
    <w:rsid w:val="00706E35"/>
    <w:rsid w:val="00711A9C"/>
    <w:rsid w:val="0071214F"/>
    <w:rsid w:val="0071371C"/>
    <w:rsid w:val="00714521"/>
    <w:rsid w:val="007154C3"/>
    <w:rsid w:val="00715BF6"/>
    <w:rsid w:val="00717E6D"/>
    <w:rsid w:val="0072296F"/>
    <w:rsid w:val="00724868"/>
    <w:rsid w:val="007411E6"/>
    <w:rsid w:val="00742CB0"/>
    <w:rsid w:val="00744459"/>
    <w:rsid w:val="007609F9"/>
    <w:rsid w:val="00772073"/>
    <w:rsid w:val="00775386"/>
    <w:rsid w:val="00780EA5"/>
    <w:rsid w:val="0078483B"/>
    <w:rsid w:val="00785312"/>
    <w:rsid w:val="007905DD"/>
    <w:rsid w:val="00790765"/>
    <w:rsid w:val="0079302F"/>
    <w:rsid w:val="00793314"/>
    <w:rsid w:val="00795665"/>
    <w:rsid w:val="007A2483"/>
    <w:rsid w:val="007A2C43"/>
    <w:rsid w:val="007A2D00"/>
    <w:rsid w:val="007B03CD"/>
    <w:rsid w:val="007B5D81"/>
    <w:rsid w:val="007C191B"/>
    <w:rsid w:val="007C1EED"/>
    <w:rsid w:val="007C3EBA"/>
    <w:rsid w:val="007D0CAC"/>
    <w:rsid w:val="007D20FC"/>
    <w:rsid w:val="007D246B"/>
    <w:rsid w:val="007E2F06"/>
    <w:rsid w:val="007E578C"/>
    <w:rsid w:val="007F391E"/>
    <w:rsid w:val="007F5466"/>
    <w:rsid w:val="00803573"/>
    <w:rsid w:val="00804554"/>
    <w:rsid w:val="008068C8"/>
    <w:rsid w:val="0080774F"/>
    <w:rsid w:val="0081274A"/>
    <w:rsid w:val="008140D0"/>
    <w:rsid w:val="008141E0"/>
    <w:rsid w:val="00820E4A"/>
    <w:rsid w:val="008250C1"/>
    <w:rsid w:val="00826E50"/>
    <w:rsid w:val="008273D9"/>
    <w:rsid w:val="008312C9"/>
    <w:rsid w:val="00834EEC"/>
    <w:rsid w:val="00847AEC"/>
    <w:rsid w:val="008507DF"/>
    <w:rsid w:val="00851DC9"/>
    <w:rsid w:val="008523E8"/>
    <w:rsid w:val="00853AEE"/>
    <w:rsid w:val="00854561"/>
    <w:rsid w:val="008664FC"/>
    <w:rsid w:val="008712AB"/>
    <w:rsid w:val="00876752"/>
    <w:rsid w:val="00881E4F"/>
    <w:rsid w:val="00885A3A"/>
    <w:rsid w:val="00887C20"/>
    <w:rsid w:val="00887D40"/>
    <w:rsid w:val="00892795"/>
    <w:rsid w:val="0089508E"/>
    <w:rsid w:val="00897023"/>
    <w:rsid w:val="0089715E"/>
    <w:rsid w:val="008A6DBC"/>
    <w:rsid w:val="008A7497"/>
    <w:rsid w:val="008A7A25"/>
    <w:rsid w:val="008B357A"/>
    <w:rsid w:val="008C2C2B"/>
    <w:rsid w:val="008C5C9A"/>
    <w:rsid w:val="008D17DB"/>
    <w:rsid w:val="008D2134"/>
    <w:rsid w:val="008D3995"/>
    <w:rsid w:val="008D67F3"/>
    <w:rsid w:val="008E2C18"/>
    <w:rsid w:val="008E30AC"/>
    <w:rsid w:val="008E4EC5"/>
    <w:rsid w:val="008E6504"/>
    <w:rsid w:val="008F04CA"/>
    <w:rsid w:val="008F1538"/>
    <w:rsid w:val="008F4A99"/>
    <w:rsid w:val="008F5A4F"/>
    <w:rsid w:val="00900165"/>
    <w:rsid w:val="00900229"/>
    <w:rsid w:val="00900C55"/>
    <w:rsid w:val="00903A96"/>
    <w:rsid w:val="00905CA8"/>
    <w:rsid w:val="009076A6"/>
    <w:rsid w:val="00916F76"/>
    <w:rsid w:val="009172F5"/>
    <w:rsid w:val="00930B07"/>
    <w:rsid w:val="00930F5E"/>
    <w:rsid w:val="00932332"/>
    <w:rsid w:val="009366B0"/>
    <w:rsid w:val="00941DC2"/>
    <w:rsid w:val="00943DE8"/>
    <w:rsid w:val="00944035"/>
    <w:rsid w:val="00945D17"/>
    <w:rsid w:val="00945E62"/>
    <w:rsid w:val="0095090F"/>
    <w:rsid w:val="00952D4E"/>
    <w:rsid w:val="00955BF5"/>
    <w:rsid w:val="00955E26"/>
    <w:rsid w:val="009620C3"/>
    <w:rsid w:val="00962BD1"/>
    <w:rsid w:val="00970C79"/>
    <w:rsid w:val="00972263"/>
    <w:rsid w:val="00972747"/>
    <w:rsid w:val="009732D1"/>
    <w:rsid w:val="00975B86"/>
    <w:rsid w:val="00975D67"/>
    <w:rsid w:val="009777A8"/>
    <w:rsid w:val="00983F3A"/>
    <w:rsid w:val="00983FB1"/>
    <w:rsid w:val="00986479"/>
    <w:rsid w:val="009868E4"/>
    <w:rsid w:val="0099192F"/>
    <w:rsid w:val="00993453"/>
    <w:rsid w:val="009B347D"/>
    <w:rsid w:val="009B45CA"/>
    <w:rsid w:val="009B5FBD"/>
    <w:rsid w:val="009C09D7"/>
    <w:rsid w:val="009C5B68"/>
    <w:rsid w:val="009C665D"/>
    <w:rsid w:val="009C7D75"/>
    <w:rsid w:val="009D4EC6"/>
    <w:rsid w:val="009D5A68"/>
    <w:rsid w:val="009D7252"/>
    <w:rsid w:val="009E13C0"/>
    <w:rsid w:val="009E271F"/>
    <w:rsid w:val="009E2DDF"/>
    <w:rsid w:val="009E33C8"/>
    <w:rsid w:val="009E58B6"/>
    <w:rsid w:val="009E7D9D"/>
    <w:rsid w:val="00A001D7"/>
    <w:rsid w:val="00A033BD"/>
    <w:rsid w:val="00A0448B"/>
    <w:rsid w:val="00A04CF2"/>
    <w:rsid w:val="00A10F14"/>
    <w:rsid w:val="00A1540D"/>
    <w:rsid w:val="00A1646B"/>
    <w:rsid w:val="00A20E11"/>
    <w:rsid w:val="00A24518"/>
    <w:rsid w:val="00A2786C"/>
    <w:rsid w:val="00A320C7"/>
    <w:rsid w:val="00A329C8"/>
    <w:rsid w:val="00A32AA2"/>
    <w:rsid w:val="00A32B80"/>
    <w:rsid w:val="00A33092"/>
    <w:rsid w:val="00A3454A"/>
    <w:rsid w:val="00A422E4"/>
    <w:rsid w:val="00A42D25"/>
    <w:rsid w:val="00A44B36"/>
    <w:rsid w:val="00A44BBA"/>
    <w:rsid w:val="00A507BC"/>
    <w:rsid w:val="00A55379"/>
    <w:rsid w:val="00A62C1A"/>
    <w:rsid w:val="00A63602"/>
    <w:rsid w:val="00A652A1"/>
    <w:rsid w:val="00A652AF"/>
    <w:rsid w:val="00A65B45"/>
    <w:rsid w:val="00A65B9B"/>
    <w:rsid w:val="00A66017"/>
    <w:rsid w:val="00A71773"/>
    <w:rsid w:val="00A733D5"/>
    <w:rsid w:val="00A73FCB"/>
    <w:rsid w:val="00A82EFA"/>
    <w:rsid w:val="00A837D9"/>
    <w:rsid w:val="00A85124"/>
    <w:rsid w:val="00A85E3F"/>
    <w:rsid w:val="00A9558B"/>
    <w:rsid w:val="00A95A41"/>
    <w:rsid w:val="00A97762"/>
    <w:rsid w:val="00AB02C0"/>
    <w:rsid w:val="00AB282B"/>
    <w:rsid w:val="00AB2FD1"/>
    <w:rsid w:val="00AB56B4"/>
    <w:rsid w:val="00AB74DE"/>
    <w:rsid w:val="00AC2318"/>
    <w:rsid w:val="00AC3883"/>
    <w:rsid w:val="00AC3ED1"/>
    <w:rsid w:val="00AC46A8"/>
    <w:rsid w:val="00AC5A25"/>
    <w:rsid w:val="00AD079E"/>
    <w:rsid w:val="00AD1FDB"/>
    <w:rsid w:val="00AD4ED7"/>
    <w:rsid w:val="00AD6144"/>
    <w:rsid w:val="00AD74FC"/>
    <w:rsid w:val="00AF10DE"/>
    <w:rsid w:val="00AF2694"/>
    <w:rsid w:val="00AF4BD6"/>
    <w:rsid w:val="00AF4DB8"/>
    <w:rsid w:val="00AF5C6D"/>
    <w:rsid w:val="00AF63C4"/>
    <w:rsid w:val="00B005AF"/>
    <w:rsid w:val="00B010C6"/>
    <w:rsid w:val="00B03A6B"/>
    <w:rsid w:val="00B104FB"/>
    <w:rsid w:val="00B128B5"/>
    <w:rsid w:val="00B201B1"/>
    <w:rsid w:val="00B21234"/>
    <w:rsid w:val="00B22E85"/>
    <w:rsid w:val="00B26235"/>
    <w:rsid w:val="00B35CCB"/>
    <w:rsid w:val="00B40C90"/>
    <w:rsid w:val="00B46689"/>
    <w:rsid w:val="00B479F4"/>
    <w:rsid w:val="00B50B3E"/>
    <w:rsid w:val="00B5403A"/>
    <w:rsid w:val="00B60A13"/>
    <w:rsid w:val="00B704F7"/>
    <w:rsid w:val="00B72B3B"/>
    <w:rsid w:val="00B734D4"/>
    <w:rsid w:val="00B73F58"/>
    <w:rsid w:val="00B76A38"/>
    <w:rsid w:val="00B77783"/>
    <w:rsid w:val="00B81DF6"/>
    <w:rsid w:val="00B86213"/>
    <w:rsid w:val="00B86876"/>
    <w:rsid w:val="00B87A6A"/>
    <w:rsid w:val="00B92F9C"/>
    <w:rsid w:val="00B94A24"/>
    <w:rsid w:val="00B959D0"/>
    <w:rsid w:val="00BA25FA"/>
    <w:rsid w:val="00BA2769"/>
    <w:rsid w:val="00BA40EC"/>
    <w:rsid w:val="00BA5339"/>
    <w:rsid w:val="00BB006E"/>
    <w:rsid w:val="00BB0B76"/>
    <w:rsid w:val="00BB22F2"/>
    <w:rsid w:val="00BB23F9"/>
    <w:rsid w:val="00BB2BFC"/>
    <w:rsid w:val="00BB3FF1"/>
    <w:rsid w:val="00BC3FE9"/>
    <w:rsid w:val="00BC6916"/>
    <w:rsid w:val="00BD2E8F"/>
    <w:rsid w:val="00BE49B4"/>
    <w:rsid w:val="00BE644E"/>
    <w:rsid w:val="00BF083C"/>
    <w:rsid w:val="00BF5768"/>
    <w:rsid w:val="00C01A3B"/>
    <w:rsid w:val="00C072E9"/>
    <w:rsid w:val="00C10025"/>
    <w:rsid w:val="00C1572D"/>
    <w:rsid w:val="00C239A5"/>
    <w:rsid w:val="00C25DB6"/>
    <w:rsid w:val="00C267A9"/>
    <w:rsid w:val="00C27C69"/>
    <w:rsid w:val="00C3033E"/>
    <w:rsid w:val="00C315A0"/>
    <w:rsid w:val="00C344DD"/>
    <w:rsid w:val="00C35FC2"/>
    <w:rsid w:val="00C3686C"/>
    <w:rsid w:val="00C36D1D"/>
    <w:rsid w:val="00C432B3"/>
    <w:rsid w:val="00C447D7"/>
    <w:rsid w:val="00C46A60"/>
    <w:rsid w:val="00C4712F"/>
    <w:rsid w:val="00C5475B"/>
    <w:rsid w:val="00C558A3"/>
    <w:rsid w:val="00C63218"/>
    <w:rsid w:val="00C63CE5"/>
    <w:rsid w:val="00C72262"/>
    <w:rsid w:val="00C770EA"/>
    <w:rsid w:val="00C809F3"/>
    <w:rsid w:val="00C82952"/>
    <w:rsid w:val="00C83F5B"/>
    <w:rsid w:val="00C84283"/>
    <w:rsid w:val="00C95BF0"/>
    <w:rsid w:val="00C96176"/>
    <w:rsid w:val="00CA25C4"/>
    <w:rsid w:val="00CA40FC"/>
    <w:rsid w:val="00CB0445"/>
    <w:rsid w:val="00CB538F"/>
    <w:rsid w:val="00CB5D72"/>
    <w:rsid w:val="00CB6A20"/>
    <w:rsid w:val="00CC1977"/>
    <w:rsid w:val="00CC1FCC"/>
    <w:rsid w:val="00CC2B28"/>
    <w:rsid w:val="00CC444C"/>
    <w:rsid w:val="00CC5173"/>
    <w:rsid w:val="00CD19D7"/>
    <w:rsid w:val="00CE2425"/>
    <w:rsid w:val="00CE6431"/>
    <w:rsid w:val="00CF1FDA"/>
    <w:rsid w:val="00CF4016"/>
    <w:rsid w:val="00CF483D"/>
    <w:rsid w:val="00CF5359"/>
    <w:rsid w:val="00CF6BB0"/>
    <w:rsid w:val="00CF6DC1"/>
    <w:rsid w:val="00D01080"/>
    <w:rsid w:val="00D01BED"/>
    <w:rsid w:val="00D07D0A"/>
    <w:rsid w:val="00D10238"/>
    <w:rsid w:val="00D13599"/>
    <w:rsid w:val="00D153D7"/>
    <w:rsid w:val="00D24D6E"/>
    <w:rsid w:val="00D27187"/>
    <w:rsid w:val="00D31127"/>
    <w:rsid w:val="00D3318F"/>
    <w:rsid w:val="00D35349"/>
    <w:rsid w:val="00D37C6F"/>
    <w:rsid w:val="00D410E0"/>
    <w:rsid w:val="00D41D77"/>
    <w:rsid w:val="00D45576"/>
    <w:rsid w:val="00D52820"/>
    <w:rsid w:val="00D71E8E"/>
    <w:rsid w:val="00D74455"/>
    <w:rsid w:val="00D80798"/>
    <w:rsid w:val="00D84295"/>
    <w:rsid w:val="00D84E6C"/>
    <w:rsid w:val="00D92849"/>
    <w:rsid w:val="00D9637B"/>
    <w:rsid w:val="00DA386D"/>
    <w:rsid w:val="00DB6AD3"/>
    <w:rsid w:val="00DC715D"/>
    <w:rsid w:val="00DD1449"/>
    <w:rsid w:val="00DD158E"/>
    <w:rsid w:val="00DD300D"/>
    <w:rsid w:val="00DD4D28"/>
    <w:rsid w:val="00DE4D8C"/>
    <w:rsid w:val="00DE65E7"/>
    <w:rsid w:val="00DF091B"/>
    <w:rsid w:val="00DF1C44"/>
    <w:rsid w:val="00DF20F8"/>
    <w:rsid w:val="00DF3B3D"/>
    <w:rsid w:val="00DF76A9"/>
    <w:rsid w:val="00E01387"/>
    <w:rsid w:val="00E030B5"/>
    <w:rsid w:val="00E0401D"/>
    <w:rsid w:val="00E05BA2"/>
    <w:rsid w:val="00E119E3"/>
    <w:rsid w:val="00E1205A"/>
    <w:rsid w:val="00E14DD3"/>
    <w:rsid w:val="00E201B5"/>
    <w:rsid w:val="00E21EBB"/>
    <w:rsid w:val="00E221CE"/>
    <w:rsid w:val="00E22F98"/>
    <w:rsid w:val="00E2486C"/>
    <w:rsid w:val="00E2608A"/>
    <w:rsid w:val="00E27329"/>
    <w:rsid w:val="00E30459"/>
    <w:rsid w:val="00E319C0"/>
    <w:rsid w:val="00E3388E"/>
    <w:rsid w:val="00E370F2"/>
    <w:rsid w:val="00E37E66"/>
    <w:rsid w:val="00E501B8"/>
    <w:rsid w:val="00E53295"/>
    <w:rsid w:val="00E53842"/>
    <w:rsid w:val="00E56F55"/>
    <w:rsid w:val="00E615F3"/>
    <w:rsid w:val="00E62AE0"/>
    <w:rsid w:val="00E62F7A"/>
    <w:rsid w:val="00E6503D"/>
    <w:rsid w:val="00E66918"/>
    <w:rsid w:val="00E67EC1"/>
    <w:rsid w:val="00E711A8"/>
    <w:rsid w:val="00E71E3D"/>
    <w:rsid w:val="00E812B0"/>
    <w:rsid w:val="00E865D2"/>
    <w:rsid w:val="00E86BC3"/>
    <w:rsid w:val="00E872CA"/>
    <w:rsid w:val="00E9734F"/>
    <w:rsid w:val="00EA3578"/>
    <w:rsid w:val="00EA3D62"/>
    <w:rsid w:val="00EA5485"/>
    <w:rsid w:val="00EA6C57"/>
    <w:rsid w:val="00EB01B3"/>
    <w:rsid w:val="00EB784D"/>
    <w:rsid w:val="00EC23D5"/>
    <w:rsid w:val="00EC3245"/>
    <w:rsid w:val="00ED0EC6"/>
    <w:rsid w:val="00ED342B"/>
    <w:rsid w:val="00ED5758"/>
    <w:rsid w:val="00ED654A"/>
    <w:rsid w:val="00ED7D14"/>
    <w:rsid w:val="00EE0C38"/>
    <w:rsid w:val="00EE211A"/>
    <w:rsid w:val="00EE56A2"/>
    <w:rsid w:val="00EE6D3D"/>
    <w:rsid w:val="00EE706B"/>
    <w:rsid w:val="00EF044F"/>
    <w:rsid w:val="00EF4172"/>
    <w:rsid w:val="00EF5ECB"/>
    <w:rsid w:val="00EF6649"/>
    <w:rsid w:val="00F02531"/>
    <w:rsid w:val="00F10E1E"/>
    <w:rsid w:val="00F133C1"/>
    <w:rsid w:val="00F158C4"/>
    <w:rsid w:val="00F20321"/>
    <w:rsid w:val="00F220D8"/>
    <w:rsid w:val="00F246A3"/>
    <w:rsid w:val="00F259DC"/>
    <w:rsid w:val="00F27472"/>
    <w:rsid w:val="00F31065"/>
    <w:rsid w:val="00F32C4E"/>
    <w:rsid w:val="00F3364C"/>
    <w:rsid w:val="00F3398C"/>
    <w:rsid w:val="00F50108"/>
    <w:rsid w:val="00F50344"/>
    <w:rsid w:val="00F5088F"/>
    <w:rsid w:val="00F525BD"/>
    <w:rsid w:val="00F53A89"/>
    <w:rsid w:val="00F54909"/>
    <w:rsid w:val="00F620F2"/>
    <w:rsid w:val="00F63279"/>
    <w:rsid w:val="00F63D14"/>
    <w:rsid w:val="00F67CB1"/>
    <w:rsid w:val="00F73E8C"/>
    <w:rsid w:val="00F77599"/>
    <w:rsid w:val="00F809E9"/>
    <w:rsid w:val="00F813F1"/>
    <w:rsid w:val="00F82935"/>
    <w:rsid w:val="00F85FE2"/>
    <w:rsid w:val="00F8791D"/>
    <w:rsid w:val="00F907B2"/>
    <w:rsid w:val="00F914DA"/>
    <w:rsid w:val="00F95959"/>
    <w:rsid w:val="00FA15FE"/>
    <w:rsid w:val="00FA3295"/>
    <w:rsid w:val="00FA533B"/>
    <w:rsid w:val="00FB2A56"/>
    <w:rsid w:val="00FB48CC"/>
    <w:rsid w:val="00FB70A1"/>
    <w:rsid w:val="00FC3C1E"/>
    <w:rsid w:val="00FC4510"/>
    <w:rsid w:val="00FC4662"/>
    <w:rsid w:val="00FC56F1"/>
    <w:rsid w:val="00FC5E57"/>
    <w:rsid w:val="00FC608C"/>
    <w:rsid w:val="00FC7B52"/>
    <w:rsid w:val="00FD7FD6"/>
    <w:rsid w:val="00FE7144"/>
    <w:rsid w:val="00FE78FE"/>
    <w:rsid w:val="00FF10F0"/>
    <w:rsid w:val="00FF6036"/>
  </w:rsids>
  <m:mathPr>
    <m:mathFont m:val="Cambria Math"/>
    <m:brkBin m:val="before"/>
    <m:brkBinSub m:val="--"/>
    <m:smallFrac m:val="off"/>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451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1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F3106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F31065"/>
  </w:style>
  <w:style w:type="paragraph" w:styleId="Stopka">
    <w:name w:val="footer"/>
    <w:basedOn w:val="Normalny"/>
    <w:link w:val="StopkaZnak"/>
    <w:uiPriority w:val="99"/>
    <w:unhideWhenUsed/>
    <w:rsid w:val="00F3106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F31065"/>
  </w:style>
  <w:style w:type="paragraph" w:styleId="Tekstprzypisudolnego">
    <w:name w:val="footnote text"/>
    <w:basedOn w:val="Normalny"/>
    <w:link w:val="TekstprzypisudolnegoZnak"/>
    <w:uiPriority w:val="99"/>
    <w:unhideWhenUsed/>
    <w:rsid w:val="00BB2BF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B2BFC"/>
    <w:rPr>
      <w:sz w:val="20"/>
      <w:szCs w:val="20"/>
    </w:rPr>
  </w:style>
  <w:style w:type="character" w:styleId="Odwoanieprzypisudolnego">
    <w:name w:val="footnote reference"/>
    <w:basedOn w:val="Domylnaczcionkaakapitu"/>
    <w:uiPriority w:val="99"/>
    <w:semiHidden/>
    <w:unhideWhenUsed/>
    <w:rsid w:val="00BB2BFC"/>
    <w:rPr>
      <w:vertAlign w:val="superscript"/>
    </w:rPr>
  </w:style>
  <w:style w:type="character" w:styleId="Tekstzastpczy">
    <w:name w:val="Placeholder Text"/>
    <w:basedOn w:val="Domylnaczcionkaakapitu"/>
    <w:uiPriority w:val="99"/>
    <w:semiHidden/>
    <w:rsid w:val="00900C55"/>
    <w:rPr>
      <w:color w:val="808080"/>
    </w:rPr>
  </w:style>
  <w:style w:type="paragraph" w:styleId="Tekstdymka">
    <w:name w:val="Balloon Text"/>
    <w:basedOn w:val="Normalny"/>
    <w:link w:val="TekstdymkaZnak"/>
    <w:uiPriority w:val="99"/>
    <w:semiHidden/>
    <w:unhideWhenUsed/>
    <w:rsid w:val="00900C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0C55"/>
    <w:rPr>
      <w:rFonts w:ascii="Tahoma" w:hAnsi="Tahoma" w:cs="Tahoma"/>
      <w:sz w:val="16"/>
      <w:szCs w:val="16"/>
    </w:rPr>
  </w:style>
  <w:style w:type="paragraph" w:styleId="Akapitzlist">
    <w:name w:val="List Paragraph"/>
    <w:basedOn w:val="Normalny"/>
    <w:uiPriority w:val="34"/>
    <w:qFormat/>
    <w:rsid w:val="00407E5B"/>
    <w:pPr>
      <w:ind w:left="720"/>
      <w:contextualSpacing/>
    </w:pPr>
  </w:style>
  <w:style w:type="character" w:styleId="Hipercze">
    <w:name w:val="Hyperlink"/>
    <w:basedOn w:val="Domylnaczcionkaakapitu"/>
    <w:uiPriority w:val="99"/>
    <w:unhideWhenUsed/>
    <w:rsid w:val="003C2AAE"/>
    <w:rPr>
      <w:color w:val="0000FF" w:themeColor="hyperlink"/>
      <w:u w:val="single"/>
    </w:rPr>
  </w:style>
  <w:style w:type="paragraph" w:customStyle="1" w:styleId="Default">
    <w:name w:val="Default"/>
    <w:rsid w:val="005F2623"/>
    <w:pPr>
      <w:autoSpaceDE w:val="0"/>
      <w:autoSpaceDN w:val="0"/>
      <w:adjustRightInd w:val="0"/>
      <w:spacing w:after="0" w:line="240" w:lineRule="auto"/>
    </w:pPr>
    <w:rPr>
      <w:rFonts w:ascii="Calibri" w:eastAsiaTheme="minorEastAsia" w:hAnsi="Calibri" w:cs="Calibri"/>
      <w:color w:val="000000"/>
      <w:sz w:val="24"/>
      <w:szCs w:val="24"/>
      <w:lang w:eastAsia="en-GB"/>
    </w:rPr>
  </w:style>
  <w:style w:type="character" w:styleId="Odwoaniedokomentarza">
    <w:name w:val="annotation reference"/>
    <w:basedOn w:val="Domylnaczcionkaakapitu"/>
    <w:uiPriority w:val="99"/>
    <w:semiHidden/>
    <w:unhideWhenUsed/>
    <w:rsid w:val="00294C7A"/>
    <w:rPr>
      <w:sz w:val="16"/>
      <w:szCs w:val="16"/>
    </w:rPr>
  </w:style>
  <w:style w:type="paragraph" w:styleId="Tekstkomentarza">
    <w:name w:val="annotation text"/>
    <w:basedOn w:val="Normalny"/>
    <w:link w:val="TekstkomentarzaZnak"/>
    <w:uiPriority w:val="99"/>
    <w:semiHidden/>
    <w:unhideWhenUsed/>
    <w:rsid w:val="00294C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4C7A"/>
    <w:rPr>
      <w:sz w:val="20"/>
      <w:szCs w:val="20"/>
    </w:rPr>
  </w:style>
  <w:style w:type="paragraph" w:styleId="Tematkomentarza">
    <w:name w:val="annotation subject"/>
    <w:basedOn w:val="Tekstkomentarza"/>
    <w:next w:val="Tekstkomentarza"/>
    <w:link w:val="TematkomentarzaZnak"/>
    <w:uiPriority w:val="99"/>
    <w:semiHidden/>
    <w:unhideWhenUsed/>
    <w:rsid w:val="00294C7A"/>
    <w:rPr>
      <w:b/>
      <w:bCs/>
    </w:rPr>
  </w:style>
  <w:style w:type="character" w:customStyle="1" w:styleId="TematkomentarzaZnak">
    <w:name w:val="Temat komentarza Znak"/>
    <w:basedOn w:val="TekstkomentarzaZnak"/>
    <w:link w:val="Tematkomentarza"/>
    <w:uiPriority w:val="99"/>
    <w:semiHidden/>
    <w:rsid w:val="00294C7A"/>
    <w:rPr>
      <w:b/>
      <w:bCs/>
      <w:sz w:val="20"/>
      <w:szCs w:val="20"/>
    </w:rPr>
  </w:style>
  <w:style w:type="character" w:styleId="UyteHipercze">
    <w:name w:val="FollowedHyperlink"/>
    <w:basedOn w:val="Domylnaczcionkaakapitu"/>
    <w:uiPriority w:val="99"/>
    <w:semiHidden/>
    <w:unhideWhenUsed/>
    <w:rsid w:val="001F1CA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310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1065"/>
  </w:style>
  <w:style w:type="paragraph" w:styleId="Footer">
    <w:name w:val="footer"/>
    <w:basedOn w:val="Normal"/>
    <w:link w:val="FooterChar"/>
    <w:uiPriority w:val="99"/>
    <w:unhideWhenUsed/>
    <w:rsid w:val="00F310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1065"/>
  </w:style>
  <w:style w:type="paragraph" w:styleId="FootnoteText">
    <w:name w:val="footnote text"/>
    <w:basedOn w:val="Normal"/>
    <w:link w:val="FootnoteTextChar"/>
    <w:uiPriority w:val="99"/>
    <w:unhideWhenUsed/>
    <w:rsid w:val="00BB2BFC"/>
    <w:pPr>
      <w:spacing w:after="0" w:line="240" w:lineRule="auto"/>
    </w:pPr>
    <w:rPr>
      <w:sz w:val="20"/>
      <w:szCs w:val="20"/>
    </w:rPr>
  </w:style>
  <w:style w:type="character" w:customStyle="1" w:styleId="FootnoteTextChar">
    <w:name w:val="Footnote Text Char"/>
    <w:basedOn w:val="DefaultParagraphFont"/>
    <w:link w:val="FootnoteText"/>
    <w:uiPriority w:val="99"/>
    <w:rsid w:val="00BB2BFC"/>
    <w:rPr>
      <w:sz w:val="20"/>
      <w:szCs w:val="20"/>
    </w:rPr>
  </w:style>
  <w:style w:type="character" w:styleId="FootnoteReference">
    <w:name w:val="footnote reference"/>
    <w:basedOn w:val="DefaultParagraphFont"/>
    <w:uiPriority w:val="99"/>
    <w:semiHidden/>
    <w:unhideWhenUsed/>
    <w:rsid w:val="00BB2BFC"/>
    <w:rPr>
      <w:vertAlign w:val="superscript"/>
    </w:rPr>
  </w:style>
  <w:style w:type="character" w:styleId="PlaceholderText">
    <w:name w:val="Placeholder Text"/>
    <w:basedOn w:val="DefaultParagraphFont"/>
    <w:uiPriority w:val="99"/>
    <w:semiHidden/>
    <w:rsid w:val="00900C55"/>
    <w:rPr>
      <w:color w:val="808080"/>
    </w:rPr>
  </w:style>
  <w:style w:type="paragraph" w:styleId="BalloonText">
    <w:name w:val="Balloon Text"/>
    <w:basedOn w:val="Normal"/>
    <w:link w:val="BalloonTextChar"/>
    <w:uiPriority w:val="99"/>
    <w:semiHidden/>
    <w:unhideWhenUsed/>
    <w:rsid w:val="00900C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C55"/>
    <w:rPr>
      <w:rFonts w:ascii="Tahoma" w:hAnsi="Tahoma" w:cs="Tahoma"/>
      <w:sz w:val="16"/>
      <w:szCs w:val="16"/>
    </w:rPr>
  </w:style>
  <w:style w:type="paragraph" w:styleId="ListParagraph">
    <w:name w:val="List Paragraph"/>
    <w:basedOn w:val="Normal"/>
    <w:uiPriority w:val="34"/>
    <w:qFormat/>
    <w:rsid w:val="00407E5B"/>
    <w:pPr>
      <w:ind w:left="720"/>
      <w:contextualSpacing/>
    </w:pPr>
  </w:style>
  <w:style w:type="character" w:styleId="Hyperlink">
    <w:name w:val="Hyperlink"/>
    <w:basedOn w:val="DefaultParagraphFont"/>
    <w:uiPriority w:val="99"/>
    <w:unhideWhenUsed/>
    <w:rsid w:val="003C2AAE"/>
    <w:rPr>
      <w:color w:val="0000FF" w:themeColor="hyperlink"/>
      <w:u w:val="single"/>
    </w:rPr>
  </w:style>
  <w:style w:type="paragraph" w:customStyle="1" w:styleId="Default">
    <w:name w:val="Default"/>
    <w:rsid w:val="005F2623"/>
    <w:pPr>
      <w:autoSpaceDE w:val="0"/>
      <w:autoSpaceDN w:val="0"/>
      <w:adjustRightInd w:val="0"/>
      <w:spacing w:after="0" w:line="240" w:lineRule="auto"/>
    </w:pPr>
    <w:rPr>
      <w:rFonts w:ascii="Calibri" w:eastAsiaTheme="minorEastAsia" w:hAnsi="Calibri" w:cs="Calibri"/>
      <w:color w:val="000000"/>
      <w:sz w:val="24"/>
      <w:szCs w:val="24"/>
      <w:lang w:eastAsia="en-GB"/>
    </w:rPr>
  </w:style>
  <w:style w:type="character" w:styleId="CommentReference">
    <w:name w:val="annotation reference"/>
    <w:basedOn w:val="DefaultParagraphFont"/>
    <w:uiPriority w:val="99"/>
    <w:semiHidden/>
    <w:unhideWhenUsed/>
    <w:rsid w:val="00294C7A"/>
    <w:rPr>
      <w:sz w:val="16"/>
      <w:szCs w:val="16"/>
    </w:rPr>
  </w:style>
  <w:style w:type="paragraph" w:styleId="CommentText">
    <w:name w:val="annotation text"/>
    <w:basedOn w:val="Normal"/>
    <w:link w:val="CommentTextChar"/>
    <w:uiPriority w:val="99"/>
    <w:semiHidden/>
    <w:unhideWhenUsed/>
    <w:rsid w:val="00294C7A"/>
    <w:pPr>
      <w:spacing w:line="240" w:lineRule="auto"/>
    </w:pPr>
    <w:rPr>
      <w:sz w:val="20"/>
      <w:szCs w:val="20"/>
    </w:rPr>
  </w:style>
  <w:style w:type="character" w:customStyle="1" w:styleId="CommentTextChar">
    <w:name w:val="Comment Text Char"/>
    <w:basedOn w:val="DefaultParagraphFont"/>
    <w:link w:val="CommentText"/>
    <w:uiPriority w:val="99"/>
    <w:semiHidden/>
    <w:rsid w:val="00294C7A"/>
    <w:rPr>
      <w:sz w:val="20"/>
      <w:szCs w:val="20"/>
    </w:rPr>
  </w:style>
  <w:style w:type="paragraph" w:styleId="CommentSubject">
    <w:name w:val="annotation subject"/>
    <w:basedOn w:val="CommentText"/>
    <w:next w:val="CommentText"/>
    <w:link w:val="CommentSubjectChar"/>
    <w:uiPriority w:val="99"/>
    <w:semiHidden/>
    <w:unhideWhenUsed/>
    <w:rsid w:val="00294C7A"/>
    <w:rPr>
      <w:b/>
      <w:bCs/>
    </w:rPr>
  </w:style>
  <w:style w:type="character" w:customStyle="1" w:styleId="CommentSubjectChar">
    <w:name w:val="Comment Subject Char"/>
    <w:basedOn w:val="CommentTextChar"/>
    <w:link w:val="CommentSubject"/>
    <w:uiPriority w:val="99"/>
    <w:semiHidden/>
    <w:rsid w:val="00294C7A"/>
    <w:rPr>
      <w:b/>
      <w:bCs/>
      <w:sz w:val="20"/>
      <w:szCs w:val="20"/>
    </w:rPr>
  </w:style>
  <w:style w:type="character" w:styleId="FollowedHyperlink">
    <w:name w:val="FollowedHyperlink"/>
    <w:basedOn w:val="DefaultParagraphFont"/>
    <w:uiPriority w:val="99"/>
    <w:semiHidden/>
    <w:unhideWhenUsed/>
    <w:rsid w:val="001F1CA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22608712">
      <w:bodyDiv w:val="1"/>
      <w:marLeft w:val="0"/>
      <w:marRight w:val="0"/>
      <w:marTop w:val="0"/>
      <w:marBottom w:val="0"/>
      <w:divBdr>
        <w:top w:val="none" w:sz="0" w:space="0" w:color="auto"/>
        <w:left w:val="none" w:sz="0" w:space="0" w:color="auto"/>
        <w:bottom w:val="none" w:sz="0" w:space="0" w:color="auto"/>
        <w:right w:val="none" w:sz="0" w:space="0" w:color="auto"/>
      </w:divBdr>
    </w:div>
    <w:div w:id="722606487">
      <w:bodyDiv w:val="1"/>
      <w:marLeft w:val="0"/>
      <w:marRight w:val="0"/>
      <w:marTop w:val="0"/>
      <w:marBottom w:val="0"/>
      <w:divBdr>
        <w:top w:val="none" w:sz="0" w:space="0" w:color="auto"/>
        <w:left w:val="none" w:sz="0" w:space="0" w:color="auto"/>
        <w:bottom w:val="none" w:sz="0" w:space="0" w:color="auto"/>
        <w:right w:val="none" w:sz="0" w:space="0" w:color="auto"/>
      </w:divBdr>
    </w:div>
    <w:div w:id="1215120729">
      <w:bodyDiv w:val="1"/>
      <w:marLeft w:val="0"/>
      <w:marRight w:val="0"/>
      <w:marTop w:val="0"/>
      <w:marBottom w:val="0"/>
      <w:divBdr>
        <w:top w:val="none" w:sz="0" w:space="0" w:color="auto"/>
        <w:left w:val="none" w:sz="0" w:space="0" w:color="auto"/>
        <w:bottom w:val="none" w:sz="0" w:space="0" w:color="auto"/>
        <w:right w:val="none" w:sz="0" w:space="0" w:color="auto"/>
      </w:divBdr>
    </w:div>
    <w:div w:id="1415199395">
      <w:bodyDiv w:val="1"/>
      <w:marLeft w:val="0"/>
      <w:marRight w:val="0"/>
      <w:marTop w:val="0"/>
      <w:marBottom w:val="0"/>
      <w:divBdr>
        <w:top w:val="none" w:sz="0" w:space="0" w:color="auto"/>
        <w:left w:val="none" w:sz="0" w:space="0" w:color="auto"/>
        <w:bottom w:val="none" w:sz="0" w:space="0" w:color="auto"/>
        <w:right w:val="none" w:sz="0" w:space="0" w:color="auto"/>
      </w:divBdr>
    </w:div>
    <w:div w:id="1561747324">
      <w:bodyDiv w:val="1"/>
      <w:marLeft w:val="0"/>
      <w:marRight w:val="0"/>
      <w:marTop w:val="0"/>
      <w:marBottom w:val="0"/>
      <w:divBdr>
        <w:top w:val="none" w:sz="0" w:space="0" w:color="auto"/>
        <w:left w:val="none" w:sz="0" w:space="0" w:color="auto"/>
        <w:bottom w:val="none" w:sz="0" w:space="0" w:color="auto"/>
        <w:right w:val="none" w:sz="0" w:space="0" w:color="auto"/>
      </w:divBdr>
    </w:div>
    <w:div w:id="1598757727">
      <w:bodyDiv w:val="1"/>
      <w:marLeft w:val="0"/>
      <w:marRight w:val="0"/>
      <w:marTop w:val="0"/>
      <w:marBottom w:val="0"/>
      <w:divBdr>
        <w:top w:val="none" w:sz="0" w:space="0" w:color="auto"/>
        <w:left w:val="none" w:sz="0" w:space="0" w:color="auto"/>
        <w:bottom w:val="none" w:sz="0" w:space="0" w:color="auto"/>
        <w:right w:val="none" w:sz="0" w:space="0" w:color="auto"/>
      </w:divBdr>
    </w:div>
    <w:div w:id="1718091983">
      <w:bodyDiv w:val="1"/>
      <w:marLeft w:val="0"/>
      <w:marRight w:val="0"/>
      <w:marTop w:val="0"/>
      <w:marBottom w:val="0"/>
      <w:divBdr>
        <w:top w:val="none" w:sz="0" w:space="0" w:color="auto"/>
        <w:left w:val="none" w:sz="0" w:space="0" w:color="auto"/>
        <w:bottom w:val="none" w:sz="0" w:space="0" w:color="auto"/>
        <w:right w:val="none" w:sz="0" w:space="0" w:color="auto"/>
      </w:divBdr>
    </w:div>
    <w:div w:id="196372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le.ac.uk/owa/redir.aspx?C=wGj-X_Y_YkyR5ljg3A4R_Vn2EquW3tEIM41yJMctwzbRAbYcNkasuR22XzHCyGnbQgiwlIM-E18.&amp;URL=mailto%3asina.yekini%40coventry.ac.uk"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9D313-2E1A-4A6B-A6F4-B10C90FB4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42</Pages>
  <Words>11915</Words>
  <Characters>67918</Characters>
  <Application>Microsoft Office Word</Application>
  <DocSecurity>0</DocSecurity>
  <Lines>565</Lines>
  <Paragraphs>159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University of Leicester</Company>
  <LinksUpToDate>false</LinksUpToDate>
  <CharactersWithSpaces>79674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tpw5</dc:creator>
  <cp:lastModifiedBy>Tomasz</cp:lastModifiedBy>
  <cp:revision>46</cp:revision>
  <cp:lastPrinted>2015-12-01T11:20:00Z</cp:lastPrinted>
  <dcterms:created xsi:type="dcterms:W3CDTF">2015-08-19T10:58:00Z</dcterms:created>
  <dcterms:modified xsi:type="dcterms:W3CDTF">2015-12-15T10:45:00Z</dcterms:modified>
</cp:coreProperties>
</file>