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65BB94" w14:textId="32C49E8A" w:rsidR="00D36A36" w:rsidRPr="00747BE9" w:rsidRDefault="00D26737" w:rsidP="00896020">
      <w:pPr>
        <w:spacing w:before="120" w:line="480" w:lineRule="auto"/>
        <w:jc w:val="center"/>
        <w:rPr>
          <w:rFonts w:asciiTheme="majorBidi" w:hAnsiTheme="majorBidi" w:cstheme="majorBidi"/>
          <w:b/>
          <w:bCs/>
          <w:sz w:val="22"/>
          <w:szCs w:val="22"/>
        </w:rPr>
      </w:pPr>
      <w:r w:rsidRPr="00896020">
        <w:rPr>
          <w:rFonts w:asciiTheme="majorBidi" w:hAnsiTheme="majorBidi" w:cstheme="majorBidi"/>
          <w:b/>
          <w:bCs/>
          <w:sz w:val="22"/>
          <w:szCs w:val="22"/>
        </w:rPr>
        <w:t>Learning to reason from samples</w:t>
      </w:r>
      <w:r w:rsidRPr="00D26737">
        <w:rPr>
          <w:rFonts w:asciiTheme="majorBidi" w:hAnsiTheme="majorBidi" w:cstheme="majorBidi"/>
          <w:b/>
          <w:bCs/>
          <w:sz w:val="22"/>
          <w:szCs w:val="22"/>
        </w:rPr>
        <w:t>:</w:t>
      </w:r>
      <w:r>
        <w:rPr>
          <w:rFonts w:asciiTheme="majorBidi" w:hAnsiTheme="majorBidi" w:cstheme="majorBidi"/>
          <w:b/>
          <w:bCs/>
          <w:sz w:val="22"/>
          <w:szCs w:val="22"/>
        </w:rPr>
        <w:br/>
      </w:r>
      <w:r w:rsidR="00916890" w:rsidRPr="00896020">
        <w:rPr>
          <w:rFonts w:asciiTheme="majorBidi" w:hAnsiTheme="majorBidi" w:cstheme="majorBidi"/>
          <w:b/>
          <w:bCs/>
          <w:sz w:val="22"/>
          <w:szCs w:val="22"/>
        </w:rPr>
        <w:t>Commentary from the perspectives of task design and the emergence of ‘big data’</w:t>
      </w:r>
    </w:p>
    <w:p w14:paraId="4D8ADE37" w14:textId="2557BA68" w:rsidR="00407606" w:rsidRPr="00896020" w:rsidRDefault="00747BE9" w:rsidP="00896020">
      <w:pPr>
        <w:spacing w:before="120" w:line="480" w:lineRule="auto"/>
        <w:jc w:val="center"/>
        <w:rPr>
          <w:rFonts w:asciiTheme="majorBidi" w:hAnsiTheme="majorBidi" w:cstheme="majorBidi"/>
          <w:sz w:val="22"/>
          <w:szCs w:val="22"/>
          <w:vertAlign w:val="superscript"/>
        </w:rPr>
      </w:pPr>
      <w:r>
        <w:rPr>
          <w:rFonts w:asciiTheme="majorBidi" w:hAnsiTheme="majorBidi" w:cstheme="majorBidi"/>
          <w:sz w:val="22"/>
          <w:szCs w:val="22"/>
        </w:rPr>
        <w:t>Janet Ainley</w:t>
      </w:r>
      <w:r w:rsidR="00896020">
        <w:rPr>
          <w:rFonts w:asciiTheme="majorBidi" w:hAnsiTheme="majorBidi" w:cstheme="majorBidi"/>
          <w:sz w:val="22"/>
          <w:szCs w:val="22"/>
          <w:vertAlign w:val="superscript"/>
        </w:rPr>
        <w:t>1</w:t>
      </w:r>
      <w:r>
        <w:rPr>
          <w:rFonts w:asciiTheme="majorBidi" w:hAnsiTheme="majorBidi" w:cstheme="majorBidi"/>
          <w:sz w:val="22"/>
          <w:szCs w:val="22"/>
        </w:rPr>
        <w:t xml:space="preserve">, </w:t>
      </w:r>
      <w:r w:rsidR="00CA7C0C">
        <w:rPr>
          <w:rFonts w:asciiTheme="majorBidi" w:hAnsiTheme="majorBidi" w:cstheme="majorBidi"/>
          <w:sz w:val="22"/>
          <w:szCs w:val="22"/>
        </w:rPr>
        <w:t>Robert Gould</w:t>
      </w:r>
      <w:r w:rsidR="00896020">
        <w:rPr>
          <w:rFonts w:asciiTheme="majorBidi" w:hAnsiTheme="majorBidi" w:cstheme="majorBidi"/>
          <w:sz w:val="22"/>
          <w:szCs w:val="22"/>
          <w:vertAlign w:val="superscript"/>
        </w:rPr>
        <w:t>2</w:t>
      </w:r>
      <w:r w:rsidR="00CA7C0C">
        <w:rPr>
          <w:rFonts w:asciiTheme="majorBidi" w:hAnsiTheme="majorBidi" w:cstheme="majorBidi"/>
          <w:sz w:val="22"/>
          <w:szCs w:val="22"/>
        </w:rPr>
        <w:t xml:space="preserve"> and Dave Pratt</w:t>
      </w:r>
      <w:r w:rsidR="00896020">
        <w:rPr>
          <w:rFonts w:asciiTheme="majorBidi" w:hAnsiTheme="majorBidi" w:cstheme="majorBidi"/>
          <w:sz w:val="22"/>
          <w:szCs w:val="22"/>
          <w:vertAlign w:val="superscript"/>
        </w:rPr>
        <w:t>3</w:t>
      </w:r>
    </w:p>
    <w:p w14:paraId="1D252829" w14:textId="2E5B9FB1" w:rsidR="00896020" w:rsidRDefault="00896020" w:rsidP="00896020">
      <w:pPr>
        <w:pStyle w:val="ListParagraph"/>
        <w:numPr>
          <w:ilvl w:val="0"/>
          <w:numId w:val="2"/>
        </w:numPr>
        <w:spacing w:before="120" w:line="480" w:lineRule="auto"/>
        <w:rPr>
          <w:rFonts w:asciiTheme="majorBidi" w:hAnsiTheme="majorBidi" w:cstheme="majorBidi"/>
          <w:sz w:val="22"/>
          <w:szCs w:val="22"/>
        </w:rPr>
      </w:pPr>
      <w:r w:rsidRPr="00896020">
        <w:rPr>
          <w:rFonts w:asciiTheme="majorBidi" w:hAnsiTheme="majorBidi" w:cstheme="majorBidi"/>
          <w:sz w:val="22"/>
          <w:szCs w:val="22"/>
        </w:rPr>
        <w:t>University of Leicester School of Education</w:t>
      </w:r>
      <w:r w:rsidR="00842C86">
        <w:rPr>
          <w:rFonts w:asciiTheme="majorBidi" w:hAnsiTheme="majorBidi" w:cstheme="majorBidi"/>
          <w:sz w:val="22"/>
          <w:szCs w:val="22"/>
        </w:rPr>
        <w:t>, UK</w:t>
      </w:r>
    </w:p>
    <w:p w14:paraId="250F85DF" w14:textId="5B92F6ED" w:rsidR="002E1A22" w:rsidRPr="00A86850" w:rsidRDefault="002E1A22" w:rsidP="002E1A22">
      <w:pPr>
        <w:pStyle w:val="ListParagraph"/>
        <w:numPr>
          <w:ilvl w:val="0"/>
          <w:numId w:val="2"/>
        </w:numPr>
        <w:spacing w:before="120" w:line="480" w:lineRule="auto"/>
        <w:rPr>
          <w:rFonts w:asciiTheme="majorBidi" w:hAnsiTheme="majorBidi" w:cstheme="majorBidi"/>
          <w:sz w:val="22"/>
          <w:szCs w:val="22"/>
        </w:rPr>
      </w:pPr>
      <w:r>
        <w:rPr>
          <w:rFonts w:asciiTheme="majorBidi" w:hAnsiTheme="majorBidi" w:cstheme="majorBidi"/>
          <w:sz w:val="22"/>
          <w:szCs w:val="22"/>
        </w:rPr>
        <w:t>Dept. of Statistics, University of California, Los Angeles</w:t>
      </w:r>
      <w:r w:rsidR="00754066">
        <w:rPr>
          <w:rFonts w:asciiTheme="majorBidi" w:hAnsiTheme="majorBidi" w:cstheme="majorBidi"/>
          <w:sz w:val="22"/>
          <w:szCs w:val="22"/>
        </w:rPr>
        <w:t>, USA</w:t>
      </w:r>
    </w:p>
    <w:p w14:paraId="068D19F6" w14:textId="0C0A27B7" w:rsidR="00842C86" w:rsidRPr="00842C86" w:rsidRDefault="00842C86" w:rsidP="00896020">
      <w:pPr>
        <w:pStyle w:val="ListParagraph"/>
        <w:numPr>
          <w:ilvl w:val="0"/>
          <w:numId w:val="2"/>
        </w:numPr>
        <w:spacing w:before="120" w:line="480" w:lineRule="auto"/>
        <w:rPr>
          <w:rFonts w:ascii="Times New Roman" w:hAnsi="Times New Roman" w:cs="Times New Roman"/>
          <w:sz w:val="22"/>
          <w:szCs w:val="22"/>
        </w:rPr>
      </w:pPr>
      <w:r w:rsidRPr="00842C86">
        <w:rPr>
          <w:rFonts w:ascii="Times New Roman" w:hAnsi="Times New Roman" w:cs="Times New Roman"/>
          <w:sz w:val="22"/>
          <w:szCs w:val="22"/>
        </w:rPr>
        <w:t>UCL Institute of Education, University College London</w:t>
      </w:r>
      <w:r>
        <w:rPr>
          <w:rFonts w:ascii="Times New Roman" w:hAnsi="Times New Roman" w:cs="Times New Roman"/>
          <w:sz w:val="22"/>
          <w:szCs w:val="22"/>
        </w:rPr>
        <w:t>, UK</w:t>
      </w:r>
    </w:p>
    <w:p w14:paraId="06FB3B66" w14:textId="77777777" w:rsidR="00896020" w:rsidRPr="00896020" w:rsidRDefault="00896020" w:rsidP="00896020">
      <w:pPr>
        <w:spacing w:before="120" w:line="480" w:lineRule="auto"/>
        <w:rPr>
          <w:rFonts w:asciiTheme="majorBidi" w:hAnsiTheme="majorBidi" w:cstheme="majorBidi"/>
          <w:sz w:val="22"/>
          <w:szCs w:val="22"/>
        </w:rPr>
      </w:pPr>
    </w:p>
    <w:p w14:paraId="1DB22D04" w14:textId="77777777" w:rsidR="001E5F64" w:rsidRPr="00AC2DCC" w:rsidRDefault="001E5F64" w:rsidP="00D26737">
      <w:pPr>
        <w:spacing w:before="120" w:line="480" w:lineRule="auto"/>
        <w:rPr>
          <w:rFonts w:asciiTheme="majorBidi" w:hAnsiTheme="majorBidi" w:cstheme="majorBidi"/>
          <w:b/>
          <w:bCs/>
          <w:sz w:val="22"/>
          <w:szCs w:val="22"/>
        </w:rPr>
      </w:pPr>
      <w:r w:rsidRPr="00AC2DCC">
        <w:rPr>
          <w:rFonts w:asciiTheme="majorBidi" w:hAnsiTheme="majorBidi" w:cstheme="majorBidi"/>
          <w:b/>
          <w:bCs/>
          <w:sz w:val="22"/>
          <w:szCs w:val="22"/>
        </w:rPr>
        <w:t>Abstract</w:t>
      </w:r>
    </w:p>
    <w:p w14:paraId="30277DF0" w14:textId="228642EE" w:rsidR="005F171B" w:rsidRPr="00AC2DCC" w:rsidRDefault="005F171B" w:rsidP="00896020">
      <w:pPr>
        <w:spacing w:before="120" w:line="480" w:lineRule="auto"/>
        <w:rPr>
          <w:rFonts w:asciiTheme="majorBidi" w:hAnsiTheme="majorBidi" w:cstheme="majorBidi"/>
          <w:sz w:val="22"/>
          <w:szCs w:val="22"/>
        </w:rPr>
      </w:pPr>
      <w:r w:rsidRPr="00AC2DCC">
        <w:rPr>
          <w:rFonts w:asciiTheme="majorBidi" w:hAnsiTheme="majorBidi" w:cstheme="majorBidi"/>
          <w:sz w:val="22"/>
          <w:szCs w:val="22"/>
        </w:rPr>
        <w:t>This paper is in the form of a reflective discussion of the collection of papers in this Special Issue</w:t>
      </w:r>
      <w:r w:rsidR="001E5F64">
        <w:rPr>
          <w:rFonts w:asciiTheme="majorBidi" w:hAnsiTheme="majorBidi" w:cstheme="majorBidi"/>
          <w:sz w:val="22"/>
          <w:szCs w:val="22"/>
        </w:rPr>
        <w:t xml:space="preserve"> on</w:t>
      </w:r>
      <w:r w:rsidR="001E5F64" w:rsidRPr="001E5F64">
        <w:rPr>
          <w:rFonts w:asciiTheme="majorBidi" w:hAnsiTheme="majorBidi" w:cstheme="majorBidi"/>
          <w:sz w:val="22"/>
          <w:szCs w:val="22"/>
        </w:rPr>
        <w:t xml:space="preserve"> </w:t>
      </w:r>
      <w:r w:rsidR="001E5F64" w:rsidRPr="00AC2DCC">
        <w:rPr>
          <w:rFonts w:asciiTheme="majorBidi" w:hAnsiTheme="majorBidi" w:cstheme="majorBidi"/>
          <w:i/>
          <w:iCs/>
          <w:sz w:val="22"/>
          <w:szCs w:val="22"/>
        </w:rPr>
        <w:t>Statistical reasoning: learning to reason from samples</w:t>
      </w:r>
      <w:r w:rsidR="00747BE9">
        <w:rPr>
          <w:rFonts w:asciiTheme="majorBidi" w:hAnsiTheme="majorBidi" w:cstheme="majorBidi"/>
          <w:iCs/>
          <w:sz w:val="22"/>
          <w:szCs w:val="22"/>
        </w:rPr>
        <w:t xml:space="preserve"> </w:t>
      </w:r>
      <w:r w:rsidR="00916890">
        <w:rPr>
          <w:rFonts w:asciiTheme="majorBidi" w:hAnsiTheme="majorBidi" w:cstheme="majorBidi"/>
          <w:iCs/>
          <w:sz w:val="22"/>
          <w:szCs w:val="22"/>
        </w:rPr>
        <w:t xml:space="preserve">drawing on deliberations arising at the Seventh </w:t>
      </w:r>
      <w:r w:rsidR="00916890" w:rsidRPr="001E5F64">
        <w:rPr>
          <w:rFonts w:asciiTheme="majorBidi" w:hAnsiTheme="majorBidi" w:cstheme="majorBidi"/>
          <w:sz w:val="22"/>
          <w:szCs w:val="22"/>
        </w:rPr>
        <w:t>International Collaboration for Research on Statistical Reasoning, Thinking, and Literacy</w:t>
      </w:r>
      <w:r w:rsidR="00916890">
        <w:rPr>
          <w:rFonts w:asciiTheme="majorBidi" w:hAnsiTheme="majorBidi" w:cstheme="majorBidi"/>
          <w:sz w:val="22"/>
          <w:szCs w:val="22"/>
        </w:rPr>
        <w:t xml:space="preserve"> (</w:t>
      </w:r>
      <w:r w:rsidR="00916890" w:rsidRPr="00AC2DCC">
        <w:rPr>
          <w:rFonts w:asciiTheme="majorBidi" w:hAnsiTheme="majorBidi" w:cstheme="majorBidi"/>
          <w:sz w:val="22"/>
          <w:szCs w:val="22"/>
        </w:rPr>
        <w:t>SRTL</w:t>
      </w:r>
      <w:r w:rsidR="00916890">
        <w:rPr>
          <w:rFonts w:asciiTheme="majorBidi" w:hAnsiTheme="majorBidi" w:cstheme="majorBidi"/>
          <w:sz w:val="22"/>
          <w:szCs w:val="22"/>
        </w:rPr>
        <w:t>7)</w:t>
      </w:r>
      <w:r w:rsidRPr="00AC2DCC">
        <w:rPr>
          <w:rFonts w:asciiTheme="majorBidi" w:hAnsiTheme="majorBidi" w:cstheme="majorBidi"/>
          <w:sz w:val="22"/>
          <w:szCs w:val="22"/>
        </w:rPr>
        <w:t>. It is an important part of the structure of the academic work of</w:t>
      </w:r>
      <w:r w:rsidR="00916890">
        <w:rPr>
          <w:rFonts w:asciiTheme="majorBidi" w:hAnsiTheme="majorBidi" w:cstheme="majorBidi"/>
          <w:sz w:val="22"/>
          <w:szCs w:val="22"/>
        </w:rPr>
        <w:t xml:space="preserve"> SRTL</w:t>
      </w:r>
      <w:r w:rsidRPr="00AC2DCC">
        <w:rPr>
          <w:rFonts w:asciiTheme="majorBidi" w:hAnsiTheme="majorBidi" w:cstheme="majorBidi"/>
          <w:sz w:val="22"/>
          <w:szCs w:val="22"/>
        </w:rPr>
        <w:t xml:space="preserve"> community that at the end of each conference a small group of discussants are given the space to present their reflections and reactions with the aim of raising questions and issues which may carry forward into the future work of the community of researchers. Traditionally they have the freedom to choose the perspectives from which they do this, and this paper has been developed in the same spirit. </w:t>
      </w:r>
      <w:r w:rsidR="00916890">
        <w:rPr>
          <w:rFonts w:asciiTheme="majorBidi" w:hAnsiTheme="majorBidi" w:cstheme="majorBidi"/>
          <w:sz w:val="22"/>
          <w:szCs w:val="22"/>
        </w:rPr>
        <w:t xml:space="preserve">At SRTL7, the authors of this paper addressed issues on which they have been working for some time, namely Task Design and the emergence of Big Data and are now able to offer a </w:t>
      </w:r>
      <w:r w:rsidR="00916890" w:rsidRPr="00AC2DCC">
        <w:rPr>
          <w:rFonts w:asciiTheme="majorBidi" w:hAnsiTheme="majorBidi" w:cstheme="majorBidi"/>
          <w:sz w:val="22"/>
          <w:szCs w:val="22"/>
        </w:rPr>
        <w:t xml:space="preserve">commentary from </w:t>
      </w:r>
      <w:r w:rsidR="00916890">
        <w:rPr>
          <w:rFonts w:asciiTheme="majorBidi" w:hAnsiTheme="majorBidi" w:cstheme="majorBidi"/>
          <w:sz w:val="22"/>
          <w:szCs w:val="22"/>
        </w:rPr>
        <w:t>these</w:t>
      </w:r>
      <w:r w:rsidR="00916890" w:rsidRPr="00AC2DCC">
        <w:rPr>
          <w:rFonts w:asciiTheme="majorBidi" w:hAnsiTheme="majorBidi" w:cstheme="majorBidi"/>
          <w:sz w:val="22"/>
          <w:szCs w:val="22"/>
        </w:rPr>
        <w:t xml:space="preserve"> </w:t>
      </w:r>
      <w:r w:rsidR="00916890">
        <w:rPr>
          <w:rFonts w:asciiTheme="majorBidi" w:hAnsiTheme="majorBidi" w:cstheme="majorBidi"/>
          <w:sz w:val="22"/>
          <w:szCs w:val="22"/>
        </w:rPr>
        <w:t xml:space="preserve">two </w:t>
      </w:r>
      <w:r w:rsidR="00916890" w:rsidRPr="00AC2DCC">
        <w:rPr>
          <w:rFonts w:asciiTheme="majorBidi" w:hAnsiTheme="majorBidi" w:cstheme="majorBidi"/>
          <w:sz w:val="22"/>
          <w:szCs w:val="22"/>
        </w:rPr>
        <w:t>perspectives on</w:t>
      </w:r>
      <w:r w:rsidR="00916890">
        <w:rPr>
          <w:rFonts w:asciiTheme="majorBidi" w:hAnsiTheme="majorBidi" w:cstheme="majorBidi"/>
          <w:sz w:val="22"/>
          <w:szCs w:val="22"/>
        </w:rPr>
        <w:t xml:space="preserve"> what might be learnt from the</w:t>
      </w:r>
      <w:r w:rsidR="00916890" w:rsidRPr="00AC2DCC">
        <w:rPr>
          <w:rFonts w:asciiTheme="majorBidi" w:hAnsiTheme="majorBidi" w:cstheme="majorBidi"/>
          <w:sz w:val="22"/>
          <w:szCs w:val="22"/>
        </w:rPr>
        <w:t xml:space="preserve"> papers</w:t>
      </w:r>
      <w:r w:rsidR="00916890">
        <w:rPr>
          <w:rFonts w:asciiTheme="majorBidi" w:hAnsiTheme="majorBidi" w:cstheme="majorBidi"/>
          <w:sz w:val="22"/>
          <w:szCs w:val="22"/>
        </w:rPr>
        <w:t xml:space="preserve"> in this special issue.</w:t>
      </w:r>
    </w:p>
    <w:p w14:paraId="76172DE3" w14:textId="103AA599" w:rsidR="00E336DD" w:rsidRDefault="00C737A0" w:rsidP="00D26737">
      <w:pPr>
        <w:spacing w:before="120" w:line="480" w:lineRule="auto"/>
        <w:rPr>
          <w:rFonts w:asciiTheme="majorBidi" w:hAnsiTheme="majorBidi" w:cstheme="majorBidi"/>
          <w:sz w:val="22"/>
          <w:szCs w:val="22"/>
        </w:rPr>
      </w:pPr>
      <w:r>
        <w:rPr>
          <w:rFonts w:asciiTheme="majorBidi" w:hAnsiTheme="majorBidi" w:cstheme="majorBidi"/>
          <w:sz w:val="22"/>
          <w:szCs w:val="22"/>
        </w:rPr>
        <w:t xml:space="preserve">Corresponding author: Janet Ainley, </w:t>
      </w:r>
      <w:hyperlink r:id="rId9" w:history="1">
        <w:r w:rsidRPr="00E27BDE">
          <w:rPr>
            <w:rStyle w:val="Hyperlink"/>
            <w:rFonts w:asciiTheme="majorBidi" w:hAnsiTheme="majorBidi" w:cstheme="majorBidi"/>
            <w:sz w:val="22"/>
            <w:szCs w:val="22"/>
          </w:rPr>
          <w:t>janet.ainley@le.ac.uk</w:t>
        </w:r>
      </w:hyperlink>
      <w:r>
        <w:rPr>
          <w:rFonts w:asciiTheme="majorBidi" w:hAnsiTheme="majorBidi" w:cstheme="majorBidi"/>
          <w:sz w:val="22"/>
          <w:szCs w:val="22"/>
        </w:rPr>
        <w:t>, +44(</w:t>
      </w:r>
      <w:proofErr w:type="gramStart"/>
      <w:r>
        <w:rPr>
          <w:rFonts w:asciiTheme="majorBidi" w:hAnsiTheme="majorBidi" w:cstheme="majorBidi"/>
          <w:sz w:val="22"/>
          <w:szCs w:val="22"/>
        </w:rPr>
        <w:t>0)116</w:t>
      </w:r>
      <w:proofErr w:type="gramEnd"/>
      <w:r>
        <w:rPr>
          <w:rFonts w:asciiTheme="majorBidi" w:hAnsiTheme="majorBidi" w:cstheme="majorBidi"/>
          <w:sz w:val="22"/>
          <w:szCs w:val="22"/>
        </w:rPr>
        <w:t xml:space="preserve"> 252 3690</w:t>
      </w:r>
    </w:p>
    <w:p w14:paraId="34FE060B" w14:textId="64A687EC" w:rsidR="00C737A0" w:rsidRPr="00AC2DCC" w:rsidRDefault="00C737A0" w:rsidP="00D26737">
      <w:pPr>
        <w:spacing w:before="120" w:line="480" w:lineRule="auto"/>
        <w:rPr>
          <w:rFonts w:asciiTheme="majorBidi" w:hAnsiTheme="majorBidi" w:cstheme="majorBidi"/>
          <w:sz w:val="22"/>
          <w:szCs w:val="22"/>
        </w:rPr>
      </w:pPr>
      <w:r>
        <w:rPr>
          <w:rFonts w:asciiTheme="majorBidi" w:hAnsiTheme="majorBidi" w:cstheme="majorBidi"/>
          <w:sz w:val="22"/>
          <w:szCs w:val="22"/>
        </w:rPr>
        <w:t xml:space="preserve">Key words: task design, big data, samples, </w:t>
      </w:r>
    </w:p>
    <w:p w14:paraId="58D0C9D1" w14:textId="77777777" w:rsidR="00C737A0" w:rsidRDefault="00C737A0">
      <w:pPr>
        <w:rPr>
          <w:rFonts w:asciiTheme="majorBidi" w:hAnsiTheme="majorBidi" w:cstheme="majorBidi"/>
          <w:b/>
          <w:sz w:val="22"/>
          <w:szCs w:val="22"/>
        </w:rPr>
      </w:pPr>
      <w:bookmarkStart w:id="0" w:name="_GoBack"/>
      <w:r>
        <w:rPr>
          <w:rFonts w:asciiTheme="majorBidi" w:hAnsiTheme="majorBidi" w:cstheme="majorBidi"/>
          <w:b/>
          <w:sz w:val="22"/>
          <w:szCs w:val="22"/>
        </w:rPr>
        <w:br w:type="page"/>
      </w:r>
    </w:p>
    <w:bookmarkEnd w:id="0"/>
    <w:p w14:paraId="431E03BE" w14:textId="77777777" w:rsidR="00C737A0" w:rsidRPr="00747BE9" w:rsidRDefault="00C737A0" w:rsidP="00C737A0">
      <w:pPr>
        <w:spacing w:before="120" w:line="480" w:lineRule="auto"/>
        <w:jc w:val="center"/>
        <w:rPr>
          <w:rFonts w:asciiTheme="majorBidi" w:hAnsiTheme="majorBidi" w:cstheme="majorBidi"/>
          <w:b/>
          <w:bCs/>
          <w:sz w:val="22"/>
          <w:szCs w:val="22"/>
        </w:rPr>
      </w:pPr>
      <w:r w:rsidRPr="00896020">
        <w:rPr>
          <w:rFonts w:asciiTheme="majorBidi" w:hAnsiTheme="majorBidi" w:cstheme="majorBidi"/>
          <w:b/>
          <w:bCs/>
          <w:sz w:val="22"/>
          <w:szCs w:val="22"/>
        </w:rPr>
        <w:lastRenderedPageBreak/>
        <w:t>Learning to reason from samples</w:t>
      </w:r>
      <w:r w:rsidRPr="00D26737">
        <w:rPr>
          <w:rFonts w:asciiTheme="majorBidi" w:hAnsiTheme="majorBidi" w:cstheme="majorBidi"/>
          <w:b/>
          <w:bCs/>
          <w:sz w:val="22"/>
          <w:szCs w:val="22"/>
        </w:rPr>
        <w:t>:</w:t>
      </w:r>
      <w:r>
        <w:rPr>
          <w:rFonts w:asciiTheme="majorBidi" w:hAnsiTheme="majorBidi" w:cstheme="majorBidi"/>
          <w:b/>
          <w:bCs/>
          <w:sz w:val="22"/>
          <w:szCs w:val="22"/>
        </w:rPr>
        <w:br/>
      </w:r>
      <w:r w:rsidRPr="00896020">
        <w:rPr>
          <w:rFonts w:asciiTheme="majorBidi" w:hAnsiTheme="majorBidi" w:cstheme="majorBidi"/>
          <w:b/>
          <w:bCs/>
          <w:sz w:val="22"/>
          <w:szCs w:val="22"/>
        </w:rPr>
        <w:t>Commentary from the perspectives of task design and the emergence of ‘big data’</w:t>
      </w:r>
    </w:p>
    <w:p w14:paraId="718257F4" w14:textId="77777777" w:rsidR="00C737A0" w:rsidRPr="00896020" w:rsidRDefault="00C737A0" w:rsidP="00C737A0">
      <w:pPr>
        <w:spacing w:before="120" w:line="480" w:lineRule="auto"/>
        <w:jc w:val="center"/>
        <w:rPr>
          <w:rFonts w:asciiTheme="majorBidi" w:hAnsiTheme="majorBidi" w:cstheme="majorBidi"/>
          <w:sz w:val="22"/>
          <w:szCs w:val="22"/>
          <w:vertAlign w:val="superscript"/>
        </w:rPr>
      </w:pPr>
      <w:r>
        <w:rPr>
          <w:rFonts w:asciiTheme="majorBidi" w:hAnsiTheme="majorBidi" w:cstheme="majorBidi"/>
          <w:sz w:val="22"/>
          <w:szCs w:val="22"/>
        </w:rPr>
        <w:t>Janet Ainley</w:t>
      </w:r>
      <w:r>
        <w:rPr>
          <w:rFonts w:asciiTheme="majorBidi" w:hAnsiTheme="majorBidi" w:cstheme="majorBidi"/>
          <w:sz w:val="22"/>
          <w:szCs w:val="22"/>
          <w:vertAlign w:val="superscript"/>
        </w:rPr>
        <w:t>1</w:t>
      </w:r>
      <w:r>
        <w:rPr>
          <w:rFonts w:asciiTheme="majorBidi" w:hAnsiTheme="majorBidi" w:cstheme="majorBidi"/>
          <w:sz w:val="22"/>
          <w:szCs w:val="22"/>
        </w:rPr>
        <w:t>, Robert Gould</w:t>
      </w:r>
      <w:r>
        <w:rPr>
          <w:rFonts w:asciiTheme="majorBidi" w:hAnsiTheme="majorBidi" w:cstheme="majorBidi"/>
          <w:sz w:val="22"/>
          <w:szCs w:val="22"/>
          <w:vertAlign w:val="superscript"/>
        </w:rPr>
        <w:t>2</w:t>
      </w:r>
      <w:r>
        <w:rPr>
          <w:rFonts w:asciiTheme="majorBidi" w:hAnsiTheme="majorBidi" w:cstheme="majorBidi"/>
          <w:sz w:val="22"/>
          <w:szCs w:val="22"/>
        </w:rPr>
        <w:t xml:space="preserve"> and Dave Pratt</w:t>
      </w:r>
      <w:r>
        <w:rPr>
          <w:rFonts w:asciiTheme="majorBidi" w:hAnsiTheme="majorBidi" w:cstheme="majorBidi"/>
          <w:sz w:val="22"/>
          <w:szCs w:val="22"/>
          <w:vertAlign w:val="superscript"/>
        </w:rPr>
        <w:t>3</w:t>
      </w:r>
    </w:p>
    <w:p w14:paraId="307513DE" w14:textId="77777777" w:rsidR="00C737A0" w:rsidRDefault="00C737A0" w:rsidP="00C737A0">
      <w:pPr>
        <w:pStyle w:val="ListParagraph"/>
        <w:numPr>
          <w:ilvl w:val="0"/>
          <w:numId w:val="3"/>
        </w:numPr>
        <w:spacing w:before="120" w:line="480" w:lineRule="auto"/>
        <w:rPr>
          <w:rFonts w:asciiTheme="majorBidi" w:hAnsiTheme="majorBidi" w:cstheme="majorBidi"/>
          <w:sz w:val="22"/>
          <w:szCs w:val="22"/>
        </w:rPr>
      </w:pPr>
      <w:r w:rsidRPr="00896020">
        <w:rPr>
          <w:rFonts w:asciiTheme="majorBidi" w:hAnsiTheme="majorBidi" w:cstheme="majorBidi"/>
          <w:sz w:val="22"/>
          <w:szCs w:val="22"/>
        </w:rPr>
        <w:t>University of Leicester School of Education</w:t>
      </w:r>
      <w:r>
        <w:rPr>
          <w:rFonts w:asciiTheme="majorBidi" w:hAnsiTheme="majorBidi" w:cstheme="majorBidi"/>
          <w:sz w:val="22"/>
          <w:szCs w:val="22"/>
        </w:rPr>
        <w:t>, UK</w:t>
      </w:r>
    </w:p>
    <w:p w14:paraId="1687F89A" w14:textId="77777777" w:rsidR="00C737A0" w:rsidRPr="00A86850" w:rsidRDefault="00C737A0" w:rsidP="00C737A0">
      <w:pPr>
        <w:pStyle w:val="ListParagraph"/>
        <w:numPr>
          <w:ilvl w:val="0"/>
          <w:numId w:val="3"/>
        </w:numPr>
        <w:spacing w:before="120" w:line="480" w:lineRule="auto"/>
        <w:rPr>
          <w:rFonts w:asciiTheme="majorBidi" w:hAnsiTheme="majorBidi" w:cstheme="majorBidi"/>
          <w:sz w:val="22"/>
          <w:szCs w:val="22"/>
        </w:rPr>
      </w:pPr>
      <w:r>
        <w:rPr>
          <w:rFonts w:asciiTheme="majorBidi" w:hAnsiTheme="majorBidi" w:cstheme="majorBidi"/>
          <w:sz w:val="22"/>
          <w:szCs w:val="22"/>
        </w:rPr>
        <w:t>Dept. of Statistics, University of California, Los Angeles, USA</w:t>
      </w:r>
    </w:p>
    <w:p w14:paraId="7958F453" w14:textId="77777777" w:rsidR="00C737A0" w:rsidRPr="00842C86" w:rsidRDefault="00C737A0" w:rsidP="00C737A0">
      <w:pPr>
        <w:pStyle w:val="ListParagraph"/>
        <w:numPr>
          <w:ilvl w:val="0"/>
          <w:numId w:val="3"/>
        </w:numPr>
        <w:spacing w:before="120" w:line="480" w:lineRule="auto"/>
        <w:rPr>
          <w:rFonts w:ascii="Times New Roman" w:hAnsi="Times New Roman" w:cs="Times New Roman"/>
          <w:sz w:val="22"/>
          <w:szCs w:val="22"/>
        </w:rPr>
      </w:pPr>
      <w:r w:rsidRPr="00842C86">
        <w:rPr>
          <w:rFonts w:ascii="Times New Roman" w:hAnsi="Times New Roman" w:cs="Times New Roman"/>
          <w:sz w:val="22"/>
          <w:szCs w:val="22"/>
        </w:rPr>
        <w:t>UCL Institute of Education, University College London</w:t>
      </w:r>
      <w:r>
        <w:rPr>
          <w:rFonts w:ascii="Times New Roman" w:hAnsi="Times New Roman" w:cs="Times New Roman"/>
          <w:sz w:val="22"/>
          <w:szCs w:val="22"/>
        </w:rPr>
        <w:t>, UK</w:t>
      </w:r>
    </w:p>
    <w:p w14:paraId="64A1FFD3" w14:textId="77777777" w:rsidR="00C737A0" w:rsidRPr="00896020" w:rsidRDefault="00C737A0" w:rsidP="00C737A0">
      <w:pPr>
        <w:spacing w:before="120" w:line="480" w:lineRule="auto"/>
        <w:rPr>
          <w:rFonts w:asciiTheme="majorBidi" w:hAnsiTheme="majorBidi" w:cstheme="majorBidi"/>
          <w:sz w:val="22"/>
          <w:szCs w:val="22"/>
        </w:rPr>
      </w:pPr>
    </w:p>
    <w:p w14:paraId="35E01C3E" w14:textId="77777777" w:rsidR="00C737A0" w:rsidRPr="00AC2DCC" w:rsidRDefault="00C737A0" w:rsidP="00C737A0">
      <w:pPr>
        <w:spacing w:before="120" w:line="480" w:lineRule="auto"/>
        <w:rPr>
          <w:rFonts w:asciiTheme="majorBidi" w:hAnsiTheme="majorBidi" w:cstheme="majorBidi"/>
          <w:b/>
          <w:bCs/>
          <w:sz w:val="22"/>
          <w:szCs w:val="22"/>
        </w:rPr>
      </w:pPr>
      <w:r w:rsidRPr="00AC2DCC">
        <w:rPr>
          <w:rFonts w:asciiTheme="majorBidi" w:hAnsiTheme="majorBidi" w:cstheme="majorBidi"/>
          <w:b/>
          <w:bCs/>
          <w:sz w:val="22"/>
          <w:szCs w:val="22"/>
        </w:rPr>
        <w:t>Abstract</w:t>
      </w:r>
    </w:p>
    <w:p w14:paraId="71A84126" w14:textId="77777777" w:rsidR="00C737A0" w:rsidRPr="00AC2DCC" w:rsidRDefault="00C737A0" w:rsidP="00C737A0">
      <w:pPr>
        <w:spacing w:before="120" w:line="480" w:lineRule="auto"/>
        <w:rPr>
          <w:rFonts w:asciiTheme="majorBidi" w:hAnsiTheme="majorBidi" w:cstheme="majorBidi"/>
          <w:sz w:val="22"/>
          <w:szCs w:val="22"/>
        </w:rPr>
      </w:pPr>
      <w:r w:rsidRPr="00AC2DCC">
        <w:rPr>
          <w:rFonts w:asciiTheme="majorBidi" w:hAnsiTheme="majorBidi" w:cstheme="majorBidi"/>
          <w:sz w:val="22"/>
          <w:szCs w:val="22"/>
        </w:rPr>
        <w:t>This paper is in the form of a reflective discussion of the collection of papers in this Special Issue</w:t>
      </w:r>
      <w:r>
        <w:rPr>
          <w:rFonts w:asciiTheme="majorBidi" w:hAnsiTheme="majorBidi" w:cstheme="majorBidi"/>
          <w:sz w:val="22"/>
          <w:szCs w:val="22"/>
        </w:rPr>
        <w:t xml:space="preserve"> on</w:t>
      </w:r>
      <w:r w:rsidRPr="001E5F64">
        <w:rPr>
          <w:rFonts w:asciiTheme="majorBidi" w:hAnsiTheme="majorBidi" w:cstheme="majorBidi"/>
          <w:sz w:val="22"/>
          <w:szCs w:val="22"/>
        </w:rPr>
        <w:t xml:space="preserve"> </w:t>
      </w:r>
      <w:r w:rsidRPr="00AC2DCC">
        <w:rPr>
          <w:rFonts w:asciiTheme="majorBidi" w:hAnsiTheme="majorBidi" w:cstheme="majorBidi"/>
          <w:i/>
          <w:iCs/>
          <w:sz w:val="22"/>
          <w:szCs w:val="22"/>
        </w:rPr>
        <w:t>Statistical reasoning: learning to reason from samples</w:t>
      </w:r>
      <w:r>
        <w:rPr>
          <w:rFonts w:asciiTheme="majorBidi" w:hAnsiTheme="majorBidi" w:cstheme="majorBidi"/>
          <w:iCs/>
          <w:sz w:val="22"/>
          <w:szCs w:val="22"/>
        </w:rPr>
        <w:t xml:space="preserve"> drawing on deliberations arising at the Seventh </w:t>
      </w:r>
      <w:r w:rsidRPr="001E5F64">
        <w:rPr>
          <w:rFonts w:asciiTheme="majorBidi" w:hAnsiTheme="majorBidi" w:cstheme="majorBidi"/>
          <w:sz w:val="22"/>
          <w:szCs w:val="22"/>
        </w:rPr>
        <w:t>International Collaboration for Research on Statistical Reasoning, Thinking, and Literacy</w:t>
      </w:r>
      <w:r>
        <w:rPr>
          <w:rFonts w:asciiTheme="majorBidi" w:hAnsiTheme="majorBidi" w:cstheme="majorBidi"/>
          <w:sz w:val="22"/>
          <w:szCs w:val="22"/>
        </w:rPr>
        <w:t xml:space="preserve"> (</w:t>
      </w:r>
      <w:r w:rsidRPr="00AC2DCC">
        <w:rPr>
          <w:rFonts w:asciiTheme="majorBidi" w:hAnsiTheme="majorBidi" w:cstheme="majorBidi"/>
          <w:sz w:val="22"/>
          <w:szCs w:val="22"/>
        </w:rPr>
        <w:t>SRTL</w:t>
      </w:r>
      <w:r>
        <w:rPr>
          <w:rFonts w:asciiTheme="majorBidi" w:hAnsiTheme="majorBidi" w:cstheme="majorBidi"/>
          <w:sz w:val="22"/>
          <w:szCs w:val="22"/>
        </w:rPr>
        <w:t>7)</w:t>
      </w:r>
      <w:r w:rsidRPr="00AC2DCC">
        <w:rPr>
          <w:rFonts w:asciiTheme="majorBidi" w:hAnsiTheme="majorBidi" w:cstheme="majorBidi"/>
          <w:sz w:val="22"/>
          <w:szCs w:val="22"/>
        </w:rPr>
        <w:t>. It is an important part of the structure of the academic work of</w:t>
      </w:r>
      <w:r>
        <w:rPr>
          <w:rFonts w:asciiTheme="majorBidi" w:hAnsiTheme="majorBidi" w:cstheme="majorBidi"/>
          <w:sz w:val="22"/>
          <w:szCs w:val="22"/>
        </w:rPr>
        <w:t xml:space="preserve"> SRTL</w:t>
      </w:r>
      <w:r w:rsidRPr="00AC2DCC">
        <w:rPr>
          <w:rFonts w:asciiTheme="majorBidi" w:hAnsiTheme="majorBidi" w:cstheme="majorBidi"/>
          <w:sz w:val="22"/>
          <w:szCs w:val="22"/>
        </w:rPr>
        <w:t xml:space="preserve"> community that at the end of each conference a small group of discussants are given the space to present their reflections and reactions with the aim of raising questions and issues which may carry forward into the future work of the community of researchers. Traditionally they have the freedom to choose the perspectives from which they do this, and this paper has been developed in the same spirit. </w:t>
      </w:r>
      <w:r>
        <w:rPr>
          <w:rFonts w:asciiTheme="majorBidi" w:hAnsiTheme="majorBidi" w:cstheme="majorBidi"/>
          <w:sz w:val="22"/>
          <w:szCs w:val="22"/>
        </w:rPr>
        <w:t xml:space="preserve">At SRTL7, the authors of this paper addressed issues on which they have been working for some time, namely Task Design and the emergence of Big Data and are now able to offer a </w:t>
      </w:r>
      <w:r w:rsidRPr="00AC2DCC">
        <w:rPr>
          <w:rFonts w:asciiTheme="majorBidi" w:hAnsiTheme="majorBidi" w:cstheme="majorBidi"/>
          <w:sz w:val="22"/>
          <w:szCs w:val="22"/>
        </w:rPr>
        <w:t xml:space="preserve">commentary from </w:t>
      </w:r>
      <w:r>
        <w:rPr>
          <w:rFonts w:asciiTheme="majorBidi" w:hAnsiTheme="majorBidi" w:cstheme="majorBidi"/>
          <w:sz w:val="22"/>
          <w:szCs w:val="22"/>
        </w:rPr>
        <w:t>these</w:t>
      </w:r>
      <w:r w:rsidRPr="00AC2DCC">
        <w:rPr>
          <w:rFonts w:asciiTheme="majorBidi" w:hAnsiTheme="majorBidi" w:cstheme="majorBidi"/>
          <w:sz w:val="22"/>
          <w:szCs w:val="22"/>
        </w:rPr>
        <w:t xml:space="preserve"> </w:t>
      </w:r>
      <w:r>
        <w:rPr>
          <w:rFonts w:asciiTheme="majorBidi" w:hAnsiTheme="majorBidi" w:cstheme="majorBidi"/>
          <w:sz w:val="22"/>
          <w:szCs w:val="22"/>
        </w:rPr>
        <w:t xml:space="preserve">two </w:t>
      </w:r>
      <w:r w:rsidRPr="00AC2DCC">
        <w:rPr>
          <w:rFonts w:asciiTheme="majorBidi" w:hAnsiTheme="majorBidi" w:cstheme="majorBidi"/>
          <w:sz w:val="22"/>
          <w:szCs w:val="22"/>
        </w:rPr>
        <w:t>perspectives on</w:t>
      </w:r>
      <w:r>
        <w:rPr>
          <w:rFonts w:asciiTheme="majorBidi" w:hAnsiTheme="majorBidi" w:cstheme="majorBidi"/>
          <w:sz w:val="22"/>
          <w:szCs w:val="22"/>
        </w:rPr>
        <w:t xml:space="preserve"> what might be learnt from the</w:t>
      </w:r>
      <w:r w:rsidRPr="00AC2DCC">
        <w:rPr>
          <w:rFonts w:asciiTheme="majorBidi" w:hAnsiTheme="majorBidi" w:cstheme="majorBidi"/>
          <w:sz w:val="22"/>
          <w:szCs w:val="22"/>
        </w:rPr>
        <w:t xml:space="preserve"> papers</w:t>
      </w:r>
      <w:r>
        <w:rPr>
          <w:rFonts w:asciiTheme="majorBidi" w:hAnsiTheme="majorBidi" w:cstheme="majorBidi"/>
          <w:sz w:val="22"/>
          <w:szCs w:val="22"/>
        </w:rPr>
        <w:t xml:space="preserve"> in this special issue.</w:t>
      </w:r>
    </w:p>
    <w:p w14:paraId="0865BC21" w14:textId="77777777" w:rsidR="00C737A0" w:rsidRDefault="00C737A0" w:rsidP="00D26737">
      <w:pPr>
        <w:spacing w:before="120" w:line="480" w:lineRule="auto"/>
        <w:rPr>
          <w:rFonts w:asciiTheme="majorBidi" w:hAnsiTheme="majorBidi" w:cstheme="majorBidi"/>
          <w:b/>
          <w:sz w:val="22"/>
          <w:szCs w:val="22"/>
        </w:rPr>
      </w:pPr>
    </w:p>
    <w:p w14:paraId="7248452A" w14:textId="63B95A79" w:rsidR="00CB6D94" w:rsidRPr="00AC2DCC" w:rsidRDefault="00CB6D94" w:rsidP="00D26737">
      <w:pPr>
        <w:spacing w:before="120" w:line="480" w:lineRule="auto"/>
        <w:rPr>
          <w:rFonts w:asciiTheme="majorBidi" w:hAnsiTheme="majorBidi" w:cstheme="majorBidi"/>
          <w:b/>
          <w:sz w:val="22"/>
          <w:szCs w:val="22"/>
        </w:rPr>
      </w:pPr>
      <w:r w:rsidRPr="00AC2DCC">
        <w:rPr>
          <w:rFonts w:asciiTheme="majorBidi" w:hAnsiTheme="majorBidi" w:cstheme="majorBidi"/>
          <w:b/>
          <w:sz w:val="22"/>
          <w:szCs w:val="22"/>
        </w:rPr>
        <w:t xml:space="preserve">Task Design: What do we learn about the nature of the development of statistical </w:t>
      </w:r>
      <w:r w:rsidR="00CA7C0C">
        <w:rPr>
          <w:rFonts w:asciiTheme="majorBidi" w:hAnsiTheme="majorBidi" w:cstheme="majorBidi"/>
          <w:b/>
          <w:sz w:val="22"/>
          <w:szCs w:val="22"/>
        </w:rPr>
        <w:t xml:space="preserve">reasoning </w:t>
      </w:r>
      <w:r w:rsidRPr="00AC2DCC">
        <w:rPr>
          <w:rFonts w:asciiTheme="majorBidi" w:hAnsiTheme="majorBidi" w:cstheme="majorBidi"/>
          <w:b/>
          <w:sz w:val="22"/>
          <w:szCs w:val="22"/>
        </w:rPr>
        <w:t>from an analysis of the design and use of tasks in these papers?</w:t>
      </w:r>
    </w:p>
    <w:p w14:paraId="5B7114F6" w14:textId="64EDBF4B" w:rsidR="00992584" w:rsidRPr="00AC2DCC" w:rsidRDefault="00992584" w:rsidP="00896020">
      <w:pPr>
        <w:pStyle w:val="Body"/>
        <w:spacing w:before="120" w:line="480" w:lineRule="auto"/>
        <w:ind w:firstLine="0"/>
        <w:jc w:val="left"/>
        <w:rPr>
          <w:rFonts w:asciiTheme="majorBidi" w:hAnsiTheme="majorBidi" w:cstheme="majorBidi"/>
          <w:i/>
          <w:szCs w:val="22"/>
        </w:rPr>
      </w:pPr>
      <w:proofErr w:type="gramStart"/>
      <w:r w:rsidRPr="00AC2DCC">
        <w:rPr>
          <w:rFonts w:asciiTheme="majorBidi" w:hAnsiTheme="majorBidi" w:cstheme="majorBidi"/>
          <w:szCs w:val="22"/>
        </w:rPr>
        <w:t xml:space="preserve">Our perspective on task design is framed by the related notions of </w:t>
      </w:r>
      <w:r w:rsidRPr="00AC2DCC">
        <w:rPr>
          <w:rFonts w:asciiTheme="majorBidi" w:hAnsiTheme="majorBidi" w:cstheme="majorBidi"/>
          <w:i/>
          <w:szCs w:val="22"/>
        </w:rPr>
        <w:t>utility</w:t>
      </w:r>
      <w:r w:rsidRPr="00AC2DCC">
        <w:rPr>
          <w:rFonts w:asciiTheme="majorBidi" w:hAnsiTheme="majorBidi" w:cstheme="majorBidi"/>
          <w:szCs w:val="22"/>
        </w:rPr>
        <w:t xml:space="preserve"> and </w:t>
      </w:r>
      <w:r w:rsidRPr="00AC2DCC">
        <w:rPr>
          <w:rFonts w:asciiTheme="majorBidi" w:hAnsiTheme="majorBidi" w:cstheme="majorBidi"/>
          <w:i/>
          <w:szCs w:val="22"/>
        </w:rPr>
        <w:t>purpose</w:t>
      </w:r>
      <w:proofErr w:type="gramEnd"/>
      <w:r w:rsidRPr="00AC2DCC">
        <w:rPr>
          <w:rFonts w:asciiTheme="majorBidi" w:hAnsiTheme="majorBidi" w:cstheme="majorBidi"/>
          <w:szCs w:val="22"/>
        </w:rPr>
        <w:t xml:space="preserve"> (Ainley</w:t>
      </w:r>
      <w:r w:rsidR="00E83422">
        <w:rPr>
          <w:rFonts w:asciiTheme="majorBidi" w:hAnsiTheme="majorBidi" w:cstheme="majorBidi"/>
          <w:szCs w:val="22"/>
        </w:rPr>
        <w:t xml:space="preserve">, </w:t>
      </w:r>
      <w:r w:rsidR="00E83422" w:rsidRPr="001A60E7">
        <w:rPr>
          <w:rFonts w:asciiTheme="majorBidi" w:hAnsiTheme="majorBidi" w:cstheme="majorBidi"/>
          <w:szCs w:val="22"/>
        </w:rPr>
        <w:t>Pratt, &amp; Hansen</w:t>
      </w:r>
      <w:r w:rsidRPr="00AC2DCC">
        <w:rPr>
          <w:rFonts w:asciiTheme="majorBidi" w:hAnsiTheme="majorBidi" w:cstheme="majorBidi"/>
          <w:szCs w:val="22"/>
        </w:rPr>
        <w:t xml:space="preserve"> et al</w:t>
      </w:r>
      <w:r w:rsidR="00CF77AE" w:rsidRPr="00AC2DCC">
        <w:rPr>
          <w:rFonts w:asciiTheme="majorBidi" w:hAnsiTheme="majorBidi" w:cstheme="majorBidi"/>
          <w:szCs w:val="22"/>
        </w:rPr>
        <w:t>.,</w:t>
      </w:r>
      <w:r w:rsidRPr="00AC2DCC">
        <w:rPr>
          <w:rFonts w:asciiTheme="majorBidi" w:hAnsiTheme="majorBidi" w:cstheme="majorBidi"/>
          <w:szCs w:val="22"/>
        </w:rPr>
        <w:t xml:space="preserve"> 2006). We argue that an important, but often overlooked, dimension of learning about a mathematical or statistical idea is understanding what it is useful for and </w:t>
      </w:r>
      <w:r w:rsidRPr="00AC2DCC">
        <w:rPr>
          <w:rFonts w:asciiTheme="majorBidi" w:hAnsiTheme="majorBidi" w:cstheme="majorBidi"/>
          <w:szCs w:val="22"/>
        </w:rPr>
        <w:lastRenderedPageBreak/>
        <w:t xml:space="preserve">what power it offers in addressing problems. We call this the </w:t>
      </w:r>
      <w:r w:rsidRPr="00AC2DCC">
        <w:rPr>
          <w:rFonts w:asciiTheme="majorBidi" w:hAnsiTheme="majorBidi" w:cstheme="majorBidi"/>
          <w:i/>
          <w:szCs w:val="22"/>
        </w:rPr>
        <w:t>utility</w:t>
      </w:r>
      <w:r w:rsidRPr="00AC2DCC">
        <w:rPr>
          <w:rFonts w:asciiTheme="majorBidi" w:hAnsiTheme="majorBidi" w:cstheme="majorBidi"/>
          <w:szCs w:val="22"/>
        </w:rPr>
        <w:t xml:space="preserve"> of the idea. </w:t>
      </w:r>
      <w:r w:rsidR="008035B5" w:rsidRPr="00AC2DCC">
        <w:rPr>
          <w:rFonts w:asciiTheme="majorBidi" w:hAnsiTheme="majorBidi" w:cstheme="majorBidi"/>
          <w:szCs w:val="22"/>
        </w:rPr>
        <w:t xml:space="preserve">One question we would wish to ask in analysing any task design is </w:t>
      </w:r>
      <w:r w:rsidR="008035B5" w:rsidRPr="00AC2DCC">
        <w:rPr>
          <w:rFonts w:asciiTheme="majorBidi" w:hAnsiTheme="majorBidi" w:cstheme="majorBidi"/>
          <w:i/>
          <w:szCs w:val="22"/>
        </w:rPr>
        <w:t xml:space="preserve">does this task give learners opportunities to appreciate the utility of the ideas they are learning? </w:t>
      </w:r>
      <w:r w:rsidR="008035B5" w:rsidRPr="00AC2DCC">
        <w:rPr>
          <w:rFonts w:asciiTheme="majorBidi" w:hAnsiTheme="majorBidi" w:cstheme="majorBidi"/>
          <w:szCs w:val="22"/>
        </w:rPr>
        <w:t xml:space="preserve">We further argue that to provide such opportunities tasks should have a clear </w:t>
      </w:r>
      <w:r w:rsidR="008035B5" w:rsidRPr="00AC2DCC">
        <w:rPr>
          <w:rFonts w:asciiTheme="majorBidi" w:hAnsiTheme="majorBidi" w:cstheme="majorBidi"/>
          <w:i/>
          <w:szCs w:val="22"/>
        </w:rPr>
        <w:t>purpose</w:t>
      </w:r>
      <w:r w:rsidR="008035B5" w:rsidRPr="00AC2DCC">
        <w:rPr>
          <w:rFonts w:asciiTheme="majorBidi" w:hAnsiTheme="majorBidi" w:cstheme="majorBidi"/>
          <w:szCs w:val="22"/>
        </w:rPr>
        <w:t xml:space="preserve"> for the learner. </w:t>
      </w:r>
      <w:r w:rsidR="008035B5" w:rsidRPr="00AC2DCC">
        <w:rPr>
          <w:rFonts w:asciiTheme="majorBidi" w:hAnsiTheme="majorBidi" w:cstheme="majorBidi"/>
          <w:i/>
          <w:szCs w:val="22"/>
        </w:rPr>
        <w:t>Purpose</w:t>
      </w:r>
      <w:r w:rsidR="008035B5" w:rsidRPr="00AC2DCC">
        <w:rPr>
          <w:rFonts w:asciiTheme="majorBidi" w:hAnsiTheme="majorBidi" w:cstheme="majorBidi"/>
          <w:szCs w:val="22"/>
        </w:rPr>
        <w:t xml:space="preserve"> here does not refer to a real-world application, but to an engaging challenge for the learner within the classroom context. A second question that we wish to ask is therefore </w:t>
      </w:r>
      <w:r w:rsidR="008035B5" w:rsidRPr="00AC2DCC">
        <w:rPr>
          <w:rFonts w:asciiTheme="majorBidi" w:hAnsiTheme="majorBidi" w:cstheme="majorBidi"/>
          <w:i/>
          <w:szCs w:val="22"/>
        </w:rPr>
        <w:t>is this task purposeful for learners?</w:t>
      </w:r>
    </w:p>
    <w:p w14:paraId="3CDF0F5B" w14:textId="17E1B01C" w:rsidR="009C1918" w:rsidRDefault="00D01EC7" w:rsidP="00D26737">
      <w:pPr>
        <w:pStyle w:val="Body"/>
        <w:spacing w:before="120" w:line="480" w:lineRule="auto"/>
        <w:ind w:firstLine="720"/>
        <w:jc w:val="left"/>
        <w:rPr>
          <w:rFonts w:asciiTheme="majorBidi" w:hAnsiTheme="majorBidi" w:cstheme="majorBidi"/>
          <w:szCs w:val="22"/>
        </w:rPr>
      </w:pPr>
      <w:r w:rsidRPr="00AC2DCC">
        <w:rPr>
          <w:rFonts w:asciiTheme="majorBidi" w:hAnsiTheme="majorBidi" w:cstheme="majorBidi"/>
          <w:szCs w:val="22"/>
        </w:rPr>
        <w:t>In the context of the topic</w:t>
      </w:r>
      <w:r w:rsidR="00CA7C0C">
        <w:rPr>
          <w:rFonts w:asciiTheme="majorBidi" w:hAnsiTheme="majorBidi" w:cstheme="majorBidi"/>
          <w:szCs w:val="22"/>
        </w:rPr>
        <w:t xml:space="preserve"> for this special issue, learning to reason from samples,</w:t>
      </w:r>
      <w:r w:rsidRPr="00AC2DCC">
        <w:rPr>
          <w:rFonts w:asciiTheme="majorBidi" w:hAnsiTheme="majorBidi" w:cstheme="majorBidi"/>
          <w:szCs w:val="22"/>
        </w:rPr>
        <w:t xml:space="preserve"> this leads us to raise a question which we suspect is rarely voiced, but is po</w:t>
      </w:r>
      <w:r w:rsidR="00CA7C0C">
        <w:rPr>
          <w:rFonts w:asciiTheme="majorBidi" w:hAnsiTheme="majorBidi" w:cstheme="majorBidi"/>
          <w:szCs w:val="22"/>
        </w:rPr>
        <w:t>tentially puzzling for learners, “</w:t>
      </w:r>
      <w:r w:rsidR="00CA7C0C" w:rsidRPr="00CA7C0C">
        <w:rPr>
          <w:rFonts w:asciiTheme="majorBidi" w:hAnsiTheme="majorBidi" w:cstheme="majorBidi"/>
          <w:szCs w:val="22"/>
        </w:rPr>
        <w:t>I</w:t>
      </w:r>
      <w:r w:rsidRPr="00CA7C0C">
        <w:rPr>
          <w:rFonts w:asciiTheme="majorBidi" w:hAnsiTheme="majorBidi" w:cstheme="majorBidi"/>
          <w:szCs w:val="22"/>
        </w:rPr>
        <w:t>f you want to know about the population, why look at a sample?</w:t>
      </w:r>
      <w:r w:rsidR="00CA7C0C" w:rsidRPr="00CA7C0C">
        <w:rPr>
          <w:rFonts w:asciiTheme="majorBidi" w:hAnsiTheme="majorBidi" w:cstheme="majorBidi"/>
          <w:szCs w:val="22"/>
        </w:rPr>
        <w:t>”</w:t>
      </w:r>
      <w:r w:rsidRPr="00AC2DCC">
        <w:rPr>
          <w:rFonts w:asciiTheme="majorBidi" w:hAnsiTheme="majorBidi" w:cstheme="majorBidi"/>
          <w:szCs w:val="22"/>
        </w:rPr>
        <w:t xml:space="preserve"> In other words, what are </w:t>
      </w:r>
      <w:r w:rsidR="00B420E4" w:rsidRPr="00AC2DCC">
        <w:rPr>
          <w:rFonts w:asciiTheme="majorBidi" w:hAnsiTheme="majorBidi" w:cstheme="majorBidi"/>
          <w:szCs w:val="22"/>
        </w:rPr>
        <w:t xml:space="preserve">the </w:t>
      </w:r>
      <w:r w:rsidRPr="00AC2DCC">
        <w:rPr>
          <w:rFonts w:asciiTheme="majorBidi" w:hAnsiTheme="majorBidi" w:cstheme="majorBidi"/>
          <w:i/>
          <w:szCs w:val="22"/>
        </w:rPr>
        <w:t>utilities</w:t>
      </w:r>
      <w:r w:rsidRPr="00AC2DCC">
        <w:rPr>
          <w:rFonts w:asciiTheme="majorBidi" w:hAnsiTheme="majorBidi" w:cstheme="majorBidi"/>
          <w:szCs w:val="22"/>
        </w:rPr>
        <w:t xml:space="preserve"> of sampling; why and how sampling is useful?</w:t>
      </w:r>
    </w:p>
    <w:p w14:paraId="0B5DE863" w14:textId="0B66D5CE" w:rsidR="009C1918" w:rsidRDefault="00D01EC7" w:rsidP="00D26737">
      <w:pPr>
        <w:spacing w:before="120" w:line="480" w:lineRule="auto"/>
        <w:ind w:firstLine="720"/>
        <w:rPr>
          <w:rFonts w:asciiTheme="majorBidi" w:hAnsiTheme="majorBidi" w:cstheme="majorBidi"/>
          <w:sz w:val="22"/>
          <w:szCs w:val="22"/>
        </w:rPr>
      </w:pPr>
      <w:r w:rsidRPr="00AC2DCC">
        <w:rPr>
          <w:rFonts w:asciiTheme="majorBidi" w:hAnsiTheme="majorBidi" w:cstheme="majorBidi"/>
          <w:sz w:val="22"/>
          <w:szCs w:val="22"/>
        </w:rPr>
        <w:t xml:space="preserve">In fact, we are aware that there can be confusion amongst children and sometimes teachers about the role of sampling, which demarcates descriptive and inferential statistics. For example, Pratt et al (2008) have referred to the distinction between Game 1, in which the population is fully known, such as in a census, and Game 2, where the population is only partially known and what is available is a sample of data. Whereas in Game 1 it is sufficient to describe the population, in Game 2 there is a need to infer from the sample conclusions about the population with a degree of uncertainty about the correctness of those conclusions. Teachers might not always make this distinction clear to learners, who in consequence might think they are playing Game 1 when in fact the teacher’s agenda relates to Game 2. </w:t>
      </w:r>
      <w:r w:rsidR="00CA7C0C">
        <w:rPr>
          <w:rFonts w:asciiTheme="majorBidi" w:hAnsiTheme="majorBidi" w:cstheme="majorBidi"/>
          <w:sz w:val="22"/>
          <w:szCs w:val="22"/>
        </w:rPr>
        <w:t>Of course, teachers of statistics are drawn not only from mathematics but from many disciplines such as science, social science and the humanities. In such circumstances, it would not be surprising if the distinction were also unclear to the teacher</w:t>
      </w:r>
      <w:r w:rsidRPr="00AC2DCC">
        <w:rPr>
          <w:rFonts w:asciiTheme="majorBidi" w:hAnsiTheme="majorBidi" w:cstheme="majorBidi"/>
          <w:sz w:val="22"/>
          <w:szCs w:val="22"/>
        </w:rPr>
        <w:t>, and this is likely to be reflected in the design, choice or implementation of tasks.</w:t>
      </w:r>
    </w:p>
    <w:p w14:paraId="2EA80290" w14:textId="77777777" w:rsidR="00D01EC7" w:rsidRPr="00AC2DCC" w:rsidRDefault="00D01EC7" w:rsidP="00D26737">
      <w:pPr>
        <w:pStyle w:val="Body"/>
        <w:spacing w:before="120" w:line="480" w:lineRule="auto"/>
        <w:jc w:val="left"/>
        <w:rPr>
          <w:rFonts w:asciiTheme="majorBidi" w:hAnsiTheme="majorBidi" w:cstheme="majorBidi"/>
          <w:szCs w:val="22"/>
        </w:rPr>
      </w:pPr>
      <w:r w:rsidRPr="00AC2DCC">
        <w:rPr>
          <w:rFonts w:asciiTheme="majorBidi" w:hAnsiTheme="majorBidi" w:cstheme="majorBidi"/>
          <w:szCs w:val="22"/>
        </w:rPr>
        <w:t>In Game 1, the descriptive game, t</w:t>
      </w:r>
      <w:r w:rsidR="002651EA" w:rsidRPr="00AC2DCC">
        <w:rPr>
          <w:rFonts w:asciiTheme="majorBidi" w:hAnsiTheme="majorBidi" w:cstheme="majorBidi"/>
          <w:szCs w:val="22"/>
        </w:rPr>
        <w:t>here is no utility for sampling. But, i</w:t>
      </w:r>
      <w:r w:rsidRPr="00AC2DCC">
        <w:rPr>
          <w:rFonts w:asciiTheme="majorBidi" w:hAnsiTheme="majorBidi" w:cstheme="majorBidi"/>
          <w:szCs w:val="22"/>
        </w:rPr>
        <w:t>n Game 2</w:t>
      </w:r>
      <w:r w:rsidR="00B420E4" w:rsidRPr="00AC2DCC">
        <w:rPr>
          <w:rFonts w:asciiTheme="majorBidi" w:hAnsiTheme="majorBidi" w:cstheme="majorBidi"/>
          <w:szCs w:val="22"/>
        </w:rPr>
        <w:t>, the</w:t>
      </w:r>
      <w:r w:rsidRPr="00AC2DCC">
        <w:rPr>
          <w:rFonts w:asciiTheme="majorBidi" w:hAnsiTheme="majorBidi" w:cstheme="majorBidi"/>
          <w:szCs w:val="22"/>
        </w:rPr>
        <w:t xml:space="preserve"> inferential </w:t>
      </w:r>
      <w:r w:rsidR="00B420E4" w:rsidRPr="00AC2DCC">
        <w:rPr>
          <w:rFonts w:asciiTheme="majorBidi" w:hAnsiTheme="majorBidi" w:cstheme="majorBidi"/>
          <w:szCs w:val="22"/>
        </w:rPr>
        <w:t>game</w:t>
      </w:r>
      <w:r w:rsidRPr="00AC2DCC">
        <w:rPr>
          <w:rFonts w:asciiTheme="majorBidi" w:hAnsiTheme="majorBidi" w:cstheme="majorBidi"/>
          <w:szCs w:val="22"/>
        </w:rPr>
        <w:t>, we are able to categorise distinctive sampling situations:</w:t>
      </w:r>
    </w:p>
    <w:p w14:paraId="7E770D19" w14:textId="77777777" w:rsidR="00D01EC7" w:rsidRPr="00AC2DCC" w:rsidRDefault="00D01EC7" w:rsidP="00D26737">
      <w:pPr>
        <w:pStyle w:val="Body"/>
        <w:spacing w:before="120" w:line="480" w:lineRule="auto"/>
        <w:ind w:firstLine="720"/>
        <w:jc w:val="left"/>
        <w:rPr>
          <w:rFonts w:asciiTheme="majorBidi" w:hAnsiTheme="majorBidi" w:cstheme="majorBidi"/>
          <w:szCs w:val="22"/>
        </w:rPr>
      </w:pPr>
    </w:p>
    <w:p w14:paraId="383E8087" w14:textId="04F583C3" w:rsidR="00D01EC7" w:rsidRPr="00AC2DCC" w:rsidRDefault="00D01EC7" w:rsidP="00D26737">
      <w:pPr>
        <w:pStyle w:val="Body"/>
        <w:spacing w:before="120" w:line="480" w:lineRule="auto"/>
        <w:ind w:left="284" w:hanging="284"/>
        <w:jc w:val="left"/>
        <w:rPr>
          <w:rFonts w:asciiTheme="majorBidi" w:hAnsiTheme="majorBidi" w:cstheme="majorBidi"/>
          <w:i/>
          <w:iCs/>
          <w:szCs w:val="22"/>
        </w:rPr>
      </w:pPr>
      <w:r w:rsidRPr="00AC2DCC">
        <w:rPr>
          <w:rFonts w:asciiTheme="majorBidi" w:hAnsiTheme="majorBidi" w:cstheme="majorBidi"/>
          <w:i/>
          <w:iCs/>
          <w:szCs w:val="22"/>
        </w:rPr>
        <w:lastRenderedPageBreak/>
        <w:t>A.</w:t>
      </w:r>
      <w:r w:rsidR="009C1918" w:rsidRPr="00AC2DCC">
        <w:rPr>
          <w:rFonts w:asciiTheme="majorBidi" w:hAnsiTheme="majorBidi" w:cstheme="majorBidi"/>
          <w:i/>
          <w:iCs/>
          <w:szCs w:val="22"/>
        </w:rPr>
        <w:tab/>
      </w:r>
      <w:r w:rsidRPr="00AC2DCC">
        <w:rPr>
          <w:rFonts w:asciiTheme="majorBidi" w:hAnsiTheme="majorBidi" w:cstheme="majorBidi"/>
          <w:i/>
          <w:iCs/>
          <w:szCs w:val="22"/>
        </w:rPr>
        <w:t>Situations in which the population is material, finite and countable:</w:t>
      </w:r>
    </w:p>
    <w:p w14:paraId="50D58C0A" w14:textId="77777777" w:rsidR="00D01EC7" w:rsidRPr="00AC2DCC" w:rsidRDefault="00D01EC7" w:rsidP="00D26737">
      <w:pPr>
        <w:pStyle w:val="Body"/>
        <w:spacing w:before="120" w:line="480" w:lineRule="auto"/>
        <w:ind w:left="714" w:hanging="357"/>
        <w:jc w:val="left"/>
        <w:rPr>
          <w:rFonts w:asciiTheme="majorBidi" w:hAnsiTheme="majorBidi" w:cstheme="majorBidi"/>
          <w:szCs w:val="22"/>
        </w:rPr>
      </w:pPr>
      <w:proofErr w:type="spellStart"/>
      <w:r w:rsidRPr="00AC2DCC">
        <w:rPr>
          <w:rFonts w:asciiTheme="majorBidi" w:hAnsiTheme="majorBidi" w:cstheme="majorBidi"/>
          <w:szCs w:val="22"/>
        </w:rPr>
        <w:t>i</w:t>
      </w:r>
      <w:proofErr w:type="spellEnd"/>
      <w:r w:rsidRPr="00AC2DCC">
        <w:rPr>
          <w:rFonts w:asciiTheme="majorBidi" w:hAnsiTheme="majorBidi" w:cstheme="majorBidi"/>
          <w:szCs w:val="22"/>
        </w:rPr>
        <w:t>)</w:t>
      </w:r>
      <w:r w:rsidRPr="00AC2DCC">
        <w:rPr>
          <w:rFonts w:asciiTheme="majorBidi" w:hAnsiTheme="majorBidi" w:cstheme="majorBidi"/>
          <w:szCs w:val="22"/>
        </w:rPr>
        <w:tab/>
        <w:t>Typical ‘market research’ situations, where the population is finite but large and not easy to access so only countable in the imagination;</w:t>
      </w:r>
    </w:p>
    <w:p w14:paraId="2B6A4309" w14:textId="77777777" w:rsidR="00D01EC7" w:rsidRPr="00AC2DCC" w:rsidRDefault="00D01EC7" w:rsidP="00D26737">
      <w:pPr>
        <w:pStyle w:val="Body"/>
        <w:spacing w:before="120" w:line="480" w:lineRule="auto"/>
        <w:ind w:left="714" w:hanging="357"/>
        <w:jc w:val="left"/>
        <w:rPr>
          <w:rFonts w:asciiTheme="majorBidi" w:hAnsiTheme="majorBidi" w:cstheme="majorBidi"/>
          <w:szCs w:val="22"/>
        </w:rPr>
      </w:pPr>
      <w:r w:rsidRPr="00AC2DCC">
        <w:rPr>
          <w:rFonts w:asciiTheme="majorBidi" w:hAnsiTheme="majorBidi" w:cstheme="majorBidi"/>
          <w:szCs w:val="22"/>
        </w:rPr>
        <w:t>ii)</w:t>
      </w:r>
      <w:r w:rsidRPr="00AC2DCC">
        <w:rPr>
          <w:rFonts w:asciiTheme="majorBidi" w:hAnsiTheme="majorBidi" w:cstheme="majorBidi"/>
          <w:szCs w:val="22"/>
        </w:rPr>
        <w:tab/>
        <w:t>Typical ‘sweets in a bowl’ situations, where the population is finite, but contained (and so could be counted in practice).</w:t>
      </w:r>
    </w:p>
    <w:p w14:paraId="269A7D39" w14:textId="77777777" w:rsidR="00D01EC7" w:rsidRPr="00AC2DCC" w:rsidRDefault="00D01EC7" w:rsidP="00D26737">
      <w:pPr>
        <w:pStyle w:val="Body"/>
        <w:spacing w:before="120" w:line="480" w:lineRule="auto"/>
        <w:ind w:firstLine="720"/>
        <w:jc w:val="left"/>
        <w:rPr>
          <w:rFonts w:asciiTheme="majorBidi" w:hAnsiTheme="majorBidi" w:cstheme="majorBidi"/>
          <w:szCs w:val="22"/>
        </w:rPr>
      </w:pPr>
    </w:p>
    <w:p w14:paraId="0FC2BC17" w14:textId="77777777" w:rsidR="00D01EC7" w:rsidRPr="00AC2DCC" w:rsidRDefault="00D01EC7" w:rsidP="00D26737">
      <w:pPr>
        <w:pStyle w:val="Body"/>
        <w:spacing w:before="120" w:line="480" w:lineRule="auto"/>
        <w:ind w:left="284" w:hanging="284"/>
        <w:jc w:val="left"/>
        <w:rPr>
          <w:rFonts w:asciiTheme="majorBidi" w:hAnsiTheme="majorBidi" w:cstheme="majorBidi"/>
          <w:i/>
          <w:iCs/>
          <w:szCs w:val="22"/>
        </w:rPr>
      </w:pPr>
      <w:r w:rsidRPr="00AC2DCC">
        <w:rPr>
          <w:rFonts w:asciiTheme="majorBidi" w:hAnsiTheme="majorBidi" w:cstheme="majorBidi"/>
          <w:i/>
          <w:iCs/>
          <w:szCs w:val="22"/>
        </w:rPr>
        <w:t>B.</w:t>
      </w:r>
      <w:r w:rsidRPr="00AC2DCC">
        <w:rPr>
          <w:rFonts w:asciiTheme="majorBidi" w:hAnsiTheme="majorBidi" w:cstheme="majorBidi"/>
          <w:i/>
          <w:iCs/>
          <w:szCs w:val="22"/>
        </w:rPr>
        <w:tab/>
        <w:t>Situations in which the population is a mathematical formulation:</w:t>
      </w:r>
    </w:p>
    <w:p w14:paraId="3CB683AA" w14:textId="231E6DDF" w:rsidR="00D01EC7" w:rsidRPr="00AC2DCC" w:rsidRDefault="00D01EC7" w:rsidP="00D26737">
      <w:pPr>
        <w:pStyle w:val="Body"/>
        <w:spacing w:before="120" w:line="480" w:lineRule="auto"/>
        <w:ind w:left="714" w:hanging="357"/>
        <w:jc w:val="left"/>
        <w:rPr>
          <w:rFonts w:asciiTheme="majorBidi" w:hAnsiTheme="majorBidi" w:cstheme="majorBidi"/>
          <w:szCs w:val="22"/>
        </w:rPr>
      </w:pPr>
      <w:proofErr w:type="spellStart"/>
      <w:r w:rsidRPr="00AC2DCC">
        <w:rPr>
          <w:rFonts w:asciiTheme="majorBidi" w:hAnsiTheme="majorBidi" w:cstheme="majorBidi"/>
          <w:szCs w:val="22"/>
        </w:rPr>
        <w:t>i</w:t>
      </w:r>
      <w:proofErr w:type="spellEnd"/>
      <w:r w:rsidRPr="00AC2DCC">
        <w:rPr>
          <w:rFonts w:asciiTheme="majorBidi" w:hAnsiTheme="majorBidi" w:cstheme="majorBidi"/>
          <w:szCs w:val="22"/>
        </w:rPr>
        <w:t>)</w:t>
      </w:r>
      <w:r w:rsidRPr="00AC2DCC">
        <w:rPr>
          <w:rFonts w:asciiTheme="majorBidi" w:hAnsiTheme="majorBidi" w:cstheme="majorBidi"/>
          <w:szCs w:val="22"/>
        </w:rPr>
        <w:tab/>
        <w:t>Throwing a die or tossing a coin, where the ‘population’ is a probability distribution containing a set of possible outcomes and an associated probability; here the population does not have a material existence (unless transformed</w:t>
      </w:r>
      <w:r w:rsidR="00CA7C0C">
        <w:rPr>
          <w:rFonts w:asciiTheme="majorBidi" w:hAnsiTheme="majorBidi" w:cstheme="majorBidi"/>
          <w:szCs w:val="22"/>
        </w:rPr>
        <w:t xml:space="preserve"> into the </w:t>
      </w:r>
      <w:proofErr w:type="spellStart"/>
      <w:r w:rsidR="00CA7C0C">
        <w:rPr>
          <w:rFonts w:asciiTheme="majorBidi" w:hAnsiTheme="majorBidi" w:cstheme="majorBidi"/>
          <w:szCs w:val="22"/>
        </w:rPr>
        <w:t>Aii</w:t>
      </w:r>
      <w:proofErr w:type="spellEnd"/>
      <w:r w:rsidRPr="00AC2DCC">
        <w:rPr>
          <w:rFonts w:asciiTheme="majorBidi" w:hAnsiTheme="majorBidi" w:cstheme="majorBidi"/>
          <w:szCs w:val="22"/>
        </w:rPr>
        <w:t xml:space="preserve"> situation, as say </w:t>
      </w:r>
      <w:r w:rsidR="00CA7C0C">
        <w:rPr>
          <w:rFonts w:asciiTheme="majorBidi" w:hAnsiTheme="majorBidi" w:cstheme="majorBidi"/>
          <w:szCs w:val="22"/>
        </w:rPr>
        <w:t>when drawing balls from</w:t>
      </w:r>
      <w:r w:rsidRPr="00AC2DCC">
        <w:rPr>
          <w:rFonts w:asciiTheme="majorBidi" w:hAnsiTheme="majorBidi" w:cstheme="majorBidi"/>
          <w:szCs w:val="22"/>
        </w:rPr>
        <w:t xml:space="preserve"> an urn);</w:t>
      </w:r>
    </w:p>
    <w:p w14:paraId="40E5EB45" w14:textId="77777777" w:rsidR="00D01EC7" w:rsidRPr="00AC2DCC" w:rsidRDefault="00D01EC7" w:rsidP="00D26737">
      <w:pPr>
        <w:pStyle w:val="Body"/>
        <w:spacing w:before="120" w:line="480" w:lineRule="auto"/>
        <w:ind w:left="714" w:hanging="357"/>
        <w:jc w:val="left"/>
        <w:rPr>
          <w:rFonts w:asciiTheme="majorBidi" w:hAnsiTheme="majorBidi" w:cstheme="majorBidi"/>
          <w:szCs w:val="22"/>
        </w:rPr>
      </w:pPr>
      <w:r w:rsidRPr="00AC2DCC">
        <w:rPr>
          <w:rFonts w:asciiTheme="majorBidi" w:hAnsiTheme="majorBidi" w:cstheme="majorBidi"/>
          <w:szCs w:val="22"/>
        </w:rPr>
        <w:t>ii)</w:t>
      </w:r>
      <w:r w:rsidRPr="00AC2DCC">
        <w:rPr>
          <w:rFonts w:asciiTheme="majorBidi" w:hAnsiTheme="majorBidi" w:cstheme="majorBidi"/>
          <w:szCs w:val="22"/>
        </w:rPr>
        <w:tab/>
        <w:t>A scientific experiment, where the resulting measurements might be imagined prior to the experiment as a sample from an infinitely-densely packed continuum in the form of a probability density function.</w:t>
      </w:r>
    </w:p>
    <w:p w14:paraId="4F7FA017" w14:textId="77777777" w:rsidR="00D01EC7" w:rsidRPr="00AC2DCC" w:rsidRDefault="00D01EC7" w:rsidP="00D26737">
      <w:pPr>
        <w:pStyle w:val="Body"/>
        <w:spacing w:before="120" w:line="480" w:lineRule="auto"/>
        <w:ind w:firstLine="720"/>
        <w:jc w:val="left"/>
        <w:rPr>
          <w:rFonts w:asciiTheme="majorBidi" w:hAnsiTheme="majorBidi" w:cstheme="majorBidi"/>
          <w:szCs w:val="22"/>
        </w:rPr>
      </w:pPr>
    </w:p>
    <w:p w14:paraId="6E2D6D04" w14:textId="77777777" w:rsidR="00D01EC7" w:rsidRPr="00AC2DCC" w:rsidRDefault="00D01EC7" w:rsidP="00D26737">
      <w:pPr>
        <w:pStyle w:val="Body"/>
        <w:spacing w:before="120" w:line="480" w:lineRule="auto"/>
        <w:ind w:firstLine="720"/>
        <w:jc w:val="left"/>
        <w:rPr>
          <w:rFonts w:asciiTheme="majorBidi" w:hAnsiTheme="majorBidi" w:cstheme="majorBidi"/>
          <w:szCs w:val="22"/>
        </w:rPr>
      </w:pPr>
      <w:r w:rsidRPr="00AC2DCC">
        <w:rPr>
          <w:rFonts w:asciiTheme="majorBidi" w:hAnsiTheme="majorBidi" w:cstheme="majorBidi"/>
          <w:szCs w:val="22"/>
        </w:rPr>
        <w:t xml:space="preserve">From these four categories we might expect interestingly different kinds of answers to the question </w:t>
      </w:r>
      <w:r w:rsidRPr="00AC2DCC">
        <w:rPr>
          <w:rFonts w:asciiTheme="majorBidi" w:hAnsiTheme="majorBidi" w:cstheme="majorBidi"/>
          <w:i/>
          <w:szCs w:val="22"/>
        </w:rPr>
        <w:t>why look at a sample?</w:t>
      </w:r>
    </w:p>
    <w:p w14:paraId="5FBC2A69" w14:textId="77777777" w:rsidR="00D01EC7" w:rsidRPr="00AC2DCC" w:rsidRDefault="00D01EC7" w:rsidP="00D26737">
      <w:pPr>
        <w:pStyle w:val="Body"/>
        <w:numPr>
          <w:ilvl w:val="0"/>
          <w:numId w:val="1"/>
        </w:numPr>
        <w:spacing w:before="120" w:line="480" w:lineRule="auto"/>
        <w:ind w:left="714" w:hanging="357"/>
        <w:jc w:val="left"/>
        <w:rPr>
          <w:rFonts w:asciiTheme="majorBidi" w:hAnsiTheme="majorBidi" w:cstheme="majorBidi"/>
          <w:szCs w:val="22"/>
        </w:rPr>
      </w:pPr>
      <w:r w:rsidRPr="00AC2DCC">
        <w:rPr>
          <w:rFonts w:asciiTheme="majorBidi" w:hAnsiTheme="majorBidi" w:cstheme="majorBidi"/>
          <w:szCs w:val="22"/>
        </w:rPr>
        <w:t>For Ai), looking at the whole population is not possible, and so looking at a sample is the only access we have: we can imagine that sampling in this case may seem self-evidently purposeful and necessary, and its utility clear, even to a relatively naïve learner.</w:t>
      </w:r>
    </w:p>
    <w:p w14:paraId="50B3F701" w14:textId="77777777" w:rsidR="00D01EC7" w:rsidRPr="00AC2DCC" w:rsidRDefault="00D01EC7" w:rsidP="00D26737">
      <w:pPr>
        <w:pStyle w:val="Body"/>
        <w:numPr>
          <w:ilvl w:val="0"/>
          <w:numId w:val="1"/>
        </w:numPr>
        <w:spacing w:before="120" w:line="480" w:lineRule="auto"/>
        <w:ind w:left="714" w:hanging="357"/>
        <w:jc w:val="left"/>
        <w:rPr>
          <w:rFonts w:asciiTheme="majorBidi" w:hAnsiTheme="majorBidi" w:cstheme="majorBidi"/>
          <w:szCs w:val="22"/>
        </w:rPr>
      </w:pPr>
      <w:r w:rsidRPr="00AC2DCC">
        <w:rPr>
          <w:rFonts w:asciiTheme="majorBidi" w:hAnsiTheme="majorBidi" w:cstheme="majorBidi"/>
          <w:szCs w:val="22"/>
        </w:rPr>
        <w:t xml:space="preserve">For </w:t>
      </w:r>
      <w:proofErr w:type="spellStart"/>
      <w:r w:rsidRPr="00AC2DCC">
        <w:rPr>
          <w:rFonts w:asciiTheme="majorBidi" w:hAnsiTheme="majorBidi" w:cstheme="majorBidi"/>
          <w:szCs w:val="22"/>
        </w:rPr>
        <w:t>Aii</w:t>
      </w:r>
      <w:proofErr w:type="spellEnd"/>
      <w:r w:rsidRPr="00AC2DCC">
        <w:rPr>
          <w:rFonts w:asciiTheme="majorBidi" w:hAnsiTheme="majorBidi" w:cstheme="majorBidi"/>
          <w:szCs w:val="22"/>
        </w:rPr>
        <w:t>), sampling seems less purposeful: we could empty out the whole bowl and separate out the different colours. Sampling here might seem artificial, and its utility is not clear. However, as a pedagogic task the fact that the whole population can be accessed provides opportunities to highlight features of the sampling process.</w:t>
      </w:r>
    </w:p>
    <w:p w14:paraId="2CA8D4BD" w14:textId="170A1E43" w:rsidR="009C1918" w:rsidRDefault="00D01EC7" w:rsidP="00D26737">
      <w:pPr>
        <w:pStyle w:val="Body"/>
        <w:numPr>
          <w:ilvl w:val="0"/>
          <w:numId w:val="1"/>
        </w:numPr>
        <w:spacing w:before="120" w:line="480" w:lineRule="auto"/>
        <w:ind w:left="714" w:hanging="357"/>
        <w:jc w:val="left"/>
        <w:rPr>
          <w:rFonts w:asciiTheme="majorBidi" w:hAnsiTheme="majorBidi" w:cstheme="majorBidi"/>
          <w:szCs w:val="22"/>
        </w:rPr>
      </w:pPr>
      <w:r w:rsidRPr="00AC2DCC">
        <w:rPr>
          <w:rFonts w:asciiTheme="majorBidi" w:hAnsiTheme="majorBidi" w:cstheme="majorBidi"/>
          <w:szCs w:val="22"/>
        </w:rPr>
        <w:lastRenderedPageBreak/>
        <w:t>For Bi), theoretically we know about the population, and so there appears to be no purpose for sampling. Sampling here may also have a pedagogic purpose, but in order to give the task purpose for learners, and allow them to appreciate the utility of sampling, some additional factor must be introduced, such as conjecturing a biased die.</w:t>
      </w:r>
    </w:p>
    <w:p w14:paraId="60616C77" w14:textId="77777777" w:rsidR="00D01EC7" w:rsidRPr="00AC2DCC" w:rsidRDefault="00D01EC7" w:rsidP="00D26737">
      <w:pPr>
        <w:pStyle w:val="Body"/>
        <w:numPr>
          <w:ilvl w:val="0"/>
          <w:numId w:val="1"/>
        </w:numPr>
        <w:spacing w:before="120" w:line="480" w:lineRule="auto"/>
        <w:ind w:left="714" w:hanging="357"/>
        <w:jc w:val="left"/>
        <w:rPr>
          <w:rFonts w:asciiTheme="majorBidi" w:hAnsiTheme="majorBidi" w:cstheme="majorBidi"/>
          <w:szCs w:val="22"/>
        </w:rPr>
      </w:pPr>
      <w:r w:rsidRPr="00AC2DCC">
        <w:rPr>
          <w:rFonts w:asciiTheme="majorBidi" w:hAnsiTheme="majorBidi" w:cstheme="majorBidi"/>
          <w:szCs w:val="22"/>
        </w:rPr>
        <w:t xml:space="preserve">For </w:t>
      </w:r>
      <w:proofErr w:type="spellStart"/>
      <w:r w:rsidRPr="00AC2DCC">
        <w:rPr>
          <w:rFonts w:asciiTheme="majorBidi" w:hAnsiTheme="majorBidi" w:cstheme="majorBidi"/>
          <w:szCs w:val="22"/>
        </w:rPr>
        <w:t>Bii</w:t>
      </w:r>
      <w:proofErr w:type="spellEnd"/>
      <w:r w:rsidRPr="00AC2DCC">
        <w:rPr>
          <w:rFonts w:asciiTheme="majorBidi" w:hAnsiTheme="majorBidi" w:cstheme="majorBidi"/>
          <w:szCs w:val="22"/>
        </w:rPr>
        <w:t>), the population is genuinely not known, but the situation might not be seen as essentially statistical. What is the purpose of taking more than one measurement under the same conditions? We know that in many UK science classrooms ‘do it three times and take an average’ is a mantra for teachers; a pragmatic response to the ‘problem’ of variability. However, the purpose for sampling that this represents might be no more than an automatic response that is not founded upon a true sense of the utility for sampling.</w:t>
      </w:r>
    </w:p>
    <w:p w14:paraId="148B0778" w14:textId="77777777" w:rsidR="00D01EC7" w:rsidRPr="00AC2DCC" w:rsidRDefault="00D01EC7" w:rsidP="00D26737">
      <w:pPr>
        <w:pStyle w:val="Body"/>
        <w:spacing w:before="120" w:line="480" w:lineRule="auto"/>
        <w:jc w:val="left"/>
        <w:rPr>
          <w:rFonts w:asciiTheme="majorBidi" w:hAnsiTheme="majorBidi" w:cstheme="majorBidi"/>
          <w:szCs w:val="22"/>
        </w:rPr>
      </w:pPr>
    </w:p>
    <w:p w14:paraId="67125D55" w14:textId="466B99E1" w:rsidR="00C90C29" w:rsidRPr="00AC2DCC" w:rsidRDefault="00D01EC7" w:rsidP="00D26737">
      <w:pPr>
        <w:pStyle w:val="Body"/>
        <w:spacing w:before="120" w:line="480" w:lineRule="auto"/>
        <w:ind w:firstLine="720"/>
        <w:jc w:val="left"/>
        <w:rPr>
          <w:rFonts w:asciiTheme="majorBidi" w:hAnsiTheme="majorBidi" w:cstheme="majorBidi"/>
          <w:szCs w:val="22"/>
        </w:rPr>
      </w:pPr>
      <w:r w:rsidRPr="00AC2DCC">
        <w:rPr>
          <w:rFonts w:asciiTheme="majorBidi" w:hAnsiTheme="majorBidi" w:cstheme="majorBidi"/>
          <w:szCs w:val="22"/>
        </w:rPr>
        <w:t xml:space="preserve">From this categorisation, we make two important and connected observations. The first is that the two categories which appear to provide opportunities to appreciate the utility of sampling are Ai) and </w:t>
      </w:r>
      <w:proofErr w:type="spellStart"/>
      <w:r w:rsidRPr="00AC2DCC">
        <w:rPr>
          <w:rFonts w:asciiTheme="majorBidi" w:hAnsiTheme="majorBidi" w:cstheme="majorBidi"/>
          <w:szCs w:val="22"/>
        </w:rPr>
        <w:t>Bii</w:t>
      </w:r>
      <w:proofErr w:type="spellEnd"/>
      <w:r w:rsidRPr="00AC2DCC">
        <w:rPr>
          <w:rFonts w:asciiTheme="majorBidi" w:hAnsiTheme="majorBidi" w:cstheme="majorBidi"/>
          <w:szCs w:val="22"/>
        </w:rPr>
        <w:t xml:space="preserve">), whilst those most likely to be used pedagogically to teach about sampling are </w:t>
      </w:r>
      <w:proofErr w:type="spellStart"/>
      <w:r w:rsidRPr="00AC2DCC">
        <w:rPr>
          <w:rFonts w:asciiTheme="majorBidi" w:hAnsiTheme="majorBidi" w:cstheme="majorBidi"/>
          <w:szCs w:val="22"/>
        </w:rPr>
        <w:t>Aii</w:t>
      </w:r>
      <w:proofErr w:type="spellEnd"/>
      <w:r w:rsidRPr="00AC2DCC">
        <w:rPr>
          <w:rFonts w:asciiTheme="majorBidi" w:hAnsiTheme="majorBidi" w:cstheme="majorBidi"/>
          <w:szCs w:val="22"/>
        </w:rPr>
        <w:t>) and Bi).</w:t>
      </w:r>
    </w:p>
    <w:p w14:paraId="79A386D0" w14:textId="3DF460DA" w:rsidR="009C1918" w:rsidRDefault="00D01EC7" w:rsidP="00E83422">
      <w:pPr>
        <w:pStyle w:val="Body"/>
        <w:spacing w:before="120" w:line="480" w:lineRule="auto"/>
        <w:ind w:firstLine="720"/>
        <w:jc w:val="left"/>
        <w:rPr>
          <w:rFonts w:asciiTheme="majorBidi" w:hAnsiTheme="majorBidi" w:cstheme="majorBidi"/>
          <w:szCs w:val="22"/>
        </w:rPr>
      </w:pPr>
      <w:r w:rsidRPr="00AC2DCC">
        <w:rPr>
          <w:rFonts w:asciiTheme="majorBidi" w:hAnsiTheme="majorBidi" w:cstheme="majorBidi"/>
          <w:szCs w:val="22"/>
        </w:rPr>
        <w:t xml:space="preserve">Our second observation is that whilst the statistician may see all four of these categories as instances of sampling, and indeed see them as equivalent to each other, this similarity may not be apparent to learners. Arguably, professional statisticians have become so enculturated into sampling that they are able to focus exclusively on sampling as an entity. However, it is reasonable to suppose that learners’ knowledge is more likely to be situated in the reasons for sampling activity. </w:t>
      </w:r>
      <w:r w:rsidR="00E44052">
        <w:rPr>
          <w:rFonts w:asciiTheme="majorBidi" w:hAnsiTheme="majorBidi" w:cstheme="majorBidi"/>
          <w:szCs w:val="22"/>
        </w:rPr>
        <w:t>We make this assertion from the perspective of Constru</w:t>
      </w:r>
      <w:r w:rsidR="00EB437D">
        <w:rPr>
          <w:rFonts w:asciiTheme="majorBidi" w:hAnsiTheme="majorBidi" w:cstheme="majorBidi"/>
          <w:szCs w:val="22"/>
        </w:rPr>
        <w:t xml:space="preserve">ctionism (Harel </w:t>
      </w:r>
      <w:r w:rsidR="00E83422">
        <w:rPr>
          <w:rFonts w:asciiTheme="majorBidi" w:hAnsiTheme="majorBidi" w:cstheme="majorBidi"/>
          <w:szCs w:val="22"/>
        </w:rPr>
        <w:t xml:space="preserve">&amp; </w:t>
      </w:r>
      <w:r w:rsidR="00EB437D">
        <w:rPr>
          <w:rFonts w:asciiTheme="majorBidi" w:hAnsiTheme="majorBidi" w:cstheme="majorBidi"/>
          <w:szCs w:val="22"/>
        </w:rPr>
        <w:t>Papert, 1991</w:t>
      </w:r>
      <w:r w:rsidR="00E44052">
        <w:rPr>
          <w:rFonts w:asciiTheme="majorBidi" w:hAnsiTheme="majorBidi" w:cstheme="majorBidi"/>
          <w:szCs w:val="22"/>
        </w:rPr>
        <w:t xml:space="preserve">) and Inferentialism </w:t>
      </w:r>
      <w:r w:rsidRPr="00AC2DCC">
        <w:rPr>
          <w:rFonts w:asciiTheme="majorBidi" w:hAnsiTheme="majorBidi" w:cstheme="majorBidi"/>
          <w:szCs w:val="22"/>
        </w:rPr>
        <w:t>(Brandom, 2002</w:t>
      </w:r>
      <w:r w:rsidR="00E44052">
        <w:rPr>
          <w:rFonts w:asciiTheme="majorBidi" w:hAnsiTheme="majorBidi" w:cstheme="majorBidi"/>
          <w:szCs w:val="22"/>
        </w:rPr>
        <w:t xml:space="preserve">, Bakker </w:t>
      </w:r>
      <w:r w:rsidR="00E83422">
        <w:rPr>
          <w:rFonts w:asciiTheme="majorBidi" w:hAnsiTheme="majorBidi" w:cstheme="majorBidi"/>
          <w:szCs w:val="22"/>
        </w:rPr>
        <w:t xml:space="preserve">&amp; </w:t>
      </w:r>
      <w:r w:rsidR="00E44052">
        <w:rPr>
          <w:rFonts w:asciiTheme="majorBidi" w:hAnsiTheme="majorBidi" w:cstheme="majorBidi"/>
          <w:szCs w:val="22"/>
        </w:rPr>
        <w:t>Derry, 2011</w:t>
      </w:r>
      <w:r w:rsidRPr="00AC2DCC">
        <w:rPr>
          <w:rFonts w:asciiTheme="majorBidi" w:hAnsiTheme="majorBidi" w:cstheme="majorBidi"/>
          <w:szCs w:val="22"/>
        </w:rPr>
        <w:t>).</w:t>
      </w:r>
      <w:r w:rsidR="009C1918">
        <w:rPr>
          <w:rFonts w:asciiTheme="majorBidi" w:hAnsiTheme="majorBidi" w:cstheme="majorBidi"/>
          <w:szCs w:val="22"/>
        </w:rPr>
        <w:t xml:space="preserve"> </w:t>
      </w:r>
      <w:r w:rsidR="006B7284">
        <w:rPr>
          <w:rFonts w:asciiTheme="majorBidi" w:hAnsiTheme="majorBidi" w:cstheme="majorBidi"/>
          <w:szCs w:val="22"/>
        </w:rPr>
        <w:t>The former would advocate that tasks encourage using statistics in order to come to know st</w:t>
      </w:r>
      <w:r w:rsidR="00DA6FDD">
        <w:rPr>
          <w:rFonts w:asciiTheme="majorBidi" w:hAnsiTheme="majorBidi" w:cstheme="majorBidi"/>
          <w:szCs w:val="22"/>
        </w:rPr>
        <w:t>atistics so that students are f</w:t>
      </w:r>
      <w:r w:rsidR="006B7284">
        <w:rPr>
          <w:rFonts w:asciiTheme="majorBidi" w:hAnsiTheme="majorBidi" w:cstheme="majorBidi"/>
          <w:szCs w:val="22"/>
        </w:rPr>
        <w:t>r</w:t>
      </w:r>
      <w:r w:rsidR="00DA6FDD">
        <w:rPr>
          <w:rFonts w:asciiTheme="majorBidi" w:hAnsiTheme="majorBidi" w:cstheme="majorBidi"/>
          <w:szCs w:val="22"/>
        </w:rPr>
        <w:t>o</w:t>
      </w:r>
      <w:r w:rsidR="006B7284">
        <w:rPr>
          <w:rFonts w:asciiTheme="majorBidi" w:hAnsiTheme="majorBidi" w:cstheme="majorBidi"/>
          <w:szCs w:val="22"/>
        </w:rPr>
        <w:t xml:space="preserve">m the start engaged with the reasons for the activity. The latter would position knowledge in the inferential actions of the students as they give and </w:t>
      </w:r>
      <w:r w:rsidR="006B7284">
        <w:rPr>
          <w:rFonts w:asciiTheme="majorBidi" w:hAnsiTheme="majorBidi" w:cstheme="majorBidi"/>
          <w:szCs w:val="22"/>
        </w:rPr>
        <w:lastRenderedPageBreak/>
        <w:t xml:space="preserve">ask reasons, thus prioritising the inferential role over that of representations. </w:t>
      </w:r>
      <w:r w:rsidRPr="00AC2DCC">
        <w:rPr>
          <w:rFonts w:asciiTheme="majorBidi" w:hAnsiTheme="majorBidi" w:cstheme="majorBidi"/>
          <w:szCs w:val="22"/>
        </w:rPr>
        <w:t>We argue that learners might in fact identify quite different purposes for the activity in the above types of task and therefore foreground differences that statisticians have, in a sense, forgotten or at least learned to ignore.</w:t>
      </w:r>
    </w:p>
    <w:p w14:paraId="1177C550" w14:textId="487AAD6F" w:rsidR="009C1918" w:rsidRDefault="00D01EC7" w:rsidP="00D26737">
      <w:pPr>
        <w:pStyle w:val="Body"/>
        <w:spacing w:before="120" w:line="480" w:lineRule="auto"/>
        <w:ind w:firstLine="720"/>
        <w:jc w:val="left"/>
        <w:rPr>
          <w:rFonts w:asciiTheme="majorBidi" w:hAnsiTheme="majorBidi" w:cstheme="majorBidi"/>
          <w:szCs w:val="22"/>
        </w:rPr>
      </w:pPr>
      <w:r w:rsidRPr="00AC2DCC">
        <w:rPr>
          <w:rFonts w:asciiTheme="majorBidi" w:hAnsiTheme="majorBidi" w:cstheme="majorBidi"/>
          <w:szCs w:val="22"/>
        </w:rPr>
        <w:t xml:space="preserve">We notice in our reading of the papers in this volume that </w:t>
      </w:r>
      <w:r w:rsidR="00E70A06" w:rsidRPr="00AC2DCC">
        <w:rPr>
          <w:rFonts w:asciiTheme="majorBidi" w:hAnsiTheme="majorBidi" w:cstheme="majorBidi"/>
          <w:szCs w:val="22"/>
        </w:rPr>
        <w:t xml:space="preserve">where tasks are described in detail, </w:t>
      </w:r>
      <w:r w:rsidRPr="00AC2DCC">
        <w:rPr>
          <w:rFonts w:asciiTheme="majorBidi" w:hAnsiTheme="majorBidi" w:cstheme="majorBidi"/>
          <w:szCs w:val="22"/>
        </w:rPr>
        <w:t xml:space="preserve">the majority can be described in our categorisation as Ai, where the context is some form of sampling from a large population. </w:t>
      </w:r>
      <w:r w:rsidR="00EC313D">
        <w:rPr>
          <w:rFonts w:asciiTheme="majorBidi" w:hAnsiTheme="majorBidi" w:cstheme="majorBidi"/>
          <w:szCs w:val="22"/>
        </w:rPr>
        <w:t>In</w:t>
      </w:r>
      <w:r w:rsidR="00E70A06" w:rsidRPr="00AC2DCC">
        <w:rPr>
          <w:rFonts w:asciiTheme="majorBidi" w:hAnsiTheme="majorBidi" w:cstheme="majorBidi"/>
          <w:szCs w:val="22"/>
        </w:rPr>
        <w:t xml:space="preserve"> other cases, for example in Pfannkuch, Wild and Arnold’s paper in which the focus is on comparing pairs of data sets, we assume that the data has arisen from Ai type situations. In other cases</w:t>
      </w:r>
      <w:r w:rsidR="00EC313D">
        <w:rPr>
          <w:rFonts w:asciiTheme="majorBidi" w:hAnsiTheme="majorBidi" w:cstheme="majorBidi"/>
          <w:szCs w:val="22"/>
        </w:rPr>
        <w:t>,</w:t>
      </w:r>
      <w:r w:rsidR="00E70A06" w:rsidRPr="00AC2DCC">
        <w:rPr>
          <w:rFonts w:asciiTheme="majorBidi" w:hAnsiTheme="majorBidi" w:cstheme="majorBidi"/>
          <w:szCs w:val="22"/>
        </w:rPr>
        <w:t xml:space="preserve"> where the design of the whole tasks is indicated</w:t>
      </w:r>
      <w:r w:rsidR="00EC313D">
        <w:rPr>
          <w:rFonts w:asciiTheme="majorBidi" w:hAnsiTheme="majorBidi" w:cstheme="majorBidi"/>
          <w:szCs w:val="22"/>
        </w:rPr>
        <w:t>, we notice that a variety of</w:t>
      </w:r>
      <w:r w:rsidR="00E70A06" w:rsidRPr="00AC2DCC">
        <w:rPr>
          <w:rFonts w:asciiTheme="majorBidi" w:hAnsiTheme="majorBidi" w:cstheme="majorBidi"/>
          <w:szCs w:val="22"/>
        </w:rPr>
        <w:t xml:space="preserve"> situations</w:t>
      </w:r>
      <w:r w:rsidR="00EC313D">
        <w:rPr>
          <w:rFonts w:asciiTheme="majorBidi" w:hAnsiTheme="majorBidi" w:cstheme="majorBidi"/>
          <w:szCs w:val="22"/>
        </w:rPr>
        <w:t>, from the perspective of the above analysis, is used, which could be potentially confusing for students.</w:t>
      </w:r>
    </w:p>
    <w:p w14:paraId="3AD94955" w14:textId="56FDC8D0" w:rsidR="009C1918" w:rsidRDefault="00D01EC7" w:rsidP="00D26737">
      <w:pPr>
        <w:pStyle w:val="Body"/>
        <w:spacing w:before="120" w:line="480" w:lineRule="auto"/>
        <w:ind w:firstLine="720"/>
        <w:jc w:val="left"/>
        <w:rPr>
          <w:rFonts w:asciiTheme="majorBidi" w:hAnsiTheme="majorBidi" w:cstheme="majorBidi"/>
          <w:szCs w:val="22"/>
        </w:rPr>
      </w:pPr>
      <w:r w:rsidRPr="00AC2DCC">
        <w:rPr>
          <w:rFonts w:asciiTheme="majorBidi" w:hAnsiTheme="majorBidi" w:cstheme="majorBidi"/>
          <w:szCs w:val="22"/>
        </w:rPr>
        <w:t>Meletiou-Mavrotheris and Paparistodemou report on the use of a sequence of tasks, based on a hypothetical learning trajectory, in which the emphasis is clearly on pupils learning about ‘the purpose</w:t>
      </w:r>
      <w:r w:rsidRPr="00AC2DCC">
        <w:rPr>
          <w:rStyle w:val="FootnoteReference"/>
          <w:rFonts w:asciiTheme="majorBidi" w:hAnsiTheme="majorBidi" w:cstheme="majorBidi"/>
          <w:szCs w:val="22"/>
        </w:rPr>
        <w:footnoteReference w:id="2"/>
      </w:r>
      <w:r w:rsidRPr="00AC2DCC">
        <w:rPr>
          <w:rFonts w:asciiTheme="majorBidi" w:hAnsiTheme="majorBidi" w:cstheme="majorBidi"/>
          <w:szCs w:val="22"/>
        </w:rPr>
        <w:t xml:space="preserve"> and usefuln</w:t>
      </w:r>
      <w:r w:rsidR="002651EA" w:rsidRPr="00AC2DCC">
        <w:rPr>
          <w:rFonts w:asciiTheme="majorBidi" w:hAnsiTheme="majorBidi" w:cstheme="majorBidi"/>
          <w:szCs w:val="22"/>
        </w:rPr>
        <w:t>ess of sampling’ (</w:t>
      </w:r>
      <w:r w:rsidR="00896020">
        <w:rPr>
          <w:rFonts w:asciiTheme="majorBidi" w:hAnsiTheme="majorBidi" w:cstheme="majorBidi"/>
          <w:szCs w:val="22"/>
        </w:rPr>
        <w:t>this Special Issue</w:t>
      </w:r>
      <w:r w:rsidRPr="00AC2DCC">
        <w:rPr>
          <w:rFonts w:asciiTheme="majorBidi" w:hAnsiTheme="majorBidi" w:cstheme="majorBidi"/>
          <w:szCs w:val="22"/>
        </w:rPr>
        <w:t xml:space="preserve">). The task sequence is composed of a mixture of type Ai and type </w:t>
      </w:r>
      <w:proofErr w:type="spellStart"/>
      <w:r w:rsidRPr="00AC2DCC">
        <w:rPr>
          <w:rFonts w:asciiTheme="majorBidi" w:hAnsiTheme="majorBidi" w:cstheme="majorBidi"/>
          <w:szCs w:val="22"/>
        </w:rPr>
        <w:t>Aii</w:t>
      </w:r>
      <w:proofErr w:type="spellEnd"/>
      <w:r w:rsidRPr="00AC2DCC">
        <w:rPr>
          <w:rFonts w:asciiTheme="majorBidi" w:hAnsiTheme="majorBidi" w:cstheme="majorBidi"/>
          <w:szCs w:val="22"/>
        </w:rPr>
        <w:t xml:space="preserve"> tasks, and also a coin tossing activity (Bi) which is introduced to highlight ideas about random samples. Interestingly, despite the emphasis on sampling, when the children were given the freedom to design their own investigation, some chose to investigate an issue within their own school and, quite reasonably, thought that the best approach was to survey </w:t>
      </w:r>
      <w:r w:rsidR="00B420E4" w:rsidRPr="00AC2DCC">
        <w:rPr>
          <w:rFonts w:asciiTheme="majorBidi" w:hAnsiTheme="majorBidi" w:cstheme="majorBidi"/>
          <w:szCs w:val="22"/>
        </w:rPr>
        <w:t xml:space="preserve">the whole population of </w:t>
      </w:r>
      <w:r w:rsidRPr="00AC2DCC">
        <w:rPr>
          <w:rFonts w:asciiTheme="majorBidi" w:hAnsiTheme="majorBidi" w:cstheme="majorBidi"/>
          <w:szCs w:val="22"/>
        </w:rPr>
        <w:t>all the children.</w:t>
      </w:r>
    </w:p>
    <w:p w14:paraId="6E39DA35" w14:textId="100D216B" w:rsidR="00D01EC7" w:rsidRPr="00AC2DCC" w:rsidRDefault="00D01EC7" w:rsidP="00D26737">
      <w:pPr>
        <w:pStyle w:val="Body"/>
        <w:spacing w:before="120" w:line="480" w:lineRule="auto"/>
        <w:ind w:firstLine="720"/>
        <w:jc w:val="left"/>
        <w:rPr>
          <w:rFonts w:asciiTheme="majorBidi" w:hAnsiTheme="majorBidi" w:cstheme="majorBidi"/>
          <w:szCs w:val="22"/>
        </w:rPr>
      </w:pPr>
      <w:r w:rsidRPr="00AC2DCC">
        <w:rPr>
          <w:rFonts w:asciiTheme="majorBidi" w:hAnsiTheme="majorBidi" w:cstheme="majorBidi"/>
          <w:szCs w:val="22"/>
        </w:rPr>
        <w:t xml:space="preserve">There is clearly a pedagogic dilemma here. The researchers’ intention in introducing an open-ended opportunity for the children to design and carry out their own study was to engage them in the experience of genuine data collection and analysis, </w:t>
      </w:r>
      <w:r w:rsidR="00342B33" w:rsidRPr="00AC2DCC">
        <w:rPr>
          <w:rFonts w:asciiTheme="majorBidi" w:hAnsiTheme="majorBidi" w:cstheme="majorBidi"/>
          <w:szCs w:val="22"/>
        </w:rPr>
        <w:t>which would ‘support students’ emerging views of samples and sampling’</w:t>
      </w:r>
      <w:r w:rsidRPr="00AC2DCC">
        <w:rPr>
          <w:rFonts w:asciiTheme="majorBidi" w:hAnsiTheme="majorBidi" w:cstheme="majorBidi"/>
          <w:szCs w:val="22"/>
        </w:rPr>
        <w:t xml:space="preserve"> (</w:t>
      </w:r>
      <w:r w:rsidR="00896020">
        <w:rPr>
          <w:rFonts w:asciiTheme="majorBidi" w:hAnsiTheme="majorBidi" w:cstheme="majorBidi"/>
          <w:szCs w:val="22"/>
        </w:rPr>
        <w:t>this Special Issue</w:t>
      </w:r>
      <w:r w:rsidRPr="00AC2DCC">
        <w:rPr>
          <w:rFonts w:asciiTheme="majorBidi" w:hAnsiTheme="majorBidi" w:cstheme="majorBidi"/>
          <w:szCs w:val="22"/>
        </w:rPr>
        <w:t xml:space="preserve">). Focusing on a question of real interest to them, the children then designed a study which could be carried </w:t>
      </w:r>
      <w:r w:rsidRPr="00AC2DCC">
        <w:rPr>
          <w:rFonts w:asciiTheme="majorBidi" w:hAnsiTheme="majorBidi" w:cstheme="majorBidi"/>
          <w:szCs w:val="22"/>
        </w:rPr>
        <w:lastRenderedPageBreak/>
        <w:t>out without sampling, and the teacher had to impose artificial restrictions on their activity in order to retrieve the focus on samples. Meletiou-Mavrotheris and Paparistodemou recognise this dilemma and address it by including a comment on the need to scaffold children</w:t>
      </w:r>
      <w:r w:rsidR="00342B33" w:rsidRPr="00AC2DCC">
        <w:rPr>
          <w:rFonts w:asciiTheme="majorBidi" w:hAnsiTheme="majorBidi" w:cstheme="majorBidi"/>
          <w:szCs w:val="22"/>
        </w:rPr>
        <w:t>’s</w:t>
      </w:r>
      <w:r w:rsidRPr="00AC2DCC">
        <w:rPr>
          <w:rFonts w:asciiTheme="majorBidi" w:hAnsiTheme="majorBidi" w:cstheme="majorBidi"/>
          <w:szCs w:val="22"/>
        </w:rPr>
        <w:t xml:space="preserve"> choices towards studies involving larger populations in the revised learning trajectory. Whilst this offers one way to ensure that pedagogic opportunities to focus on sampling are not lost, we suggest an alternative perspective. Part of what is involved in understanding the </w:t>
      </w:r>
      <w:r w:rsidRPr="00AC2DCC">
        <w:rPr>
          <w:rFonts w:asciiTheme="majorBidi" w:hAnsiTheme="majorBidi" w:cstheme="majorBidi"/>
          <w:i/>
          <w:szCs w:val="22"/>
        </w:rPr>
        <w:t>utility</w:t>
      </w:r>
      <w:r w:rsidRPr="00AC2DCC">
        <w:rPr>
          <w:rFonts w:asciiTheme="majorBidi" w:hAnsiTheme="majorBidi" w:cstheme="majorBidi"/>
          <w:szCs w:val="22"/>
        </w:rPr>
        <w:t xml:space="preserve"> of sampling is recognising situations in which it may not be the most appropriate way to collect data if you really want to know about a population. Structuring all experiences of data-based inquiry to include the use of samples may therefore be counter-productive. The careful design of tasks might therefore support students in recognising the utility of sampling, or indeed to recognise situations in which sampling has no utility.</w:t>
      </w:r>
    </w:p>
    <w:p w14:paraId="3C75178B" w14:textId="44A37F89" w:rsidR="00D01EC7" w:rsidRPr="00AC2DCC" w:rsidRDefault="006321E0" w:rsidP="00D26737">
      <w:pPr>
        <w:pStyle w:val="Body"/>
        <w:spacing w:before="120" w:line="480" w:lineRule="auto"/>
        <w:ind w:firstLine="720"/>
        <w:jc w:val="left"/>
        <w:rPr>
          <w:rFonts w:asciiTheme="majorBidi" w:hAnsiTheme="majorBidi" w:cstheme="majorBidi"/>
          <w:szCs w:val="22"/>
        </w:rPr>
      </w:pPr>
      <w:r w:rsidRPr="00AC2DCC">
        <w:rPr>
          <w:rFonts w:asciiTheme="majorBidi" w:hAnsiTheme="majorBidi" w:cstheme="majorBidi"/>
          <w:szCs w:val="22"/>
        </w:rPr>
        <w:t>Garfield, Le, Zieffler and Ben-Zvi</w:t>
      </w:r>
      <w:r w:rsidR="00D01EC7" w:rsidRPr="00AC2DCC">
        <w:rPr>
          <w:rFonts w:asciiTheme="majorBidi" w:hAnsiTheme="majorBidi" w:cstheme="majorBidi"/>
          <w:szCs w:val="22"/>
        </w:rPr>
        <w:t xml:space="preserve"> consider task design from the perspective</w:t>
      </w:r>
      <w:r w:rsidR="00342B33" w:rsidRPr="00AC2DCC">
        <w:rPr>
          <w:rFonts w:asciiTheme="majorBidi" w:hAnsiTheme="majorBidi" w:cstheme="majorBidi"/>
          <w:szCs w:val="22"/>
        </w:rPr>
        <w:t xml:space="preserve"> </w:t>
      </w:r>
      <w:r w:rsidR="00CB7580" w:rsidRPr="00AC2DCC">
        <w:rPr>
          <w:rFonts w:asciiTheme="majorBidi" w:hAnsiTheme="majorBidi" w:cstheme="majorBidi"/>
          <w:szCs w:val="22"/>
        </w:rPr>
        <w:t xml:space="preserve">of the novice and the expert </w:t>
      </w:r>
      <w:r w:rsidR="00342B33" w:rsidRPr="00AC2DCC">
        <w:rPr>
          <w:rFonts w:asciiTheme="majorBidi" w:hAnsiTheme="majorBidi" w:cstheme="majorBidi"/>
          <w:szCs w:val="22"/>
        </w:rPr>
        <w:t>on sampling</w:t>
      </w:r>
      <w:r w:rsidRPr="00AC2DCC">
        <w:rPr>
          <w:rFonts w:asciiTheme="majorBidi" w:hAnsiTheme="majorBidi" w:cstheme="majorBidi"/>
          <w:szCs w:val="22"/>
        </w:rPr>
        <w:t xml:space="preserve">. </w:t>
      </w:r>
      <w:r w:rsidR="00B51212" w:rsidRPr="00AC2DCC">
        <w:rPr>
          <w:rFonts w:asciiTheme="majorBidi" w:hAnsiTheme="majorBidi" w:cstheme="majorBidi"/>
          <w:szCs w:val="22"/>
        </w:rPr>
        <w:t>The</w:t>
      </w:r>
      <w:r w:rsidRPr="00AC2DCC">
        <w:rPr>
          <w:rFonts w:asciiTheme="majorBidi" w:hAnsiTheme="majorBidi" w:cstheme="majorBidi"/>
          <w:szCs w:val="22"/>
        </w:rPr>
        <w:t>ir</w:t>
      </w:r>
      <w:r w:rsidR="00B51212" w:rsidRPr="00AC2DCC">
        <w:rPr>
          <w:rFonts w:asciiTheme="majorBidi" w:hAnsiTheme="majorBidi" w:cstheme="majorBidi"/>
          <w:szCs w:val="22"/>
        </w:rPr>
        <w:t xml:space="preserve"> reading of the novice-expert literature leads the authors to the conclusion that ‘learning environments that are designed according to the expert–novice theories should foster an atmosphere in which it is safe for</w:t>
      </w:r>
      <w:r w:rsidRPr="00AC2DCC">
        <w:rPr>
          <w:rFonts w:asciiTheme="majorBidi" w:hAnsiTheme="majorBidi" w:cstheme="majorBidi"/>
          <w:szCs w:val="22"/>
        </w:rPr>
        <w:t xml:space="preserve"> </w:t>
      </w:r>
      <w:r w:rsidR="00B51212" w:rsidRPr="00AC2DCC">
        <w:rPr>
          <w:rFonts w:asciiTheme="majorBidi" w:hAnsiTheme="majorBidi" w:cstheme="majorBidi"/>
          <w:szCs w:val="22"/>
        </w:rPr>
        <w:t>learners to make mistakes and express their partial understandings’ (</w:t>
      </w:r>
      <w:r w:rsidR="00896020">
        <w:rPr>
          <w:rFonts w:asciiTheme="majorBidi" w:hAnsiTheme="majorBidi" w:cstheme="majorBidi"/>
          <w:szCs w:val="22"/>
        </w:rPr>
        <w:t>this Special Issue</w:t>
      </w:r>
      <w:r w:rsidR="00B51212" w:rsidRPr="00AC2DCC">
        <w:rPr>
          <w:rFonts w:asciiTheme="majorBidi" w:hAnsiTheme="majorBidi" w:cstheme="majorBidi"/>
          <w:szCs w:val="22"/>
        </w:rPr>
        <w:t xml:space="preserve">). </w:t>
      </w:r>
      <w:r w:rsidRPr="00AC2DCC">
        <w:rPr>
          <w:rFonts w:asciiTheme="majorBidi" w:hAnsiTheme="majorBidi" w:cstheme="majorBidi"/>
          <w:szCs w:val="22"/>
        </w:rPr>
        <w:t xml:space="preserve">Without doubt, this feature is one of the foundational ideas in microworld design from the constructionist perspective </w:t>
      </w:r>
      <w:r w:rsidR="00342B33" w:rsidRPr="00AC2DCC">
        <w:rPr>
          <w:rFonts w:asciiTheme="majorBidi" w:hAnsiTheme="majorBidi" w:cstheme="majorBidi"/>
          <w:szCs w:val="22"/>
        </w:rPr>
        <w:t xml:space="preserve">as </w:t>
      </w:r>
      <w:r w:rsidRPr="00AC2DCC">
        <w:rPr>
          <w:rFonts w:asciiTheme="majorBidi" w:hAnsiTheme="majorBidi" w:cstheme="majorBidi"/>
          <w:szCs w:val="22"/>
        </w:rPr>
        <w:t xml:space="preserve">advocated by </w:t>
      </w:r>
      <w:r w:rsidR="002651EA" w:rsidRPr="00AC2DCC">
        <w:rPr>
          <w:rFonts w:asciiTheme="majorBidi" w:hAnsiTheme="majorBidi" w:cstheme="majorBidi"/>
          <w:szCs w:val="22"/>
        </w:rPr>
        <w:t>Harel and Papert (1991</w:t>
      </w:r>
      <w:r w:rsidRPr="00AC2DCC">
        <w:rPr>
          <w:rFonts w:asciiTheme="majorBidi" w:hAnsiTheme="majorBidi" w:cstheme="majorBidi"/>
          <w:szCs w:val="22"/>
        </w:rPr>
        <w:t>). A task that is seen as purposeful by students is likely to allow space for the student to make decisions in order to take some ownership over the activity. When the student has some control over their activity, they make mistakes but, in the sort of settings envisaged by the authors and by constructionists</w:t>
      </w:r>
      <w:r w:rsidR="00342B33" w:rsidRPr="00AC2DCC">
        <w:rPr>
          <w:rFonts w:asciiTheme="majorBidi" w:hAnsiTheme="majorBidi" w:cstheme="majorBidi"/>
          <w:szCs w:val="22"/>
        </w:rPr>
        <w:t>, mistakes become positive step</w:t>
      </w:r>
      <w:r w:rsidRPr="00AC2DCC">
        <w:rPr>
          <w:rFonts w:asciiTheme="majorBidi" w:hAnsiTheme="majorBidi" w:cstheme="majorBidi"/>
          <w:szCs w:val="22"/>
        </w:rPr>
        <w:t xml:space="preserve">s towards more sophisticated understandings. Such mistakes enhance rather </w:t>
      </w:r>
      <w:r w:rsidR="00342B33" w:rsidRPr="00AC2DCC">
        <w:rPr>
          <w:rFonts w:asciiTheme="majorBidi" w:hAnsiTheme="majorBidi" w:cstheme="majorBidi"/>
          <w:szCs w:val="22"/>
        </w:rPr>
        <w:t>than detract f</w:t>
      </w:r>
      <w:r w:rsidRPr="00AC2DCC">
        <w:rPr>
          <w:rFonts w:asciiTheme="majorBidi" w:hAnsiTheme="majorBidi" w:cstheme="majorBidi"/>
          <w:szCs w:val="22"/>
        </w:rPr>
        <w:t>r</w:t>
      </w:r>
      <w:r w:rsidR="00342B33" w:rsidRPr="00AC2DCC">
        <w:rPr>
          <w:rFonts w:asciiTheme="majorBidi" w:hAnsiTheme="majorBidi" w:cstheme="majorBidi"/>
          <w:szCs w:val="22"/>
        </w:rPr>
        <w:t>o</w:t>
      </w:r>
      <w:r w:rsidRPr="00AC2DCC">
        <w:rPr>
          <w:rFonts w:asciiTheme="majorBidi" w:hAnsiTheme="majorBidi" w:cstheme="majorBidi"/>
          <w:szCs w:val="22"/>
        </w:rPr>
        <w:t>m the student’s sense of purpose.</w:t>
      </w:r>
    </w:p>
    <w:p w14:paraId="731505BC" w14:textId="3BD91AE2" w:rsidR="00B51212" w:rsidRPr="00AC2DCC" w:rsidRDefault="00B51212" w:rsidP="00D26737">
      <w:pPr>
        <w:pStyle w:val="Body"/>
        <w:spacing w:before="120" w:line="480" w:lineRule="auto"/>
        <w:ind w:firstLine="720"/>
        <w:jc w:val="left"/>
        <w:rPr>
          <w:rFonts w:asciiTheme="majorBidi" w:hAnsiTheme="majorBidi" w:cstheme="majorBidi"/>
          <w:szCs w:val="22"/>
        </w:rPr>
      </w:pPr>
      <w:r w:rsidRPr="00AC2DCC">
        <w:rPr>
          <w:rFonts w:asciiTheme="majorBidi" w:hAnsiTheme="majorBidi" w:cstheme="majorBidi"/>
          <w:szCs w:val="22"/>
        </w:rPr>
        <w:t>Later, the authors argue</w:t>
      </w:r>
      <w:r w:rsidR="00342B33" w:rsidRPr="00AC2DCC">
        <w:rPr>
          <w:rFonts w:asciiTheme="majorBidi" w:hAnsiTheme="majorBidi" w:cstheme="majorBidi"/>
          <w:szCs w:val="22"/>
        </w:rPr>
        <w:t xml:space="preserve"> that</w:t>
      </w:r>
      <w:r w:rsidRPr="00AC2DCC">
        <w:rPr>
          <w:rFonts w:asciiTheme="majorBidi" w:hAnsiTheme="majorBidi" w:cstheme="majorBidi"/>
          <w:szCs w:val="22"/>
        </w:rPr>
        <w:t xml:space="preserve"> ‘having a model of expert thinking can serve as an ideal that guides the planning of a learning trajectory or the use of a particular a tool’</w:t>
      </w:r>
      <w:r w:rsidR="006321E0" w:rsidRPr="00AC2DCC">
        <w:rPr>
          <w:rFonts w:asciiTheme="majorBidi" w:hAnsiTheme="majorBidi" w:cstheme="majorBidi"/>
          <w:szCs w:val="22"/>
        </w:rPr>
        <w:t xml:space="preserve"> (</w:t>
      </w:r>
      <w:r w:rsidR="00896020">
        <w:rPr>
          <w:rFonts w:asciiTheme="majorBidi" w:hAnsiTheme="majorBidi" w:cstheme="majorBidi"/>
          <w:szCs w:val="22"/>
        </w:rPr>
        <w:t>this Special Issue</w:t>
      </w:r>
      <w:r w:rsidR="006321E0" w:rsidRPr="00AC2DCC">
        <w:rPr>
          <w:rFonts w:asciiTheme="majorBidi" w:hAnsiTheme="majorBidi" w:cstheme="majorBidi"/>
          <w:szCs w:val="22"/>
        </w:rPr>
        <w:t>).</w:t>
      </w:r>
      <w:r w:rsidR="009C1918">
        <w:rPr>
          <w:rFonts w:asciiTheme="majorBidi" w:hAnsiTheme="majorBidi" w:cstheme="majorBidi"/>
          <w:szCs w:val="22"/>
        </w:rPr>
        <w:t xml:space="preserve"> </w:t>
      </w:r>
      <w:r w:rsidR="006321E0" w:rsidRPr="00AC2DCC">
        <w:rPr>
          <w:rFonts w:asciiTheme="majorBidi" w:hAnsiTheme="majorBidi" w:cstheme="majorBidi"/>
          <w:szCs w:val="22"/>
        </w:rPr>
        <w:t>Part of the design challenge that leads to a purposeful task is to connect that design to utilities that might be constructed by students. This is far from trivial but</w:t>
      </w:r>
      <w:r w:rsidR="00342B33" w:rsidRPr="00AC2DCC">
        <w:rPr>
          <w:rFonts w:asciiTheme="majorBidi" w:hAnsiTheme="majorBidi" w:cstheme="majorBidi"/>
          <w:szCs w:val="22"/>
        </w:rPr>
        <w:t>,</w:t>
      </w:r>
      <w:r w:rsidR="006321E0" w:rsidRPr="00AC2DCC">
        <w:rPr>
          <w:rFonts w:asciiTheme="majorBidi" w:hAnsiTheme="majorBidi" w:cstheme="majorBidi"/>
          <w:szCs w:val="22"/>
        </w:rPr>
        <w:t xml:space="preserve"> in considering </w:t>
      </w:r>
      <w:r w:rsidR="006321E0" w:rsidRPr="00AC2DCC">
        <w:rPr>
          <w:rFonts w:asciiTheme="majorBidi" w:hAnsiTheme="majorBidi" w:cstheme="majorBidi"/>
          <w:szCs w:val="22"/>
        </w:rPr>
        <w:lastRenderedPageBreak/>
        <w:t>utility</w:t>
      </w:r>
      <w:r w:rsidR="00342B33" w:rsidRPr="00AC2DCC">
        <w:rPr>
          <w:rFonts w:asciiTheme="majorBidi" w:hAnsiTheme="majorBidi" w:cstheme="majorBidi"/>
          <w:szCs w:val="22"/>
        </w:rPr>
        <w:t>,</w:t>
      </w:r>
      <w:r w:rsidR="006321E0" w:rsidRPr="00AC2DCC">
        <w:rPr>
          <w:rFonts w:asciiTheme="majorBidi" w:hAnsiTheme="majorBidi" w:cstheme="majorBidi"/>
          <w:szCs w:val="22"/>
        </w:rPr>
        <w:t xml:space="preserve"> a starting point is the epistemological analysis of the knowledge domain</w:t>
      </w:r>
      <w:r w:rsidR="00342B33" w:rsidRPr="00AC2DCC">
        <w:rPr>
          <w:rFonts w:asciiTheme="majorBidi" w:hAnsiTheme="majorBidi" w:cstheme="majorBidi"/>
          <w:szCs w:val="22"/>
        </w:rPr>
        <w:t>,</w:t>
      </w:r>
      <w:r w:rsidR="006321E0" w:rsidRPr="00AC2DCC">
        <w:rPr>
          <w:rFonts w:asciiTheme="majorBidi" w:hAnsiTheme="majorBidi" w:cstheme="majorBidi"/>
          <w:szCs w:val="22"/>
        </w:rPr>
        <w:t xml:space="preserve"> which requires a model of expert thinking. </w:t>
      </w:r>
      <w:r w:rsidR="00045C43" w:rsidRPr="00AC2DCC">
        <w:rPr>
          <w:rFonts w:asciiTheme="majorBidi" w:hAnsiTheme="majorBidi" w:cstheme="majorBidi"/>
          <w:szCs w:val="22"/>
        </w:rPr>
        <w:t>One of the reasons that it is non-trivial for the designer to connect utility to purpose is that some components of the expert model are more utility-oriented than others</w:t>
      </w:r>
      <w:r w:rsidR="00342B33" w:rsidRPr="00AC2DCC">
        <w:rPr>
          <w:rFonts w:asciiTheme="majorBidi" w:hAnsiTheme="majorBidi" w:cstheme="majorBidi"/>
          <w:szCs w:val="22"/>
        </w:rPr>
        <w:t xml:space="preserve"> and so a careful selection has to be made from the array of possibilities</w:t>
      </w:r>
      <w:r w:rsidR="00045C43" w:rsidRPr="00AC2DCC">
        <w:rPr>
          <w:rFonts w:asciiTheme="majorBidi" w:hAnsiTheme="majorBidi" w:cstheme="majorBidi"/>
          <w:szCs w:val="22"/>
        </w:rPr>
        <w:t xml:space="preserve">. Furthermore, the designer will often need to invent </w:t>
      </w:r>
      <w:r w:rsidR="00342B33" w:rsidRPr="00AC2DCC">
        <w:rPr>
          <w:rFonts w:asciiTheme="majorBidi" w:hAnsiTheme="majorBidi" w:cstheme="majorBidi"/>
          <w:szCs w:val="22"/>
        </w:rPr>
        <w:t xml:space="preserve">a novel </w:t>
      </w:r>
      <w:r w:rsidR="00045C43" w:rsidRPr="00AC2DCC">
        <w:rPr>
          <w:rFonts w:asciiTheme="majorBidi" w:hAnsiTheme="majorBidi" w:cstheme="majorBidi"/>
          <w:szCs w:val="22"/>
        </w:rPr>
        <w:t>representation</w:t>
      </w:r>
      <w:r w:rsidR="00342B33" w:rsidRPr="00AC2DCC">
        <w:rPr>
          <w:rFonts w:asciiTheme="majorBidi" w:hAnsiTheme="majorBidi" w:cstheme="majorBidi"/>
          <w:szCs w:val="22"/>
        </w:rPr>
        <w:t xml:space="preserve"> of the chosen component from</w:t>
      </w:r>
      <w:r w:rsidR="00045C43" w:rsidRPr="00AC2DCC">
        <w:rPr>
          <w:rFonts w:asciiTheme="majorBidi" w:hAnsiTheme="majorBidi" w:cstheme="majorBidi"/>
          <w:szCs w:val="22"/>
        </w:rPr>
        <w:t xml:space="preserve"> the expert’s model</w:t>
      </w:r>
      <w:r w:rsidR="00342B33" w:rsidRPr="00AC2DCC">
        <w:rPr>
          <w:rFonts w:asciiTheme="majorBidi" w:hAnsiTheme="majorBidi" w:cstheme="majorBidi"/>
          <w:szCs w:val="22"/>
        </w:rPr>
        <w:t xml:space="preserve">. The novelty in the representation might lie in how it </w:t>
      </w:r>
      <w:r w:rsidR="00045C43" w:rsidRPr="00AC2DCC">
        <w:rPr>
          <w:rFonts w:asciiTheme="majorBidi" w:hAnsiTheme="majorBidi" w:cstheme="majorBidi"/>
          <w:szCs w:val="22"/>
        </w:rPr>
        <w:t>differ</w:t>
      </w:r>
      <w:r w:rsidR="00342B33" w:rsidRPr="00AC2DCC">
        <w:rPr>
          <w:rFonts w:asciiTheme="majorBidi" w:hAnsiTheme="majorBidi" w:cstheme="majorBidi"/>
          <w:szCs w:val="22"/>
        </w:rPr>
        <w:t>s</w:t>
      </w:r>
      <w:r w:rsidR="00045C43" w:rsidRPr="00AC2DCC">
        <w:rPr>
          <w:rFonts w:asciiTheme="majorBidi" w:hAnsiTheme="majorBidi" w:cstheme="majorBidi"/>
          <w:szCs w:val="22"/>
        </w:rPr>
        <w:t xml:space="preserve"> from the conventi</w:t>
      </w:r>
      <w:r w:rsidR="00342B33" w:rsidRPr="00AC2DCC">
        <w:rPr>
          <w:rFonts w:asciiTheme="majorBidi" w:hAnsiTheme="majorBidi" w:cstheme="majorBidi"/>
          <w:szCs w:val="22"/>
        </w:rPr>
        <w:t>onal representation in order to make the underlying idea</w:t>
      </w:r>
      <w:r w:rsidR="00045C43" w:rsidRPr="00AC2DCC">
        <w:rPr>
          <w:rFonts w:asciiTheme="majorBidi" w:hAnsiTheme="majorBidi" w:cstheme="majorBidi"/>
          <w:szCs w:val="22"/>
        </w:rPr>
        <w:t xml:space="preserve"> more accessible within the likely learning trajectory that the student follows in pursuing their purpose. </w:t>
      </w:r>
      <w:r w:rsidR="008D1DB9" w:rsidRPr="00AC2DCC">
        <w:rPr>
          <w:rFonts w:asciiTheme="majorBidi" w:hAnsiTheme="majorBidi" w:cstheme="majorBidi"/>
          <w:szCs w:val="22"/>
        </w:rPr>
        <w:t xml:space="preserve">The authors noted Konold’s design principles (2002) for </w:t>
      </w:r>
      <w:r w:rsidR="008D1DB9" w:rsidRPr="00AC2DCC">
        <w:rPr>
          <w:rFonts w:asciiTheme="majorBidi" w:hAnsiTheme="majorBidi" w:cstheme="majorBidi"/>
          <w:szCs w:val="22"/>
          <w:lang w:val="en-US"/>
        </w:rPr>
        <w:t>TinkerPlots</w:t>
      </w:r>
      <w:r w:rsidR="008D1DB9" w:rsidRPr="00AC2DCC">
        <w:rPr>
          <w:rFonts w:asciiTheme="majorBidi" w:hAnsiTheme="majorBidi" w:cstheme="majorBidi"/>
          <w:szCs w:val="22"/>
          <w:vertAlign w:val="superscript"/>
        </w:rPr>
        <w:t>TM</w:t>
      </w:r>
      <w:r w:rsidR="008D1DB9" w:rsidRPr="00AC2DCC">
        <w:rPr>
          <w:rFonts w:asciiTheme="majorBidi" w:hAnsiTheme="majorBidi" w:cstheme="majorBidi"/>
          <w:szCs w:val="22"/>
          <w:lang w:val="en-US"/>
        </w:rPr>
        <w:t xml:space="preserve"> (Konold, 2011), whereby the teaching of data analysis should be structured to fit the students’ development rather than target</w:t>
      </w:r>
      <w:r w:rsidR="00CB7580" w:rsidRPr="00AC2DCC">
        <w:rPr>
          <w:rFonts w:asciiTheme="majorBidi" w:hAnsiTheme="majorBidi" w:cstheme="majorBidi"/>
          <w:szCs w:val="22"/>
          <w:lang w:val="en-US"/>
        </w:rPr>
        <w:t>ing</w:t>
      </w:r>
      <w:r w:rsidR="008D1DB9" w:rsidRPr="00AC2DCC">
        <w:rPr>
          <w:rFonts w:asciiTheme="majorBidi" w:hAnsiTheme="majorBidi" w:cstheme="majorBidi"/>
          <w:szCs w:val="22"/>
          <w:lang w:val="en-US"/>
        </w:rPr>
        <w:t xml:space="preserve"> specific graphical representations.</w:t>
      </w:r>
      <w:r w:rsidR="009C1918">
        <w:rPr>
          <w:rFonts w:asciiTheme="majorBidi" w:hAnsiTheme="majorBidi" w:cstheme="majorBidi"/>
          <w:szCs w:val="22"/>
        </w:rPr>
        <w:t xml:space="preserve"> </w:t>
      </w:r>
      <w:r w:rsidR="008D1DB9" w:rsidRPr="00AC2DCC">
        <w:rPr>
          <w:rFonts w:asciiTheme="majorBidi" w:hAnsiTheme="majorBidi" w:cstheme="majorBidi"/>
          <w:szCs w:val="22"/>
        </w:rPr>
        <w:t xml:space="preserve">One of the reasons that </w:t>
      </w:r>
      <w:r w:rsidR="003B093D" w:rsidRPr="00AC2DCC">
        <w:rPr>
          <w:rFonts w:asciiTheme="majorBidi" w:hAnsiTheme="majorBidi" w:cstheme="majorBidi"/>
          <w:szCs w:val="22"/>
        </w:rPr>
        <w:t>Tinker</w:t>
      </w:r>
      <w:r w:rsidR="003B093D">
        <w:rPr>
          <w:rFonts w:asciiTheme="majorBidi" w:hAnsiTheme="majorBidi" w:cstheme="majorBidi"/>
          <w:szCs w:val="22"/>
        </w:rPr>
        <w:t>P</w:t>
      </w:r>
      <w:r w:rsidR="003B093D" w:rsidRPr="00AC2DCC">
        <w:rPr>
          <w:rFonts w:asciiTheme="majorBidi" w:hAnsiTheme="majorBidi" w:cstheme="majorBidi"/>
          <w:szCs w:val="22"/>
        </w:rPr>
        <w:t>lots</w:t>
      </w:r>
      <w:r w:rsidR="008D1DB9" w:rsidRPr="00AC2DCC">
        <w:rPr>
          <w:rFonts w:asciiTheme="majorBidi" w:hAnsiTheme="majorBidi" w:cstheme="majorBidi"/>
          <w:szCs w:val="22"/>
        </w:rPr>
        <w:t xml:space="preserve"> is so effective is that it incorporates novel representations that are more accessible by relatively naïve students than would be more conventional representations.</w:t>
      </w:r>
    </w:p>
    <w:p w14:paraId="088A0020" w14:textId="12E935DB" w:rsidR="002E1BBF" w:rsidRPr="00AC2DCC" w:rsidRDefault="00186B0B" w:rsidP="00D26737">
      <w:pPr>
        <w:pStyle w:val="Body"/>
        <w:spacing w:before="120" w:line="480" w:lineRule="auto"/>
        <w:ind w:firstLine="720"/>
        <w:jc w:val="left"/>
        <w:rPr>
          <w:rFonts w:asciiTheme="majorBidi" w:hAnsiTheme="majorBidi" w:cstheme="majorBidi"/>
          <w:szCs w:val="22"/>
        </w:rPr>
      </w:pPr>
      <w:r w:rsidRPr="00AC2DCC">
        <w:rPr>
          <w:rFonts w:asciiTheme="majorBidi" w:hAnsiTheme="majorBidi" w:cstheme="majorBidi"/>
          <w:szCs w:val="22"/>
        </w:rPr>
        <w:t>In this issue, Konold, working with Higgins, Russell and Khalil, offers a glimpse of how deep analysis of children’s thinking can inform the creation of tools. They</w:t>
      </w:r>
      <w:r w:rsidR="00192AB6" w:rsidRPr="00AC2DCC">
        <w:rPr>
          <w:rFonts w:asciiTheme="majorBidi" w:hAnsiTheme="majorBidi" w:cstheme="majorBidi"/>
          <w:szCs w:val="22"/>
        </w:rPr>
        <w:t xml:space="preserve"> </w:t>
      </w:r>
      <w:r w:rsidR="002831C1" w:rsidRPr="00AC2DCC">
        <w:rPr>
          <w:rFonts w:asciiTheme="majorBidi" w:hAnsiTheme="majorBidi" w:cstheme="majorBidi"/>
          <w:szCs w:val="22"/>
        </w:rPr>
        <w:t xml:space="preserve">note how children seem to hold different perspectives when looking at the presentation of data. They have observed what they call pointer, case value, classifier and aggregate perspectives to capture how children seem to focus </w:t>
      </w:r>
      <w:r w:rsidR="006A2261" w:rsidRPr="00AC2DCC">
        <w:rPr>
          <w:rFonts w:asciiTheme="majorBidi" w:hAnsiTheme="majorBidi" w:cstheme="majorBidi"/>
          <w:szCs w:val="22"/>
        </w:rPr>
        <w:t>respectively on</w:t>
      </w:r>
      <w:r w:rsidR="00CB7580" w:rsidRPr="00AC2DCC">
        <w:rPr>
          <w:rFonts w:asciiTheme="majorBidi" w:hAnsiTheme="majorBidi" w:cstheme="majorBidi"/>
          <w:szCs w:val="22"/>
        </w:rPr>
        <w:t>,</w:t>
      </w:r>
      <w:r w:rsidR="006A2261" w:rsidRPr="00AC2DCC">
        <w:rPr>
          <w:rFonts w:asciiTheme="majorBidi" w:hAnsiTheme="majorBidi" w:cstheme="majorBidi"/>
          <w:szCs w:val="22"/>
        </w:rPr>
        <w:t xml:space="preserve"> for example</w:t>
      </w:r>
      <w:r w:rsidR="00CB7580" w:rsidRPr="00AC2DCC">
        <w:rPr>
          <w:rFonts w:asciiTheme="majorBidi" w:hAnsiTheme="majorBidi" w:cstheme="majorBidi"/>
          <w:szCs w:val="22"/>
        </w:rPr>
        <w:t>,</w:t>
      </w:r>
      <w:r w:rsidR="006A2261" w:rsidRPr="00AC2DCC">
        <w:rPr>
          <w:rFonts w:asciiTheme="majorBidi" w:hAnsiTheme="majorBidi" w:cstheme="majorBidi"/>
          <w:szCs w:val="22"/>
        </w:rPr>
        <w:t xml:space="preserve"> the activity as a whole, a specific piece of data, a frequency total and the shape or position of the distribution. The design of a task, including the specific question asked, might draw children towards one or other perspective. Although the authors do not want to place these perspectives in a hierarchy of lev</w:t>
      </w:r>
      <w:r w:rsidR="00B40587" w:rsidRPr="00AC2DCC">
        <w:rPr>
          <w:rFonts w:asciiTheme="majorBidi" w:hAnsiTheme="majorBidi" w:cstheme="majorBidi"/>
          <w:szCs w:val="22"/>
        </w:rPr>
        <w:t>els, they also note that some p</w:t>
      </w:r>
      <w:r w:rsidR="006A2261" w:rsidRPr="00AC2DCC">
        <w:rPr>
          <w:rFonts w:asciiTheme="majorBidi" w:hAnsiTheme="majorBidi" w:cstheme="majorBidi"/>
          <w:szCs w:val="22"/>
        </w:rPr>
        <w:t>erspectives ar</w:t>
      </w:r>
      <w:r w:rsidR="00B40587" w:rsidRPr="00AC2DCC">
        <w:rPr>
          <w:rFonts w:asciiTheme="majorBidi" w:hAnsiTheme="majorBidi" w:cstheme="majorBidi"/>
          <w:szCs w:val="22"/>
        </w:rPr>
        <w:t>e often</w:t>
      </w:r>
      <w:r w:rsidR="006A2261" w:rsidRPr="00AC2DCC">
        <w:rPr>
          <w:rFonts w:asciiTheme="majorBidi" w:hAnsiTheme="majorBidi" w:cstheme="majorBidi"/>
          <w:szCs w:val="22"/>
        </w:rPr>
        <w:t xml:space="preserve"> apparent amongst younger children and that the aggregate perspective </w:t>
      </w:r>
      <w:r w:rsidR="00B40587" w:rsidRPr="00AC2DCC">
        <w:rPr>
          <w:rFonts w:asciiTheme="majorBidi" w:hAnsiTheme="majorBidi" w:cstheme="majorBidi"/>
          <w:szCs w:val="22"/>
        </w:rPr>
        <w:t>seems sometimes inaccessibl</w:t>
      </w:r>
      <w:r w:rsidR="00A52793" w:rsidRPr="00AC2DCC">
        <w:rPr>
          <w:rFonts w:asciiTheme="majorBidi" w:hAnsiTheme="majorBidi" w:cstheme="majorBidi"/>
          <w:szCs w:val="22"/>
        </w:rPr>
        <w:t xml:space="preserve">e </w:t>
      </w:r>
      <w:r w:rsidR="000B20DB" w:rsidRPr="00AC2DCC">
        <w:rPr>
          <w:rFonts w:asciiTheme="majorBidi" w:hAnsiTheme="majorBidi" w:cstheme="majorBidi"/>
          <w:szCs w:val="22"/>
        </w:rPr>
        <w:t xml:space="preserve">even when </w:t>
      </w:r>
      <w:r w:rsidR="00A52793" w:rsidRPr="00AC2DCC">
        <w:rPr>
          <w:rFonts w:asciiTheme="majorBidi" w:hAnsiTheme="majorBidi" w:cstheme="majorBidi"/>
          <w:szCs w:val="22"/>
        </w:rPr>
        <w:t xml:space="preserve">the task might </w:t>
      </w:r>
      <w:r w:rsidR="000B20DB" w:rsidRPr="00AC2DCC">
        <w:rPr>
          <w:rFonts w:asciiTheme="majorBidi" w:hAnsiTheme="majorBidi" w:cstheme="majorBidi"/>
          <w:szCs w:val="22"/>
        </w:rPr>
        <w:t>appear (to the designer) to require it. This</w:t>
      </w:r>
      <w:r w:rsidR="00A52793" w:rsidRPr="00AC2DCC">
        <w:rPr>
          <w:rFonts w:asciiTheme="majorBidi" w:hAnsiTheme="majorBidi" w:cstheme="majorBidi"/>
          <w:szCs w:val="22"/>
        </w:rPr>
        <w:t xml:space="preserve"> suggest</w:t>
      </w:r>
      <w:r w:rsidR="000B20DB" w:rsidRPr="00AC2DCC">
        <w:rPr>
          <w:rFonts w:asciiTheme="majorBidi" w:hAnsiTheme="majorBidi" w:cstheme="majorBidi"/>
          <w:szCs w:val="22"/>
        </w:rPr>
        <w:t>s both the complexity of the challenges of task design</w:t>
      </w:r>
      <w:r w:rsidR="009C1918">
        <w:rPr>
          <w:rFonts w:asciiTheme="majorBidi" w:hAnsiTheme="majorBidi" w:cstheme="majorBidi"/>
          <w:szCs w:val="22"/>
        </w:rPr>
        <w:t xml:space="preserve"> </w:t>
      </w:r>
      <w:r w:rsidR="000B20DB" w:rsidRPr="00AC2DCC">
        <w:rPr>
          <w:rFonts w:asciiTheme="majorBidi" w:hAnsiTheme="majorBidi" w:cstheme="majorBidi"/>
          <w:szCs w:val="22"/>
        </w:rPr>
        <w:t xml:space="preserve">and </w:t>
      </w:r>
      <w:r w:rsidR="00A52793" w:rsidRPr="00AC2DCC">
        <w:rPr>
          <w:rFonts w:asciiTheme="majorBidi" w:hAnsiTheme="majorBidi" w:cstheme="majorBidi"/>
          <w:szCs w:val="22"/>
        </w:rPr>
        <w:t xml:space="preserve">some limitation in the power of task design to </w:t>
      </w:r>
      <w:r w:rsidR="000B20DB" w:rsidRPr="00AC2DCC">
        <w:rPr>
          <w:rFonts w:asciiTheme="majorBidi" w:hAnsiTheme="majorBidi" w:cstheme="majorBidi"/>
          <w:szCs w:val="22"/>
        </w:rPr>
        <w:t xml:space="preserve">challenge children’s intuitive ways of </w:t>
      </w:r>
      <w:r w:rsidR="00A52793" w:rsidRPr="00AC2DCC">
        <w:rPr>
          <w:rFonts w:asciiTheme="majorBidi" w:hAnsiTheme="majorBidi" w:cstheme="majorBidi"/>
          <w:szCs w:val="22"/>
        </w:rPr>
        <w:t>thinking</w:t>
      </w:r>
      <w:r w:rsidR="00B40587" w:rsidRPr="00AC2DCC">
        <w:rPr>
          <w:rFonts w:asciiTheme="majorBidi" w:hAnsiTheme="majorBidi" w:cstheme="majorBidi"/>
          <w:szCs w:val="22"/>
        </w:rPr>
        <w:t xml:space="preserve">. </w:t>
      </w:r>
      <w:r w:rsidR="0028493B" w:rsidRPr="00AC2DCC">
        <w:rPr>
          <w:rFonts w:asciiTheme="majorBidi" w:hAnsiTheme="majorBidi" w:cstheme="majorBidi"/>
          <w:szCs w:val="22"/>
        </w:rPr>
        <w:t xml:space="preserve">They </w:t>
      </w:r>
      <w:r w:rsidR="00B40587" w:rsidRPr="00AC2DCC">
        <w:rPr>
          <w:rFonts w:asciiTheme="majorBidi" w:hAnsiTheme="majorBidi" w:cstheme="majorBidi"/>
          <w:szCs w:val="22"/>
        </w:rPr>
        <w:t xml:space="preserve">also </w:t>
      </w:r>
      <w:r w:rsidR="0028493B" w:rsidRPr="00AC2DCC">
        <w:rPr>
          <w:rFonts w:asciiTheme="majorBidi" w:hAnsiTheme="majorBidi" w:cstheme="majorBidi"/>
          <w:szCs w:val="22"/>
        </w:rPr>
        <w:t>argue that it would be a mistake to move children too quickly towards the aggregate view</w:t>
      </w:r>
      <w:r w:rsidR="00EC313D">
        <w:rPr>
          <w:rFonts w:asciiTheme="majorBidi" w:hAnsiTheme="majorBidi" w:cstheme="majorBidi"/>
          <w:szCs w:val="22"/>
        </w:rPr>
        <w:t>, since other perspectives are “</w:t>
      </w:r>
      <w:r w:rsidR="0028493B" w:rsidRPr="00AC2DCC">
        <w:rPr>
          <w:rFonts w:asciiTheme="majorBidi" w:hAnsiTheme="majorBidi" w:cstheme="majorBidi"/>
          <w:szCs w:val="22"/>
        </w:rPr>
        <w:t>well suited to the i</w:t>
      </w:r>
      <w:r w:rsidR="00EC313D">
        <w:rPr>
          <w:rFonts w:asciiTheme="majorBidi" w:hAnsiTheme="majorBidi" w:cstheme="majorBidi"/>
          <w:szCs w:val="22"/>
        </w:rPr>
        <w:t xml:space="preserve">nterests of many </w:t>
      </w:r>
      <w:r w:rsidR="00EC313D">
        <w:rPr>
          <w:rFonts w:asciiTheme="majorBidi" w:hAnsiTheme="majorBidi" w:cstheme="majorBidi"/>
          <w:szCs w:val="22"/>
        </w:rPr>
        <w:lastRenderedPageBreak/>
        <w:t>young students”</w:t>
      </w:r>
      <w:r w:rsidR="0028493B" w:rsidRPr="00AC2DCC">
        <w:rPr>
          <w:rFonts w:asciiTheme="majorBidi" w:hAnsiTheme="majorBidi" w:cstheme="majorBidi"/>
          <w:szCs w:val="22"/>
        </w:rPr>
        <w:t xml:space="preserve"> </w:t>
      </w:r>
      <w:r w:rsidR="00896020">
        <w:rPr>
          <w:rFonts w:asciiTheme="majorBidi" w:hAnsiTheme="majorBidi" w:cstheme="majorBidi"/>
          <w:szCs w:val="22"/>
        </w:rPr>
        <w:t xml:space="preserve">(this Special Issue) </w:t>
      </w:r>
      <w:r w:rsidR="0028493B" w:rsidRPr="00AC2DCC">
        <w:rPr>
          <w:rFonts w:asciiTheme="majorBidi" w:hAnsiTheme="majorBidi" w:cstheme="majorBidi"/>
          <w:szCs w:val="22"/>
        </w:rPr>
        <w:t xml:space="preserve">and keep them connected to the meanings of the data. </w:t>
      </w:r>
      <w:r w:rsidR="00A52793" w:rsidRPr="00AC2DCC">
        <w:rPr>
          <w:rFonts w:asciiTheme="majorBidi" w:hAnsiTheme="majorBidi" w:cstheme="majorBidi"/>
          <w:szCs w:val="22"/>
        </w:rPr>
        <w:t>Th</w:t>
      </w:r>
      <w:r w:rsidRPr="00AC2DCC">
        <w:rPr>
          <w:rFonts w:asciiTheme="majorBidi" w:hAnsiTheme="majorBidi" w:cstheme="majorBidi"/>
          <w:szCs w:val="22"/>
        </w:rPr>
        <w:t>r</w:t>
      </w:r>
      <w:r w:rsidR="00A52793" w:rsidRPr="00AC2DCC">
        <w:rPr>
          <w:rFonts w:asciiTheme="majorBidi" w:hAnsiTheme="majorBidi" w:cstheme="majorBidi"/>
          <w:szCs w:val="22"/>
        </w:rPr>
        <w:t>o</w:t>
      </w:r>
      <w:r w:rsidRPr="00AC2DCC">
        <w:rPr>
          <w:rFonts w:asciiTheme="majorBidi" w:hAnsiTheme="majorBidi" w:cstheme="majorBidi"/>
          <w:szCs w:val="22"/>
        </w:rPr>
        <w:t xml:space="preserve">ugh this sentence, the authors make explicit how </w:t>
      </w:r>
      <w:r w:rsidR="00CB7580" w:rsidRPr="00AC2DCC">
        <w:rPr>
          <w:rFonts w:asciiTheme="majorBidi" w:hAnsiTheme="majorBidi" w:cstheme="majorBidi"/>
          <w:szCs w:val="22"/>
        </w:rPr>
        <w:t xml:space="preserve">consideration of children’s interest and purpose is </w:t>
      </w:r>
      <w:r w:rsidRPr="00AC2DCC">
        <w:rPr>
          <w:rFonts w:asciiTheme="majorBidi" w:hAnsiTheme="majorBidi" w:cstheme="majorBidi"/>
          <w:szCs w:val="22"/>
        </w:rPr>
        <w:t>fundam</w:t>
      </w:r>
      <w:r w:rsidR="00A52793" w:rsidRPr="00AC2DCC">
        <w:rPr>
          <w:rFonts w:asciiTheme="majorBidi" w:hAnsiTheme="majorBidi" w:cstheme="majorBidi"/>
          <w:szCs w:val="22"/>
        </w:rPr>
        <w:t>ental for them</w:t>
      </w:r>
      <w:r w:rsidR="00CB7580" w:rsidRPr="00AC2DCC">
        <w:rPr>
          <w:rFonts w:asciiTheme="majorBidi" w:hAnsiTheme="majorBidi" w:cstheme="majorBidi"/>
          <w:szCs w:val="22"/>
        </w:rPr>
        <w:t>.</w:t>
      </w:r>
    </w:p>
    <w:p w14:paraId="313384CC" w14:textId="4456533E" w:rsidR="00753721" w:rsidRPr="00AC2DCC" w:rsidRDefault="00186B0B" w:rsidP="00D26737">
      <w:pPr>
        <w:pStyle w:val="Body"/>
        <w:spacing w:before="120" w:line="480" w:lineRule="auto"/>
        <w:ind w:firstLine="720"/>
        <w:jc w:val="left"/>
        <w:rPr>
          <w:rFonts w:asciiTheme="majorBidi" w:hAnsiTheme="majorBidi" w:cstheme="majorBidi"/>
          <w:szCs w:val="22"/>
        </w:rPr>
      </w:pPr>
      <w:r w:rsidRPr="00AC2DCC">
        <w:rPr>
          <w:rFonts w:asciiTheme="majorBidi" w:hAnsiTheme="majorBidi" w:cstheme="majorBidi"/>
          <w:szCs w:val="22"/>
        </w:rPr>
        <w:t>Th</w:t>
      </w:r>
      <w:r w:rsidR="00A52793" w:rsidRPr="00AC2DCC">
        <w:rPr>
          <w:rFonts w:asciiTheme="majorBidi" w:hAnsiTheme="majorBidi" w:cstheme="majorBidi"/>
          <w:szCs w:val="22"/>
        </w:rPr>
        <w:t>e difficulty of the challenge in</w:t>
      </w:r>
      <w:r w:rsidRPr="00AC2DCC">
        <w:rPr>
          <w:rFonts w:asciiTheme="majorBidi" w:hAnsiTheme="majorBidi" w:cstheme="majorBidi"/>
          <w:szCs w:val="22"/>
        </w:rPr>
        <w:t xml:space="preserve"> designing for both purpose and utility is further demonstrated in this issue in the writing of Pfannkuch, Arnold and Wild. They </w:t>
      </w:r>
      <w:r w:rsidR="003F7DEA" w:rsidRPr="00AC2DCC">
        <w:rPr>
          <w:rFonts w:asciiTheme="majorBidi" w:hAnsiTheme="majorBidi" w:cstheme="majorBidi"/>
          <w:szCs w:val="22"/>
        </w:rPr>
        <w:t>raise an interesting dilemma</w:t>
      </w:r>
      <w:r w:rsidR="008D1DB9" w:rsidRPr="00AC2DCC">
        <w:rPr>
          <w:rFonts w:asciiTheme="majorBidi" w:hAnsiTheme="majorBidi" w:cstheme="majorBidi"/>
          <w:szCs w:val="22"/>
        </w:rPr>
        <w:t>.</w:t>
      </w:r>
      <w:r w:rsidR="003F7DEA" w:rsidRPr="00AC2DCC">
        <w:rPr>
          <w:rFonts w:asciiTheme="majorBidi" w:hAnsiTheme="majorBidi" w:cstheme="majorBidi"/>
          <w:szCs w:val="22"/>
        </w:rPr>
        <w:t xml:space="preserve"> There are without doubt key statistical concepts that </w:t>
      </w:r>
      <w:r w:rsidRPr="00AC2DCC">
        <w:rPr>
          <w:rFonts w:asciiTheme="majorBidi" w:hAnsiTheme="majorBidi" w:cstheme="majorBidi"/>
          <w:szCs w:val="22"/>
        </w:rPr>
        <w:t>can be derived from the model of expert thinking. T</w:t>
      </w:r>
      <w:r w:rsidR="003F7DEA" w:rsidRPr="00AC2DCC">
        <w:rPr>
          <w:rFonts w:asciiTheme="majorBidi" w:hAnsiTheme="majorBidi" w:cstheme="majorBidi"/>
          <w:szCs w:val="22"/>
        </w:rPr>
        <w:t xml:space="preserve">here are also procedures </w:t>
      </w:r>
      <w:r w:rsidRPr="00AC2DCC">
        <w:rPr>
          <w:rFonts w:asciiTheme="majorBidi" w:hAnsiTheme="majorBidi" w:cstheme="majorBidi"/>
          <w:szCs w:val="22"/>
        </w:rPr>
        <w:t>through</w:t>
      </w:r>
      <w:r w:rsidR="003F7DEA" w:rsidRPr="00AC2DCC">
        <w:rPr>
          <w:rFonts w:asciiTheme="majorBidi" w:hAnsiTheme="majorBidi" w:cstheme="majorBidi"/>
          <w:szCs w:val="22"/>
        </w:rPr>
        <w:t xml:space="preserve"> which those concepts are deploy</w:t>
      </w:r>
      <w:r w:rsidRPr="00AC2DCC">
        <w:rPr>
          <w:rFonts w:asciiTheme="majorBidi" w:hAnsiTheme="majorBidi" w:cstheme="majorBidi"/>
          <w:szCs w:val="22"/>
        </w:rPr>
        <w:t>ed</w:t>
      </w:r>
      <w:r w:rsidR="003F7DEA" w:rsidRPr="00AC2DCC">
        <w:rPr>
          <w:rFonts w:asciiTheme="majorBidi" w:hAnsiTheme="majorBidi" w:cstheme="majorBidi"/>
          <w:szCs w:val="22"/>
        </w:rPr>
        <w:t xml:space="preserve">, </w:t>
      </w:r>
      <w:r w:rsidR="0005300E" w:rsidRPr="00AC2DCC">
        <w:rPr>
          <w:rFonts w:asciiTheme="majorBidi" w:hAnsiTheme="majorBidi" w:cstheme="majorBidi"/>
          <w:szCs w:val="22"/>
        </w:rPr>
        <w:t xml:space="preserve">and </w:t>
      </w:r>
      <w:r w:rsidR="003F7DEA" w:rsidRPr="00AC2DCC">
        <w:rPr>
          <w:rFonts w:asciiTheme="majorBidi" w:hAnsiTheme="majorBidi" w:cstheme="majorBidi"/>
          <w:szCs w:val="22"/>
        </w:rPr>
        <w:t xml:space="preserve">which </w:t>
      </w:r>
      <w:r w:rsidR="00646CC6" w:rsidRPr="00AC2DCC">
        <w:rPr>
          <w:rFonts w:asciiTheme="majorBidi" w:hAnsiTheme="majorBidi" w:cstheme="majorBidi"/>
          <w:szCs w:val="22"/>
        </w:rPr>
        <w:t>there</w:t>
      </w:r>
      <w:r w:rsidR="0005300E" w:rsidRPr="00AC2DCC">
        <w:rPr>
          <w:rFonts w:asciiTheme="majorBidi" w:hAnsiTheme="majorBidi" w:cstheme="majorBidi"/>
          <w:szCs w:val="22"/>
        </w:rPr>
        <w:t>fore must also be</w:t>
      </w:r>
      <w:r w:rsidR="003F7DEA" w:rsidRPr="00AC2DCC">
        <w:rPr>
          <w:rFonts w:asciiTheme="majorBidi" w:hAnsiTheme="majorBidi" w:cstheme="majorBidi"/>
          <w:szCs w:val="22"/>
        </w:rPr>
        <w:t xml:space="preserve"> regard</w:t>
      </w:r>
      <w:r w:rsidR="0005300E" w:rsidRPr="00AC2DCC">
        <w:rPr>
          <w:rFonts w:asciiTheme="majorBidi" w:hAnsiTheme="majorBidi" w:cstheme="majorBidi"/>
          <w:szCs w:val="22"/>
        </w:rPr>
        <w:t>ed</w:t>
      </w:r>
      <w:r w:rsidR="003F7DEA" w:rsidRPr="00AC2DCC">
        <w:rPr>
          <w:rFonts w:asciiTheme="majorBidi" w:hAnsiTheme="majorBidi" w:cstheme="majorBidi"/>
          <w:szCs w:val="22"/>
        </w:rPr>
        <w:t xml:space="preserve"> as important. This paper discusses how </w:t>
      </w:r>
      <w:r w:rsidR="0005300E" w:rsidRPr="00AC2DCC">
        <w:rPr>
          <w:rFonts w:asciiTheme="majorBidi" w:hAnsiTheme="majorBidi" w:cstheme="majorBidi"/>
          <w:szCs w:val="22"/>
        </w:rPr>
        <w:t>it might be possible to</w:t>
      </w:r>
      <w:r w:rsidR="003F7DEA" w:rsidRPr="00AC2DCC">
        <w:rPr>
          <w:rFonts w:asciiTheme="majorBidi" w:hAnsiTheme="majorBidi" w:cstheme="majorBidi"/>
          <w:szCs w:val="22"/>
        </w:rPr>
        <w:t xml:space="preserve"> teach students relatively informal approaches to </w:t>
      </w:r>
      <w:r w:rsidR="00A52793" w:rsidRPr="00AC2DCC">
        <w:rPr>
          <w:rFonts w:asciiTheme="majorBidi" w:hAnsiTheme="majorBidi" w:cstheme="majorBidi"/>
          <w:szCs w:val="22"/>
        </w:rPr>
        <w:t xml:space="preserve">statistical </w:t>
      </w:r>
      <w:r w:rsidR="003F7DEA" w:rsidRPr="00AC2DCC">
        <w:rPr>
          <w:rFonts w:asciiTheme="majorBidi" w:hAnsiTheme="majorBidi" w:cstheme="majorBidi"/>
          <w:szCs w:val="22"/>
        </w:rPr>
        <w:t>decision-making</w:t>
      </w:r>
      <w:r w:rsidR="00646CC6" w:rsidRPr="00AC2DCC">
        <w:rPr>
          <w:rFonts w:asciiTheme="majorBidi" w:hAnsiTheme="majorBidi" w:cstheme="majorBidi"/>
          <w:szCs w:val="22"/>
        </w:rPr>
        <w:t>, what they refer to as ‘how to make the call</w:t>
      </w:r>
      <w:r w:rsidR="00896020">
        <w:rPr>
          <w:rFonts w:asciiTheme="majorBidi" w:hAnsiTheme="majorBidi" w:cstheme="majorBidi"/>
          <w:szCs w:val="22"/>
        </w:rPr>
        <w:t>.’</w:t>
      </w:r>
      <w:r w:rsidR="00A52793" w:rsidRPr="00AC2DCC">
        <w:rPr>
          <w:rFonts w:asciiTheme="majorBidi" w:hAnsiTheme="majorBidi" w:cstheme="majorBidi"/>
          <w:szCs w:val="22"/>
        </w:rPr>
        <w:t xml:space="preserve"> </w:t>
      </w:r>
      <w:r w:rsidR="004D7DC0" w:rsidRPr="00AC2DCC">
        <w:rPr>
          <w:rFonts w:asciiTheme="majorBidi" w:hAnsiTheme="majorBidi" w:cstheme="majorBidi"/>
          <w:szCs w:val="22"/>
        </w:rPr>
        <w:t xml:space="preserve">They do not give detail of the context in which specific tasks are set, but it appears that they relate to </w:t>
      </w:r>
      <w:proofErr w:type="gramStart"/>
      <w:r w:rsidR="004D7DC0" w:rsidRPr="00AC2DCC">
        <w:rPr>
          <w:rFonts w:asciiTheme="majorBidi" w:hAnsiTheme="majorBidi" w:cstheme="majorBidi"/>
          <w:szCs w:val="22"/>
        </w:rPr>
        <w:t>situations which</w:t>
      </w:r>
      <w:proofErr w:type="gramEnd"/>
      <w:r w:rsidR="004D7DC0" w:rsidRPr="00AC2DCC">
        <w:rPr>
          <w:rFonts w:asciiTheme="majorBidi" w:hAnsiTheme="majorBidi" w:cstheme="majorBidi"/>
          <w:szCs w:val="22"/>
        </w:rPr>
        <w:t xml:space="preserve"> we would categorise as Ai (‘market research’), and in which two data sets are being compared. </w:t>
      </w:r>
      <w:r w:rsidR="003F7DEA" w:rsidRPr="00AC2DCC">
        <w:rPr>
          <w:rFonts w:asciiTheme="majorBidi" w:hAnsiTheme="majorBidi" w:cstheme="majorBidi"/>
          <w:szCs w:val="22"/>
        </w:rPr>
        <w:t xml:space="preserve">Along the way, the students are introduced, again informally, to visual images of sampling and sample statistics. To teach these concepts and procedures, even informally, the learning trajectory involved exploring on-screen </w:t>
      </w:r>
      <w:r w:rsidR="008D1DB9" w:rsidRPr="00AC2DCC">
        <w:rPr>
          <w:rFonts w:asciiTheme="majorBidi" w:hAnsiTheme="majorBidi" w:cstheme="majorBidi"/>
          <w:szCs w:val="22"/>
        </w:rPr>
        <w:t>behaviour</w:t>
      </w:r>
      <w:r w:rsidR="003F7DEA" w:rsidRPr="00AC2DCC">
        <w:rPr>
          <w:rFonts w:asciiTheme="majorBidi" w:hAnsiTheme="majorBidi" w:cstheme="majorBidi"/>
          <w:szCs w:val="22"/>
        </w:rPr>
        <w:t xml:space="preserve"> that was not contextualised in the world of the student but in the teacher’s agenda. </w:t>
      </w:r>
      <w:r w:rsidR="00646CC6" w:rsidRPr="00AC2DCC">
        <w:rPr>
          <w:rFonts w:asciiTheme="majorBidi" w:hAnsiTheme="majorBidi" w:cstheme="majorBidi"/>
          <w:szCs w:val="22"/>
        </w:rPr>
        <w:t>In other words, a pedagogic decision has to be made to focus tightly on the specific statistical concept and rely on the student’s willingness to engage with the teacher’s agenda</w:t>
      </w:r>
      <w:r w:rsidR="00A52793" w:rsidRPr="00AC2DCC">
        <w:rPr>
          <w:rFonts w:asciiTheme="majorBidi" w:hAnsiTheme="majorBidi" w:cstheme="majorBidi"/>
          <w:szCs w:val="22"/>
        </w:rPr>
        <w:t>,</w:t>
      </w:r>
      <w:r w:rsidR="00646CC6" w:rsidRPr="00AC2DCC">
        <w:rPr>
          <w:rFonts w:asciiTheme="majorBidi" w:hAnsiTheme="majorBidi" w:cstheme="majorBidi"/>
          <w:szCs w:val="22"/>
        </w:rPr>
        <w:t xml:space="preserve"> even though the purpose and utility may be obscure for the student.</w:t>
      </w:r>
    </w:p>
    <w:p w14:paraId="207A504A" w14:textId="1546CA82" w:rsidR="004D6D39" w:rsidRPr="00AC2DCC" w:rsidRDefault="00646CC6" w:rsidP="00D26737">
      <w:pPr>
        <w:pStyle w:val="Body"/>
        <w:spacing w:before="120" w:line="480" w:lineRule="auto"/>
        <w:ind w:firstLine="720"/>
        <w:jc w:val="left"/>
        <w:rPr>
          <w:rFonts w:asciiTheme="majorBidi" w:hAnsiTheme="majorBidi" w:cstheme="majorBidi"/>
          <w:szCs w:val="22"/>
        </w:rPr>
      </w:pPr>
      <w:r w:rsidRPr="00AC2DCC">
        <w:rPr>
          <w:rFonts w:asciiTheme="majorBidi" w:hAnsiTheme="majorBidi" w:cstheme="majorBidi"/>
          <w:szCs w:val="22"/>
        </w:rPr>
        <w:t>That demand on the student appears to be exacerbated when their approach sets out</w:t>
      </w:r>
      <w:r w:rsidR="003F7DEA" w:rsidRPr="00AC2DCC">
        <w:rPr>
          <w:rFonts w:asciiTheme="majorBidi" w:hAnsiTheme="majorBidi" w:cstheme="majorBidi"/>
          <w:szCs w:val="22"/>
        </w:rPr>
        <w:t xml:space="preserve"> rules about </w:t>
      </w:r>
      <w:r w:rsidR="008A5D83">
        <w:rPr>
          <w:rFonts w:asciiTheme="majorBidi" w:hAnsiTheme="majorBidi" w:cstheme="majorBidi"/>
          <w:szCs w:val="22"/>
        </w:rPr>
        <w:t>‘</w:t>
      </w:r>
      <w:r w:rsidR="003F7DEA" w:rsidRPr="00AC2DCC">
        <w:rPr>
          <w:rFonts w:asciiTheme="majorBidi" w:hAnsiTheme="majorBidi" w:cstheme="majorBidi"/>
          <w:szCs w:val="22"/>
        </w:rPr>
        <w:t xml:space="preserve">how to make the </w:t>
      </w:r>
      <w:r w:rsidR="003F7DEA" w:rsidRPr="002519D0">
        <w:rPr>
          <w:rFonts w:asciiTheme="majorBidi" w:hAnsiTheme="majorBidi" w:cstheme="majorBidi"/>
          <w:szCs w:val="22"/>
        </w:rPr>
        <w:t>call</w:t>
      </w:r>
      <w:r w:rsidR="008A5D83">
        <w:rPr>
          <w:rFonts w:asciiTheme="majorBidi" w:hAnsiTheme="majorBidi" w:cstheme="majorBidi"/>
          <w:szCs w:val="22"/>
        </w:rPr>
        <w:t>’</w:t>
      </w:r>
      <w:r w:rsidR="003F7DEA" w:rsidRPr="00AC2DCC">
        <w:rPr>
          <w:rFonts w:asciiTheme="majorBidi" w:hAnsiTheme="majorBidi" w:cstheme="majorBidi"/>
          <w:szCs w:val="22"/>
        </w:rPr>
        <w:t xml:space="preserve"> in the decision</w:t>
      </w:r>
      <w:r w:rsidR="009A70E9" w:rsidRPr="00AC2DCC">
        <w:rPr>
          <w:rFonts w:asciiTheme="majorBidi" w:hAnsiTheme="majorBidi" w:cstheme="majorBidi"/>
          <w:szCs w:val="22"/>
        </w:rPr>
        <w:t xml:space="preserve"> </w:t>
      </w:r>
      <w:r w:rsidR="003F7DEA" w:rsidRPr="00AC2DCC">
        <w:rPr>
          <w:rFonts w:asciiTheme="majorBidi" w:hAnsiTheme="majorBidi" w:cstheme="majorBidi"/>
          <w:szCs w:val="22"/>
        </w:rPr>
        <w:t>with little justification</w:t>
      </w:r>
      <w:r w:rsidR="009A70E9" w:rsidRPr="00AC2DCC">
        <w:rPr>
          <w:rFonts w:asciiTheme="majorBidi" w:hAnsiTheme="majorBidi" w:cstheme="majorBidi"/>
          <w:szCs w:val="22"/>
        </w:rPr>
        <w:t xml:space="preserve"> that is accessible to the students,</w:t>
      </w:r>
      <w:r w:rsidR="003F7DEA" w:rsidRPr="00AC2DCC">
        <w:rPr>
          <w:rFonts w:asciiTheme="majorBidi" w:hAnsiTheme="majorBidi" w:cstheme="majorBidi"/>
          <w:szCs w:val="22"/>
        </w:rPr>
        <w:t xml:space="preserve"> certainly not at the theoretical level.</w:t>
      </w:r>
      <w:r w:rsidR="009C1918">
        <w:rPr>
          <w:rFonts w:asciiTheme="majorBidi" w:hAnsiTheme="majorBidi" w:cstheme="majorBidi"/>
          <w:szCs w:val="22"/>
        </w:rPr>
        <w:t xml:space="preserve"> </w:t>
      </w:r>
      <w:r w:rsidR="009A70E9" w:rsidRPr="00AC2DCC">
        <w:rPr>
          <w:rFonts w:asciiTheme="majorBidi" w:hAnsiTheme="majorBidi" w:cstheme="majorBidi"/>
          <w:szCs w:val="22"/>
        </w:rPr>
        <w:t>We do not make these points to criticise the authors’ approach, which is surely imaginative and holds great promise. Indeed, teachers the world over engage students in activity around specific concepts in ways that require the students to have faith that the learning will one day be helpful</w:t>
      </w:r>
      <w:r w:rsidR="00A52793" w:rsidRPr="00AC2DCC">
        <w:rPr>
          <w:rFonts w:asciiTheme="majorBidi" w:hAnsiTheme="majorBidi" w:cstheme="majorBidi"/>
          <w:szCs w:val="22"/>
        </w:rPr>
        <w:t xml:space="preserve"> to them</w:t>
      </w:r>
      <w:r w:rsidR="009A70E9" w:rsidRPr="00AC2DCC">
        <w:rPr>
          <w:rFonts w:asciiTheme="majorBidi" w:hAnsiTheme="majorBidi" w:cstheme="majorBidi"/>
          <w:szCs w:val="22"/>
        </w:rPr>
        <w:t xml:space="preserve">. </w:t>
      </w:r>
      <w:r w:rsidR="00A52793" w:rsidRPr="00AC2DCC">
        <w:rPr>
          <w:rFonts w:asciiTheme="majorBidi" w:hAnsiTheme="majorBidi" w:cstheme="majorBidi"/>
          <w:szCs w:val="22"/>
        </w:rPr>
        <w:t>Rather, we wish to make the point that, despite the importance of connecting purpose and utility in task and tool design, there</w:t>
      </w:r>
      <w:r w:rsidR="009A70E9" w:rsidRPr="00AC2DCC">
        <w:rPr>
          <w:rFonts w:asciiTheme="majorBidi" w:hAnsiTheme="majorBidi" w:cstheme="majorBidi"/>
          <w:szCs w:val="22"/>
        </w:rPr>
        <w:t xml:space="preserve"> does</w:t>
      </w:r>
      <w:r w:rsidR="00A52793" w:rsidRPr="00AC2DCC">
        <w:rPr>
          <w:rFonts w:asciiTheme="majorBidi" w:hAnsiTheme="majorBidi" w:cstheme="majorBidi"/>
          <w:szCs w:val="22"/>
        </w:rPr>
        <w:t xml:space="preserve"> appear </w:t>
      </w:r>
      <w:r w:rsidR="008D1DB9" w:rsidRPr="00AC2DCC">
        <w:rPr>
          <w:rFonts w:asciiTheme="majorBidi" w:hAnsiTheme="majorBidi" w:cstheme="majorBidi"/>
          <w:szCs w:val="22"/>
        </w:rPr>
        <w:t>to be</w:t>
      </w:r>
      <w:r w:rsidR="00A52793" w:rsidRPr="00AC2DCC">
        <w:rPr>
          <w:rFonts w:asciiTheme="majorBidi" w:hAnsiTheme="majorBidi" w:cstheme="majorBidi"/>
          <w:szCs w:val="22"/>
        </w:rPr>
        <w:t xml:space="preserve"> some limitation in their scope. N</w:t>
      </w:r>
      <w:r w:rsidR="00EA2603" w:rsidRPr="00AC2DCC">
        <w:rPr>
          <w:rFonts w:asciiTheme="majorBidi" w:hAnsiTheme="majorBidi" w:cstheme="majorBidi"/>
          <w:szCs w:val="22"/>
        </w:rPr>
        <w:t>evertheless</w:t>
      </w:r>
      <w:r w:rsidR="00A52793" w:rsidRPr="00AC2DCC">
        <w:rPr>
          <w:rFonts w:asciiTheme="majorBidi" w:hAnsiTheme="majorBidi" w:cstheme="majorBidi"/>
          <w:szCs w:val="22"/>
        </w:rPr>
        <w:t xml:space="preserve">, recognition that </w:t>
      </w:r>
      <w:r w:rsidR="00A52793" w:rsidRPr="00AC2DCC">
        <w:rPr>
          <w:rFonts w:asciiTheme="majorBidi" w:hAnsiTheme="majorBidi" w:cstheme="majorBidi"/>
          <w:szCs w:val="22"/>
        </w:rPr>
        <w:lastRenderedPageBreak/>
        <w:t>consideration of purpose and utility are being ignored at any particular point in a learning trajectory</w:t>
      </w:r>
      <w:r w:rsidR="00EA2603" w:rsidRPr="00AC2DCC">
        <w:rPr>
          <w:rFonts w:asciiTheme="majorBidi" w:hAnsiTheme="majorBidi" w:cstheme="majorBidi"/>
          <w:szCs w:val="22"/>
        </w:rPr>
        <w:t xml:space="preserve"> </w:t>
      </w:r>
      <w:r w:rsidR="00A52793" w:rsidRPr="00AC2DCC">
        <w:rPr>
          <w:rFonts w:asciiTheme="majorBidi" w:hAnsiTheme="majorBidi" w:cstheme="majorBidi"/>
          <w:szCs w:val="22"/>
        </w:rPr>
        <w:t>might help to alert the teacher</w:t>
      </w:r>
      <w:r w:rsidR="00EA2603" w:rsidRPr="00AC2DCC">
        <w:rPr>
          <w:rFonts w:asciiTheme="majorBidi" w:hAnsiTheme="majorBidi" w:cstheme="majorBidi"/>
          <w:szCs w:val="22"/>
        </w:rPr>
        <w:t xml:space="preserve"> to </w:t>
      </w:r>
      <w:r w:rsidR="00A52793" w:rsidRPr="00AC2DCC">
        <w:rPr>
          <w:rFonts w:asciiTheme="majorBidi" w:hAnsiTheme="majorBidi" w:cstheme="majorBidi"/>
          <w:szCs w:val="22"/>
        </w:rPr>
        <w:t xml:space="preserve">the </w:t>
      </w:r>
      <w:r w:rsidR="00EA2603" w:rsidRPr="00AC2DCC">
        <w:rPr>
          <w:rFonts w:asciiTheme="majorBidi" w:hAnsiTheme="majorBidi" w:cstheme="majorBidi"/>
          <w:szCs w:val="22"/>
        </w:rPr>
        <w:t xml:space="preserve">pedagogic risks </w:t>
      </w:r>
      <w:r w:rsidR="00A52793" w:rsidRPr="00AC2DCC">
        <w:rPr>
          <w:rFonts w:asciiTheme="majorBidi" w:hAnsiTheme="majorBidi" w:cstheme="majorBidi"/>
          <w:szCs w:val="22"/>
        </w:rPr>
        <w:t>of disengagement by the student</w:t>
      </w:r>
      <w:r w:rsidR="008D1DB9" w:rsidRPr="00AC2DCC">
        <w:rPr>
          <w:rFonts w:asciiTheme="majorBidi" w:hAnsiTheme="majorBidi" w:cstheme="majorBidi"/>
          <w:szCs w:val="22"/>
        </w:rPr>
        <w:t>.</w:t>
      </w:r>
    </w:p>
    <w:p w14:paraId="7C90D684" w14:textId="77777777" w:rsidR="00BB644E" w:rsidRPr="00AC2DCC" w:rsidRDefault="00BB644E" w:rsidP="00D26737">
      <w:pPr>
        <w:pStyle w:val="Body"/>
        <w:spacing w:before="120" w:line="480" w:lineRule="auto"/>
        <w:ind w:firstLine="720"/>
        <w:jc w:val="left"/>
        <w:rPr>
          <w:rFonts w:asciiTheme="majorBidi" w:hAnsiTheme="majorBidi" w:cstheme="majorBidi"/>
          <w:szCs w:val="22"/>
        </w:rPr>
      </w:pPr>
    </w:p>
    <w:p w14:paraId="4CB3E5ED" w14:textId="77777777" w:rsidR="00DA6FDD" w:rsidRDefault="00DA6FDD" w:rsidP="00D26737">
      <w:pPr>
        <w:spacing w:before="120" w:line="480" w:lineRule="auto"/>
        <w:rPr>
          <w:rFonts w:asciiTheme="majorBidi" w:hAnsiTheme="majorBidi" w:cstheme="majorBidi"/>
          <w:b/>
          <w:sz w:val="22"/>
          <w:szCs w:val="22"/>
        </w:rPr>
      </w:pPr>
      <w:r w:rsidRPr="006518F9">
        <w:rPr>
          <w:rFonts w:asciiTheme="majorBidi" w:hAnsiTheme="majorBidi" w:cstheme="majorBidi"/>
          <w:b/>
          <w:sz w:val="22"/>
          <w:szCs w:val="22"/>
        </w:rPr>
        <w:t>Big Data: What do these papers tell us about preparing students to live in a world of Big Data?</w:t>
      </w:r>
    </w:p>
    <w:p w14:paraId="2C888B7E" w14:textId="0B7DE6F2" w:rsidR="00DA6FDD" w:rsidRDefault="00DA6FDD" w:rsidP="00896020">
      <w:pPr>
        <w:spacing w:before="120" w:line="480" w:lineRule="auto"/>
        <w:rPr>
          <w:rFonts w:asciiTheme="majorBidi" w:hAnsiTheme="majorBidi" w:cstheme="majorBidi"/>
          <w:sz w:val="22"/>
          <w:szCs w:val="22"/>
        </w:rPr>
      </w:pPr>
      <w:r w:rsidRPr="006518F9">
        <w:rPr>
          <w:rFonts w:asciiTheme="majorBidi" w:hAnsiTheme="majorBidi" w:cstheme="majorBidi"/>
          <w:sz w:val="22"/>
          <w:szCs w:val="22"/>
        </w:rPr>
        <w:t xml:space="preserve">The term </w:t>
      </w:r>
      <w:r>
        <w:rPr>
          <w:rFonts w:asciiTheme="majorBidi" w:hAnsiTheme="majorBidi" w:cstheme="majorBidi"/>
          <w:sz w:val="22"/>
          <w:szCs w:val="22"/>
        </w:rPr>
        <w:t>“</w:t>
      </w:r>
      <w:r w:rsidRPr="006518F9">
        <w:rPr>
          <w:rFonts w:asciiTheme="majorBidi" w:hAnsiTheme="majorBidi" w:cstheme="majorBidi"/>
          <w:sz w:val="22"/>
          <w:szCs w:val="22"/>
        </w:rPr>
        <w:t>Big Data</w:t>
      </w:r>
      <w:r>
        <w:rPr>
          <w:rFonts w:asciiTheme="majorBidi" w:hAnsiTheme="majorBidi" w:cstheme="majorBidi"/>
          <w:sz w:val="22"/>
          <w:szCs w:val="22"/>
        </w:rPr>
        <w:t>”</w:t>
      </w:r>
      <w:r w:rsidRPr="006518F9">
        <w:rPr>
          <w:rFonts w:asciiTheme="majorBidi" w:hAnsiTheme="majorBidi" w:cstheme="majorBidi"/>
          <w:sz w:val="22"/>
          <w:szCs w:val="22"/>
        </w:rPr>
        <w:t xml:space="preserve"> means different things to different people.</w:t>
      </w:r>
      <w:r>
        <w:rPr>
          <w:rFonts w:asciiTheme="majorBidi" w:hAnsiTheme="majorBidi" w:cstheme="majorBidi"/>
          <w:sz w:val="22"/>
          <w:szCs w:val="22"/>
        </w:rPr>
        <w:t xml:space="preserve"> </w:t>
      </w:r>
      <w:r w:rsidRPr="006518F9">
        <w:rPr>
          <w:rFonts w:asciiTheme="majorBidi" w:hAnsiTheme="majorBidi" w:cstheme="majorBidi"/>
          <w:sz w:val="22"/>
          <w:szCs w:val="22"/>
        </w:rPr>
        <w:t>For the purposes of this discussion, we prefer to adopt a definition by Lane et al (2014), who use Big Data</w:t>
      </w:r>
      <w:r>
        <w:rPr>
          <w:rFonts w:asciiTheme="majorBidi" w:hAnsiTheme="majorBidi" w:cstheme="majorBidi"/>
          <w:sz w:val="22"/>
          <w:szCs w:val="22"/>
        </w:rPr>
        <w:t xml:space="preserve"> </w:t>
      </w:r>
      <w:r w:rsidRPr="006518F9">
        <w:rPr>
          <w:rFonts w:asciiTheme="majorBidi" w:hAnsiTheme="majorBidi" w:cstheme="majorBidi"/>
          <w:sz w:val="22"/>
          <w:szCs w:val="22"/>
        </w:rPr>
        <w:t xml:space="preserve">as a </w:t>
      </w:r>
      <w:r>
        <w:rPr>
          <w:rFonts w:asciiTheme="majorBidi" w:hAnsiTheme="majorBidi" w:cstheme="majorBidi"/>
          <w:sz w:val="22"/>
          <w:szCs w:val="22"/>
        </w:rPr>
        <w:t>“</w:t>
      </w:r>
      <w:r w:rsidRPr="006518F9">
        <w:rPr>
          <w:rFonts w:asciiTheme="majorBidi" w:hAnsiTheme="majorBidi" w:cstheme="majorBidi"/>
          <w:sz w:val="22"/>
          <w:szCs w:val="22"/>
        </w:rPr>
        <w:t>paradigm</w:t>
      </w:r>
      <w:r>
        <w:rPr>
          <w:rFonts w:asciiTheme="majorBidi" w:hAnsiTheme="majorBidi" w:cstheme="majorBidi"/>
          <w:sz w:val="22"/>
          <w:szCs w:val="22"/>
        </w:rPr>
        <w:t>”</w:t>
      </w:r>
      <w:r w:rsidRPr="006518F9">
        <w:rPr>
          <w:rFonts w:asciiTheme="majorBidi" w:hAnsiTheme="majorBidi" w:cstheme="majorBidi"/>
          <w:sz w:val="22"/>
          <w:szCs w:val="22"/>
        </w:rPr>
        <w:t xml:space="preserve"> that represents a culture in which data play </w:t>
      </w:r>
      <w:proofErr w:type="gramStart"/>
      <w:r w:rsidRPr="006518F9">
        <w:rPr>
          <w:rFonts w:asciiTheme="majorBidi" w:hAnsiTheme="majorBidi" w:cstheme="majorBidi"/>
          <w:sz w:val="22"/>
          <w:szCs w:val="22"/>
        </w:rPr>
        <w:t>an</w:t>
      </w:r>
      <w:proofErr w:type="gramEnd"/>
      <w:r w:rsidRPr="006518F9">
        <w:rPr>
          <w:rFonts w:asciiTheme="majorBidi" w:hAnsiTheme="majorBidi" w:cstheme="majorBidi"/>
          <w:sz w:val="22"/>
          <w:szCs w:val="22"/>
        </w:rPr>
        <w:t xml:space="preserve"> historically large role.</w:t>
      </w:r>
      <w:r>
        <w:rPr>
          <w:rFonts w:asciiTheme="majorBidi" w:hAnsiTheme="majorBidi" w:cstheme="majorBidi"/>
          <w:sz w:val="22"/>
          <w:szCs w:val="22"/>
        </w:rPr>
        <w:t xml:space="preserve"> In other words, data are not </w:t>
      </w:r>
      <w:r w:rsidR="00D26737">
        <w:rPr>
          <w:rFonts w:asciiTheme="majorBidi" w:hAnsiTheme="majorBidi" w:cstheme="majorBidi"/>
          <w:sz w:val="22"/>
          <w:szCs w:val="22"/>
        </w:rPr>
        <w:t>“</w:t>
      </w:r>
      <w:r>
        <w:rPr>
          <w:rFonts w:asciiTheme="majorBidi" w:hAnsiTheme="majorBidi" w:cstheme="majorBidi"/>
          <w:sz w:val="22"/>
          <w:szCs w:val="22"/>
        </w:rPr>
        <w:t>big</w:t>
      </w:r>
      <w:r w:rsidR="00D26737">
        <w:rPr>
          <w:rFonts w:asciiTheme="majorBidi" w:hAnsiTheme="majorBidi" w:cstheme="majorBidi"/>
          <w:sz w:val="22"/>
          <w:szCs w:val="22"/>
        </w:rPr>
        <w:t xml:space="preserve">” </w:t>
      </w:r>
      <w:r>
        <w:rPr>
          <w:rFonts w:asciiTheme="majorBidi" w:hAnsiTheme="majorBidi" w:cstheme="majorBidi"/>
          <w:sz w:val="22"/>
          <w:szCs w:val="22"/>
        </w:rPr>
        <w:t xml:space="preserve">because of the size of the </w:t>
      </w:r>
      <w:proofErr w:type="spellStart"/>
      <w:r>
        <w:rPr>
          <w:rFonts w:asciiTheme="majorBidi" w:hAnsiTheme="majorBidi" w:cstheme="majorBidi"/>
          <w:sz w:val="22"/>
          <w:szCs w:val="22"/>
        </w:rPr>
        <w:t>datafile</w:t>
      </w:r>
      <w:proofErr w:type="spellEnd"/>
      <w:r>
        <w:rPr>
          <w:rFonts w:asciiTheme="majorBidi" w:hAnsiTheme="majorBidi" w:cstheme="majorBidi"/>
          <w:sz w:val="22"/>
          <w:szCs w:val="22"/>
        </w:rPr>
        <w:t xml:space="preserve">, but because they belong to a new class of data that differ in structure and source from </w:t>
      </w:r>
      <w:r w:rsidR="00D26737">
        <w:rPr>
          <w:rFonts w:asciiTheme="majorBidi" w:hAnsiTheme="majorBidi" w:cstheme="majorBidi"/>
          <w:sz w:val="22"/>
          <w:szCs w:val="22"/>
        </w:rPr>
        <w:t>“</w:t>
      </w:r>
      <w:r>
        <w:rPr>
          <w:rFonts w:asciiTheme="majorBidi" w:hAnsiTheme="majorBidi" w:cstheme="majorBidi"/>
          <w:sz w:val="22"/>
          <w:szCs w:val="22"/>
        </w:rPr>
        <w:t>traditional</w:t>
      </w:r>
      <w:r w:rsidR="00D26737">
        <w:rPr>
          <w:rFonts w:asciiTheme="majorBidi" w:hAnsiTheme="majorBidi" w:cstheme="majorBidi"/>
          <w:sz w:val="22"/>
          <w:szCs w:val="22"/>
        </w:rPr>
        <w:t xml:space="preserve">” </w:t>
      </w:r>
      <w:r>
        <w:rPr>
          <w:rFonts w:asciiTheme="majorBidi" w:hAnsiTheme="majorBidi" w:cstheme="majorBidi"/>
          <w:sz w:val="22"/>
          <w:szCs w:val="22"/>
        </w:rPr>
        <w:t xml:space="preserve">data that have inspired institutional changes in how we learn from data. </w:t>
      </w:r>
      <w:r w:rsidRPr="006518F9">
        <w:rPr>
          <w:rFonts w:asciiTheme="majorBidi" w:hAnsiTheme="majorBidi" w:cstheme="majorBidi"/>
          <w:sz w:val="22"/>
          <w:szCs w:val="22"/>
        </w:rPr>
        <w:t xml:space="preserve">This culture has produced a class of data that are not necessarily covered in </w:t>
      </w:r>
      <w:r>
        <w:rPr>
          <w:rFonts w:asciiTheme="majorBidi" w:hAnsiTheme="majorBidi" w:cstheme="majorBidi"/>
          <w:sz w:val="22"/>
          <w:szCs w:val="22"/>
        </w:rPr>
        <w:t xml:space="preserve">aforementioned </w:t>
      </w:r>
      <w:r w:rsidRPr="006518F9">
        <w:rPr>
          <w:rFonts w:asciiTheme="majorBidi" w:hAnsiTheme="majorBidi" w:cstheme="majorBidi"/>
          <w:sz w:val="22"/>
          <w:szCs w:val="22"/>
        </w:rPr>
        <w:t xml:space="preserve">types A </w:t>
      </w:r>
      <w:r>
        <w:rPr>
          <w:rFonts w:asciiTheme="majorBidi" w:hAnsiTheme="majorBidi" w:cstheme="majorBidi"/>
          <w:sz w:val="22"/>
          <w:szCs w:val="22"/>
        </w:rPr>
        <w:t>(sample data that emerge from s</w:t>
      </w:r>
      <w:r w:rsidRPr="00136E4E">
        <w:rPr>
          <w:rFonts w:asciiTheme="majorBidi" w:hAnsiTheme="majorBidi" w:cstheme="majorBidi"/>
          <w:sz w:val="22"/>
          <w:szCs w:val="22"/>
        </w:rPr>
        <w:t>ituations in which the population is material, finite and countable</w:t>
      </w:r>
      <w:r>
        <w:rPr>
          <w:rFonts w:asciiTheme="majorBidi" w:hAnsiTheme="majorBidi" w:cstheme="majorBidi"/>
          <w:sz w:val="22"/>
          <w:szCs w:val="22"/>
        </w:rPr>
        <w:t xml:space="preserve">) </w:t>
      </w:r>
      <w:r w:rsidRPr="006518F9">
        <w:rPr>
          <w:rFonts w:asciiTheme="majorBidi" w:hAnsiTheme="majorBidi" w:cstheme="majorBidi"/>
          <w:sz w:val="22"/>
          <w:szCs w:val="22"/>
        </w:rPr>
        <w:t xml:space="preserve">and B </w:t>
      </w:r>
      <w:r>
        <w:rPr>
          <w:rFonts w:asciiTheme="majorBidi" w:hAnsiTheme="majorBidi" w:cstheme="majorBidi"/>
          <w:sz w:val="22"/>
          <w:szCs w:val="22"/>
        </w:rPr>
        <w:t>(sample data that emerge from s</w:t>
      </w:r>
      <w:r w:rsidRPr="007A2C8A">
        <w:rPr>
          <w:rFonts w:asciiTheme="majorBidi" w:hAnsiTheme="majorBidi" w:cstheme="majorBidi"/>
          <w:sz w:val="22"/>
          <w:szCs w:val="22"/>
        </w:rPr>
        <w:t>ituations in which the population is a mathematical formulation</w:t>
      </w:r>
      <w:r>
        <w:rPr>
          <w:rFonts w:asciiTheme="majorBidi" w:hAnsiTheme="majorBidi" w:cstheme="majorBidi"/>
          <w:sz w:val="22"/>
          <w:szCs w:val="22"/>
        </w:rPr>
        <w:t xml:space="preserve">) </w:t>
      </w:r>
      <w:r w:rsidRPr="006518F9">
        <w:rPr>
          <w:rFonts w:asciiTheme="majorBidi" w:hAnsiTheme="majorBidi" w:cstheme="majorBidi"/>
          <w:sz w:val="22"/>
          <w:szCs w:val="22"/>
        </w:rPr>
        <w:t>above.</w:t>
      </w:r>
      <w:r>
        <w:rPr>
          <w:rFonts w:asciiTheme="majorBidi" w:hAnsiTheme="majorBidi" w:cstheme="majorBidi"/>
          <w:sz w:val="22"/>
          <w:szCs w:val="22"/>
        </w:rPr>
        <w:t xml:space="preserve"> </w:t>
      </w:r>
      <w:r w:rsidRPr="006518F9">
        <w:rPr>
          <w:rFonts w:asciiTheme="majorBidi" w:hAnsiTheme="majorBidi" w:cstheme="majorBidi"/>
          <w:sz w:val="22"/>
          <w:szCs w:val="22"/>
        </w:rPr>
        <w:t>As opposed to A and B data, which are typically collected by humans with a specific purpose in mind, at least some types of Big Data are collected algorithmically. A sensor, for example, may automatically take readings every millisecond.</w:t>
      </w:r>
      <w:r>
        <w:rPr>
          <w:rFonts w:asciiTheme="majorBidi" w:hAnsiTheme="majorBidi" w:cstheme="majorBidi"/>
          <w:sz w:val="22"/>
          <w:szCs w:val="22"/>
        </w:rPr>
        <w:t xml:space="preserve"> </w:t>
      </w:r>
      <w:r w:rsidRPr="006518F9">
        <w:rPr>
          <w:rFonts w:asciiTheme="majorBidi" w:hAnsiTheme="majorBidi" w:cstheme="majorBidi"/>
          <w:sz w:val="22"/>
          <w:szCs w:val="22"/>
        </w:rPr>
        <w:t>An app running on a personal computer might record every song that is played through the computer</w:t>
      </w:r>
      <w:r>
        <w:rPr>
          <w:rFonts w:asciiTheme="majorBidi" w:hAnsiTheme="majorBidi" w:cstheme="majorBidi"/>
          <w:sz w:val="22"/>
          <w:szCs w:val="22"/>
        </w:rPr>
        <w:t>’</w:t>
      </w:r>
      <w:r w:rsidRPr="006518F9">
        <w:rPr>
          <w:rFonts w:asciiTheme="majorBidi" w:hAnsiTheme="majorBidi" w:cstheme="majorBidi"/>
          <w:sz w:val="22"/>
          <w:szCs w:val="22"/>
        </w:rPr>
        <w:t xml:space="preserve">s </w:t>
      </w:r>
      <w:r w:rsidRPr="007D3A57">
        <w:rPr>
          <w:rFonts w:asciiTheme="majorBidi" w:hAnsiTheme="majorBidi" w:cstheme="majorBidi"/>
          <w:sz w:val="22"/>
          <w:szCs w:val="22"/>
        </w:rPr>
        <w:t>music system.</w:t>
      </w:r>
      <w:r>
        <w:rPr>
          <w:rFonts w:asciiTheme="majorBidi" w:hAnsiTheme="majorBidi" w:cstheme="majorBidi"/>
          <w:sz w:val="22"/>
          <w:szCs w:val="22"/>
        </w:rPr>
        <w:t xml:space="preserve"> </w:t>
      </w:r>
      <w:r w:rsidRPr="007D3A57">
        <w:rPr>
          <w:rFonts w:asciiTheme="majorBidi" w:hAnsiTheme="majorBidi" w:cstheme="majorBidi"/>
          <w:sz w:val="22"/>
          <w:szCs w:val="22"/>
        </w:rPr>
        <w:t>A camera chip may store meta-data on every picture taken.</w:t>
      </w:r>
      <w:r>
        <w:rPr>
          <w:rFonts w:asciiTheme="majorBidi" w:hAnsiTheme="majorBidi" w:cstheme="majorBidi"/>
          <w:sz w:val="22"/>
          <w:szCs w:val="22"/>
        </w:rPr>
        <w:t xml:space="preserve"> </w:t>
      </w:r>
      <w:r w:rsidRPr="007D3A57">
        <w:rPr>
          <w:rFonts w:asciiTheme="majorBidi" w:hAnsiTheme="majorBidi" w:cstheme="majorBidi"/>
          <w:sz w:val="22"/>
          <w:szCs w:val="22"/>
        </w:rPr>
        <w:t>In addition, many civic organizations, such as police departments, routinely collect data on every event; the event of an arrest triggers a data collection protocol.</w:t>
      </w:r>
    </w:p>
    <w:p w14:paraId="0D5C24D0" w14:textId="723E3CBD" w:rsidR="00DA6FDD" w:rsidRDefault="00DA6FDD" w:rsidP="009D1071">
      <w:pPr>
        <w:spacing w:before="120" w:line="480" w:lineRule="auto"/>
        <w:ind w:firstLine="720"/>
        <w:rPr>
          <w:rFonts w:asciiTheme="majorBidi" w:hAnsiTheme="majorBidi" w:cstheme="majorBidi"/>
          <w:sz w:val="22"/>
          <w:szCs w:val="22"/>
        </w:rPr>
      </w:pPr>
      <w:r w:rsidRPr="007D3A57">
        <w:rPr>
          <w:rFonts w:asciiTheme="majorBidi" w:hAnsiTheme="majorBidi" w:cstheme="majorBidi"/>
          <w:sz w:val="22"/>
          <w:szCs w:val="22"/>
        </w:rPr>
        <w:t>What is interesting about Big Data from an educational perspective is not (just) the size of the data collected, but its ubiquity.</w:t>
      </w:r>
      <w:r>
        <w:rPr>
          <w:rFonts w:asciiTheme="majorBidi" w:hAnsiTheme="majorBidi" w:cstheme="majorBidi"/>
          <w:sz w:val="22"/>
          <w:szCs w:val="22"/>
        </w:rPr>
        <w:t xml:space="preserve"> </w:t>
      </w:r>
      <w:r w:rsidRPr="007D3A57">
        <w:rPr>
          <w:rFonts w:asciiTheme="majorBidi" w:hAnsiTheme="majorBidi" w:cstheme="majorBidi"/>
          <w:sz w:val="22"/>
          <w:szCs w:val="22"/>
        </w:rPr>
        <w:t xml:space="preserve">Most of the data discussed in these papers could be described as </w:t>
      </w:r>
      <w:r>
        <w:rPr>
          <w:rFonts w:asciiTheme="majorBidi" w:hAnsiTheme="majorBidi" w:cstheme="majorBidi"/>
          <w:sz w:val="22"/>
          <w:szCs w:val="22"/>
        </w:rPr>
        <w:t>“</w:t>
      </w:r>
      <w:r w:rsidRPr="006518F9">
        <w:rPr>
          <w:rFonts w:asciiTheme="majorBidi" w:hAnsiTheme="majorBidi" w:cstheme="majorBidi"/>
          <w:sz w:val="22"/>
          <w:szCs w:val="22"/>
        </w:rPr>
        <w:t>professionals</w:t>
      </w:r>
      <w:r>
        <w:rPr>
          <w:rFonts w:asciiTheme="majorBidi" w:hAnsiTheme="majorBidi" w:cstheme="majorBidi"/>
          <w:sz w:val="22"/>
          <w:szCs w:val="22"/>
        </w:rPr>
        <w:t>’</w:t>
      </w:r>
      <w:r w:rsidRPr="006518F9">
        <w:rPr>
          <w:rFonts w:asciiTheme="majorBidi" w:hAnsiTheme="majorBidi" w:cstheme="majorBidi"/>
          <w:sz w:val="22"/>
          <w:szCs w:val="22"/>
        </w:rPr>
        <w:t xml:space="preserve"> </w:t>
      </w:r>
      <w:r w:rsidRPr="007D3A57">
        <w:rPr>
          <w:rFonts w:asciiTheme="majorBidi" w:hAnsiTheme="majorBidi" w:cstheme="majorBidi"/>
          <w:sz w:val="22"/>
          <w:szCs w:val="22"/>
        </w:rPr>
        <w:t>data</w:t>
      </w:r>
      <w:r w:rsidR="00D26737" w:rsidRPr="006518F9">
        <w:rPr>
          <w:rFonts w:asciiTheme="majorBidi" w:hAnsiTheme="majorBidi" w:cstheme="majorBidi"/>
          <w:sz w:val="22"/>
          <w:szCs w:val="22"/>
        </w:rPr>
        <w:t>.</w:t>
      </w:r>
      <w:r>
        <w:rPr>
          <w:rFonts w:asciiTheme="majorBidi" w:hAnsiTheme="majorBidi" w:cstheme="majorBidi"/>
          <w:sz w:val="22"/>
          <w:szCs w:val="22"/>
        </w:rPr>
        <w:t xml:space="preserve">” </w:t>
      </w:r>
      <w:r w:rsidRPr="007D3A57">
        <w:rPr>
          <w:rFonts w:asciiTheme="majorBidi" w:hAnsiTheme="majorBidi" w:cstheme="majorBidi"/>
          <w:sz w:val="22"/>
          <w:szCs w:val="22"/>
        </w:rPr>
        <w:t>These are data that professionals, market researchers, scientists, administrators, politicians, routinely rely upon.</w:t>
      </w:r>
      <w:r>
        <w:rPr>
          <w:rFonts w:asciiTheme="majorBidi" w:hAnsiTheme="majorBidi" w:cstheme="majorBidi"/>
          <w:sz w:val="22"/>
          <w:szCs w:val="22"/>
        </w:rPr>
        <w:t xml:space="preserve"> </w:t>
      </w:r>
      <w:r w:rsidRPr="007D3A57">
        <w:rPr>
          <w:rFonts w:asciiTheme="majorBidi" w:hAnsiTheme="majorBidi" w:cstheme="majorBidi"/>
          <w:sz w:val="22"/>
          <w:szCs w:val="22"/>
        </w:rPr>
        <w:t xml:space="preserve">Many Big Data, on the other hand, directly impact </w:t>
      </w:r>
      <w:r w:rsidRPr="006518F9">
        <w:rPr>
          <w:rFonts w:asciiTheme="majorBidi" w:hAnsiTheme="majorBidi" w:cstheme="majorBidi"/>
          <w:sz w:val="22"/>
          <w:szCs w:val="22"/>
        </w:rPr>
        <w:t>students</w:t>
      </w:r>
      <w:r>
        <w:rPr>
          <w:rFonts w:asciiTheme="majorBidi" w:hAnsiTheme="majorBidi" w:cstheme="majorBidi"/>
          <w:sz w:val="22"/>
          <w:szCs w:val="22"/>
        </w:rPr>
        <w:t>’</w:t>
      </w:r>
      <w:r w:rsidRPr="006518F9">
        <w:rPr>
          <w:rFonts w:asciiTheme="majorBidi" w:hAnsiTheme="majorBidi" w:cstheme="majorBidi"/>
          <w:sz w:val="22"/>
          <w:szCs w:val="22"/>
        </w:rPr>
        <w:t xml:space="preserve"> </w:t>
      </w:r>
      <w:r w:rsidRPr="007D3A57">
        <w:rPr>
          <w:rFonts w:asciiTheme="majorBidi" w:hAnsiTheme="majorBidi" w:cstheme="majorBidi"/>
          <w:sz w:val="22"/>
          <w:szCs w:val="22"/>
        </w:rPr>
        <w:t>lives.</w:t>
      </w:r>
      <w:r>
        <w:rPr>
          <w:rFonts w:asciiTheme="majorBidi" w:hAnsiTheme="majorBidi" w:cstheme="majorBidi"/>
          <w:sz w:val="22"/>
          <w:szCs w:val="22"/>
        </w:rPr>
        <w:t xml:space="preserve"> </w:t>
      </w:r>
      <w:r w:rsidRPr="007D3A57">
        <w:rPr>
          <w:rFonts w:asciiTheme="majorBidi" w:hAnsiTheme="majorBidi" w:cstheme="majorBidi"/>
          <w:sz w:val="22"/>
          <w:szCs w:val="22"/>
        </w:rPr>
        <w:t xml:space="preserve">Big Data can be, therefore, </w:t>
      </w:r>
      <w:r>
        <w:rPr>
          <w:rFonts w:asciiTheme="majorBidi" w:hAnsiTheme="majorBidi" w:cstheme="majorBidi"/>
          <w:sz w:val="22"/>
          <w:szCs w:val="22"/>
        </w:rPr>
        <w:t>“</w:t>
      </w:r>
      <w:r w:rsidRPr="006518F9">
        <w:rPr>
          <w:rFonts w:asciiTheme="majorBidi" w:hAnsiTheme="majorBidi" w:cstheme="majorBidi"/>
          <w:sz w:val="22"/>
          <w:szCs w:val="22"/>
        </w:rPr>
        <w:t>students</w:t>
      </w:r>
      <w:r>
        <w:rPr>
          <w:rFonts w:asciiTheme="majorBidi" w:hAnsiTheme="majorBidi" w:cstheme="majorBidi"/>
          <w:sz w:val="22"/>
          <w:szCs w:val="22"/>
        </w:rPr>
        <w:t>’</w:t>
      </w:r>
      <w:r w:rsidRPr="006518F9">
        <w:rPr>
          <w:rFonts w:asciiTheme="majorBidi" w:hAnsiTheme="majorBidi" w:cstheme="majorBidi"/>
          <w:sz w:val="22"/>
          <w:szCs w:val="22"/>
        </w:rPr>
        <w:t xml:space="preserve"> </w:t>
      </w:r>
      <w:r w:rsidRPr="007D3A57">
        <w:rPr>
          <w:rFonts w:asciiTheme="majorBidi" w:hAnsiTheme="majorBidi" w:cstheme="majorBidi"/>
          <w:sz w:val="22"/>
          <w:szCs w:val="22"/>
        </w:rPr>
        <w:t>data</w:t>
      </w:r>
      <w:r w:rsidR="009D1071" w:rsidRPr="006518F9">
        <w:rPr>
          <w:rFonts w:asciiTheme="majorBidi" w:hAnsiTheme="majorBidi" w:cstheme="majorBidi"/>
          <w:sz w:val="22"/>
          <w:szCs w:val="22"/>
        </w:rPr>
        <w:t>.</w:t>
      </w:r>
      <w:r>
        <w:rPr>
          <w:rFonts w:asciiTheme="majorBidi" w:hAnsiTheme="majorBidi" w:cstheme="majorBidi"/>
          <w:sz w:val="22"/>
          <w:szCs w:val="22"/>
        </w:rPr>
        <w:t xml:space="preserve">” </w:t>
      </w:r>
      <w:r w:rsidRPr="006518F9">
        <w:rPr>
          <w:rFonts w:asciiTheme="majorBidi" w:hAnsiTheme="majorBidi" w:cstheme="majorBidi"/>
          <w:sz w:val="22"/>
          <w:szCs w:val="22"/>
        </w:rPr>
        <w:t>Students</w:t>
      </w:r>
      <w:r>
        <w:rPr>
          <w:rFonts w:asciiTheme="majorBidi" w:hAnsiTheme="majorBidi" w:cstheme="majorBidi"/>
          <w:sz w:val="22"/>
          <w:szCs w:val="22"/>
        </w:rPr>
        <w:t>’</w:t>
      </w:r>
      <w:r w:rsidRPr="007D3A57">
        <w:rPr>
          <w:rFonts w:asciiTheme="majorBidi" w:hAnsiTheme="majorBidi" w:cstheme="majorBidi"/>
          <w:sz w:val="22"/>
          <w:szCs w:val="22"/>
        </w:rPr>
        <w:t xml:space="preserve"> data</w:t>
      </w:r>
      <w:r w:rsidR="009D1071" w:rsidRPr="007D3A57">
        <w:rPr>
          <w:rFonts w:asciiTheme="majorBidi" w:hAnsiTheme="majorBidi" w:cstheme="majorBidi"/>
          <w:sz w:val="22"/>
          <w:szCs w:val="22"/>
        </w:rPr>
        <w:t xml:space="preserve"> </w:t>
      </w:r>
      <w:r w:rsidRPr="007D3A57">
        <w:rPr>
          <w:rFonts w:asciiTheme="majorBidi" w:hAnsiTheme="majorBidi" w:cstheme="majorBidi"/>
          <w:sz w:val="22"/>
          <w:szCs w:val="22"/>
        </w:rPr>
        <w:t xml:space="preserve">is </w:t>
      </w:r>
      <w:r w:rsidRPr="007D3A57">
        <w:rPr>
          <w:rFonts w:asciiTheme="majorBidi" w:hAnsiTheme="majorBidi" w:cstheme="majorBidi"/>
          <w:sz w:val="22"/>
          <w:szCs w:val="22"/>
        </w:rPr>
        <w:lastRenderedPageBreak/>
        <w:t>potentially a large and diverse category of data-types, and might include data accumulated on smartphones, data collected by the students using smartphones, data presented in html format on websites,</w:t>
      </w:r>
      <w:r>
        <w:rPr>
          <w:rFonts w:asciiTheme="majorBidi" w:hAnsiTheme="majorBidi" w:cstheme="majorBidi"/>
          <w:sz w:val="22"/>
          <w:szCs w:val="22"/>
        </w:rPr>
        <w:t xml:space="preserve"> </w:t>
      </w:r>
      <w:r w:rsidRPr="007D3A57">
        <w:rPr>
          <w:rFonts w:asciiTheme="majorBidi" w:hAnsiTheme="majorBidi" w:cstheme="majorBidi"/>
          <w:sz w:val="22"/>
          <w:szCs w:val="22"/>
        </w:rPr>
        <w:t>data from personal health sensors, government web sites, etc.</w:t>
      </w:r>
      <w:r>
        <w:rPr>
          <w:rFonts w:asciiTheme="majorBidi" w:hAnsiTheme="majorBidi" w:cstheme="majorBidi"/>
          <w:sz w:val="22"/>
          <w:szCs w:val="22"/>
        </w:rPr>
        <w:t xml:space="preserve"> </w:t>
      </w:r>
      <w:r w:rsidRPr="007D3A57">
        <w:rPr>
          <w:rFonts w:asciiTheme="majorBidi" w:hAnsiTheme="majorBidi" w:cstheme="majorBidi"/>
          <w:sz w:val="22"/>
          <w:szCs w:val="22"/>
        </w:rPr>
        <w:t>The point is that data are not necessarily objects encountered by students in the formal context of the classroom, but are objects they see every day (Gould, 2010).</w:t>
      </w:r>
    </w:p>
    <w:p w14:paraId="22FCF058" w14:textId="77777777" w:rsidR="00DA6FDD" w:rsidRDefault="00DA6FDD" w:rsidP="00D26737">
      <w:pPr>
        <w:spacing w:before="120" w:line="480" w:lineRule="auto"/>
        <w:ind w:firstLine="720"/>
        <w:rPr>
          <w:rFonts w:asciiTheme="majorBidi" w:hAnsiTheme="majorBidi" w:cstheme="majorBidi"/>
          <w:sz w:val="22"/>
          <w:szCs w:val="22"/>
        </w:rPr>
      </w:pPr>
      <w:r w:rsidRPr="007D3A57">
        <w:rPr>
          <w:rFonts w:asciiTheme="majorBidi" w:hAnsiTheme="majorBidi" w:cstheme="majorBidi"/>
          <w:sz w:val="22"/>
          <w:szCs w:val="22"/>
        </w:rPr>
        <w:t>How, then, do we prepare students to understand these data?</w:t>
      </w:r>
      <w:r>
        <w:rPr>
          <w:rFonts w:asciiTheme="majorBidi" w:hAnsiTheme="majorBidi" w:cstheme="majorBidi"/>
          <w:sz w:val="22"/>
          <w:szCs w:val="22"/>
        </w:rPr>
        <w:t xml:space="preserve"> </w:t>
      </w:r>
      <w:r w:rsidRPr="007D3A57">
        <w:rPr>
          <w:rFonts w:asciiTheme="majorBidi" w:hAnsiTheme="majorBidi" w:cstheme="majorBidi"/>
          <w:sz w:val="22"/>
          <w:szCs w:val="22"/>
        </w:rPr>
        <w:t>Because data description is an important component of reasoning in the context of Big Data, Konold, Higgins, Russell and Khalil offer some valuable insights.</w:t>
      </w:r>
      <w:r>
        <w:rPr>
          <w:rFonts w:asciiTheme="majorBidi" w:hAnsiTheme="majorBidi" w:cstheme="majorBidi"/>
          <w:sz w:val="22"/>
          <w:szCs w:val="22"/>
        </w:rPr>
        <w:t xml:space="preserve"> </w:t>
      </w:r>
      <w:r w:rsidRPr="007D3A57">
        <w:rPr>
          <w:rFonts w:asciiTheme="majorBidi" w:hAnsiTheme="majorBidi" w:cstheme="majorBidi"/>
          <w:sz w:val="22"/>
          <w:szCs w:val="22"/>
        </w:rPr>
        <w:t xml:space="preserve">An important question with many Big Data is </w:t>
      </w:r>
      <w:r>
        <w:rPr>
          <w:rFonts w:asciiTheme="majorBidi" w:hAnsiTheme="majorBidi" w:cstheme="majorBidi"/>
          <w:sz w:val="22"/>
          <w:szCs w:val="22"/>
        </w:rPr>
        <w:t>“</w:t>
      </w:r>
      <w:r w:rsidRPr="007D3A57">
        <w:rPr>
          <w:rFonts w:asciiTheme="majorBidi" w:hAnsiTheme="majorBidi" w:cstheme="majorBidi"/>
          <w:sz w:val="22"/>
          <w:szCs w:val="22"/>
        </w:rPr>
        <w:t>What has happened?</w:t>
      </w:r>
      <w:r>
        <w:rPr>
          <w:rFonts w:asciiTheme="majorBidi" w:hAnsiTheme="majorBidi" w:cstheme="majorBidi"/>
          <w:sz w:val="22"/>
          <w:szCs w:val="22"/>
        </w:rPr>
        <w:t>” –</w:t>
      </w:r>
      <w:r w:rsidRPr="007D3A57">
        <w:rPr>
          <w:rFonts w:asciiTheme="majorBidi" w:hAnsiTheme="majorBidi" w:cstheme="majorBidi"/>
          <w:sz w:val="22"/>
          <w:szCs w:val="22"/>
        </w:rPr>
        <w:t xml:space="preserve"> a question requiring students to find and describe trends in data that might very well represent a population.</w:t>
      </w:r>
      <w:r>
        <w:rPr>
          <w:rFonts w:asciiTheme="majorBidi" w:hAnsiTheme="majorBidi" w:cstheme="majorBidi"/>
          <w:sz w:val="22"/>
          <w:szCs w:val="22"/>
        </w:rPr>
        <w:t xml:space="preserve"> </w:t>
      </w:r>
      <w:r w:rsidRPr="007D3A57">
        <w:rPr>
          <w:rFonts w:asciiTheme="majorBidi" w:hAnsiTheme="majorBidi" w:cstheme="majorBidi"/>
          <w:sz w:val="22"/>
          <w:szCs w:val="22"/>
        </w:rPr>
        <w:t>Although the context of Konold et al</w:t>
      </w:r>
      <w:r>
        <w:rPr>
          <w:rFonts w:asciiTheme="majorBidi" w:hAnsiTheme="majorBidi" w:cstheme="majorBidi"/>
          <w:sz w:val="22"/>
          <w:szCs w:val="22"/>
        </w:rPr>
        <w:t xml:space="preserve"> </w:t>
      </w:r>
      <w:r w:rsidRPr="007D3A57">
        <w:rPr>
          <w:rFonts w:asciiTheme="majorBidi" w:hAnsiTheme="majorBidi" w:cstheme="majorBidi"/>
          <w:sz w:val="22"/>
          <w:szCs w:val="22"/>
        </w:rPr>
        <w:t>is understanding how students</w:t>
      </w:r>
      <w:r>
        <w:rPr>
          <w:rFonts w:asciiTheme="majorBidi" w:hAnsiTheme="majorBidi" w:cstheme="majorBidi"/>
          <w:sz w:val="22"/>
          <w:szCs w:val="22"/>
        </w:rPr>
        <w:t xml:space="preserve"> </w:t>
      </w:r>
      <w:r w:rsidRPr="007D3A57">
        <w:rPr>
          <w:rFonts w:asciiTheme="majorBidi" w:hAnsiTheme="majorBidi" w:cstheme="majorBidi"/>
          <w:sz w:val="22"/>
          <w:szCs w:val="22"/>
        </w:rPr>
        <w:t>interpret univariate distributions, their finding that students</w:t>
      </w:r>
      <w:r>
        <w:rPr>
          <w:rFonts w:asciiTheme="majorBidi" w:hAnsiTheme="majorBidi" w:cstheme="majorBidi"/>
          <w:sz w:val="22"/>
          <w:szCs w:val="22"/>
        </w:rPr>
        <w:t>’</w:t>
      </w:r>
      <w:r w:rsidRPr="007D3A57">
        <w:rPr>
          <w:rFonts w:asciiTheme="majorBidi" w:hAnsiTheme="majorBidi" w:cstheme="majorBidi"/>
          <w:sz w:val="22"/>
          <w:szCs w:val="22"/>
        </w:rPr>
        <w:t xml:space="preserve"> views generally fall into four perspectives, not all of which are useful for identifying trends and patterns,</w:t>
      </w:r>
      <w:r>
        <w:rPr>
          <w:rFonts w:asciiTheme="majorBidi" w:hAnsiTheme="majorBidi" w:cstheme="majorBidi"/>
          <w:sz w:val="22"/>
          <w:szCs w:val="22"/>
        </w:rPr>
        <w:t xml:space="preserve"> </w:t>
      </w:r>
      <w:r w:rsidRPr="007D3A57">
        <w:rPr>
          <w:rFonts w:asciiTheme="majorBidi" w:hAnsiTheme="majorBidi" w:cstheme="majorBidi"/>
          <w:sz w:val="22"/>
          <w:szCs w:val="22"/>
        </w:rPr>
        <w:t>remind us that students need careful scaffolding to interpret data visualizations.</w:t>
      </w:r>
      <w:r>
        <w:rPr>
          <w:rFonts w:asciiTheme="majorBidi" w:hAnsiTheme="majorBidi" w:cstheme="majorBidi"/>
          <w:sz w:val="22"/>
          <w:szCs w:val="22"/>
        </w:rPr>
        <w:t xml:space="preserve"> </w:t>
      </w:r>
      <w:r w:rsidRPr="007D3A57">
        <w:rPr>
          <w:rFonts w:asciiTheme="majorBidi" w:hAnsiTheme="majorBidi" w:cstheme="majorBidi"/>
          <w:sz w:val="22"/>
          <w:szCs w:val="22"/>
        </w:rPr>
        <w:t>Many Big Data are now accessed and understood through sometimes complex data visualization portals</w:t>
      </w:r>
      <w:r>
        <w:rPr>
          <w:rFonts w:asciiTheme="majorBidi" w:hAnsiTheme="majorBidi" w:cstheme="majorBidi"/>
          <w:sz w:val="22"/>
          <w:szCs w:val="22"/>
        </w:rPr>
        <w:t>, for example,</w:t>
      </w:r>
      <w:r w:rsidRPr="007D3A57">
        <w:rPr>
          <w:rFonts w:asciiTheme="majorBidi" w:hAnsiTheme="majorBidi" w:cstheme="majorBidi"/>
          <w:sz w:val="22"/>
          <w:szCs w:val="22"/>
        </w:rPr>
        <w:t xml:space="preserve"> Google </w:t>
      </w:r>
      <w:r>
        <w:rPr>
          <w:rFonts w:asciiTheme="majorBidi" w:hAnsiTheme="majorBidi" w:cstheme="majorBidi"/>
          <w:sz w:val="22"/>
          <w:szCs w:val="22"/>
        </w:rPr>
        <w:t>M</w:t>
      </w:r>
      <w:r w:rsidRPr="006518F9">
        <w:rPr>
          <w:rFonts w:asciiTheme="majorBidi" w:hAnsiTheme="majorBidi" w:cstheme="majorBidi"/>
          <w:sz w:val="22"/>
          <w:szCs w:val="22"/>
        </w:rPr>
        <w:t>aps</w:t>
      </w:r>
      <w:r w:rsidRPr="007D3A57">
        <w:rPr>
          <w:rFonts w:asciiTheme="majorBidi" w:hAnsiTheme="majorBidi" w:cstheme="majorBidi"/>
          <w:sz w:val="22"/>
          <w:szCs w:val="22"/>
        </w:rPr>
        <w:t>, or the New York Times data visualization pages</w:t>
      </w:r>
      <w:r>
        <w:rPr>
          <w:rStyle w:val="FootnoteReference"/>
          <w:rFonts w:asciiTheme="majorBidi" w:hAnsiTheme="majorBidi" w:cstheme="majorBidi"/>
          <w:sz w:val="22"/>
          <w:szCs w:val="22"/>
        </w:rPr>
        <w:footnoteReference w:id="3"/>
      </w:r>
      <w:r w:rsidRPr="006518F9">
        <w:rPr>
          <w:rFonts w:asciiTheme="majorBidi" w:hAnsiTheme="majorBidi" w:cstheme="majorBidi"/>
          <w:sz w:val="22"/>
          <w:szCs w:val="22"/>
        </w:rPr>
        <w:t>,</w:t>
      </w:r>
      <w:r w:rsidRPr="007D3A57">
        <w:rPr>
          <w:rFonts w:asciiTheme="majorBidi" w:hAnsiTheme="majorBidi" w:cstheme="majorBidi"/>
          <w:sz w:val="22"/>
          <w:szCs w:val="22"/>
        </w:rPr>
        <w:t xml:space="preserve"> and so computer scientists and statisticians who design these</w:t>
      </w:r>
      <w:r>
        <w:rPr>
          <w:rFonts w:asciiTheme="majorBidi" w:hAnsiTheme="majorBidi" w:cstheme="majorBidi"/>
          <w:sz w:val="22"/>
          <w:szCs w:val="22"/>
        </w:rPr>
        <w:t xml:space="preserve"> </w:t>
      </w:r>
      <w:r w:rsidRPr="007D3A57">
        <w:rPr>
          <w:rFonts w:asciiTheme="majorBidi" w:hAnsiTheme="majorBidi" w:cstheme="majorBidi"/>
          <w:sz w:val="22"/>
          <w:szCs w:val="22"/>
        </w:rPr>
        <w:t>visualizations should include aids to assist in aggregation</w:t>
      </w:r>
      <w:r>
        <w:rPr>
          <w:rFonts w:asciiTheme="majorBidi" w:hAnsiTheme="majorBidi" w:cstheme="majorBidi"/>
          <w:sz w:val="22"/>
          <w:szCs w:val="22"/>
        </w:rPr>
        <w:t xml:space="preserve"> </w:t>
      </w:r>
      <w:r w:rsidRPr="007D3A57">
        <w:rPr>
          <w:rFonts w:asciiTheme="majorBidi" w:hAnsiTheme="majorBidi" w:cstheme="majorBidi"/>
          <w:sz w:val="22"/>
          <w:szCs w:val="22"/>
        </w:rPr>
        <w:t>(e.g., Ridgway &amp; Smith, 2013).</w:t>
      </w:r>
    </w:p>
    <w:p w14:paraId="5C9D1CF5" w14:textId="58AD169F" w:rsidR="00DA6FDD" w:rsidRDefault="00DA6FDD" w:rsidP="00E83422">
      <w:pPr>
        <w:spacing w:before="120" w:line="480" w:lineRule="auto"/>
        <w:ind w:firstLine="720"/>
        <w:rPr>
          <w:rFonts w:asciiTheme="majorBidi" w:hAnsiTheme="majorBidi" w:cstheme="majorBidi"/>
          <w:sz w:val="22"/>
          <w:szCs w:val="22"/>
        </w:rPr>
      </w:pPr>
      <w:r w:rsidRPr="007D3A57">
        <w:rPr>
          <w:rFonts w:asciiTheme="majorBidi" w:hAnsiTheme="majorBidi" w:cstheme="majorBidi"/>
          <w:sz w:val="22"/>
          <w:szCs w:val="22"/>
        </w:rPr>
        <w:t>Garfield, Le, Zieffler, and Ben-Zvi raise many interesting issues, particularly about the importance of understanding how experts engage with data.</w:t>
      </w:r>
      <w:r>
        <w:rPr>
          <w:rFonts w:asciiTheme="majorBidi" w:hAnsiTheme="majorBidi" w:cstheme="majorBidi"/>
          <w:sz w:val="22"/>
          <w:szCs w:val="22"/>
        </w:rPr>
        <w:t xml:space="preserve"> </w:t>
      </w:r>
      <w:r w:rsidRPr="007D3A57">
        <w:rPr>
          <w:rFonts w:asciiTheme="majorBidi" w:hAnsiTheme="majorBidi" w:cstheme="majorBidi"/>
          <w:sz w:val="22"/>
          <w:szCs w:val="22"/>
        </w:rPr>
        <w:t>A complete portrait of statistical thinking should include experts</w:t>
      </w:r>
      <w:r>
        <w:rPr>
          <w:rFonts w:asciiTheme="majorBidi" w:hAnsiTheme="majorBidi" w:cstheme="majorBidi"/>
          <w:sz w:val="22"/>
          <w:szCs w:val="22"/>
        </w:rPr>
        <w:t>’</w:t>
      </w:r>
      <w:r w:rsidRPr="007D3A57">
        <w:rPr>
          <w:rFonts w:asciiTheme="majorBidi" w:hAnsiTheme="majorBidi" w:cstheme="majorBidi"/>
          <w:sz w:val="22"/>
          <w:szCs w:val="22"/>
        </w:rPr>
        <w:t xml:space="preserve"> work with Big Data, particularly since a complete understanding of how this might differ from more traditional views is not known.</w:t>
      </w:r>
      <w:r>
        <w:rPr>
          <w:rFonts w:asciiTheme="majorBidi" w:hAnsiTheme="majorBidi" w:cstheme="majorBidi"/>
          <w:sz w:val="22"/>
          <w:szCs w:val="22"/>
        </w:rPr>
        <w:t xml:space="preserve"> </w:t>
      </w:r>
      <w:r w:rsidRPr="007D3A57">
        <w:rPr>
          <w:rFonts w:asciiTheme="majorBidi" w:hAnsiTheme="majorBidi" w:cstheme="majorBidi"/>
          <w:sz w:val="22"/>
          <w:szCs w:val="22"/>
        </w:rPr>
        <w:t>The Garfield</w:t>
      </w:r>
      <w:r>
        <w:rPr>
          <w:rFonts w:asciiTheme="majorBidi" w:hAnsiTheme="majorBidi" w:cstheme="majorBidi"/>
          <w:sz w:val="22"/>
          <w:szCs w:val="22"/>
        </w:rPr>
        <w:t xml:space="preserve"> at al.’s</w:t>
      </w:r>
      <w:r w:rsidRPr="007D3A57">
        <w:rPr>
          <w:rFonts w:asciiTheme="majorBidi" w:hAnsiTheme="majorBidi" w:cstheme="majorBidi"/>
          <w:sz w:val="22"/>
          <w:szCs w:val="22"/>
        </w:rPr>
        <w:t xml:space="preserve"> curriculum includes early experience with designing simulations, and we conjecture that this experience would lead to deeper computational thinking skills, which have been identified by some as an important component of modern statistical thinking (Nolan </w:t>
      </w:r>
      <w:r w:rsidR="00E83422">
        <w:rPr>
          <w:rFonts w:asciiTheme="majorBidi" w:hAnsiTheme="majorBidi" w:cstheme="majorBidi"/>
          <w:sz w:val="22"/>
          <w:szCs w:val="22"/>
        </w:rPr>
        <w:t>&amp;</w:t>
      </w:r>
      <w:r w:rsidR="00E83422" w:rsidRPr="007D3A57">
        <w:rPr>
          <w:rFonts w:asciiTheme="majorBidi" w:hAnsiTheme="majorBidi" w:cstheme="majorBidi"/>
          <w:sz w:val="22"/>
          <w:szCs w:val="22"/>
        </w:rPr>
        <w:t xml:space="preserve"> </w:t>
      </w:r>
      <w:r w:rsidRPr="007D3A57">
        <w:rPr>
          <w:rFonts w:asciiTheme="majorBidi" w:hAnsiTheme="majorBidi" w:cstheme="majorBidi"/>
          <w:sz w:val="22"/>
          <w:szCs w:val="22"/>
        </w:rPr>
        <w:t>Temple Lang, 2010; Undergraduate Guidelines Workgroup,</w:t>
      </w:r>
      <w:r>
        <w:rPr>
          <w:rFonts w:asciiTheme="majorBidi" w:hAnsiTheme="majorBidi" w:cstheme="majorBidi"/>
          <w:sz w:val="22"/>
          <w:szCs w:val="22"/>
        </w:rPr>
        <w:t xml:space="preserve"> </w:t>
      </w:r>
      <w:r w:rsidRPr="007D3A57">
        <w:rPr>
          <w:rFonts w:asciiTheme="majorBidi" w:hAnsiTheme="majorBidi" w:cstheme="majorBidi"/>
          <w:sz w:val="22"/>
          <w:szCs w:val="22"/>
        </w:rPr>
        <w:t>2014).</w:t>
      </w:r>
      <w:r>
        <w:rPr>
          <w:rFonts w:asciiTheme="majorBidi" w:hAnsiTheme="majorBidi" w:cstheme="majorBidi"/>
          <w:sz w:val="22"/>
          <w:szCs w:val="22"/>
        </w:rPr>
        <w:t xml:space="preserve"> </w:t>
      </w:r>
      <w:r w:rsidRPr="007D3A57">
        <w:rPr>
          <w:rFonts w:asciiTheme="majorBidi" w:hAnsiTheme="majorBidi" w:cstheme="majorBidi"/>
          <w:sz w:val="22"/>
          <w:szCs w:val="22"/>
        </w:rPr>
        <w:t xml:space="preserve">Although their </w:t>
      </w:r>
      <w:r w:rsidRPr="007D3A57">
        <w:rPr>
          <w:rFonts w:asciiTheme="majorBidi" w:hAnsiTheme="majorBidi" w:cstheme="majorBidi"/>
          <w:sz w:val="22"/>
          <w:szCs w:val="22"/>
        </w:rPr>
        <w:lastRenderedPageBreak/>
        <w:t>discussion is software-agnostic, we are reminded that little is known about how experts reason with statistical software, and whether statistical reasoning skills can be improved through a</w:t>
      </w:r>
      <w:r>
        <w:rPr>
          <w:rFonts w:asciiTheme="majorBidi" w:hAnsiTheme="majorBidi" w:cstheme="majorBidi"/>
          <w:sz w:val="22"/>
          <w:szCs w:val="22"/>
        </w:rPr>
        <w:t xml:space="preserve"> </w:t>
      </w:r>
      <w:r w:rsidRPr="007D3A57">
        <w:rPr>
          <w:rFonts w:asciiTheme="majorBidi" w:hAnsiTheme="majorBidi" w:cstheme="majorBidi"/>
          <w:sz w:val="22"/>
          <w:szCs w:val="22"/>
        </w:rPr>
        <w:t>comparison of how students work within a software environment.</w:t>
      </w:r>
    </w:p>
    <w:p w14:paraId="126CDDAA" w14:textId="77777777" w:rsidR="00DA6FDD" w:rsidRDefault="00DA6FDD" w:rsidP="00D26737">
      <w:pPr>
        <w:spacing w:before="120" w:line="480" w:lineRule="auto"/>
        <w:ind w:firstLine="720"/>
        <w:rPr>
          <w:rFonts w:asciiTheme="majorBidi" w:hAnsiTheme="majorBidi" w:cstheme="majorBidi"/>
          <w:sz w:val="22"/>
          <w:szCs w:val="22"/>
        </w:rPr>
      </w:pPr>
      <w:r w:rsidRPr="007D3A57">
        <w:rPr>
          <w:rFonts w:asciiTheme="majorBidi" w:hAnsiTheme="majorBidi" w:cstheme="majorBidi"/>
          <w:sz w:val="22"/>
          <w:szCs w:val="22"/>
        </w:rPr>
        <w:t>The remaining three papers focus almost exclusively on sampling and, from our perspective, are more likely to concern professionals</w:t>
      </w:r>
      <w:r>
        <w:rPr>
          <w:rFonts w:asciiTheme="majorBidi" w:hAnsiTheme="majorBidi" w:cstheme="majorBidi"/>
          <w:sz w:val="22"/>
          <w:szCs w:val="22"/>
        </w:rPr>
        <w:t>’</w:t>
      </w:r>
      <w:r w:rsidRPr="007D3A57">
        <w:rPr>
          <w:rFonts w:asciiTheme="majorBidi" w:hAnsiTheme="majorBidi" w:cstheme="majorBidi"/>
          <w:sz w:val="22"/>
          <w:szCs w:val="22"/>
        </w:rPr>
        <w:t xml:space="preserve"> data than students</w:t>
      </w:r>
      <w:r>
        <w:rPr>
          <w:rFonts w:asciiTheme="majorBidi" w:hAnsiTheme="majorBidi" w:cstheme="majorBidi"/>
          <w:sz w:val="22"/>
          <w:szCs w:val="22"/>
        </w:rPr>
        <w:t>’</w:t>
      </w:r>
      <w:r w:rsidRPr="007D3A57">
        <w:rPr>
          <w:rFonts w:asciiTheme="majorBidi" w:hAnsiTheme="majorBidi" w:cstheme="majorBidi"/>
          <w:sz w:val="22"/>
          <w:szCs w:val="22"/>
        </w:rPr>
        <w:t xml:space="preserve"> data.</w:t>
      </w:r>
      <w:r>
        <w:rPr>
          <w:rFonts w:asciiTheme="majorBidi" w:hAnsiTheme="majorBidi" w:cstheme="majorBidi"/>
          <w:sz w:val="22"/>
          <w:szCs w:val="22"/>
        </w:rPr>
        <w:t xml:space="preserve"> </w:t>
      </w:r>
      <w:r w:rsidRPr="007D3A57">
        <w:rPr>
          <w:rFonts w:asciiTheme="majorBidi" w:hAnsiTheme="majorBidi" w:cstheme="majorBidi"/>
          <w:sz w:val="22"/>
          <w:szCs w:val="22"/>
        </w:rPr>
        <w:t>Even so, the concepts of sample representativeness, the relation of samples to population, sampling variability, and bias are essential for students to understand the limits of algorithmically gathered data.</w:t>
      </w:r>
      <w:r>
        <w:rPr>
          <w:rFonts w:asciiTheme="majorBidi" w:hAnsiTheme="majorBidi" w:cstheme="majorBidi"/>
          <w:sz w:val="22"/>
          <w:szCs w:val="22"/>
        </w:rPr>
        <w:t xml:space="preserve"> </w:t>
      </w:r>
      <w:r w:rsidRPr="007D3A57">
        <w:rPr>
          <w:rFonts w:asciiTheme="majorBidi" w:hAnsiTheme="majorBidi" w:cstheme="majorBidi"/>
          <w:sz w:val="22"/>
          <w:szCs w:val="22"/>
        </w:rPr>
        <w:t>The issue of representativeness is particularly interesting.</w:t>
      </w:r>
      <w:r>
        <w:rPr>
          <w:rFonts w:asciiTheme="majorBidi" w:hAnsiTheme="majorBidi" w:cstheme="majorBidi"/>
          <w:sz w:val="22"/>
          <w:szCs w:val="22"/>
        </w:rPr>
        <w:t xml:space="preserve"> </w:t>
      </w:r>
      <w:r w:rsidRPr="007D3A57">
        <w:rPr>
          <w:rFonts w:asciiTheme="majorBidi" w:hAnsiTheme="majorBidi" w:cstheme="majorBidi"/>
          <w:sz w:val="22"/>
          <w:szCs w:val="22"/>
        </w:rPr>
        <w:t xml:space="preserve">Data gathered by a personal health sensor (such as the </w:t>
      </w:r>
      <w:proofErr w:type="spellStart"/>
      <w:r w:rsidRPr="007D3A57">
        <w:rPr>
          <w:rFonts w:asciiTheme="majorBidi" w:hAnsiTheme="majorBidi" w:cstheme="majorBidi"/>
          <w:sz w:val="22"/>
          <w:szCs w:val="22"/>
        </w:rPr>
        <w:t>FitBit</w:t>
      </w:r>
      <w:proofErr w:type="spellEnd"/>
      <w:r w:rsidRPr="007D3A57">
        <w:rPr>
          <w:rFonts w:asciiTheme="majorBidi" w:hAnsiTheme="majorBidi" w:cstheme="majorBidi"/>
          <w:sz w:val="22"/>
          <w:szCs w:val="22"/>
        </w:rPr>
        <w:t>, the Nike</w:t>
      </w:r>
      <w:r>
        <w:rPr>
          <w:rFonts w:asciiTheme="majorBidi" w:hAnsiTheme="majorBidi" w:cstheme="majorBidi"/>
          <w:sz w:val="22"/>
          <w:szCs w:val="22"/>
        </w:rPr>
        <w:t>+</w:t>
      </w:r>
      <w:r w:rsidRPr="007D3A57">
        <w:rPr>
          <w:rFonts w:asciiTheme="majorBidi" w:hAnsiTheme="majorBidi" w:cstheme="majorBidi"/>
          <w:sz w:val="22"/>
          <w:szCs w:val="22"/>
        </w:rPr>
        <w:t xml:space="preserve"> </w:t>
      </w:r>
      <w:proofErr w:type="spellStart"/>
      <w:r w:rsidRPr="007D3A57">
        <w:rPr>
          <w:rFonts w:asciiTheme="majorBidi" w:hAnsiTheme="majorBidi" w:cstheme="majorBidi"/>
          <w:sz w:val="22"/>
          <w:szCs w:val="22"/>
        </w:rPr>
        <w:t>FuelBand</w:t>
      </w:r>
      <w:proofErr w:type="spellEnd"/>
      <w:r>
        <w:rPr>
          <w:rFonts w:asciiTheme="majorBidi" w:hAnsiTheme="majorBidi" w:cstheme="majorBidi"/>
          <w:sz w:val="22"/>
          <w:szCs w:val="22"/>
        </w:rPr>
        <w:t>,</w:t>
      </w:r>
      <w:r w:rsidRPr="007D3A57">
        <w:rPr>
          <w:rFonts w:asciiTheme="majorBidi" w:hAnsiTheme="majorBidi" w:cstheme="majorBidi"/>
          <w:sz w:val="22"/>
          <w:szCs w:val="22"/>
        </w:rPr>
        <w:t xml:space="preserve"> or the new Apple Watch) might be perfectly representative of the </w:t>
      </w:r>
      <w:r w:rsidRPr="006518F9">
        <w:rPr>
          <w:rFonts w:asciiTheme="majorBidi" w:hAnsiTheme="majorBidi" w:cstheme="majorBidi"/>
          <w:sz w:val="22"/>
          <w:szCs w:val="22"/>
        </w:rPr>
        <w:t>owner</w:t>
      </w:r>
      <w:r>
        <w:rPr>
          <w:rFonts w:asciiTheme="majorBidi" w:hAnsiTheme="majorBidi" w:cstheme="majorBidi"/>
          <w:sz w:val="22"/>
          <w:szCs w:val="22"/>
        </w:rPr>
        <w:t>’</w:t>
      </w:r>
      <w:r w:rsidRPr="006518F9">
        <w:rPr>
          <w:rFonts w:asciiTheme="majorBidi" w:hAnsiTheme="majorBidi" w:cstheme="majorBidi"/>
          <w:sz w:val="22"/>
          <w:szCs w:val="22"/>
        </w:rPr>
        <w:t>s</w:t>
      </w:r>
      <w:r w:rsidRPr="007D3A57">
        <w:rPr>
          <w:rFonts w:asciiTheme="majorBidi" w:hAnsiTheme="majorBidi" w:cstheme="majorBidi"/>
          <w:sz w:val="22"/>
          <w:szCs w:val="22"/>
        </w:rPr>
        <w:t xml:space="preserve"> activity for the last few days.</w:t>
      </w:r>
      <w:r>
        <w:rPr>
          <w:rFonts w:asciiTheme="majorBidi" w:hAnsiTheme="majorBidi" w:cstheme="majorBidi"/>
          <w:sz w:val="22"/>
          <w:szCs w:val="22"/>
        </w:rPr>
        <w:t xml:space="preserve"> </w:t>
      </w:r>
      <w:r w:rsidRPr="007D3A57">
        <w:rPr>
          <w:rFonts w:asciiTheme="majorBidi" w:hAnsiTheme="majorBidi" w:cstheme="majorBidi"/>
          <w:sz w:val="22"/>
          <w:szCs w:val="22"/>
        </w:rPr>
        <w:t>Or it might have left out important activities if, for instance, the owner left his Fitbit on the table all day.</w:t>
      </w:r>
      <w:r>
        <w:rPr>
          <w:rFonts w:asciiTheme="majorBidi" w:hAnsiTheme="majorBidi" w:cstheme="majorBidi"/>
          <w:sz w:val="22"/>
          <w:szCs w:val="22"/>
        </w:rPr>
        <w:t xml:space="preserve"> </w:t>
      </w:r>
      <w:r w:rsidRPr="007D3A57">
        <w:rPr>
          <w:rFonts w:asciiTheme="majorBidi" w:hAnsiTheme="majorBidi" w:cstheme="majorBidi"/>
          <w:sz w:val="22"/>
          <w:szCs w:val="22"/>
        </w:rPr>
        <w:t>However, it is not representative of other students</w:t>
      </w:r>
      <w:r>
        <w:rPr>
          <w:rFonts w:asciiTheme="majorBidi" w:hAnsiTheme="majorBidi" w:cstheme="majorBidi"/>
          <w:sz w:val="22"/>
          <w:szCs w:val="22"/>
        </w:rPr>
        <w:t>’</w:t>
      </w:r>
      <w:r w:rsidRPr="007D3A57">
        <w:rPr>
          <w:rFonts w:asciiTheme="majorBidi" w:hAnsiTheme="majorBidi" w:cstheme="majorBidi"/>
          <w:sz w:val="22"/>
          <w:szCs w:val="22"/>
        </w:rPr>
        <w:t xml:space="preserve"> activities.</w:t>
      </w:r>
      <w:r>
        <w:rPr>
          <w:rFonts w:asciiTheme="majorBidi" w:hAnsiTheme="majorBidi" w:cstheme="majorBidi"/>
          <w:sz w:val="22"/>
          <w:szCs w:val="22"/>
        </w:rPr>
        <w:t xml:space="preserve"> </w:t>
      </w:r>
      <w:r w:rsidRPr="007D3A57">
        <w:rPr>
          <w:rFonts w:asciiTheme="majorBidi" w:hAnsiTheme="majorBidi" w:cstheme="majorBidi"/>
          <w:sz w:val="22"/>
          <w:szCs w:val="22"/>
        </w:rPr>
        <w:t>Even the collection of all data from all students in a classroom is not representative of all students in all classrooms.</w:t>
      </w:r>
      <w:r>
        <w:rPr>
          <w:rFonts w:asciiTheme="majorBidi" w:hAnsiTheme="majorBidi" w:cstheme="majorBidi"/>
          <w:sz w:val="22"/>
          <w:szCs w:val="22"/>
        </w:rPr>
        <w:t xml:space="preserve"> </w:t>
      </w:r>
      <w:r w:rsidRPr="007D3A57">
        <w:rPr>
          <w:rFonts w:asciiTheme="majorBidi" w:hAnsiTheme="majorBidi" w:cstheme="majorBidi"/>
          <w:sz w:val="22"/>
          <w:szCs w:val="22"/>
        </w:rPr>
        <w:t>A random sample, however, is</w:t>
      </w:r>
      <w:r>
        <w:rPr>
          <w:rFonts w:asciiTheme="majorBidi" w:hAnsiTheme="majorBidi" w:cstheme="majorBidi"/>
          <w:sz w:val="22"/>
          <w:szCs w:val="22"/>
        </w:rPr>
        <w:t xml:space="preserve"> </w:t>
      </w:r>
      <w:r w:rsidRPr="007D3A57">
        <w:rPr>
          <w:rFonts w:asciiTheme="majorBidi" w:hAnsiTheme="majorBidi" w:cstheme="majorBidi"/>
          <w:sz w:val="22"/>
          <w:szCs w:val="22"/>
        </w:rPr>
        <w:t>representative of its population by definition (with some caveats), although the size of the sample might mean that sampling variability is too high to make a useful inferential claim.</w:t>
      </w:r>
      <w:r>
        <w:rPr>
          <w:rFonts w:asciiTheme="majorBidi" w:hAnsiTheme="majorBidi" w:cstheme="majorBidi"/>
          <w:sz w:val="22"/>
          <w:szCs w:val="22"/>
        </w:rPr>
        <w:t xml:space="preserve"> </w:t>
      </w:r>
      <w:r w:rsidRPr="007D3A57">
        <w:rPr>
          <w:rFonts w:asciiTheme="majorBidi" w:hAnsiTheme="majorBidi" w:cstheme="majorBidi"/>
          <w:sz w:val="22"/>
          <w:szCs w:val="22"/>
        </w:rPr>
        <w:t>The prevalence of sensor data means that students are faced with additional challenges to their understanding of how and when we can make inferences to a larger population.</w:t>
      </w:r>
    </w:p>
    <w:p w14:paraId="7F59645F" w14:textId="596548BD" w:rsidR="00C77D74" w:rsidRPr="00AC2DCC" w:rsidRDefault="00DA6FDD" w:rsidP="00E83422">
      <w:pPr>
        <w:spacing w:before="120" w:line="480" w:lineRule="auto"/>
        <w:ind w:firstLine="720"/>
        <w:rPr>
          <w:rFonts w:asciiTheme="majorBidi" w:hAnsiTheme="majorBidi" w:cstheme="majorBidi"/>
          <w:sz w:val="22"/>
          <w:szCs w:val="22"/>
        </w:rPr>
      </w:pPr>
      <w:r>
        <w:rPr>
          <w:rFonts w:asciiTheme="majorBidi" w:hAnsiTheme="majorBidi" w:cstheme="majorBidi"/>
          <w:sz w:val="22"/>
          <w:szCs w:val="22"/>
        </w:rPr>
        <w:t xml:space="preserve">We suspect that part of the appeal of studying how </w:t>
      </w:r>
      <w:proofErr w:type="gramStart"/>
      <w:r>
        <w:rPr>
          <w:rFonts w:asciiTheme="majorBidi" w:hAnsiTheme="majorBidi" w:cstheme="majorBidi"/>
          <w:sz w:val="22"/>
          <w:szCs w:val="22"/>
        </w:rPr>
        <w:t>students</w:t>
      </w:r>
      <w:proofErr w:type="gramEnd"/>
      <w:r>
        <w:rPr>
          <w:rFonts w:asciiTheme="majorBidi" w:hAnsiTheme="majorBidi" w:cstheme="majorBidi"/>
          <w:sz w:val="22"/>
          <w:szCs w:val="22"/>
        </w:rPr>
        <w:t xml:space="preserve"> reason from samples is that this is an inherently mathematical topic, and most statistics education is developed within </w:t>
      </w:r>
      <w:r w:rsidR="00E83422">
        <w:rPr>
          <w:rFonts w:asciiTheme="majorBidi" w:hAnsiTheme="majorBidi" w:cstheme="majorBidi"/>
          <w:sz w:val="22"/>
          <w:szCs w:val="22"/>
        </w:rPr>
        <w:t xml:space="preserve">mathematics’ </w:t>
      </w:r>
      <w:r>
        <w:rPr>
          <w:rFonts w:asciiTheme="majorBidi" w:hAnsiTheme="majorBidi" w:cstheme="majorBidi"/>
          <w:sz w:val="22"/>
          <w:szCs w:val="22"/>
        </w:rPr>
        <w:t>curricula.</w:t>
      </w:r>
      <w:r w:rsidR="00D26737">
        <w:rPr>
          <w:rFonts w:asciiTheme="majorBidi" w:hAnsiTheme="majorBidi" w:cstheme="majorBidi"/>
          <w:sz w:val="22"/>
          <w:szCs w:val="22"/>
        </w:rPr>
        <w:t xml:space="preserve"> </w:t>
      </w:r>
      <w:r>
        <w:rPr>
          <w:rFonts w:asciiTheme="majorBidi" w:hAnsiTheme="majorBidi" w:cstheme="majorBidi"/>
          <w:sz w:val="22"/>
          <w:szCs w:val="22"/>
        </w:rPr>
        <w:t>However, the intersection between Statistics and Mathematics, while rich and important, is shrinking as scientists learn to make sense of the growing class of data collected from non-random samples.</w:t>
      </w:r>
      <w:r w:rsidR="00D26737">
        <w:rPr>
          <w:rFonts w:asciiTheme="majorBidi" w:hAnsiTheme="majorBidi" w:cstheme="majorBidi"/>
          <w:sz w:val="22"/>
          <w:szCs w:val="22"/>
        </w:rPr>
        <w:t xml:space="preserve"> </w:t>
      </w:r>
      <w:r>
        <w:rPr>
          <w:rFonts w:asciiTheme="majorBidi" w:hAnsiTheme="majorBidi" w:cstheme="majorBidi"/>
          <w:sz w:val="22"/>
          <w:szCs w:val="22"/>
        </w:rPr>
        <w:t>One might be tempted to write off this struggle as one belonging to specialists and far beyond the concerns of the classroom were it not for the fact that these non-random samples produce data (and statistics) that students see every day of their lives.</w:t>
      </w:r>
      <w:r w:rsidR="00D26737">
        <w:rPr>
          <w:rFonts w:asciiTheme="majorBidi" w:hAnsiTheme="majorBidi" w:cstheme="majorBidi"/>
          <w:sz w:val="22"/>
          <w:szCs w:val="22"/>
        </w:rPr>
        <w:t xml:space="preserve"> </w:t>
      </w:r>
      <w:r>
        <w:rPr>
          <w:rFonts w:asciiTheme="majorBidi" w:hAnsiTheme="majorBidi" w:cstheme="majorBidi"/>
          <w:sz w:val="22"/>
          <w:szCs w:val="22"/>
        </w:rPr>
        <w:t xml:space="preserve">We strongly encourage the mathematics education research community to turn </w:t>
      </w:r>
      <w:r>
        <w:rPr>
          <w:rFonts w:asciiTheme="majorBidi" w:hAnsiTheme="majorBidi" w:cstheme="majorBidi"/>
          <w:sz w:val="22"/>
          <w:szCs w:val="22"/>
        </w:rPr>
        <w:lastRenderedPageBreak/>
        <w:t>their attention to better understand how students think and reason with algorithmically collected data.</w:t>
      </w:r>
    </w:p>
    <w:p w14:paraId="31F64962" w14:textId="77777777" w:rsidR="00DC6FE8" w:rsidRDefault="00DC6FE8" w:rsidP="00D26737">
      <w:pPr>
        <w:spacing w:before="120" w:line="480" w:lineRule="auto"/>
        <w:rPr>
          <w:rFonts w:asciiTheme="majorBidi" w:hAnsiTheme="majorBidi" w:cstheme="majorBidi"/>
          <w:b/>
          <w:bCs/>
          <w:i/>
          <w:sz w:val="22"/>
          <w:szCs w:val="22"/>
        </w:rPr>
      </w:pPr>
      <w:r>
        <w:rPr>
          <w:rFonts w:asciiTheme="majorBidi" w:hAnsiTheme="majorBidi" w:cstheme="majorBidi"/>
          <w:b/>
          <w:bCs/>
          <w:i/>
          <w:sz w:val="22"/>
          <w:szCs w:val="22"/>
        </w:rPr>
        <w:t>Epilogue</w:t>
      </w:r>
    </w:p>
    <w:p w14:paraId="506A1509" w14:textId="6DDE86E5" w:rsidR="00DC6FE8" w:rsidRPr="00896020" w:rsidRDefault="007627CA" w:rsidP="00D26737">
      <w:pPr>
        <w:spacing w:before="120" w:line="480" w:lineRule="auto"/>
        <w:ind w:firstLine="720"/>
        <w:rPr>
          <w:rFonts w:asciiTheme="majorBidi" w:hAnsiTheme="majorBidi" w:cstheme="majorBidi"/>
          <w:sz w:val="22"/>
          <w:szCs w:val="22"/>
        </w:rPr>
      </w:pPr>
      <w:r w:rsidRPr="00896020">
        <w:rPr>
          <w:rFonts w:asciiTheme="majorBidi" w:hAnsiTheme="majorBidi" w:cstheme="majorBidi"/>
          <w:sz w:val="22"/>
          <w:szCs w:val="22"/>
        </w:rPr>
        <w:t>In the introduction to this special edition, the Editors draw attention to the complexities of learning to reason about samples and sampling, and the need for both extended time and rich experiences to allow students to develop secure understandings of what may otherwise appear to be counter-intuitive statistical ideas and procedures. In our reflections on these five papers, we see many important contributions to the development of effective teaching in this area, as we have highlighted in the discussions above. In conclusion we draw attention to three inter-related issues</w:t>
      </w:r>
      <w:r w:rsidR="003573C2" w:rsidRPr="00896020">
        <w:rPr>
          <w:rFonts w:asciiTheme="majorBidi" w:hAnsiTheme="majorBidi" w:cstheme="majorBidi"/>
          <w:sz w:val="22"/>
          <w:szCs w:val="22"/>
        </w:rPr>
        <w:t>.</w:t>
      </w:r>
    </w:p>
    <w:p w14:paraId="2E542A10" w14:textId="78C54860" w:rsidR="003573C2" w:rsidRPr="00896020" w:rsidRDefault="003573C2" w:rsidP="00D26737">
      <w:pPr>
        <w:spacing w:before="120" w:line="480" w:lineRule="auto"/>
        <w:ind w:firstLine="720"/>
        <w:rPr>
          <w:rFonts w:asciiTheme="majorBidi" w:hAnsiTheme="majorBidi" w:cstheme="majorBidi"/>
          <w:sz w:val="22"/>
          <w:szCs w:val="22"/>
        </w:rPr>
      </w:pPr>
      <w:r w:rsidRPr="00896020">
        <w:rPr>
          <w:rFonts w:asciiTheme="majorBidi" w:hAnsiTheme="majorBidi" w:cstheme="majorBidi"/>
          <w:b/>
          <w:sz w:val="22"/>
          <w:szCs w:val="22"/>
        </w:rPr>
        <w:t xml:space="preserve">The need for thoughtful task </w:t>
      </w:r>
      <w:proofErr w:type="gramStart"/>
      <w:r w:rsidRPr="00896020">
        <w:rPr>
          <w:rFonts w:asciiTheme="majorBidi" w:hAnsiTheme="majorBidi" w:cstheme="majorBidi"/>
          <w:b/>
          <w:sz w:val="22"/>
          <w:szCs w:val="22"/>
        </w:rPr>
        <w:t xml:space="preserve">design </w:t>
      </w:r>
      <w:r w:rsidRPr="00896020">
        <w:rPr>
          <w:rFonts w:asciiTheme="majorBidi" w:hAnsiTheme="majorBidi" w:cstheme="majorBidi"/>
          <w:sz w:val="22"/>
          <w:szCs w:val="22"/>
        </w:rPr>
        <w:t>which</w:t>
      </w:r>
      <w:proofErr w:type="gramEnd"/>
      <w:r w:rsidRPr="00896020">
        <w:rPr>
          <w:rFonts w:asciiTheme="majorBidi" w:hAnsiTheme="majorBidi" w:cstheme="majorBidi"/>
          <w:sz w:val="22"/>
          <w:szCs w:val="22"/>
        </w:rPr>
        <w:t xml:space="preserve"> not only emphasizes the need for a range of experiences to build conceptual understanding, including exploiting technology to support new visualizations, but also ensures that learning is located in meaningful contexts, in which students can experience the power and usefulness of sampling.</w:t>
      </w:r>
    </w:p>
    <w:p w14:paraId="79D6ACC4" w14:textId="77777777" w:rsidR="003573C2" w:rsidRPr="00896020" w:rsidRDefault="003573C2" w:rsidP="00D26737">
      <w:pPr>
        <w:spacing w:before="120" w:line="480" w:lineRule="auto"/>
        <w:ind w:firstLine="720"/>
        <w:rPr>
          <w:rFonts w:asciiTheme="majorBidi" w:hAnsiTheme="majorBidi" w:cstheme="majorBidi"/>
          <w:sz w:val="22"/>
          <w:szCs w:val="22"/>
        </w:rPr>
      </w:pPr>
      <w:r w:rsidRPr="00896020">
        <w:rPr>
          <w:rFonts w:asciiTheme="majorBidi" w:hAnsiTheme="majorBidi" w:cstheme="majorBidi"/>
          <w:b/>
          <w:sz w:val="22"/>
          <w:szCs w:val="22"/>
        </w:rPr>
        <w:t>The need to listen carefully to students’ voices</w:t>
      </w:r>
      <w:r w:rsidRPr="00896020">
        <w:rPr>
          <w:rFonts w:asciiTheme="majorBidi" w:hAnsiTheme="majorBidi" w:cstheme="majorBidi"/>
          <w:sz w:val="22"/>
          <w:szCs w:val="22"/>
        </w:rPr>
        <w:t xml:space="preserve"> as their reasoning develops, so that teaching, task design and developments in technology are informed by the perceptions of novices as well as those of experts.</w:t>
      </w:r>
    </w:p>
    <w:p w14:paraId="0A83AE60" w14:textId="2E9AE28F" w:rsidR="003573C2" w:rsidRPr="00896020" w:rsidRDefault="003573C2" w:rsidP="00D26737">
      <w:pPr>
        <w:spacing w:before="120" w:line="480" w:lineRule="auto"/>
        <w:ind w:firstLine="720"/>
        <w:rPr>
          <w:rFonts w:asciiTheme="majorBidi" w:hAnsiTheme="majorBidi" w:cstheme="majorBidi"/>
          <w:sz w:val="22"/>
          <w:szCs w:val="22"/>
        </w:rPr>
      </w:pPr>
      <w:r w:rsidRPr="00896020">
        <w:rPr>
          <w:rFonts w:asciiTheme="majorBidi" w:hAnsiTheme="majorBidi" w:cstheme="majorBidi"/>
          <w:b/>
          <w:sz w:val="22"/>
          <w:szCs w:val="22"/>
        </w:rPr>
        <w:t>The need to locate teaching and learning about reasoning about samples and sampling in the changing social context</w:t>
      </w:r>
      <w:r w:rsidRPr="00896020">
        <w:rPr>
          <w:rFonts w:asciiTheme="majorBidi" w:hAnsiTheme="majorBidi" w:cstheme="majorBidi"/>
          <w:sz w:val="22"/>
          <w:szCs w:val="22"/>
        </w:rPr>
        <w:t xml:space="preserve">, so that what students are learning today will equip them to function effectively in the future. </w:t>
      </w:r>
    </w:p>
    <w:p w14:paraId="236C9416" w14:textId="77777777" w:rsidR="00C77D74" w:rsidRPr="00896020" w:rsidRDefault="00C77D74" w:rsidP="00D26737">
      <w:pPr>
        <w:spacing w:before="120" w:line="480" w:lineRule="auto"/>
        <w:rPr>
          <w:rFonts w:asciiTheme="majorBidi" w:hAnsiTheme="majorBidi" w:cstheme="majorBidi"/>
          <w:b/>
          <w:bCs/>
          <w:sz w:val="22"/>
          <w:szCs w:val="22"/>
        </w:rPr>
      </w:pPr>
      <w:r w:rsidRPr="00896020">
        <w:rPr>
          <w:rFonts w:asciiTheme="majorBidi" w:hAnsiTheme="majorBidi" w:cstheme="majorBidi"/>
          <w:b/>
          <w:bCs/>
          <w:i/>
          <w:sz w:val="22"/>
          <w:szCs w:val="22"/>
        </w:rPr>
        <w:t>References</w:t>
      </w:r>
    </w:p>
    <w:p w14:paraId="760FC5F4" w14:textId="77777777" w:rsidR="009C1918" w:rsidRDefault="009C1918" w:rsidP="00D26737">
      <w:pPr>
        <w:pStyle w:val="ReferencesBody"/>
        <w:spacing w:before="120" w:line="480" w:lineRule="auto"/>
        <w:ind w:left="720" w:hanging="720"/>
        <w:jc w:val="left"/>
        <w:rPr>
          <w:rFonts w:asciiTheme="majorBidi" w:hAnsiTheme="majorBidi" w:cstheme="majorBidi"/>
          <w:szCs w:val="22"/>
        </w:rPr>
      </w:pPr>
      <w:r w:rsidRPr="001A60E7">
        <w:rPr>
          <w:rFonts w:asciiTheme="majorBidi" w:hAnsiTheme="majorBidi" w:cstheme="majorBidi"/>
          <w:szCs w:val="22"/>
        </w:rPr>
        <w:t>Ainley, J., Pratt, D.</w:t>
      </w:r>
      <w:r>
        <w:rPr>
          <w:rFonts w:asciiTheme="majorBidi" w:hAnsiTheme="majorBidi" w:cstheme="majorBidi"/>
          <w:szCs w:val="22"/>
        </w:rPr>
        <w:t>,</w:t>
      </w:r>
      <w:r w:rsidRPr="001A60E7">
        <w:rPr>
          <w:rFonts w:asciiTheme="majorBidi" w:hAnsiTheme="majorBidi" w:cstheme="majorBidi"/>
          <w:szCs w:val="22"/>
        </w:rPr>
        <w:t xml:space="preserve"> &amp; Hansen, A. (2006). Connecting engagement and focus in pedagogic task design</w:t>
      </w:r>
      <w:r>
        <w:rPr>
          <w:rFonts w:asciiTheme="majorBidi" w:hAnsiTheme="majorBidi" w:cstheme="majorBidi"/>
          <w:szCs w:val="22"/>
        </w:rPr>
        <w:t>.</w:t>
      </w:r>
      <w:r w:rsidRPr="001A60E7">
        <w:rPr>
          <w:rFonts w:asciiTheme="majorBidi" w:hAnsiTheme="majorBidi" w:cstheme="majorBidi"/>
          <w:szCs w:val="22"/>
        </w:rPr>
        <w:t xml:space="preserve"> </w:t>
      </w:r>
      <w:r w:rsidRPr="001A60E7">
        <w:rPr>
          <w:rFonts w:asciiTheme="majorBidi" w:hAnsiTheme="majorBidi" w:cstheme="majorBidi"/>
          <w:i/>
          <w:szCs w:val="22"/>
        </w:rPr>
        <w:t>British Educational Research Journal</w:t>
      </w:r>
      <w:r>
        <w:rPr>
          <w:rFonts w:asciiTheme="majorBidi" w:hAnsiTheme="majorBidi" w:cstheme="majorBidi"/>
          <w:szCs w:val="22"/>
        </w:rPr>
        <w:t>,</w:t>
      </w:r>
      <w:r w:rsidRPr="001A60E7">
        <w:rPr>
          <w:rFonts w:asciiTheme="majorBidi" w:hAnsiTheme="majorBidi" w:cstheme="majorBidi"/>
          <w:szCs w:val="22"/>
        </w:rPr>
        <w:t xml:space="preserve"> </w:t>
      </w:r>
      <w:r w:rsidRPr="001A60E7">
        <w:rPr>
          <w:rFonts w:asciiTheme="majorBidi" w:hAnsiTheme="majorBidi" w:cstheme="majorBidi"/>
          <w:i/>
          <w:iCs/>
          <w:szCs w:val="22"/>
        </w:rPr>
        <w:t>32</w:t>
      </w:r>
      <w:r w:rsidRPr="001A60E7">
        <w:rPr>
          <w:rFonts w:asciiTheme="majorBidi" w:hAnsiTheme="majorBidi" w:cstheme="majorBidi"/>
          <w:szCs w:val="22"/>
        </w:rPr>
        <w:t>(1), 23-38.</w:t>
      </w:r>
    </w:p>
    <w:p w14:paraId="6532138D" w14:textId="48DAB8EB" w:rsidR="00EB437D" w:rsidRPr="00EB437D" w:rsidRDefault="00EB437D" w:rsidP="00D26737">
      <w:pPr>
        <w:pStyle w:val="ReferencesBody"/>
        <w:spacing w:before="120" w:line="480" w:lineRule="auto"/>
        <w:ind w:left="720" w:hanging="720"/>
        <w:jc w:val="left"/>
        <w:rPr>
          <w:rFonts w:asciiTheme="majorBidi" w:hAnsiTheme="majorBidi" w:cstheme="majorBidi"/>
          <w:szCs w:val="22"/>
        </w:rPr>
      </w:pPr>
      <w:r>
        <w:rPr>
          <w:rFonts w:asciiTheme="majorBidi" w:hAnsiTheme="majorBidi" w:cstheme="majorBidi"/>
          <w:szCs w:val="22"/>
        </w:rPr>
        <w:t>Bakker, A.</w:t>
      </w:r>
      <w:r w:rsidR="00862A48">
        <w:rPr>
          <w:rFonts w:asciiTheme="majorBidi" w:hAnsiTheme="majorBidi" w:cstheme="majorBidi"/>
          <w:szCs w:val="22"/>
        </w:rPr>
        <w:t>,</w:t>
      </w:r>
      <w:r>
        <w:rPr>
          <w:rFonts w:asciiTheme="majorBidi" w:hAnsiTheme="majorBidi" w:cstheme="majorBidi"/>
          <w:szCs w:val="22"/>
        </w:rPr>
        <w:t xml:space="preserve"> &amp; Derry, J. (2011). Lessons from inferentialism for statistics education. </w:t>
      </w:r>
      <w:r>
        <w:rPr>
          <w:rFonts w:asciiTheme="majorBidi" w:hAnsiTheme="majorBidi" w:cstheme="majorBidi"/>
          <w:i/>
          <w:szCs w:val="22"/>
        </w:rPr>
        <w:t>Mathematical Thinking and Learning</w:t>
      </w:r>
      <w:r w:rsidRPr="00896020">
        <w:rPr>
          <w:rFonts w:asciiTheme="majorBidi" w:hAnsiTheme="majorBidi" w:cstheme="majorBidi"/>
          <w:iCs/>
          <w:szCs w:val="22"/>
        </w:rPr>
        <w:t>,</w:t>
      </w:r>
      <w:r>
        <w:rPr>
          <w:rFonts w:asciiTheme="majorBidi" w:hAnsiTheme="majorBidi" w:cstheme="majorBidi"/>
          <w:i/>
          <w:szCs w:val="22"/>
        </w:rPr>
        <w:t xml:space="preserve"> </w:t>
      </w:r>
      <w:r w:rsidRPr="00896020">
        <w:rPr>
          <w:rFonts w:asciiTheme="majorBidi" w:hAnsiTheme="majorBidi" w:cstheme="majorBidi"/>
          <w:i/>
          <w:iCs/>
          <w:szCs w:val="22"/>
        </w:rPr>
        <w:t>13</w:t>
      </w:r>
      <w:r w:rsidRPr="00EB437D">
        <w:rPr>
          <w:rFonts w:asciiTheme="majorBidi" w:hAnsiTheme="majorBidi" w:cstheme="majorBidi"/>
          <w:szCs w:val="22"/>
        </w:rPr>
        <w:t>(1-2), 5-26.</w:t>
      </w:r>
    </w:p>
    <w:p w14:paraId="562A152E" w14:textId="77777777" w:rsidR="009C1918" w:rsidRPr="001A60E7" w:rsidRDefault="009C1918" w:rsidP="00D26737">
      <w:pPr>
        <w:pStyle w:val="ReferencesBody"/>
        <w:spacing w:before="120" w:line="480" w:lineRule="auto"/>
        <w:ind w:left="720" w:hanging="720"/>
        <w:jc w:val="left"/>
        <w:rPr>
          <w:rFonts w:asciiTheme="majorBidi" w:hAnsiTheme="majorBidi" w:cstheme="majorBidi"/>
          <w:szCs w:val="22"/>
        </w:rPr>
      </w:pPr>
      <w:r w:rsidRPr="001A60E7">
        <w:rPr>
          <w:rFonts w:asciiTheme="majorBidi" w:hAnsiTheme="majorBidi" w:cstheme="majorBidi"/>
          <w:szCs w:val="22"/>
        </w:rPr>
        <w:lastRenderedPageBreak/>
        <w:t>Brandom, R. (2002). Overcoming a dualism of concepts and causes: A unifying thread in empiricism and the philosophy of mind</w:t>
      </w:r>
      <w:r>
        <w:rPr>
          <w:rFonts w:asciiTheme="majorBidi" w:hAnsiTheme="majorBidi" w:cstheme="majorBidi"/>
          <w:szCs w:val="22"/>
        </w:rPr>
        <w:t>. I</w:t>
      </w:r>
      <w:r w:rsidRPr="001A60E7">
        <w:rPr>
          <w:rFonts w:asciiTheme="majorBidi" w:hAnsiTheme="majorBidi" w:cstheme="majorBidi"/>
          <w:szCs w:val="22"/>
        </w:rPr>
        <w:t>n R. Gale (Ed.),</w:t>
      </w:r>
      <w:r w:rsidRPr="001A60E7">
        <w:rPr>
          <w:rFonts w:asciiTheme="majorBidi" w:hAnsiTheme="majorBidi" w:cstheme="majorBidi"/>
          <w:i/>
          <w:szCs w:val="22"/>
        </w:rPr>
        <w:t xml:space="preserve"> The </w:t>
      </w:r>
      <w:r>
        <w:rPr>
          <w:rFonts w:asciiTheme="majorBidi" w:hAnsiTheme="majorBidi" w:cstheme="majorBidi"/>
          <w:i/>
          <w:szCs w:val="22"/>
        </w:rPr>
        <w:t>B</w:t>
      </w:r>
      <w:r w:rsidRPr="001A60E7">
        <w:rPr>
          <w:rFonts w:asciiTheme="majorBidi" w:hAnsiTheme="majorBidi" w:cstheme="majorBidi"/>
          <w:i/>
          <w:szCs w:val="22"/>
        </w:rPr>
        <w:t>la</w:t>
      </w:r>
      <w:r w:rsidRPr="003931A0">
        <w:rPr>
          <w:rFonts w:asciiTheme="majorBidi" w:hAnsiTheme="majorBidi" w:cstheme="majorBidi"/>
          <w:i/>
          <w:szCs w:val="22"/>
        </w:rPr>
        <w:t>ckwell guide to metaphysics</w:t>
      </w:r>
      <w:r w:rsidRPr="001A60E7">
        <w:rPr>
          <w:rFonts w:asciiTheme="majorBidi" w:hAnsiTheme="majorBidi" w:cstheme="majorBidi"/>
          <w:szCs w:val="22"/>
        </w:rPr>
        <w:t xml:space="preserve">, </w:t>
      </w:r>
      <w:r>
        <w:rPr>
          <w:rFonts w:asciiTheme="majorBidi" w:hAnsiTheme="majorBidi" w:cstheme="majorBidi"/>
          <w:szCs w:val="22"/>
        </w:rPr>
        <w:t>(</w:t>
      </w:r>
      <w:r w:rsidRPr="001A60E7">
        <w:rPr>
          <w:rFonts w:asciiTheme="majorBidi" w:hAnsiTheme="majorBidi" w:cstheme="majorBidi"/>
          <w:szCs w:val="22"/>
        </w:rPr>
        <w:t>pp. 263-281</w:t>
      </w:r>
      <w:r>
        <w:rPr>
          <w:rFonts w:asciiTheme="majorBidi" w:hAnsiTheme="majorBidi" w:cstheme="majorBidi"/>
          <w:szCs w:val="22"/>
        </w:rPr>
        <w:t>)</w:t>
      </w:r>
      <w:r w:rsidRPr="001A60E7">
        <w:rPr>
          <w:rFonts w:asciiTheme="majorBidi" w:hAnsiTheme="majorBidi" w:cstheme="majorBidi"/>
          <w:i/>
          <w:szCs w:val="22"/>
        </w:rPr>
        <w:t xml:space="preserve">. </w:t>
      </w:r>
      <w:r w:rsidRPr="001A60E7">
        <w:rPr>
          <w:rFonts w:asciiTheme="majorBidi" w:hAnsiTheme="majorBidi" w:cstheme="majorBidi"/>
          <w:szCs w:val="22"/>
        </w:rPr>
        <w:t>Hoboken, NJ: Blackwell Publishers Ltd.</w:t>
      </w:r>
    </w:p>
    <w:p w14:paraId="277B6326" w14:textId="77777777" w:rsidR="009C1918" w:rsidRPr="001A60E7" w:rsidRDefault="009C1918" w:rsidP="00D26737">
      <w:pPr>
        <w:pStyle w:val="ReferencesBody"/>
        <w:spacing w:before="120" w:line="480" w:lineRule="auto"/>
        <w:ind w:left="720" w:hanging="720"/>
        <w:jc w:val="left"/>
        <w:rPr>
          <w:rFonts w:asciiTheme="majorBidi" w:hAnsiTheme="majorBidi" w:cstheme="majorBidi"/>
          <w:szCs w:val="22"/>
        </w:rPr>
      </w:pPr>
      <w:r w:rsidRPr="001A60E7">
        <w:rPr>
          <w:rFonts w:asciiTheme="majorBidi" w:hAnsiTheme="majorBidi" w:cstheme="majorBidi"/>
          <w:szCs w:val="22"/>
        </w:rPr>
        <w:t xml:space="preserve">Gould, R., </w:t>
      </w:r>
      <w:r>
        <w:rPr>
          <w:rFonts w:asciiTheme="majorBidi" w:hAnsiTheme="majorBidi" w:cstheme="majorBidi"/>
          <w:szCs w:val="22"/>
        </w:rPr>
        <w:t>(</w:t>
      </w:r>
      <w:r w:rsidRPr="00F95827">
        <w:rPr>
          <w:rFonts w:asciiTheme="majorBidi" w:hAnsiTheme="majorBidi" w:cstheme="majorBidi"/>
          <w:szCs w:val="22"/>
        </w:rPr>
        <w:t>2010</w:t>
      </w:r>
      <w:r>
        <w:rPr>
          <w:rFonts w:asciiTheme="majorBidi" w:hAnsiTheme="majorBidi" w:cstheme="majorBidi"/>
          <w:szCs w:val="22"/>
        </w:rPr>
        <w:t xml:space="preserve">). </w:t>
      </w:r>
      <w:r w:rsidRPr="001A60E7">
        <w:rPr>
          <w:rFonts w:asciiTheme="majorBidi" w:hAnsiTheme="majorBidi" w:cstheme="majorBidi"/>
          <w:szCs w:val="22"/>
        </w:rPr>
        <w:t xml:space="preserve">Statistics and the </w:t>
      </w:r>
      <w:r>
        <w:rPr>
          <w:rFonts w:asciiTheme="majorBidi" w:hAnsiTheme="majorBidi" w:cstheme="majorBidi"/>
          <w:szCs w:val="22"/>
        </w:rPr>
        <w:t>m</w:t>
      </w:r>
      <w:r w:rsidRPr="001A60E7">
        <w:rPr>
          <w:rFonts w:asciiTheme="majorBidi" w:hAnsiTheme="majorBidi" w:cstheme="majorBidi"/>
          <w:szCs w:val="22"/>
        </w:rPr>
        <w:t xml:space="preserve">odern </w:t>
      </w:r>
      <w:r>
        <w:rPr>
          <w:rFonts w:asciiTheme="majorBidi" w:hAnsiTheme="majorBidi" w:cstheme="majorBidi"/>
          <w:szCs w:val="22"/>
        </w:rPr>
        <w:t>s</w:t>
      </w:r>
      <w:r w:rsidRPr="001A60E7">
        <w:rPr>
          <w:rFonts w:asciiTheme="majorBidi" w:hAnsiTheme="majorBidi" w:cstheme="majorBidi"/>
          <w:szCs w:val="22"/>
        </w:rPr>
        <w:t>tudent</w:t>
      </w:r>
      <w:r>
        <w:rPr>
          <w:rFonts w:asciiTheme="majorBidi" w:hAnsiTheme="majorBidi" w:cstheme="majorBidi"/>
          <w:szCs w:val="22"/>
        </w:rPr>
        <w:t>.</w:t>
      </w:r>
      <w:r w:rsidRPr="001A60E7">
        <w:rPr>
          <w:rFonts w:asciiTheme="majorBidi" w:hAnsiTheme="majorBidi" w:cstheme="majorBidi"/>
          <w:szCs w:val="22"/>
        </w:rPr>
        <w:t xml:space="preserve"> </w:t>
      </w:r>
      <w:r w:rsidRPr="001A60E7">
        <w:rPr>
          <w:rFonts w:asciiTheme="majorBidi" w:hAnsiTheme="majorBidi" w:cstheme="majorBidi"/>
          <w:i/>
          <w:iCs/>
          <w:szCs w:val="22"/>
        </w:rPr>
        <w:t>International Statistical Review</w:t>
      </w:r>
      <w:r w:rsidRPr="001A60E7">
        <w:rPr>
          <w:rFonts w:asciiTheme="majorBidi" w:hAnsiTheme="majorBidi" w:cstheme="majorBidi"/>
          <w:szCs w:val="22"/>
        </w:rPr>
        <w:t xml:space="preserve">, </w:t>
      </w:r>
      <w:r w:rsidRPr="001A60E7">
        <w:rPr>
          <w:rFonts w:asciiTheme="majorBidi" w:hAnsiTheme="majorBidi" w:cstheme="majorBidi"/>
          <w:i/>
          <w:iCs/>
          <w:szCs w:val="22"/>
        </w:rPr>
        <w:t>78</w:t>
      </w:r>
      <w:r w:rsidRPr="001A60E7">
        <w:rPr>
          <w:rFonts w:asciiTheme="majorBidi" w:hAnsiTheme="majorBidi" w:cstheme="majorBidi"/>
          <w:szCs w:val="22"/>
        </w:rPr>
        <w:t>(2), 397-315.</w:t>
      </w:r>
    </w:p>
    <w:p w14:paraId="43976FB0" w14:textId="77777777" w:rsidR="009C1918" w:rsidRPr="001A60E7" w:rsidRDefault="009C1918" w:rsidP="00D26737">
      <w:pPr>
        <w:pStyle w:val="ReferencesBody"/>
        <w:spacing w:before="120" w:line="480" w:lineRule="auto"/>
        <w:ind w:left="720" w:hanging="720"/>
        <w:jc w:val="left"/>
        <w:rPr>
          <w:rFonts w:asciiTheme="majorBidi" w:hAnsiTheme="majorBidi" w:cstheme="majorBidi"/>
          <w:szCs w:val="22"/>
        </w:rPr>
      </w:pPr>
      <w:r w:rsidRPr="001A60E7">
        <w:rPr>
          <w:rFonts w:asciiTheme="majorBidi" w:hAnsiTheme="majorBidi" w:cstheme="majorBidi"/>
          <w:szCs w:val="22"/>
          <w:lang w:val="en-US"/>
        </w:rPr>
        <w:t xml:space="preserve">Harel, I., &amp; Papert, S. (1991). </w:t>
      </w:r>
      <w:r w:rsidRPr="001A60E7">
        <w:rPr>
          <w:rFonts w:asciiTheme="majorBidi" w:hAnsiTheme="majorBidi" w:cstheme="majorBidi"/>
          <w:i/>
          <w:iCs/>
          <w:szCs w:val="22"/>
          <w:lang w:val="en-US"/>
        </w:rPr>
        <w:t>Constructionism</w:t>
      </w:r>
      <w:r w:rsidRPr="001A60E7">
        <w:rPr>
          <w:rFonts w:asciiTheme="majorBidi" w:hAnsiTheme="majorBidi" w:cstheme="majorBidi"/>
          <w:szCs w:val="22"/>
          <w:lang w:val="en-US"/>
        </w:rPr>
        <w:t>. Norwood, New Jersey: Ablex.</w:t>
      </w:r>
    </w:p>
    <w:p w14:paraId="23A48656" w14:textId="77777777" w:rsidR="009C1918" w:rsidRPr="001A60E7" w:rsidRDefault="009C1918" w:rsidP="00D26737">
      <w:pPr>
        <w:pStyle w:val="ReferencesBody"/>
        <w:spacing w:before="120" w:line="480" w:lineRule="auto"/>
        <w:ind w:left="720" w:hanging="720"/>
        <w:jc w:val="left"/>
        <w:rPr>
          <w:rFonts w:asciiTheme="majorBidi" w:hAnsiTheme="majorBidi" w:cstheme="majorBidi"/>
          <w:szCs w:val="22"/>
          <w:lang w:val="en-US"/>
        </w:rPr>
      </w:pPr>
      <w:r w:rsidRPr="001A60E7">
        <w:rPr>
          <w:rFonts w:asciiTheme="majorBidi" w:hAnsiTheme="majorBidi" w:cstheme="majorBidi"/>
          <w:szCs w:val="22"/>
          <w:lang w:val="en-US"/>
        </w:rPr>
        <w:t xml:space="preserve">Konold, C. (2002). Teaching concepts rather than conventions. </w:t>
      </w:r>
      <w:r w:rsidRPr="001A60E7">
        <w:rPr>
          <w:rFonts w:asciiTheme="majorBidi" w:hAnsiTheme="majorBidi" w:cstheme="majorBidi"/>
          <w:i/>
          <w:szCs w:val="22"/>
          <w:lang w:val="en-US"/>
        </w:rPr>
        <w:t>New England Mathematics Journal</w:t>
      </w:r>
      <w:r w:rsidRPr="001A60E7">
        <w:rPr>
          <w:rFonts w:asciiTheme="majorBidi" w:hAnsiTheme="majorBidi" w:cstheme="majorBidi"/>
          <w:szCs w:val="22"/>
          <w:lang w:val="en-US"/>
        </w:rPr>
        <w:t xml:space="preserve">, </w:t>
      </w:r>
      <w:r w:rsidRPr="00896020">
        <w:rPr>
          <w:rFonts w:asciiTheme="majorBidi" w:hAnsiTheme="majorBidi" w:cstheme="majorBidi"/>
          <w:i/>
          <w:iCs/>
          <w:szCs w:val="22"/>
          <w:lang w:val="en-US"/>
        </w:rPr>
        <w:t>34</w:t>
      </w:r>
      <w:r w:rsidRPr="001A60E7">
        <w:rPr>
          <w:rFonts w:asciiTheme="majorBidi" w:hAnsiTheme="majorBidi" w:cstheme="majorBidi"/>
          <w:szCs w:val="22"/>
          <w:lang w:val="en-US"/>
        </w:rPr>
        <w:t>(2), 69–81.</w:t>
      </w:r>
    </w:p>
    <w:p w14:paraId="79C24B15" w14:textId="77777777" w:rsidR="009C1918" w:rsidRPr="001A60E7" w:rsidRDefault="009C1918" w:rsidP="00D26737">
      <w:pPr>
        <w:pStyle w:val="ReferencesBody"/>
        <w:spacing w:before="120" w:line="480" w:lineRule="auto"/>
        <w:ind w:left="720" w:hanging="720"/>
        <w:jc w:val="left"/>
        <w:rPr>
          <w:rFonts w:asciiTheme="majorBidi" w:hAnsiTheme="majorBidi" w:cstheme="majorBidi"/>
          <w:szCs w:val="22"/>
          <w:lang w:val="en-US"/>
        </w:rPr>
      </w:pPr>
      <w:r w:rsidRPr="001A60E7">
        <w:rPr>
          <w:rFonts w:asciiTheme="majorBidi" w:hAnsiTheme="majorBidi" w:cstheme="majorBidi"/>
          <w:szCs w:val="22"/>
          <w:lang w:val="en-US"/>
        </w:rPr>
        <w:t xml:space="preserve">Konold, C. (2011). </w:t>
      </w:r>
      <w:r w:rsidRPr="001A60E7">
        <w:rPr>
          <w:rFonts w:asciiTheme="majorBidi" w:hAnsiTheme="majorBidi" w:cstheme="majorBidi"/>
          <w:i/>
          <w:iCs/>
          <w:szCs w:val="22"/>
          <w:lang w:val="en-US"/>
        </w:rPr>
        <w:t>TinkerPlots</w:t>
      </w:r>
      <w:r w:rsidRPr="001A60E7">
        <w:rPr>
          <w:rFonts w:asciiTheme="majorBidi" w:hAnsiTheme="majorBidi" w:cstheme="majorBidi"/>
          <w:i/>
          <w:iCs/>
          <w:szCs w:val="22"/>
          <w:vertAlign w:val="superscript"/>
          <w:lang w:val="en-US"/>
        </w:rPr>
        <w:t>TM</w:t>
      </w:r>
      <w:r w:rsidRPr="001A60E7">
        <w:rPr>
          <w:rFonts w:asciiTheme="majorBidi" w:hAnsiTheme="majorBidi" w:cstheme="majorBidi"/>
          <w:i/>
          <w:iCs/>
          <w:szCs w:val="22"/>
          <w:lang w:val="en-US"/>
        </w:rPr>
        <w:t>: Dynamic data exploration</w:t>
      </w:r>
      <w:r w:rsidRPr="001A60E7">
        <w:rPr>
          <w:rFonts w:asciiTheme="majorBidi" w:hAnsiTheme="majorBidi" w:cstheme="majorBidi"/>
          <w:szCs w:val="22"/>
          <w:lang w:val="en-US"/>
        </w:rPr>
        <w:t>. Emeryville, CA: Key Curriculum Press.</w:t>
      </w:r>
    </w:p>
    <w:p w14:paraId="7927D12D" w14:textId="75C5E45D" w:rsidR="00D26737" w:rsidRDefault="009C1918" w:rsidP="00D26737">
      <w:pPr>
        <w:spacing w:before="120" w:line="480" w:lineRule="auto"/>
        <w:ind w:left="720" w:hanging="720"/>
        <w:rPr>
          <w:rFonts w:asciiTheme="majorBidi" w:hAnsiTheme="majorBidi" w:cstheme="majorBidi"/>
          <w:sz w:val="22"/>
          <w:szCs w:val="22"/>
        </w:rPr>
      </w:pPr>
      <w:r w:rsidRPr="001A60E7">
        <w:rPr>
          <w:rFonts w:asciiTheme="majorBidi" w:hAnsiTheme="majorBidi" w:cstheme="majorBidi"/>
          <w:sz w:val="22"/>
          <w:szCs w:val="22"/>
        </w:rPr>
        <w:t>Lane, J., Stodden, V., Bender, S.,</w:t>
      </w:r>
      <w:r>
        <w:rPr>
          <w:rFonts w:asciiTheme="majorBidi" w:hAnsiTheme="majorBidi" w:cstheme="majorBidi"/>
          <w:sz w:val="22"/>
          <w:szCs w:val="22"/>
        </w:rPr>
        <w:t xml:space="preserve"> &amp;</w:t>
      </w:r>
      <w:r w:rsidRPr="001A60E7">
        <w:rPr>
          <w:rFonts w:asciiTheme="majorBidi" w:hAnsiTheme="majorBidi" w:cstheme="majorBidi"/>
          <w:sz w:val="22"/>
          <w:szCs w:val="22"/>
        </w:rPr>
        <w:t xml:space="preserve"> Nissenbaum, H. </w:t>
      </w:r>
      <w:r>
        <w:rPr>
          <w:rFonts w:asciiTheme="majorBidi" w:hAnsiTheme="majorBidi" w:cstheme="majorBidi"/>
          <w:sz w:val="22"/>
          <w:szCs w:val="22"/>
        </w:rPr>
        <w:t>(</w:t>
      </w:r>
      <w:r w:rsidRPr="00A2619F">
        <w:rPr>
          <w:rFonts w:asciiTheme="majorBidi" w:hAnsiTheme="majorBidi" w:cstheme="majorBidi"/>
          <w:sz w:val="22"/>
          <w:szCs w:val="22"/>
        </w:rPr>
        <w:t>2014</w:t>
      </w:r>
      <w:r>
        <w:rPr>
          <w:rFonts w:asciiTheme="majorBidi" w:hAnsiTheme="majorBidi" w:cstheme="majorBidi"/>
          <w:sz w:val="22"/>
          <w:szCs w:val="22"/>
        </w:rPr>
        <w:t xml:space="preserve">). </w:t>
      </w:r>
      <w:r w:rsidRPr="001A60E7">
        <w:rPr>
          <w:rFonts w:asciiTheme="majorBidi" w:hAnsiTheme="majorBidi" w:cstheme="majorBidi"/>
          <w:sz w:val="22"/>
          <w:szCs w:val="22"/>
        </w:rPr>
        <w:t xml:space="preserve">Conceptual </w:t>
      </w:r>
      <w:r>
        <w:rPr>
          <w:rFonts w:asciiTheme="majorBidi" w:hAnsiTheme="majorBidi" w:cstheme="majorBidi"/>
          <w:sz w:val="22"/>
          <w:szCs w:val="22"/>
        </w:rPr>
        <w:t>f</w:t>
      </w:r>
      <w:r w:rsidRPr="001A60E7">
        <w:rPr>
          <w:rFonts w:asciiTheme="majorBidi" w:hAnsiTheme="majorBidi" w:cstheme="majorBidi"/>
          <w:sz w:val="22"/>
          <w:szCs w:val="22"/>
        </w:rPr>
        <w:t>ramework</w:t>
      </w:r>
      <w:r>
        <w:rPr>
          <w:rFonts w:asciiTheme="majorBidi" w:hAnsiTheme="majorBidi" w:cstheme="majorBidi"/>
          <w:sz w:val="22"/>
          <w:szCs w:val="22"/>
        </w:rPr>
        <w:t xml:space="preserve">. In </w:t>
      </w:r>
      <w:r w:rsidRPr="00240A5C">
        <w:rPr>
          <w:rFonts w:asciiTheme="majorBidi" w:hAnsiTheme="majorBidi" w:cstheme="majorBidi"/>
          <w:sz w:val="22"/>
          <w:szCs w:val="22"/>
        </w:rPr>
        <w:t>J</w:t>
      </w:r>
      <w:r>
        <w:rPr>
          <w:rFonts w:asciiTheme="majorBidi" w:hAnsiTheme="majorBidi" w:cstheme="majorBidi"/>
          <w:sz w:val="22"/>
          <w:szCs w:val="22"/>
        </w:rPr>
        <w:t>.</w:t>
      </w:r>
      <w:r w:rsidRPr="00240A5C">
        <w:rPr>
          <w:rFonts w:asciiTheme="majorBidi" w:hAnsiTheme="majorBidi" w:cstheme="majorBidi"/>
          <w:sz w:val="22"/>
          <w:szCs w:val="22"/>
        </w:rPr>
        <w:t xml:space="preserve"> Lane, V</w:t>
      </w:r>
      <w:r>
        <w:rPr>
          <w:rFonts w:asciiTheme="majorBidi" w:hAnsiTheme="majorBidi" w:cstheme="majorBidi"/>
          <w:sz w:val="22"/>
          <w:szCs w:val="22"/>
        </w:rPr>
        <w:t>.</w:t>
      </w:r>
      <w:r w:rsidRPr="00240A5C">
        <w:rPr>
          <w:rFonts w:asciiTheme="majorBidi" w:hAnsiTheme="majorBidi" w:cstheme="majorBidi"/>
          <w:sz w:val="22"/>
          <w:szCs w:val="22"/>
        </w:rPr>
        <w:t xml:space="preserve"> Stodden, S</w:t>
      </w:r>
      <w:r>
        <w:rPr>
          <w:rFonts w:asciiTheme="majorBidi" w:hAnsiTheme="majorBidi" w:cstheme="majorBidi"/>
          <w:sz w:val="22"/>
          <w:szCs w:val="22"/>
        </w:rPr>
        <w:t>. Bender and</w:t>
      </w:r>
      <w:r w:rsidRPr="00240A5C">
        <w:rPr>
          <w:rFonts w:asciiTheme="majorBidi" w:hAnsiTheme="majorBidi" w:cstheme="majorBidi"/>
          <w:sz w:val="22"/>
          <w:szCs w:val="22"/>
        </w:rPr>
        <w:t xml:space="preserve"> H</w:t>
      </w:r>
      <w:r>
        <w:rPr>
          <w:rFonts w:asciiTheme="majorBidi" w:hAnsiTheme="majorBidi" w:cstheme="majorBidi"/>
          <w:sz w:val="22"/>
          <w:szCs w:val="22"/>
        </w:rPr>
        <w:t>.</w:t>
      </w:r>
      <w:r w:rsidRPr="00240A5C">
        <w:rPr>
          <w:rFonts w:asciiTheme="majorBidi" w:hAnsiTheme="majorBidi" w:cstheme="majorBidi"/>
          <w:sz w:val="22"/>
          <w:szCs w:val="22"/>
        </w:rPr>
        <w:t xml:space="preserve"> Nissenbaum (Ed</w:t>
      </w:r>
      <w:r>
        <w:rPr>
          <w:rFonts w:asciiTheme="majorBidi" w:hAnsiTheme="majorBidi" w:cstheme="majorBidi"/>
          <w:sz w:val="22"/>
          <w:szCs w:val="22"/>
        </w:rPr>
        <w:t>s.</w:t>
      </w:r>
      <w:r w:rsidRPr="00240A5C">
        <w:rPr>
          <w:rFonts w:asciiTheme="majorBidi" w:hAnsiTheme="majorBidi" w:cstheme="majorBidi"/>
          <w:sz w:val="22"/>
          <w:szCs w:val="22"/>
        </w:rPr>
        <w:t>)</w:t>
      </w:r>
      <w:r>
        <w:rPr>
          <w:rFonts w:asciiTheme="majorBidi" w:hAnsiTheme="majorBidi" w:cstheme="majorBidi"/>
          <w:sz w:val="22"/>
          <w:szCs w:val="22"/>
        </w:rPr>
        <w:t>,</w:t>
      </w:r>
      <w:r w:rsidR="00D26737">
        <w:rPr>
          <w:rFonts w:asciiTheme="majorBidi" w:hAnsiTheme="majorBidi" w:cstheme="majorBidi"/>
          <w:sz w:val="22"/>
          <w:szCs w:val="22"/>
        </w:rPr>
        <w:t xml:space="preserve"> </w:t>
      </w:r>
      <w:r w:rsidRPr="001A60E7">
        <w:rPr>
          <w:rFonts w:asciiTheme="majorBidi" w:hAnsiTheme="majorBidi" w:cstheme="majorBidi"/>
          <w:i/>
          <w:iCs/>
          <w:sz w:val="22"/>
          <w:szCs w:val="22"/>
        </w:rPr>
        <w:t>Privacy, big data, and the public good: Frameworks for engagement</w:t>
      </w:r>
      <w:r w:rsidRPr="001A60E7">
        <w:rPr>
          <w:rFonts w:asciiTheme="majorBidi" w:hAnsiTheme="majorBidi" w:cstheme="majorBidi"/>
          <w:sz w:val="22"/>
          <w:szCs w:val="22"/>
        </w:rPr>
        <w:t xml:space="preserve">, </w:t>
      </w:r>
      <w:r>
        <w:rPr>
          <w:rFonts w:asciiTheme="majorBidi" w:hAnsiTheme="majorBidi" w:cstheme="majorBidi"/>
          <w:sz w:val="22"/>
          <w:szCs w:val="22"/>
        </w:rPr>
        <w:t>(</w:t>
      </w:r>
      <w:r w:rsidRPr="001A60E7">
        <w:rPr>
          <w:rFonts w:asciiTheme="majorBidi" w:hAnsiTheme="majorBidi" w:cstheme="majorBidi"/>
          <w:sz w:val="22"/>
          <w:szCs w:val="22"/>
        </w:rPr>
        <w:t>pp</w:t>
      </w:r>
      <w:r>
        <w:rPr>
          <w:rFonts w:asciiTheme="majorBidi" w:hAnsiTheme="majorBidi" w:cstheme="majorBidi"/>
          <w:sz w:val="22"/>
          <w:szCs w:val="22"/>
        </w:rPr>
        <w:t>.</w:t>
      </w:r>
      <w:r w:rsidRPr="001A60E7">
        <w:rPr>
          <w:rFonts w:asciiTheme="majorBidi" w:hAnsiTheme="majorBidi" w:cstheme="majorBidi"/>
          <w:sz w:val="22"/>
          <w:szCs w:val="22"/>
        </w:rPr>
        <w:t xml:space="preserve"> 1-3</w:t>
      </w:r>
      <w:r>
        <w:rPr>
          <w:rFonts w:asciiTheme="majorBidi" w:hAnsiTheme="majorBidi" w:cstheme="majorBidi"/>
          <w:sz w:val="22"/>
          <w:szCs w:val="22"/>
        </w:rPr>
        <w:t>).</w:t>
      </w:r>
      <w:r w:rsidRPr="001A60E7">
        <w:rPr>
          <w:rFonts w:asciiTheme="majorBidi" w:hAnsiTheme="majorBidi" w:cstheme="majorBidi"/>
          <w:sz w:val="22"/>
          <w:szCs w:val="22"/>
        </w:rPr>
        <w:t xml:space="preserve"> </w:t>
      </w:r>
      <w:r w:rsidR="009D1071">
        <w:rPr>
          <w:rFonts w:asciiTheme="majorBidi" w:hAnsiTheme="majorBidi" w:cstheme="majorBidi"/>
          <w:sz w:val="22"/>
          <w:szCs w:val="22"/>
        </w:rPr>
        <w:t xml:space="preserve">New York, NY: </w:t>
      </w:r>
      <w:r w:rsidRPr="001A60E7">
        <w:rPr>
          <w:rFonts w:asciiTheme="majorBidi" w:hAnsiTheme="majorBidi" w:cstheme="majorBidi"/>
          <w:sz w:val="22"/>
          <w:szCs w:val="22"/>
        </w:rPr>
        <w:t>Cambridge University Press</w:t>
      </w:r>
      <w:r w:rsidR="009D1071">
        <w:rPr>
          <w:rFonts w:asciiTheme="majorBidi" w:hAnsiTheme="majorBidi" w:cstheme="majorBidi"/>
          <w:sz w:val="22"/>
          <w:szCs w:val="22"/>
        </w:rPr>
        <w:t>.</w:t>
      </w:r>
    </w:p>
    <w:p w14:paraId="56C1821F" w14:textId="77777777" w:rsidR="009C1918" w:rsidRPr="001A60E7" w:rsidRDefault="009C1918" w:rsidP="00D26737">
      <w:pPr>
        <w:spacing w:before="120" w:line="480" w:lineRule="auto"/>
        <w:ind w:left="720" w:hanging="720"/>
        <w:rPr>
          <w:rFonts w:asciiTheme="majorBidi" w:hAnsiTheme="majorBidi" w:cstheme="majorBidi"/>
          <w:sz w:val="22"/>
          <w:szCs w:val="22"/>
        </w:rPr>
      </w:pPr>
      <w:r w:rsidRPr="001A60E7">
        <w:rPr>
          <w:rFonts w:asciiTheme="majorBidi" w:hAnsiTheme="majorBidi" w:cstheme="majorBidi"/>
          <w:sz w:val="22"/>
          <w:szCs w:val="22"/>
        </w:rPr>
        <w:t>Nolan, D.,</w:t>
      </w:r>
      <w:r>
        <w:rPr>
          <w:rFonts w:asciiTheme="majorBidi" w:hAnsiTheme="majorBidi" w:cstheme="majorBidi"/>
          <w:sz w:val="22"/>
          <w:szCs w:val="22"/>
        </w:rPr>
        <w:t xml:space="preserve"> &amp;</w:t>
      </w:r>
      <w:r w:rsidRPr="001A60E7">
        <w:rPr>
          <w:rFonts w:asciiTheme="majorBidi" w:hAnsiTheme="majorBidi" w:cstheme="majorBidi"/>
          <w:sz w:val="22"/>
          <w:szCs w:val="22"/>
        </w:rPr>
        <w:t xml:space="preserve"> Temple Lang, D. </w:t>
      </w:r>
      <w:r>
        <w:rPr>
          <w:rFonts w:asciiTheme="majorBidi" w:hAnsiTheme="majorBidi" w:cstheme="majorBidi"/>
          <w:sz w:val="22"/>
          <w:szCs w:val="22"/>
        </w:rPr>
        <w:t xml:space="preserve">(2010). </w:t>
      </w:r>
      <w:r w:rsidRPr="001A60E7">
        <w:rPr>
          <w:rFonts w:asciiTheme="majorBidi" w:hAnsiTheme="majorBidi" w:cstheme="majorBidi"/>
          <w:sz w:val="22"/>
          <w:szCs w:val="22"/>
        </w:rPr>
        <w:t>Computing in the statistics curriculum</w:t>
      </w:r>
      <w:r>
        <w:rPr>
          <w:rFonts w:asciiTheme="majorBidi" w:hAnsiTheme="majorBidi" w:cstheme="majorBidi"/>
          <w:sz w:val="22"/>
          <w:szCs w:val="22"/>
        </w:rPr>
        <w:t>.</w:t>
      </w:r>
      <w:r w:rsidRPr="001A60E7">
        <w:rPr>
          <w:rFonts w:asciiTheme="majorBidi" w:hAnsiTheme="majorBidi" w:cstheme="majorBidi"/>
          <w:sz w:val="22"/>
          <w:szCs w:val="22"/>
        </w:rPr>
        <w:t xml:space="preserve"> </w:t>
      </w:r>
      <w:r w:rsidRPr="001A60E7">
        <w:rPr>
          <w:rFonts w:asciiTheme="majorBidi" w:hAnsiTheme="majorBidi" w:cstheme="majorBidi"/>
          <w:i/>
          <w:sz w:val="22"/>
          <w:szCs w:val="22"/>
        </w:rPr>
        <w:t>The American Statistician</w:t>
      </w:r>
      <w:r w:rsidRPr="00896020">
        <w:rPr>
          <w:rFonts w:asciiTheme="majorBidi" w:hAnsiTheme="majorBidi" w:cstheme="majorBidi"/>
          <w:iCs/>
          <w:sz w:val="22"/>
          <w:szCs w:val="22"/>
        </w:rPr>
        <w:t>,</w:t>
      </w:r>
      <w:r w:rsidRPr="001A60E7">
        <w:rPr>
          <w:rFonts w:asciiTheme="majorBidi" w:hAnsiTheme="majorBidi" w:cstheme="majorBidi"/>
          <w:i/>
          <w:sz w:val="22"/>
          <w:szCs w:val="22"/>
        </w:rPr>
        <w:t xml:space="preserve"> </w:t>
      </w:r>
      <w:r w:rsidRPr="001A60E7">
        <w:rPr>
          <w:rFonts w:asciiTheme="majorBidi" w:hAnsiTheme="majorBidi" w:cstheme="majorBidi"/>
          <w:i/>
          <w:iCs/>
          <w:sz w:val="22"/>
          <w:szCs w:val="22"/>
        </w:rPr>
        <w:t>64</w:t>
      </w:r>
      <w:r w:rsidRPr="001A60E7">
        <w:rPr>
          <w:rFonts w:asciiTheme="majorBidi" w:hAnsiTheme="majorBidi" w:cstheme="majorBidi"/>
          <w:sz w:val="22"/>
          <w:szCs w:val="22"/>
        </w:rPr>
        <w:t>(2)</w:t>
      </w:r>
      <w:r>
        <w:rPr>
          <w:rFonts w:asciiTheme="majorBidi" w:hAnsiTheme="majorBidi" w:cstheme="majorBidi"/>
          <w:sz w:val="22"/>
          <w:szCs w:val="22"/>
        </w:rPr>
        <w:t>,</w:t>
      </w:r>
      <w:r w:rsidRPr="001A60E7">
        <w:rPr>
          <w:rFonts w:asciiTheme="majorBidi" w:hAnsiTheme="majorBidi" w:cstheme="majorBidi"/>
          <w:sz w:val="22"/>
          <w:szCs w:val="22"/>
        </w:rPr>
        <w:t xml:space="preserve"> 97-107.</w:t>
      </w:r>
    </w:p>
    <w:p w14:paraId="58A9D44C" w14:textId="77777777" w:rsidR="009C1918" w:rsidRPr="001A60E7" w:rsidRDefault="009C1918" w:rsidP="00D26737">
      <w:pPr>
        <w:pStyle w:val="ReferencesBody"/>
        <w:spacing w:before="120" w:line="480" w:lineRule="auto"/>
        <w:ind w:left="720" w:hanging="720"/>
        <w:jc w:val="left"/>
        <w:rPr>
          <w:rFonts w:asciiTheme="majorBidi" w:hAnsiTheme="majorBidi" w:cstheme="majorBidi"/>
          <w:szCs w:val="22"/>
        </w:rPr>
      </w:pPr>
      <w:r w:rsidRPr="001A60E7">
        <w:rPr>
          <w:rFonts w:asciiTheme="majorBidi" w:hAnsiTheme="majorBidi" w:cstheme="majorBidi"/>
          <w:szCs w:val="22"/>
        </w:rPr>
        <w:t>Pratt, D., Johnston-Wilder, P., Ainley, J.</w:t>
      </w:r>
      <w:r>
        <w:rPr>
          <w:rFonts w:asciiTheme="majorBidi" w:hAnsiTheme="majorBidi" w:cstheme="majorBidi"/>
          <w:szCs w:val="22"/>
        </w:rPr>
        <w:t>,</w:t>
      </w:r>
      <w:r w:rsidRPr="001A60E7">
        <w:rPr>
          <w:rFonts w:asciiTheme="majorBidi" w:hAnsiTheme="majorBidi" w:cstheme="majorBidi"/>
          <w:szCs w:val="22"/>
        </w:rPr>
        <w:t xml:space="preserve"> &amp; Mason, J. (2008). </w:t>
      </w:r>
      <w:r w:rsidRPr="001A60E7">
        <w:rPr>
          <w:rFonts w:asciiTheme="majorBidi" w:hAnsiTheme="majorBidi" w:cstheme="majorBidi"/>
          <w:iCs/>
          <w:szCs w:val="22"/>
        </w:rPr>
        <w:t>Local and global thinking in statistical inference</w:t>
      </w:r>
      <w:r>
        <w:rPr>
          <w:rFonts w:asciiTheme="majorBidi" w:hAnsiTheme="majorBidi" w:cstheme="majorBidi"/>
          <w:szCs w:val="22"/>
        </w:rPr>
        <w:t>.</w:t>
      </w:r>
      <w:r w:rsidRPr="001A60E7">
        <w:rPr>
          <w:rFonts w:asciiTheme="majorBidi" w:hAnsiTheme="majorBidi" w:cstheme="majorBidi"/>
          <w:i/>
          <w:iCs/>
          <w:szCs w:val="22"/>
        </w:rPr>
        <w:t xml:space="preserve"> Statistics Education Research Journal</w:t>
      </w:r>
      <w:r w:rsidRPr="001A60E7">
        <w:rPr>
          <w:rFonts w:asciiTheme="majorBidi" w:hAnsiTheme="majorBidi" w:cstheme="majorBidi"/>
          <w:iCs/>
          <w:szCs w:val="22"/>
        </w:rPr>
        <w:t xml:space="preserve">, </w:t>
      </w:r>
      <w:r w:rsidRPr="001A60E7">
        <w:rPr>
          <w:rFonts w:asciiTheme="majorBidi" w:hAnsiTheme="majorBidi" w:cstheme="majorBidi"/>
          <w:i/>
          <w:szCs w:val="22"/>
        </w:rPr>
        <w:t>7</w:t>
      </w:r>
      <w:r w:rsidRPr="001A60E7">
        <w:rPr>
          <w:rFonts w:asciiTheme="majorBidi" w:hAnsiTheme="majorBidi" w:cstheme="majorBidi"/>
          <w:iCs/>
          <w:szCs w:val="22"/>
        </w:rPr>
        <w:t>(2),</w:t>
      </w:r>
      <w:r w:rsidRPr="001A60E7">
        <w:rPr>
          <w:rFonts w:asciiTheme="majorBidi" w:hAnsiTheme="majorBidi" w:cstheme="majorBidi"/>
          <w:i/>
          <w:iCs/>
          <w:szCs w:val="22"/>
        </w:rPr>
        <w:t xml:space="preserve"> </w:t>
      </w:r>
      <w:r w:rsidRPr="001A60E7">
        <w:rPr>
          <w:rFonts w:asciiTheme="majorBidi" w:hAnsiTheme="majorBidi" w:cstheme="majorBidi"/>
          <w:szCs w:val="22"/>
        </w:rPr>
        <w:t>107-129.</w:t>
      </w:r>
    </w:p>
    <w:p w14:paraId="06425D2D" w14:textId="2E767F90" w:rsidR="009C1918" w:rsidRPr="001A60E7" w:rsidRDefault="009C1918" w:rsidP="009D1071">
      <w:pPr>
        <w:pStyle w:val="ReferencesBody"/>
        <w:spacing w:before="120" w:line="480" w:lineRule="auto"/>
        <w:ind w:left="720" w:hanging="720"/>
        <w:jc w:val="left"/>
        <w:rPr>
          <w:rFonts w:asciiTheme="majorBidi" w:hAnsiTheme="majorBidi" w:cstheme="majorBidi"/>
          <w:szCs w:val="22"/>
        </w:rPr>
      </w:pPr>
      <w:r w:rsidRPr="001A60E7">
        <w:rPr>
          <w:rFonts w:asciiTheme="majorBidi" w:hAnsiTheme="majorBidi" w:cstheme="majorBidi"/>
          <w:szCs w:val="22"/>
        </w:rPr>
        <w:t xml:space="preserve">Ridgway, J., </w:t>
      </w:r>
      <w:r>
        <w:rPr>
          <w:rFonts w:asciiTheme="majorBidi" w:hAnsiTheme="majorBidi" w:cstheme="majorBidi"/>
          <w:szCs w:val="22"/>
        </w:rPr>
        <w:t xml:space="preserve">&amp; </w:t>
      </w:r>
      <w:r w:rsidRPr="001A60E7">
        <w:rPr>
          <w:rFonts w:asciiTheme="majorBidi" w:hAnsiTheme="majorBidi" w:cstheme="majorBidi"/>
          <w:szCs w:val="22"/>
        </w:rPr>
        <w:t xml:space="preserve">Smith, A., </w:t>
      </w:r>
      <w:r>
        <w:rPr>
          <w:rFonts w:asciiTheme="majorBidi" w:hAnsiTheme="majorBidi" w:cstheme="majorBidi"/>
          <w:szCs w:val="22"/>
        </w:rPr>
        <w:t xml:space="preserve">(2013). </w:t>
      </w:r>
      <w:r w:rsidRPr="001A60E7">
        <w:rPr>
          <w:rFonts w:asciiTheme="majorBidi" w:hAnsiTheme="majorBidi" w:cstheme="majorBidi"/>
          <w:szCs w:val="22"/>
        </w:rPr>
        <w:t xml:space="preserve">Open data, official statistics and statistics education: Threats, and </w:t>
      </w:r>
      <w:r w:rsidR="009D1071">
        <w:rPr>
          <w:rFonts w:asciiTheme="majorBidi" w:hAnsiTheme="majorBidi" w:cstheme="majorBidi"/>
          <w:szCs w:val="22"/>
        </w:rPr>
        <w:t>o</w:t>
      </w:r>
      <w:r w:rsidR="009D1071" w:rsidRPr="001A60E7">
        <w:rPr>
          <w:rFonts w:asciiTheme="majorBidi" w:hAnsiTheme="majorBidi" w:cstheme="majorBidi"/>
          <w:szCs w:val="22"/>
        </w:rPr>
        <w:t>pportunities</w:t>
      </w:r>
      <w:r w:rsidRPr="001A60E7">
        <w:rPr>
          <w:rFonts w:asciiTheme="majorBidi" w:hAnsiTheme="majorBidi" w:cstheme="majorBidi"/>
          <w:szCs w:val="22"/>
        </w:rPr>
        <w:t xml:space="preserve">. Keynote talk: </w:t>
      </w:r>
      <w:r w:rsidRPr="00512DCF">
        <w:rPr>
          <w:rFonts w:asciiTheme="majorBidi" w:hAnsiTheme="majorBidi" w:cstheme="majorBidi"/>
          <w:i/>
          <w:iCs/>
          <w:szCs w:val="22"/>
        </w:rPr>
        <w:t xml:space="preserve">Proceedings of the </w:t>
      </w:r>
      <w:r w:rsidR="009D1071">
        <w:rPr>
          <w:rFonts w:asciiTheme="majorBidi" w:hAnsiTheme="majorBidi" w:cstheme="majorBidi"/>
          <w:i/>
          <w:iCs/>
          <w:szCs w:val="22"/>
        </w:rPr>
        <w:t>F</w:t>
      </w:r>
      <w:r w:rsidR="009D1071" w:rsidRPr="00512DCF">
        <w:rPr>
          <w:rFonts w:asciiTheme="majorBidi" w:hAnsiTheme="majorBidi" w:cstheme="majorBidi"/>
          <w:i/>
          <w:iCs/>
          <w:szCs w:val="22"/>
        </w:rPr>
        <w:t xml:space="preserve">irst </w:t>
      </w:r>
      <w:r w:rsidRPr="00512DCF">
        <w:rPr>
          <w:rFonts w:asciiTheme="majorBidi" w:hAnsiTheme="majorBidi" w:cstheme="majorBidi"/>
          <w:i/>
          <w:iCs/>
          <w:szCs w:val="22"/>
        </w:rPr>
        <w:t>Joint International Association for Statistics Education and the Association for Official Statistics, Statistics Education for Progress</w:t>
      </w:r>
      <w:r w:rsidRPr="001A60E7">
        <w:rPr>
          <w:rFonts w:asciiTheme="majorBidi" w:hAnsiTheme="majorBidi" w:cstheme="majorBidi"/>
          <w:szCs w:val="22"/>
        </w:rPr>
        <w:t xml:space="preserve">, Macau. </w:t>
      </w:r>
      <w:r w:rsidR="00512DCF">
        <w:rPr>
          <w:rFonts w:asciiTheme="majorBidi" w:hAnsiTheme="majorBidi" w:cstheme="majorBidi"/>
          <w:szCs w:val="22"/>
        </w:rPr>
        <w:t xml:space="preserve">Retrieved from </w:t>
      </w:r>
      <w:r w:rsidRPr="001A60E7">
        <w:rPr>
          <w:rFonts w:asciiTheme="majorBidi" w:hAnsiTheme="majorBidi" w:cstheme="majorBidi"/>
          <w:szCs w:val="22"/>
        </w:rPr>
        <w:t xml:space="preserve">https://www.dur.ac.uk/smart.centre/publications/ </w:t>
      </w:r>
    </w:p>
    <w:p w14:paraId="3AFD3A99" w14:textId="5327F7C1" w:rsidR="009C1918" w:rsidRPr="001A60E7" w:rsidRDefault="009C1918" w:rsidP="009D1071">
      <w:pPr>
        <w:pStyle w:val="ReferencesBody"/>
        <w:spacing w:before="120" w:line="480" w:lineRule="auto"/>
        <w:ind w:left="720" w:hanging="720"/>
        <w:jc w:val="left"/>
        <w:rPr>
          <w:rFonts w:asciiTheme="majorBidi" w:hAnsiTheme="majorBidi" w:cstheme="majorBidi"/>
          <w:szCs w:val="22"/>
        </w:rPr>
      </w:pPr>
      <w:proofErr w:type="gramStart"/>
      <w:r w:rsidRPr="001A60E7">
        <w:rPr>
          <w:rFonts w:asciiTheme="majorBidi" w:hAnsiTheme="majorBidi" w:cstheme="majorBidi"/>
          <w:szCs w:val="22"/>
        </w:rPr>
        <w:t>Undergraduate Guidelines Workgroup</w:t>
      </w:r>
      <w:r w:rsidR="00512DCF">
        <w:rPr>
          <w:rFonts w:asciiTheme="majorBidi" w:hAnsiTheme="majorBidi" w:cstheme="majorBidi"/>
          <w:szCs w:val="22"/>
        </w:rPr>
        <w:t xml:space="preserve"> (2014).</w:t>
      </w:r>
      <w:proofErr w:type="gramEnd"/>
      <w:r w:rsidRPr="001A60E7">
        <w:rPr>
          <w:rFonts w:asciiTheme="majorBidi" w:hAnsiTheme="majorBidi" w:cstheme="majorBidi"/>
          <w:szCs w:val="22"/>
        </w:rPr>
        <w:t xml:space="preserve"> </w:t>
      </w:r>
      <w:proofErr w:type="gramStart"/>
      <w:r w:rsidRPr="00512DCF">
        <w:rPr>
          <w:rFonts w:asciiTheme="majorBidi" w:hAnsiTheme="majorBidi" w:cstheme="majorBidi"/>
          <w:i/>
          <w:szCs w:val="22"/>
        </w:rPr>
        <w:t>American Statistical Association Draft Guidelines for Undergraduate Programs in Statistical Science</w:t>
      </w:r>
      <w:r w:rsidR="00512DCF">
        <w:rPr>
          <w:rFonts w:asciiTheme="majorBidi" w:hAnsiTheme="majorBidi" w:cstheme="majorBidi"/>
          <w:szCs w:val="22"/>
        </w:rPr>
        <w:t>.</w:t>
      </w:r>
      <w:proofErr w:type="gramEnd"/>
      <w:r w:rsidR="00512DCF">
        <w:rPr>
          <w:rFonts w:asciiTheme="majorBidi" w:hAnsiTheme="majorBidi" w:cstheme="majorBidi"/>
          <w:szCs w:val="22"/>
        </w:rPr>
        <w:t xml:space="preserve"> </w:t>
      </w:r>
      <w:r w:rsidRPr="001A60E7">
        <w:rPr>
          <w:rFonts w:asciiTheme="majorBidi" w:hAnsiTheme="majorBidi" w:cstheme="majorBidi"/>
          <w:szCs w:val="22"/>
        </w:rPr>
        <w:t>October 1, 2014.</w:t>
      </w:r>
    </w:p>
    <w:p w14:paraId="5B26A432" w14:textId="77777777" w:rsidR="00856B70" w:rsidRPr="00AC2DCC" w:rsidRDefault="00856B70" w:rsidP="00D26737">
      <w:pPr>
        <w:spacing w:before="120" w:line="480" w:lineRule="auto"/>
        <w:rPr>
          <w:rFonts w:asciiTheme="majorBidi" w:hAnsiTheme="majorBidi" w:cstheme="majorBidi"/>
          <w:sz w:val="22"/>
          <w:szCs w:val="22"/>
          <w:lang w:val="en-GB"/>
        </w:rPr>
      </w:pPr>
    </w:p>
    <w:sectPr w:rsidR="00856B70" w:rsidRPr="00AC2DCC" w:rsidSect="005F078D">
      <w:footerReference w:type="default" r:id="rId10"/>
      <w:pgSz w:w="11900" w:h="1684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444E4C" w15:done="0"/>
  <w15:commentEx w15:paraId="72A31526" w15:done="0"/>
  <w15:commentEx w15:paraId="683F0800" w15:done="0"/>
  <w15:commentEx w15:paraId="3CB0C0D0" w15:done="0"/>
  <w15:commentEx w15:paraId="48FBBA7A" w15:done="0"/>
  <w15:commentEx w15:paraId="7C2DC756" w15:done="0"/>
  <w15:commentEx w15:paraId="03453977" w15:done="0"/>
  <w15:commentEx w15:paraId="10B5CB58" w15:done="0"/>
  <w15:commentEx w15:paraId="1FBDE2B7" w15:done="0"/>
  <w15:commentEx w15:paraId="52AF45DE"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CD48D5" w14:textId="77777777" w:rsidR="00896020" w:rsidRDefault="00896020" w:rsidP="00401D06">
      <w:r>
        <w:separator/>
      </w:r>
    </w:p>
  </w:endnote>
  <w:endnote w:type="continuationSeparator" w:id="0">
    <w:p w14:paraId="21112ACE" w14:textId="77777777" w:rsidR="00896020" w:rsidRDefault="00896020" w:rsidP="00401D06">
      <w:r>
        <w:continuationSeparator/>
      </w:r>
    </w:p>
  </w:endnote>
  <w:endnote w:type="continuationNotice" w:id="1">
    <w:p w14:paraId="6F505677" w14:textId="77777777" w:rsidR="00896020" w:rsidRDefault="00896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62899"/>
      <w:docPartObj>
        <w:docPartGallery w:val="Page Numbers (Bottom of Page)"/>
        <w:docPartUnique/>
      </w:docPartObj>
    </w:sdtPr>
    <w:sdtEndPr/>
    <w:sdtContent>
      <w:p w14:paraId="3BF06981" w14:textId="4CD30FE9" w:rsidR="00896020" w:rsidRDefault="00896020">
        <w:pPr>
          <w:pStyle w:val="Footer"/>
        </w:pPr>
        <w:r>
          <w:fldChar w:fldCharType="begin"/>
        </w:r>
        <w:r>
          <w:instrText xml:space="preserve"> PAGE   \* MERGEFORMAT </w:instrText>
        </w:r>
        <w:r>
          <w:fldChar w:fldCharType="separate"/>
        </w:r>
        <w:r w:rsidR="00C737A0">
          <w:rPr>
            <w:noProof/>
          </w:rPr>
          <w:t>2</w:t>
        </w:r>
        <w:r>
          <w:rPr>
            <w:noProof/>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C46991" w14:textId="77777777" w:rsidR="00896020" w:rsidRDefault="00896020" w:rsidP="00401D06">
      <w:r>
        <w:separator/>
      </w:r>
    </w:p>
  </w:footnote>
  <w:footnote w:type="continuationSeparator" w:id="0">
    <w:p w14:paraId="3A1D226E" w14:textId="77777777" w:rsidR="00896020" w:rsidRDefault="00896020" w:rsidP="00401D06">
      <w:r>
        <w:continuationSeparator/>
      </w:r>
    </w:p>
  </w:footnote>
  <w:footnote w:type="continuationNotice" w:id="1">
    <w:p w14:paraId="4E1AF7C9" w14:textId="77777777" w:rsidR="00896020" w:rsidRDefault="00896020"/>
  </w:footnote>
  <w:footnote w:id="2">
    <w:p w14:paraId="61BD25B7" w14:textId="77777777" w:rsidR="00896020" w:rsidRPr="00AC2DCC" w:rsidRDefault="00896020" w:rsidP="00D01EC7">
      <w:pPr>
        <w:pStyle w:val="FootnoteText"/>
        <w:rPr>
          <w:rFonts w:asciiTheme="majorBidi" w:hAnsiTheme="majorBidi" w:cstheme="majorBidi"/>
          <w:sz w:val="20"/>
          <w:szCs w:val="20"/>
        </w:rPr>
      </w:pPr>
      <w:r w:rsidRPr="00AC2DCC">
        <w:rPr>
          <w:rStyle w:val="FootnoteReference"/>
          <w:rFonts w:asciiTheme="majorBidi" w:hAnsiTheme="majorBidi" w:cstheme="majorBidi"/>
          <w:sz w:val="20"/>
          <w:szCs w:val="20"/>
        </w:rPr>
        <w:footnoteRef/>
      </w:r>
      <w:r w:rsidRPr="00AC2DCC">
        <w:rPr>
          <w:rFonts w:asciiTheme="majorBidi" w:hAnsiTheme="majorBidi" w:cstheme="majorBidi"/>
          <w:sz w:val="20"/>
          <w:szCs w:val="20"/>
        </w:rPr>
        <w:t xml:space="preserve"> ‘Purpose’ is used here in a different sense to the one we explain above. At other time they also refer to the ‘utility’ of sampling, but it is unclear whether this usage of the word matches our own.</w:t>
      </w:r>
    </w:p>
  </w:footnote>
  <w:footnote w:id="3">
    <w:p w14:paraId="26E60D32" w14:textId="77777777" w:rsidR="00896020" w:rsidRPr="00762175" w:rsidRDefault="00896020" w:rsidP="00DA6FDD">
      <w:pPr>
        <w:pStyle w:val="FootnoteText"/>
        <w:rPr>
          <w:rFonts w:asciiTheme="majorBidi" w:hAnsiTheme="majorBidi" w:cstheme="majorBidi"/>
          <w:sz w:val="20"/>
          <w:szCs w:val="20"/>
        </w:rPr>
      </w:pPr>
      <w:r>
        <w:rPr>
          <w:rStyle w:val="FootnoteReference"/>
        </w:rPr>
        <w:footnoteRef/>
      </w:r>
      <w:r>
        <w:t xml:space="preserve"> </w:t>
      </w:r>
      <w:r w:rsidRPr="00762175">
        <w:rPr>
          <w:rFonts w:asciiTheme="majorBidi" w:hAnsiTheme="majorBidi" w:cstheme="majorBidi"/>
          <w:sz w:val="20"/>
          <w:szCs w:val="20"/>
        </w:rPr>
        <w:t>http://www.nytimes.com/newsgraphics/2013/12/30/year-in-in</w:t>
      </w:r>
      <w:r>
        <w:rPr>
          <w:rFonts w:asciiTheme="majorBidi" w:hAnsiTheme="majorBidi" w:cstheme="majorBidi"/>
          <w:sz w:val="20"/>
          <w:szCs w:val="20"/>
        </w:rPr>
        <w:t>teractive-storytelling/#dataviz</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5641F"/>
    <w:multiLevelType w:val="hybridMultilevel"/>
    <w:tmpl w:val="FB2A2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2B69E4"/>
    <w:multiLevelType w:val="hybridMultilevel"/>
    <w:tmpl w:val="579EC6AE"/>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
    <w:nsid w:val="5ED72ADD"/>
    <w:multiLevelType w:val="hybridMultilevel"/>
    <w:tmpl w:val="FB2A2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i Ben-Zvi">
    <w15:presenceInfo w15:providerId="None" w15:userId="Dani Ben-Zv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606"/>
    <w:rsid w:val="000202C7"/>
    <w:rsid w:val="00035B22"/>
    <w:rsid w:val="00045C43"/>
    <w:rsid w:val="0005300E"/>
    <w:rsid w:val="00053B5B"/>
    <w:rsid w:val="000553B9"/>
    <w:rsid w:val="000647D8"/>
    <w:rsid w:val="000A0081"/>
    <w:rsid w:val="000A164D"/>
    <w:rsid w:val="000B20DB"/>
    <w:rsid w:val="000E51A9"/>
    <w:rsid w:val="001239A0"/>
    <w:rsid w:val="00130E07"/>
    <w:rsid w:val="001341C9"/>
    <w:rsid w:val="00136E4E"/>
    <w:rsid w:val="001424EB"/>
    <w:rsid w:val="00164820"/>
    <w:rsid w:val="001679F3"/>
    <w:rsid w:val="001714E1"/>
    <w:rsid w:val="001756E7"/>
    <w:rsid w:val="00186B0B"/>
    <w:rsid w:val="00192AB6"/>
    <w:rsid w:val="001A0DD0"/>
    <w:rsid w:val="001A57A1"/>
    <w:rsid w:val="001B309D"/>
    <w:rsid w:val="001E5F64"/>
    <w:rsid w:val="001F0081"/>
    <w:rsid w:val="002125A6"/>
    <w:rsid w:val="00240A5C"/>
    <w:rsid w:val="002519D0"/>
    <w:rsid w:val="002651EA"/>
    <w:rsid w:val="002831C1"/>
    <w:rsid w:val="0028493B"/>
    <w:rsid w:val="002D42FA"/>
    <w:rsid w:val="002E1A22"/>
    <w:rsid w:val="002E1BBF"/>
    <w:rsid w:val="0033178B"/>
    <w:rsid w:val="00335165"/>
    <w:rsid w:val="00342B33"/>
    <w:rsid w:val="003573C2"/>
    <w:rsid w:val="00357525"/>
    <w:rsid w:val="003931A0"/>
    <w:rsid w:val="003A5328"/>
    <w:rsid w:val="003B093D"/>
    <w:rsid w:val="003F7DEA"/>
    <w:rsid w:val="00401D06"/>
    <w:rsid w:val="00407606"/>
    <w:rsid w:val="00435884"/>
    <w:rsid w:val="004D6D39"/>
    <w:rsid w:val="004D7DC0"/>
    <w:rsid w:val="004E67EB"/>
    <w:rsid w:val="00512DCF"/>
    <w:rsid w:val="0052659D"/>
    <w:rsid w:val="00530395"/>
    <w:rsid w:val="00540B61"/>
    <w:rsid w:val="005442F1"/>
    <w:rsid w:val="005A1F18"/>
    <w:rsid w:val="005B1DDF"/>
    <w:rsid w:val="005C4CF3"/>
    <w:rsid w:val="005D2053"/>
    <w:rsid w:val="005F078D"/>
    <w:rsid w:val="005F171B"/>
    <w:rsid w:val="00605BCC"/>
    <w:rsid w:val="00631B4A"/>
    <w:rsid w:val="006321E0"/>
    <w:rsid w:val="00646CC6"/>
    <w:rsid w:val="006715FF"/>
    <w:rsid w:val="00694AC0"/>
    <w:rsid w:val="006A2261"/>
    <w:rsid w:val="006B07F6"/>
    <w:rsid w:val="006B7284"/>
    <w:rsid w:val="006D1169"/>
    <w:rsid w:val="006F6BF4"/>
    <w:rsid w:val="006F7509"/>
    <w:rsid w:val="00701446"/>
    <w:rsid w:val="00724795"/>
    <w:rsid w:val="00747BE9"/>
    <w:rsid w:val="00753721"/>
    <w:rsid w:val="00754066"/>
    <w:rsid w:val="00762175"/>
    <w:rsid w:val="007627CA"/>
    <w:rsid w:val="007A2C8A"/>
    <w:rsid w:val="007B244B"/>
    <w:rsid w:val="007E36AB"/>
    <w:rsid w:val="007F3F8E"/>
    <w:rsid w:val="008035B5"/>
    <w:rsid w:val="00825D4B"/>
    <w:rsid w:val="00842C86"/>
    <w:rsid w:val="00853886"/>
    <w:rsid w:val="00856B70"/>
    <w:rsid w:val="00862A48"/>
    <w:rsid w:val="00896020"/>
    <w:rsid w:val="008A5D83"/>
    <w:rsid w:val="008B4164"/>
    <w:rsid w:val="008D1DB9"/>
    <w:rsid w:val="00916890"/>
    <w:rsid w:val="00925ADD"/>
    <w:rsid w:val="00937D7E"/>
    <w:rsid w:val="009546F5"/>
    <w:rsid w:val="00971B24"/>
    <w:rsid w:val="00992584"/>
    <w:rsid w:val="0099454A"/>
    <w:rsid w:val="00996B68"/>
    <w:rsid w:val="009A70E9"/>
    <w:rsid w:val="009C1918"/>
    <w:rsid w:val="009D1071"/>
    <w:rsid w:val="00A07800"/>
    <w:rsid w:val="00A24469"/>
    <w:rsid w:val="00A42D39"/>
    <w:rsid w:val="00A52793"/>
    <w:rsid w:val="00A80F58"/>
    <w:rsid w:val="00A912B0"/>
    <w:rsid w:val="00A92E9E"/>
    <w:rsid w:val="00AC2DCC"/>
    <w:rsid w:val="00AF6A54"/>
    <w:rsid w:val="00B3089A"/>
    <w:rsid w:val="00B40587"/>
    <w:rsid w:val="00B420E4"/>
    <w:rsid w:val="00B50E36"/>
    <w:rsid w:val="00B51212"/>
    <w:rsid w:val="00BB644E"/>
    <w:rsid w:val="00BC24BE"/>
    <w:rsid w:val="00BC7BB1"/>
    <w:rsid w:val="00C36123"/>
    <w:rsid w:val="00C53E8A"/>
    <w:rsid w:val="00C55073"/>
    <w:rsid w:val="00C60349"/>
    <w:rsid w:val="00C67AAA"/>
    <w:rsid w:val="00C67DB8"/>
    <w:rsid w:val="00C737A0"/>
    <w:rsid w:val="00C77D74"/>
    <w:rsid w:val="00C84B83"/>
    <w:rsid w:val="00C90C29"/>
    <w:rsid w:val="00C918E3"/>
    <w:rsid w:val="00CA7C0C"/>
    <w:rsid w:val="00CB6D94"/>
    <w:rsid w:val="00CB7580"/>
    <w:rsid w:val="00CD27B4"/>
    <w:rsid w:val="00CF77AE"/>
    <w:rsid w:val="00D01EC7"/>
    <w:rsid w:val="00D15815"/>
    <w:rsid w:val="00D26737"/>
    <w:rsid w:val="00D36A36"/>
    <w:rsid w:val="00D47324"/>
    <w:rsid w:val="00D81940"/>
    <w:rsid w:val="00DA5473"/>
    <w:rsid w:val="00DA6FDD"/>
    <w:rsid w:val="00DC6FE8"/>
    <w:rsid w:val="00E07492"/>
    <w:rsid w:val="00E336DD"/>
    <w:rsid w:val="00E44052"/>
    <w:rsid w:val="00E70A06"/>
    <w:rsid w:val="00E83342"/>
    <w:rsid w:val="00E83422"/>
    <w:rsid w:val="00E8562B"/>
    <w:rsid w:val="00E87E1F"/>
    <w:rsid w:val="00E97905"/>
    <w:rsid w:val="00EA2603"/>
    <w:rsid w:val="00EB437D"/>
    <w:rsid w:val="00EC313D"/>
    <w:rsid w:val="00EC3332"/>
    <w:rsid w:val="00EE548D"/>
    <w:rsid w:val="00EE5993"/>
    <w:rsid w:val="00F51850"/>
    <w:rsid w:val="00F91FD9"/>
    <w:rsid w:val="00F974A5"/>
    <w:rsid w:val="00FB7587"/>
    <w:rsid w:val="00FF5F27"/>
    <w:rsid w:val="00FF728E"/>
  </w:rsids>
  <m:mathPr>
    <m:mathFont m:val="Cambria Math"/>
    <m:brkBin m:val="before"/>
    <m:brkBinSub m:val="--"/>
    <m:smallFrac/>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7C6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336DD"/>
    <w:rPr>
      <w:sz w:val="18"/>
      <w:szCs w:val="18"/>
    </w:rPr>
  </w:style>
  <w:style w:type="paragraph" w:styleId="CommentText">
    <w:name w:val="annotation text"/>
    <w:basedOn w:val="Normal"/>
    <w:link w:val="CommentTextChar"/>
    <w:uiPriority w:val="99"/>
    <w:semiHidden/>
    <w:unhideWhenUsed/>
    <w:rsid w:val="00E336DD"/>
  </w:style>
  <w:style w:type="character" w:customStyle="1" w:styleId="CommentTextChar">
    <w:name w:val="Comment Text Char"/>
    <w:basedOn w:val="DefaultParagraphFont"/>
    <w:link w:val="CommentText"/>
    <w:uiPriority w:val="99"/>
    <w:semiHidden/>
    <w:rsid w:val="00E336DD"/>
  </w:style>
  <w:style w:type="paragraph" w:styleId="CommentSubject">
    <w:name w:val="annotation subject"/>
    <w:basedOn w:val="CommentText"/>
    <w:next w:val="CommentText"/>
    <w:link w:val="CommentSubjectChar"/>
    <w:uiPriority w:val="99"/>
    <w:semiHidden/>
    <w:unhideWhenUsed/>
    <w:rsid w:val="00E336DD"/>
    <w:rPr>
      <w:b/>
      <w:bCs/>
      <w:sz w:val="20"/>
      <w:szCs w:val="20"/>
    </w:rPr>
  </w:style>
  <w:style w:type="character" w:customStyle="1" w:styleId="CommentSubjectChar">
    <w:name w:val="Comment Subject Char"/>
    <w:basedOn w:val="CommentTextChar"/>
    <w:link w:val="CommentSubject"/>
    <w:uiPriority w:val="99"/>
    <w:semiHidden/>
    <w:rsid w:val="00E336DD"/>
    <w:rPr>
      <w:b/>
      <w:bCs/>
      <w:sz w:val="20"/>
      <w:szCs w:val="20"/>
    </w:rPr>
  </w:style>
  <w:style w:type="paragraph" w:styleId="BalloonText">
    <w:name w:val="Balloon Text"/>
    <w:basedOn w:val="Normal"/>
    <w:link w:val="BalloonTextChar"/>
    <w:uiPriority w:val="99"/>
    <w:semiHidden/>
    <w:unhideWhenUsed/>
    <w:rsid w:val="00E336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36DD"/>
    <w:rPr>
      <w:rFonts w:ascii="Lucida Grande" w:hAnsi="Lucida Grande" w:cs="Lucida Grande"/>
      <w:sz w:val="18"/>
      <w:szCs w:val="18"/>
    </w:rPr>
  </w:style>
  <w:style w:type="paragraph" w:customStyle="1" w:styleId="Body">
    <w:name w:val=".Body"/>
    <w:basedOn w:val="Normal"/>
    <w:rsid w:val="00856B70"/>
    <w:pPr>
      <w:ind w:firstLine="340"/>
      <w:jc w:val="both"/>
    </w:pPr>
    <w:rPr>
      <w:rFonts w:ascii="Times New Roman" w:eastAsia="Times" w:hAnsi="Times New Roman" w:cs="Times New Roman"/>
      <w:sz w:val="22"/>
      <w:szCs w:val="20"/>
      <w:lang w:val="en-GB" w:eastAsia="en-GB"/>
    </w:rPr>
  </w:style>
  <w:style w:type="character" w:styleId="Hyperlink">
    <w:name w:val="Hyperlink"/>
    <w:rsid w:val="00C84B83"/>
    <w:rPr>
      <w:color w:val="0000FF"/>
      <w:u w:val="single"/>
    </w:rPr>
  </w:style>
  <w:style w:type="paragraph" w:customStyle="1" w:styleId="ReferencesBody">
    <w:name w:val=".References Body"/>
    <w:basedOn w:val="Normal"/>
    <w:rsid w:val="00C84B83"/>
    <w:pPr>
      <w:ind w:left="340" w:hanging="340"/>
      <w:jc w:val="both"/>
    </w:pPr>
    <w:rPr>
      <w:rFonts w:ascii="Times New Roman" w:eastAsia="Times" w:hAnsi="Times New Roman" w:cs="Times New Roman"/>
      <w:sz w:val="22"/>
      <w:szCs w:val="20"/>
      <w:lang w:val="en-GB" w:eastAsia="en-GB"/>
    </w:rPr>
  </w:style>
  <w:style w:type="paragraph" w:styleId="FootnoteText">
    <w:name w:val="footnote text"/>
    <w:basedOn w:val="Normal"/>
    <w:link w:val="FootnoteTextChar"/>
    <w:uiPriority w:val="99"/>
    <w:unhideWhenUsed/>
    <w:rsid w:val="00401D06"/>
  </w:style>
  <w:style w:type="character" w:customStyle="1" w:styleId="FootnoteTextChar">
    <w:name w:val="Footnote Text Char"/>
    <w:basedOn w:val="DefaultParagraphFont"/>
    <w:link w:val="FootnoteText"/>
    <w:uiPriority w:val="99"/>
    <w:rsid w:val="00401D06"/>
  </w:style>
  <w:style w:type="character" w:styleId="FootnoteReference">
    <w:name w:val="footnote reference"/>
    <w:basedOn w:val="DefaultParagraphFont"/>
    <w:uiPriority w:val="99"/>
    <w:unhideWhenUsed/>
    <w:rsid w:val="00401D06"/>
    <w:rPr>
      <w:vertAlign w:val="superscript"/>
    </w:rPr>
  </w:style>
  <w:style w:type="paragraph" w:styleId="Header">
    <w:name w:val="header"/>
    <w:basedOn w:val="Normal"/>
    <w:link w:val="HeaderChar"/>
    <w:uiPriority w:val="99"/>
    <w:unhideWhenUsed/>
    <w:rsid w:val="002519D0"/>
    <w:pPr>
      <w:tabs>
        <w:tab w:val="center" w:pos="4153"/>
        <w:tab w:val="right" w:pos="8306"/>
      </w:tabs>
    </w:pPr>
  </w:style>
  <w:style w:type="character" w:customStyle="1" w:styleId="HeaderChar">
    <w:name w:val="Header Char"/>
    <w:basedOn w:val="DefaultParagraphFont"/>
    <w:link w:val="Header"/>
    <w:uiPriority w:val="99"/>
    <w:rsid w:val="002519D0"/>
  </w:style>
  <w:style w:type="paragraph" w:styleId="Footer">
    <w:name w:val="footer"/>
    <w:basedOn w:val="Normal"/>
    <w:link w:val="FooterChar"/>
    <w:uiPriority w:val="99"/>
    <w:unhideWhenUsed/>
    <w:rsid w:val="002519D0"/>
    <w:pPr>
      <w:tabs>
        <w:tab w:val="center" w:pos="4153"/>
        <w:tab w:val="right" w:pos="8306"/>
      </w:tabs>
    </w:pPr>
  </w:style>
  <w:style w:type="character" w:customStyle="1" w:styleId="FooterChar">
    <w:name w:val="Footer Char"/>
    <w:basedOn w:val="DefaultParagraphFont"/>
    <w:link w:val="Footer"/>
    <w:uiPriority w:val="99"/>
    <w:rsid w:val="002519D0"/>
  </w:style>
  <w:style w:type="paragraph" w:styleId="Revision">
    <w:name w:val="Revision"/>
    <w:hidden/>
    <w:uiPriority w:val="99"/>
    <w:semiHidden/>
    <w:rsid w:val="002519D0"/>
  </w:style>
  <w:style w:type="paragraph" w:styleId="ListParagraph">
    <w:name w:val="List Paragraph"/>
    <w:basedOn w:val="Normal"/>
    <w:uiPriority w:val="34"/>
    <w:qFormat/>
    <w:rsid w:val="0089602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336DD"/>
    <w:rPr>
      <w:sz w:val="18"/>
      <w:szCs w:val="18"/>
    </w:rPr>
  </w:style>
  <w:style w:type="paragraph" w:styleId="CommentText">
    <w:name w:val="annotation text"/>
    <w:basedOn w:val="Normal"/>
    <w:link w:val="CommentTextChar"/>
    <w:uiPriority w:val="99"/>
    <w:semiHidden/>
    <w:unhideWhenUsed/>
    <w:rsid w:val="00E336DD"/>
  </w:style>
  <w:style w:type="character" w:customStyle="1" w:styleId="CommentTextChar">
    <w:name w:val="Comment Text Char"/>
    <w:basedOn w:val="DefaultParagraphFont"/>
    <w:link w:val="CommentText"/>
    <w:uiPriority w:val="99"/>
    <w:semiHidden/>
    <w:rsid w:val="00E336DD"/>
  </w:style>
  <w:style w:type="paragraph" w:styleId="CommentSubject">
    <w:name w:val="annotation subject"/>
    <w:basedOn w:val="CommentText"/>
    <w:next w:val="CommentText"/>
    <w:link w:val="CommentSubjectChar"/>
    <w:uiPriority w:val="99"/>
    <w:semiHidden/>
    <w:unhideWhenUsed/>
    <w:rsid w:val="00E336DD"/>
    <w:rPr>
      <w:b/>
      <w:bCs/>
      <w:sz w:val="20"/>
      <w:szCs w:val="20"/>
    </w:rPr>
  </w:style>
  <w:style w:type="character" w:customStyle="1" w:styleId="CommentSubjectChar">
    <w:name w:val="Comment Subject Char"/>
    <w:basedOn w:val="CommentTextChar"/>
    <w:link w:val="CommentSubject"/>
    <w:uiPriority w:val="99"/>
    <w:semiHidden/>
    <w:rsid w:val="00E336DD"/>
    <w:rPr>
      <w:b/>
      <w:bCs/>
      <w:sz w:val="20"/>
      <w:szCs w:val="20"/>
    </w:rPr>
  </w:style>
  <w:style w:type="paragraph" w:styleId="BalloonText">
    <w:name w:val="Balloon Text"/>
    <w:basedOn w:val="Normal"/>
    <w:link w:val="BalloonTextChar"/>
    <w:uiPriority w:val="99"/>
    <w:semiHidden/>
    <w:unhideWhenUsed/>
    <w:rsid w:val="00E336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36DD"/>
    <w:rPr>
      <w:rFonts w:ascii="Lucida Grande" w:hAnsi="Lucida Grande" w:cs="Lucida Grande"/>
      <w:sz w:val="18"/>
      <w:szCs w:val="18"/>
    </w:rPr>
  </w:style>
  <w:style w:type="paragraph" w:customStyle="1" w:styleId="Body">
    <w:name w:val=".Body"/>
    <w:basedOn w:val="Normal"/>
    <w:rsid w:val="00856B70"/>
    <w:pPr>
      <w:ind w:firstLine="340"/>
      <w:jc w:val="both"/>
    </w:pPr>
    <w:rPr>
      <w:rFonts w:ascii="Times New Roman" w:eastAsia="Times" w:hAnsi="Times New Roman" w:cs="Times New Roman"/>
      <w:sz w:val="22"/>
      <w:szCs w:val="20"/>
      <w:lang w:val="en-GB" w:eastAsia="en-GB"/>
    </w:rPr>
  </w:style>
  <w:style w:type="character" w:styleId="Hyperlink">
    <w:name w:val="Hyperlink"/>
    <w:rsid w:val="00C84B83"/>
    <w:rPr>
      <w:color w:val="0000FF"/>
      <w:u w:val="single"/>
    </w:rPr>
  </w:style>
  <w:style w:type="paragraph" w:customStyle="1" w:styleId="ReferencesBody">
    <w:name w:val=".References Body"/>
    <w:basedOn w:val="Normal"/>
    <w:rsid w:val="00C84B83"/>
    <w:pPr>
      <w:ind w:left="340" w:hanging="340"/>
      <w:jc w:val="both"/>
    </w:pPr>
    <w:rPr>
      <w:rFonts w:ascii="Times New Roman" w:eastAsia="Times" w:hAnsi="Times New Roman" w:cs="Times New Roman"/>
      <w:sz w:val="22"/>
      <w:szCs w:val="20"/>
      <w:lang w:val="en-GB" w:eastAsia="en-GB"/>
    </w:rPr>
  </w:style>
  <w:style w:type="paragraph" w:styleId="FootnoteText">
    <w:name w:val="footnote text"/>
    <w:basedOn w:val="Normal"/>
    <w:link w:val="FootnoteTextChar"/>
    <w:uiPriority w:val="99"/>
    <w:unhideWhenUsed/>
    <w:rsid w:val="00401D06"/>
  </w:style>
  <w:style w:type="character" w:customStyle="1" w:styleId="FootnoteTextChar">
    <w:name w:val="Footnote Text Char"/>
    <w:basedOn w:val="DefaultParagraphFont"/>
    <w:link w:val="FootnoteText"/>
    <w:uiPriority w:val="99"/>
    <w:rsid w:val="00401D06"/>
  </w:style>
  <w:style w:type="character" w:styleId="FootnoteReference">
    <w:name w:val="footnote reference"/>
    <w:basedOn w:val="DefaultParagraphFont"/>
    <w:uiPriority w:val="99"/>
    <w:unhideWhenUsed/>
    <w:rsid w:val="00401D06"/>
    <w:rPr>
      <w:vertAlign w:val="superscript"/>
    </w:rPr>
  </w:style>
  <w:style w:type="paragraph" w:styleId="Header">
    <w:name w:val="header"/>
    <w:basedOn w:val="Normal"/>
    <w:link w:val="HeaderChar"/>
    <w:uiPriority w:val="99"/>
    <w:unhideWhenUsed/>
    <w:rsid w:val="002519D0"/>
    <w:pPr>
      <w:tabs>
        <w:tab w:val="center" w:pos="4153"/>
        <w:tab w:val="right" w:pos="8306"/>
      </w:tabs>
    </w:pPr>
  </w:style>
  <w:style w:type="character" w:customStyle="1" w:styleId="HeaderChar">
    <w:name w:val="Header Char"/>
    <w:basedOn w:val="DefaultParagraphFont"/>
    <w:link w:val="Header"/>
    <w:uiPriority w:val="99"/>
    <w:rsid w:val="002519D0"/>
  </w:style>
  <w:style w:type="paragraph" w:styleId="Footer">
    <w:name w:val="footer"/>
    <w:basedOn w:val="Normal"/>
    <w:link w:val="FooterChar"/>
    <w:uiPriority w:val="99"/>
    <w:unhideWhenUsed/>
    <w:rsid w:val="002519D0"/>
    <w:pPr>
      <w:tabs>
        <w:tab w:val="center" w:pos="4153"/>
        <w:tab w:val="right" w:pos="8306"/>
      </w:tabs>
    </w:pPr>
  </w:style>
  <w:style w:type="character" w:customStyle="1" w:styleId="FooterChar">
    <w:name w:val="Footer Char"/>
    <w:basedOn w:val="DefaultParagraphFont"/>
    <w:link w:val="Footer"/>
    <w:uiPriority w:val="99"/>
    <w:rsid w:val="002519D0"/>
  </w:style>
  <w:style w:type="paragraph" w:styleId="Revision">
    <w:name w:val="Revision"/>
    <w:hidden/>
    <w:uiPriority w:val="99"/>
    <w:semiHidden/>
    <w:rsid w:val="002519D0"/>
  </w:style>
  <w:style w:type="paragraph" w:styleId="ListParagraph">
    <w:name w:val="List Paragraph"/>
    <w:basedOn w:val="Normal"/>
    <w:uiPriority w:val="34"/>
    <w:qFormat/>
    <w:rsid w:val="008960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janet.ainley@le.ac.uk"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0B9F8-FBA7-534B-B990-7E7B5AC41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15</Pages>
  <Words>4287</Words>
  <Characters>24441</Characters>
  <Application>Microsoft Macintosh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Ainley</dc:creator>
  <cp:keywords/>
  <dc:description/>
  <cp:lastModifiedBy>Janet Ainley</cp:lastModifiedBy>
  <cp:revision>7</cp:revision>
  <cp:lastPrinted>2014-11-27T15:26:00Z</cp:lastPrinted>
  <dcterms:created xsi:type="dcterms:W3CDTF">2015-01-09T08:11:00Z</dcterms:created>
  <dcterms:modified xsi:type="dcterms:W3CDTF">2015-01-10T09:40:00Z</dcterms:modified>
</cp:coreProperties>
</file>