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02E9" w:rsidRPr="00C72F3F" w:rsidRDefault="00C72F3F" w:rsidP="00C72F3F">
      <w:pPr>
        <w:jc w:val="center"/>
        <w:rPr>
          <w:b/>
        </w:rPr>
      </w:pPr>
      <w:r w:rsidRPr="00C72F3F">
        <w:rPr>
          <w:b/>
        </w:rPr>
        <w:t>Captions of Illustrations</w:t>
      </w:r>
    </w:p>
    <w:p w:rsidR="00C23930" w:rsidRDefault="00C23930"/>
    <w:p w:rsidR="005526F9" w:rsidRPr="00C72F3F" w:rsidRDefault="005526F9" w:rsidP="005526F9">
      <w:r w:rsidRPr="00C72F3F">
        <w:t xml:space="preserve">Figure 1 – General location of the sites discussed in the text. </w:t>
      </w:r>
    </w:p>
    <w:p w:rsidR="005526F9" w:rsidRPr="00C72F3F" w:rsidRDefault="005526F9" w:rsidP="005526F9"/>
    <w:p w:rsidR="005526F9" w:rsidRPr="00C72F3F" w:rsidRDefault="005526F9" w:rsidP="005526F9">
      <w:r w:rsidRPr="00C72F3F">
        <w:t>Figure 2 - Geometric and quasi-geometric settings (from Chanter and Worth 1905; 1906).</w:t>
      </w:r>
    </w:p>
    <w:p w:rsidR="005526F9" w:rsidRPr="00C72F3F" w:rsidRDefault="005526F9" w:rsidP="005526F9"/>
    <w:p w:rsidR="005526F9" w:rsidRPr="00C72F3F" w:rsidRDefault="005526F9" w:rsidP="005526F9">
      <w:r w:rsidRPr="00C72F3F">
        <w:t>Figure 3  - Figure 3 – Minilithic settings on Exmoor (A – Porlock stone row; B- Porlock Circle (c) Barry Hitchcox; C – Lanacombe I)</w:t>
      </w:r>
      <w:r w:rsidR="00C72F3F" w:rsidRPr="00C72F3F">
        <w:t xml:space="preserve"> by author unless otherwise stated</w:t>
      </w:r>
      <w:r w:rsidRPr="00C72F3F">
        <w:t>.</w:t>
      </w:r>
    </w:p>
    <w:p w:rsidR="005526F9" w:rsidRPr="00C72F3F" w:rsidRDefault="005526F9" w:rsidP="005526F9"/>
    <w:p w:rsidR="005526F9" w:rsidRPr="00C72F3F" w:rsidRDefault="005526F9" w:rsidP="005526F9">
      <w:r w:rsidRPr="00C72F3F">
        <w:t>Figure 4 – the Copney circles (after Foley and MacDonagh 1998).</w:t>
      </w:r>
    </w:p>
    <w:p w:rsidR="005526F9" w:rsidRPr="00C72F3F" w:rsidRDefault="005526F9" w:rsidP="005526F9"/>
    <w:p w:rsidR="005526F9" w:rsidRPr="00C72F3F" w:rsidRDefault="005526F9" w:rsidP="005526F9">
      <w:r w:rsidRPr="00C72F3F">
        <w:t>Figure 5 – the Beaghmore monuments (after May and Mitchell 1953; Burl 1976).</w:t>
      </w:r>
    </w:p>
    <w:p w:rsidR="005526F9" w:rsidRPr="00C72F3F" w:rsidRDefault="005526F9" w:rsidP="005526F9"/>
    <w:p w:rsidR="005526F9" w:rsidRPr="00C72F3F" w:rsidRDefault="005526F9" w:rsidP="005526F9">
      <w:r w:rsidRPr="00C72F3F">
        <w:t>Figure 6 – Stackpole Warren (A – plan of stone settings</w:t>
      </w:r>
      <w:r w:rsidR="009F36FB">
        <w:t xml:space="preserve"> (after Benson et al. 1990)</w:t>
      </w:r>
      <w:r w:rsidRPr="00C72F3F">
        <w:t>; B – the stones of the setting; C – the line of rounded boulders (from Benson et al. 1990)).</w:t>
      </w:r>
    </w:p>
    <w:p w:rsidR="005526F9" w:rsidRPr="00C72F3F" w:rsidRDefault="005526F9" w:rsidP="005526F9"/>
    <w:p w:rsidR="005526F9" w:rsidRPr="00C72F3F" w:rsidRDefault="005526F9" w:rsidP="005526F9">
      <w:r w:rsidRPr="00C72F3F">
        <w:t>Figure 7 – Plan of Battle Moss stone rows and 2003 excavation (after Dryden, H. and Shearer, R.T. 1871 Battle Moss, Loch of Yarrows, plan of stones with measurements and annotations (Canmore item SC604350) &amp; Baines et al. 2003</w:t>
      </w:r>
      <w:r w:rsidR="00C72F3F" w:rsidRPr="00C72F3F">
        <w:t>, f</w:t>
      </w:r>
      <w:r w:rsidRPr="00C72F3F">
        <w:t>igure 46).</w:t>
      </w:r>
    </w:p>
    <w:p w:rsidR="005526F9" w:rsidRPr="00C72F3F" w:rsidRDefault="005526F9" w:rsidP="005526F9"/>
    <w:p w:rsidR="005526F9" w:rsidRPr="00C72F3F" w:rsidRDefault="005526F9" w:rsidP="005526F9">
      <w:r w:rsidRPr="00C72F3F">
        <w:t>Figure 8 – The ‘boat-shaped’ spreads (A – Miskin; B - Mynnd Llangyndeyrn 17; C - Lanacombe II (after Williams 1988; Gillings 2013).</w:t>
      </w:r>
    </w:p>
    <w:p w:rsidR="005526F9" w:rsidRPr="00C72F3F" w:rsidRDefault="005526F9" w:rsidP="005526F9"/>
    <w:p w:rsidR="005526F9" w:rsidRPr="00C72F3F" w:rsidRDefault="005526F9" w:rsidP="005526F9">
      <w:r w:rsidRPr="00C72F3F">
        <w:t xml:space="preserve">Figure 9 – </w:t>
      </w:r>
      <w:proofErr w:type="spellStart"/>
      <w:r w:rsidRPr="00C72F3F">
        <w:t>Rhos</w:t>
      </w:r>
      <w:proofErr w:type="spellEnd"/>
      <w:r w:rsidRPr="00C72F3F">
        <w:t>-y-</w:t>
      </w:r>
      <w:proofErr w:type="spellStart"/>
      <w:r w:rsidRPr="00C72F3F">
        <w:t>Clegyrn</w:t>
      </w:r>
      <w:proofErr w:type="spellEnd"/>
      <w:r w:rsidR="009F36FB">
        <w:t xml:space="preserve"> Period II</w:t>
      </w:r>
      <w:r w:rsidRPr="00C72F3F">
        <w:t xml:space="preserve"> (after Lewis 1966</w:t>
      </w:r>
      <w:r w:rsidR="009F36FB">
        <w:t>, figure 2; 1975, figure 3</w:t>
      </w:r>
      <w:r w:rsidRPr="00C72F3F">
        <w:t>).</w:t>
      </w:r>
    </w:p>
    <w:p w:rsidR="005526F9" w:rsidRPr="00C72F3F" w:rsidRDefault="005526F9" w:rsidP="005526F9">
      <w:bookmarkStart w:id="0" w:name="_GoBack"/>
      <w:bookmarkEnd w:id="0"/>
    </w:p>
    <w:p w:rsidR="004C1B4D" w:rsidRPr="00C72F3F" w:rsidRDefault="004C1B4D" w:rsidP="005526F9">
      <w:r w:rsidRPr="00C72F3F">
        <w:t>Figure 10 – Location plan of the Lanacombe Settings.</w:t>
      </w:r>
    </w:p>
    <w:p w:rsidR="004C1B4D" w:rsidRPr="00C72F3F" w:rsidRDefault="004C1B4D" w:rsidP="005526F9"/>
    <w:p w:rsidR="004C1B4D" w:rsidRPr="00C72F3F" w:rsidRDefault="004C1B4D" w:rsidP="005526F9">
      <w:r w:rsidRPr="00C72F3F">
        <w:t xml:space="preserve">Figure 11 – Plans of the settings discussed in the text (after Quinnell and Dunn 1992). </w:t>
      </w:r>
    </w:p>
    <w:p w:rsidR="004C1B4D" w:rsidRPr="00C72F3F" w:rsidRDefault="004C1B4D" w:rsidP="005526F9"/>
    <w:p w:rsidR="005526F9" w:rsidRPr="00C72F3F" w:rsidRDefault="005526F9" w:rsidP="005526F9">
      <w:r w:rsidRPr="00C72F3F">
        <w:t>Figure 1</w:t>
      </w:r>
      <w:r w:rsidR="004C1B4D" w:rsidRPr="00C72F3F">
        <w:t>2</w:t>
      </w:r>
      <w:r w:rsidRPr="00C72F3F">
        <w:t xml:space="preserve"> –</w:t>
      </w:r>
      <w:r w:rsidR="00C72F3F" w:rsidRPr="00C72F3F">
        <w:t>S</w:t>
      </w:r>
      <w:r w:rsidRPr="00C72F3F">
        <w:t xml:space="preserve">chematic profile </w:t>
      </w:r>
      <w:r w:rsidR="00C72F3F" w:rsidRPr="00C72F3F">
        <w:t xml:space="preserve">of Lanacombe I </w:t>
      </w:r>
      <w:r w:rsidRPr="00C72F3F">
        <w:t>showing relative heights of uprights.</w:t>
      </w:r>
    </w:p>
    <w:p w:rsidR="005526F9" w:rsidRPr="00C72F3F" w:rsidRDefault="005526F9" w:rsidP="005526F9"/>
    <w:p w:rsidR="005526F9" w:rsidRPr="00C72F3F" w:rsidRDefault="005526F9" w:rsidP="005526F9">
      <w:r w:rsidRPr="00C72F3F">
        <w:t>Figure 1</w:t>
      </w:r>
      <w:r w:rsidR="004C1B4D" w:rsidRPr="00C72F3F">
        <w:t>3</w:t>
      </w:r>
      <w:r w:rsidRPr="00C72F3F">
        <w:t xml:space="preserve"> – Furzehill Common (A) and Lanacombe IV (B)</w:t>
      </w:r>
      <w:r w:rsidR="00C72F3F" w:rsidRPr="00C72F3F">
        <w:t xml:space="preserve"> photographs by author. </w:t>
      </w:r>
    </w:p>
    <w:p w:rsidR="005526F9" w:rsidRPr="00C72F3F" w:rsidRDefault="005526F9" w:rsidP="005526F9"/>
    <w:p w:rsidR="005526F9" w:rsidRPr="00C72F3F" w:rsidRDefault="005526F9" w:rsidP="005526F9">
      <w:r w:rsidRPr="00C72F3F">
        <w:t>Figure 1</w:t>
      </w:r>
      <w:r w:rsidR="004C1B4D" w:rsidRPr="00C72F3F">
        <w:t>4</w:t>
      </w:r>
      <w:r w:rsidRPr="00C72F3F">
        <w:t xml:space="preserve"> – Plan of Porlock Circle.</w:t>
      </w:r>
    </w:p>
    <w:p w:rsidR="005526F9" w:rsidRPr="00C72F3F" w:rsidRDefault="005526F9" w:rsidP="005526F9"/>
    <w:p w:rsidR="005526F9" w:rsidRPr="00C72F3F" w:rsidRDefault="005526F9" w:rsidP="005526F9">
      <w:r w:rsidRPr="00C72F3F">
        <w:t>Figure 1</w:t>
      </w:r>
      <w:r w:rsidR="004C1B4D" w:rsidRPr="00C72F3F">
        <w:t>5</w:t>
      </w:r>
      <w:r w:rsidRPr="00C72F3F">
        <w:t xml:space="preserve"> – Miniliths (shaded), ‘triggers’ and packing stones encountered at Porlock Circle.   </w:t>
      </w:r>
    </w:p>
    <w:p w:rsidR="003F3676" w:rsidRPr="00C72F3F" w:rsidRDefault="003F367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3F3676" w:rsidTr="003F3676">
        <w:tc>
          <w:tcPr>
            <w:tcW w:w="9242" w:type="dxa"/>
          </w:tcPr>
          <w:p w:rsidR="003F3676" w:rsidRDefault="003F3676">
            <w:r>
              <w:rPr>
                <w:noProof/>
                <w:lang w:eastAsia="en-GB"/>
              </w:rPr>
              <w:lastRenderedPageBreak/>
              <w:drawing>
                <wp:inline distT="0" distB="0" distL="0" distR="0" wp14:anchorId="3750E4E2" wp14:editId="35697144">
                  <wp:extent cx="5731510" cy="80994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8099425"/>
                          </a:xfrm>
                          <a:prstGeom prst="rect">
                            <a:avLst/>
                          </a:prstGeom>
                        </pic:spPr>
                      </pic:pic>
                    </a:graphicData>
                  </a:graphic>
                </wp:inline>
              </w:drawing>
            </w:r>
          </w:p>
        </w:tc>
      </w:tr>
      <w:tr w:rsidR="003F3676" w:rsidTr="003F3676">
        <w:tc>
          <w:tcPr>
            <w:tcW w:w="9242" w:type="dxa"/>
          </w:tcPr>
          <w:p w:rsidR="003F3676" w:rsidRDefault="003F3676" w:rsidP="003F3676"/>
          <w:p w:rsidR="003F3676" w:rsidRPr="003F3676" w:rsidRDefault="003F3676" w:rsidP="003F3676">
            <w:pPr>
              <w:jc w:val="center"/>
              <w:rPr>
                <w:i/>
              </w:rPr>
            </w:pPr>
            <w:r w:rsidRPr="003F3676">
              <w:rPr>
                <w:i/>
              </w:rPr>
              <w:t>Figure 1 – General location of the sites discussed in the text</w:t>
            </w:r>
            <w:r w:rsidR="006D7D9C">
              <w:rPr>
                <w:i/>
              </w:rPr>
              <w:t>.</w:t>
            </w:r>
          </w:p>
          <w:p w:rsidR="003F3676" w:rsidRDefault="003F3676"/>
        </w:tc>
      </w:tr>
    </w:tbl>
    <w:p w:rsidR="003F3676" w:rsidRDefault="003F367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3F3676" w:rsidTr="00F24C79">
        <w:tc>
          <w:tcPr>
            <w:tcW w:w="9242" w:type="dxa"/>
          </w:tcPr>
          <w:p w:rsidR="003F3676" w:rsidRDefault="008439C8">
            <w:r>
              <w:rPr>
                <w:noProof/>
                <w:lang w:eastAsia="en-GB"/>
              </w:rPr>
              <w:lastRenderedPageBreak/>
              <w:drawing>
                <wp:inline distT="0" distB="0" distL="0" distR="0">
                  <wp:extent cx="5731510" cy="305371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2.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3053715"/>
                          </a:xfrm>
                          <a:prstGeom prst="rect">
                            <a:avLst/>
                          </a:prstGeom>
                        </pic:spPr>
                      </pic:pic>
                    </a:graphicData>
                  </a:graphic>
                </wp:inline>
              </w:drawing>
            </w:r>
          </w:p>
        </w:tc>
      </w:tr>
      <w:tr w:rsidR="003F3676" w:rsidTr="00F24C79">
        <w:tc>
          <w:tcPr>
            <w:tcW w:w="9242" w:type="dxa"/>
          </w:tcPr>
          <w:p w:rsidR="003F3676" w:rsidRDefault="003F3676"/>
          <w:p w:rsidR="003F3676" w:rsidRPr="003F3676" w:rsidRDefault="003F3676" w:rsidP="003F3676">
            <w:pPr>
              <w:jc w:val="center"/>
              <w:rPr>
                <w:i/>
              </w:rPr>
            </w:pPr>
            <w:r w:rsidRPr="003F3676">
              <w:rPr>
                <w:i/>
              </w:rPr>
              <w:t>Figure 2 - Geometric and quasi-geometric settings (from Chanter and Worth 1905; 1906).</w:t>
            </w:r>
          </w:p>
        </w:tc>
      </w:tr>
    </w:tbl>
    <w:p w:rsidR="003F3676" w:rsidRDefault="003F3676"/>
    <w:p w:rsidR="003F3676" w:rsidRDefault="003F367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3F3676" w:rsidTr="00F24C79">
        <w:tc>
          <w:tcPr>
            <w:tcW w:w="9242" w:type="dxa"/>
          </w:tcPr>
          <w:p w:rsidR="003F3676" w:rsidRDefault="003F3676">
            <w:r>
              <w:rPr>
                <w:noProof/>
                <w:lang w:eastAsia="en-GB"/>
              </w:rPr>
              <w:drawing>
                <wp:inline distT="0" distB="0" distL="0" distR="0" wp14:anchorId="1D8F6062" wp14:editId="20713E6F">
                  <wp:extent cx="5731510" cy="41357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3.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4135755"/>
                          </a:xfrm>
                          <a:prstGeom prst="rect">
                            <a:avLst/>
                          </a:prstGeom>
                        </pic:spPr>
                      </pic:pic>
                    </a:graphicData>
                  </a:graphic>
                </wp:inline>
              </w:drawing>
            </w:r>
          </w:p>
        </w:tc>
      </w:tr>
      <w:tr w:rsidR="003F3676" w:rsidRPr="003F3676" w:rsidTr="00F24C79">
        <w:tc>
          <w:tcPr>
            <w:tcW w:w="9242" w:type="dxa"/>
          </w:tcPr>
          <w:p w:rsidR="003F3676" w:rsidRPr="003F3676" w:rsidRDefault="003F3676" w:rsidP="003F3676">
            <w:pPr>
              <w:jc w:val="center"/>
              <w:rPr>
                <w:i/>
              </w:rPr>
            </w:pPr>
          </w:p>
          <w:p w:rsidR="003F3676" w:rsidRPr="003F3676" w:rsidRDefault="003F3676" w:rsidP="005526F9">
            <w:pPr>
              <w:jc w:val="center"/>
              <w:rPr>
                <w:i/>
              </w:rPr>
            </w:pPr>
            <w:r w:rsidRPr="003F3676">
              <w:rPr>
                <w:i/>
              </w:rPr>
              <w:t xml:space="preserve">Figure 3 – </w:t>
            </w:r>
            <w:r w:rsidR="008439C8">
              <w:rPr>
                <w:i/>
              </w:rPr>
              <w:t>Exmoor miniliths</w:t>
            </w:r>
            <w:r w:rsidRPr="003F3676">
              <w:rPr>
                <w:i/>
              </w:rPr>
              <w:t xml:space="preserve"> (A – Porlock stone row; B- Porlock Circle (c) Barry Hitchcox; C – Lanacombe I).</w:t>
            </w:r>
          </w:p>
        </w:tc>
      </w:tr>
    </w:tbl>
    <w:p w:rsidR="003F3676" w:rsidRDefault="003F367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F24C79">
            <w:r>
              <w:rPr>
                <w:noProof/>
                <w:lang w:eastAsia="en-GB"/>
              </w:rPr>
              <w:lastRenderedPageBreak/>
              <w:drawing>
                <wp:inline distT="0" distB="0" distL="0" distR="0" wp14:anchorId="101C20AE" wp14:editId="221E63B1">
                  <wp:extent cx="5731510" cy="615442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6154420"/>
                          </a:xfrm>
                          <a:prstGeom prst="rect">
                            <a:avLst/>
                          </a:prstGeom>
                        </pic:spPr>
                      </pic:pic>
                    </a:graphicData>
                  </a:graphic>
                </wp:inline>
              </w:drawing>
            </w:r>
          </w:p>
        </w:tc>
      </w:tr>
      <w:tr w:rsidR="00F24C79" w:rsidTr="00F24C79">
        <w:tc>
          <w:tcPr>
            <w:tcW w:w="9242" w:type="dxa"/>
          </w:tcPr>
          <w:p w:rsidR="00F24C79" w:rsidRDefault="00F24C79"/>
          <w:p w:rsidR="00F24C79" w:rsidRDefault="00F24C79" w:rsidP="00F24C79">
            <w:pPr>
              <w:jc w:val="center"/>
              <w:rPr>
                <w:i/>
              </w:rPr>
            </w:pPr>
          </w:p>
          <w:p w:rsidR="00F24C79" w:rsidRPr="00F24C79" w:rsidRDefault="00F24C79" w:rsidP="00F24C79">
            <w:pPr>
              <w:jc w:val="center"/>
              <w:rPr>
                <w:i/>
              </w:rPr>
            </w:pPr>
            <w:r w:rsidRPr="00F24C79">
              <w:rPr>
                <w:i/>
              </w:rPr>
              <w:t>Figure 4 – the Copney circles (after Foley and MacDonagh 1998).</w:t>
            </w:r>
          </w:p>
        </w:tc>
      </w:tr>
    </w:tbl>
    <w:p w:rsidR="00F24C79" w:rsidRDefault="00F24C79"/>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8439C8">
            <w:r>
              <w:rPr>
                <w:noProof/>
                <w:lang w:eastAsia="en-GB"/>
              </w:rPr>
              <w:lastRenderedPageBreak/>
              <w:drawing>
                <wp:inline distT="0" distB="0" distL="0" distR="0">
                  <wp:extent cx="5731510" cy="716534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7165340"/>
                          </a:xfrm>
                          <a:prstGeom prst="rect">
                            <a:avLst/>
                          </a:prstGeom>
                        </pic:spPr>
                      </pic:pic>
                    </a:graphicData>
                  </a:graphic>
                </wp:inline>
              </w:drawing>
            </w:r>
          </w:p>
        </w:tc>
      </w:tr>
      <w:tr w:rsidR="00F24C79" w:rsidTr="00F24C79">
        <w:tc>
          <w:tcPr>
            <w:tcW w:w="9242" w:type="dxa"/>
          </w:tcPr>
          <w:p w:rsidR="00F24C79" w:rsidRDefault="00F24C79" w:rsidP="00F24C79">
            <w:pPr>
              <w:jc w:val="center"/>
              <w:rPr>
                <w:i/>
              </w:rPr>
            </w:pPr>
          </w:p>
          <w:p w:rsidR="00F24C79" w:rsidRDefault="00F24C79" w:rsidP="00F24C79">
            <w:pPr>
              <w:jc w:val="center"/>
              <w:rPr>
                <w:i/>
              </w:rPr>
            </w:pPr>
          </w:p>
          <w:p w:rsidR="00F24C79" w:rsidRDefault="00F24C79" w:rsidP="00F24C79">
            <w:pPr>
              <w:jc w:val="center"/>
              <w:rPr>
                <w:i/>
              </w:rPr>
            </w:pPr>
            <w:r w:rsidRPr="00F24C79">
              <w:rPr>
                <w:i/>
              </w:rPr>
              <w:t>Figure 5 – the Beaghmore monuments (after May and Mitchell 1953; Burl 1976).</w:t>
            </w:r>
          </w:p>
          <w:p w:rsidR="00F24C79" w:rsidRPr="00F24C79" w:rsidRDefault="00F24C79" w:rsidP="00F24C79">
            <w:pPr>
              <w:jc w:val="center"/>
              <w:rPr>
                <w:i/>
              </w:rPr>
            </w:pPr>
          </w:p>
        </w:tc>
      </w:tr>
      <w:tr w:rsidR="00F24C79" w:rsidTr="00F24C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42" w:type="dxa"/>
            <w:tcBorders>
              <w:top w:val="nil"/>
              <w:left w:val="nil"/>
              <w:bottom w:val="nil"/>
              <w:right w:val="nil"/>
            </w:tcBorders>
          </w:tcPr>
          <w:p w:rsidR="00F24C79" w:rsidRDefault="00EA0DBB">
            <w:r>
              <w:rPr>
                <w:noProof/>
                <w:lang w:eastAsia="en-GB"/>
              </w:rPr>
              <w:lastRenderedPageBreak/>
              <w:drawing>
                <wp:inline distT="0" distB="0" distL="0" distR="0">
                  <wp:extent cx="5731510" cy="743331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6.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7433310"/>
                          </a:xfrm>
                          <a:prstGeom prst="rect">
                            <a:avLst/>
                          </a:prstGeom>
                        </pic:spPr>
                      </pic:pic>
                    </a:graphicData>
                  </a:graphic>
                </wp:inline>
              </w:drawing>
            </w:r>
          </w:p>
        </w:tc>
      </w:tr>
      <w:tr w:rsidR="00F24C79" w:rsidTr="00F24C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42" w:type="dxa"/>
            <w:tcBorders>
              <w:top w:val="nil"/>
              <w:left w:val="nil"/>
              <w:bottom w:val="nil"/>
              <w:right w:val="nil"/>
            </w:tcBorders>
          </w:tcPr>
          <w:p w:rsidR="00F24C79" w:rsidRDefault="00F24C79"/>
          <w:p w:rsidR="00F24C79" w:rsidRDefault="00F24C79"/>
          <w:p w:rsidR="00F24C79" w:rsidRPr="00F24C79" w:rsidRDefault="00F24C79" w:rsidP="00F24C79">
            <w:pPr>
              <w:jc w:val="center"/>
              <w:rPr>
                <w:i/>
              </w:rPr>
            </w:pPr>
            <w:r w:rsidRPr="00F24C79">
              <w:rPr>
                <w:i/>
              </w:rPr>
              <w:t>Figure 6 – Stackpole Warren (A – plan of stone settings; B – the stones of the setting; C – the line of rounded boulders (from Benson et al. 1990)).</w:t>
            </w:r>
          </w:p>
        </w:tc>
      </w:tr>
    </w:tbl>
    <w:p w:rsidR="00F24C79" w:rsidRDefault="00F24C79"/>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F24C79" w:rsidP="00F24C79">
            <w:pPr>
              <w:jc w:val="center"/>
            </w:pPr>
            <w:r>
              <w:rPr>
                <w:noProof/>
                <w:lang w:eastAsia="en-GB"/>
              </w:rPr>
              <w:lastRenderedPageBreak/>
              <w:drawing>
                <wp:inline distT="0" distB="0" distL="0" distR="0" wp14:anchorId="3EC3A32E" wp14:editId="7257E596">
                  <wp:extent cx="5232790" cy="7915275"/>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7.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33940" cy="7917015"/>
                          </a:xfrm>
                          <a:prstGeom prst="rect">
                            <a:avLst/>
                          </a:prstGeom>
                        </pic:spPr>
                      </pic:pic>
                    </a:graphicData>
                  </a:graphic>
                </wp:inline>
              </w:drawing>
            </w:r>
          </w:p>
        </w:tc>
      </w:tr>
      <w:tr w:rsidR="00F24C79" w:rsidTr="00F24C79">
        <w:tc>
          <w:tcPr>
            <w:tcW w:w="9242" w:type="dxa"/>
          </w:tcPr>
          <w:p w:rsidR="00F24C79" w:rsidRDefault="00F24C79"/>
          <w:p w:rsidR="00F24C79" w:rsidRPr="00F24C79" w:rsidRDefault="00F24C79" w:rsidP="00F24C79">
            <w:pPr>
              <w:jc w:val="center"/>
              <w:rPr>
                <w:i/>
              </w:rPr>
            </w:pPr>
            <w:r w:rsidRPr="00F24C79">
              <w:rPr>
                <w:i/>
              </w:rPr>
              <w:t>Figure 7 – Plan of Battle Moss stone rows and 2003 excavation (after Dryden, H. and Shearer, R.T. 1871 Battle Moss, Loch of Yarrows, plan of stones with measurements and annotations (Canmore item SC604350) &amp; Baines et al. 2003 Figure 46).</w:t>
            </w:r>
          </w:p>
        </w:tc>
      </w:tr>
    </w:tbl>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F24C79">
            <w:r>
              <w:rPr>
                <w:noProof/>
                <w:lang w:eastAsia="en-GB"/>
              </w:rPr>
              <w:lastRenderedPageBreak/>
              <w:drawing>
                <wp:inline distT="0" distB="0" distL="0" distR="0" wp14:anchorId="470F870C" wp14:editId="39BCC3B5">
                  <wp:extent cx="5731510" cy="3649980"/>
                  <wp:effectExtent l="0" t="0" r="254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8.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649980"/>
                          </a:xfrm>
                          <a:prstGeom prst="rect">
                            <a:avLst/>
                          </a:prstGeom>
                        </pic:spPr>
                      </pic:pic>
                    </a:graphicData>
                  </a:graphic>
                </wp:inline>
              </w:drawing>
            </w:r>
          </w:p>
        </w:tc>
      </w:tr>
      <w:tr w:rsidR="00F24C79" w:rsidTr="00F24C79">
        <w:tc>
          <w:tcPr>
            <w:tcW w:w="9242" w:type="dxa"/>
          </w:tcPr>
          <w:p w:rsidR="00F24C79" w:rsidRDefault="00F24C79"/>
          <w:p w:rsidR="00F24C79" w:rsidRPr="00F24C79" w:rsidRDefault="00F24C79" w:rsidP="00F24C79">
            <w:pPr>
              <w:jc w:val="center"/>
              <w:rPr>
                <w:i/>
              </w:rPr>
            </w:pPr>
            <w:r w:rsidRPr="00F24C79">
              <w:rPr>
                <w:i/>
              </w:rPr>
              <w:t>Figure 8 – The ‘boat-shaped’ spreads (A – Miskin; B - Mynnd Llangyndeyrn 17; C - Lanacombe II (after Williams 1988; Gillings 2013).</w:t>
            </w:r>
          </w:p>
        </w:tc>
      </w:tr>
    </w:tbl>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F24C79">
            <w:r>
              <w:rPr>
                <w:noProof/>
                <w:lang w:eastAsia="en-GB"/>
              </w:rPr>
              <w:lastRenderedPageBreak/>
              <w:drawing>
                <wp:inline distT="0" distB="0" distL="0" distR="0" wp14:anchorId="43187346" wp14:editId="1C0B2CBB">
                  <wp:extent cx="5353050" cy="7675512"/>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9.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51809" cy="7673733"/>
                          </a:xfrm>
                          <a:prstGeom prst="rect">
                            <a:avLst/>
                          </a:prstGeom>
                        </pic:spPr>
                      </pic:pic>
                    </a:graphicData>
                  </a:graphic>
                </wp:inline>
              </w:drawing>
            </w:r>
          </w:p>
        </w:tc>
      </w:tr>
      <w:tr w:rsidR="00F24C79" w:rsidRPr="00F24C79" w:rsidTr="00F24C79">
        <w:tc>
          <w:tcPr>
            <w:tcW w:w="9242" w:type="dxa"/>
          </w:tcPr>
          <w:p w:rsidR="00F24C79" w:rsidRPr="00F24C79" w:rsidRDefault="00F24C79" w:rsidP="00F24C79">
            <w:pPr>
              <w:jc w:val="center"/>
              <w:rPr>
                <w:i/>
              </w:rPr>
            </w:pPr>
          </w:p>
          <w:p w:rsidR="00F24C79" w:rsidRDefault="00F24C79" w:rsidP="00F24C79">
            <w:pPr>
              <w:jc w:val="center"/>
              <w:rPr>
                <w:i/>
              </w:rPr>
            </w:pPr>
          </w:p>
          <w:p w:rsidR="00F24C79" w:rsidRPr="00F24C79" w:rsidRDefault="00F24C79" w:rsidP="00F24C79">
            <w:pPr>
              <w:jc w:val="center"/>
              <w:rPr>
                <w:i/>
              </w:rPr>
            </w:pPr>
            <w:r w:rsidRPr="00F24C79">
              <w:rPr>
                <w:i/>
              </w:rPr>
              <w:t>Figure 9 – Rhos-y-Clegyrn (from Lewis 1966).</w:t>
            </w:r>
          </w:p>
        </w:tc>
      </w:tr>
    </w:tbl>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4C1B4D" w:rsidTr="004C1B4D">
        <w:tc>
          <w:tcPr>
            <w:tcW w:w="9242" w:type="dxa"/>
          </w:tcPr>
          <w:p w:rsidR="004C1B4D" w:rsidRDefault="004C1B4D">
            <w:r>
              <w:rPr>
                <w:noProof/>
                <w:lang w:eastAsia="en-GB"/>
              </w:rPr>
              <w:lastRenderedPageBreak/>
              <w:drawing>
                <wp:inline distT="0" distB="0" distL="0" distR="0" wp14:anchorId="1DE8B279" wp14:editId="0313941E">
                  <wp:extent cx="5731510" cy="373761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3737610"/>
                          </a:xfrm>
                          <a:prstGeom prst="rect">
                            <a:avLst/>
                          </a:prstGeom>
                        </pic:spPr>
                      </pic:pic>
                    </a:graphicData>
                  </a:graphic>
                </wp:inline>
              </w:drawing>
            </w:r>
          </w:p>
        </w:tc>
      </w:tr>
      <w:tr w:rsidR="004C1B4D" w:rsidTr="001E0678">
        <w:tc>
          <w:tcPr>
            <w:tcW w:w="9242" w:type="dxa"/>
          </w:tcPr>
          <w:p w:rsidR="004C1B4D" w:rsidRDefault="004C1B4D"/>
          <w:p w:rsidR="004C1B4D" w:rsidRPr="004C1B4D" w:rsidRDefault="004C1B4D" w:rsidP="004C1B4D">
            <w:pPr>
              <w:jc w:val="center"/>
              <w:rPr>
                <w:i/>
              </w:rPr>
            </w:pPr>
            <w:r w:rsidRPr="004C1B4D">
              <w:rPr>
                <w:i/>
              </w:rPr>
              <w:t>Figure 1</w:t>
            </w:r>
            <w:r w:rsidR="001E0678">
              <w:rPr>
                <w:i/>
              </w:rPr>
              <w:t>0</w:t>
            </w:r>
            <w:r w:rsidRPr="004C1B4D">
              <w:rPr>
                <w:i/>
              </w:rPr>
              <w:t xml:space="preserve"> </w:t>
            </w:r>
            <w:r w:rsidR="001E0678">
              <w:rPr>
                <w:i/>
              </w:rPr>
              <w:t>–</w:t>
            </w:r>
            <w:r w:rsidRPr="004C1B4D">
              <w:rPr>
                <w:i/>
              </w:rPr>
              <w:t xml:space="preserve"> </w:t>
            </w:r>
            <w:r w:rsidR="001E0678">
              <w:rPr>
                <w:i/>
              </w:rPr>
              <w:t>Location plan of the Lanacombe settings</w:t>
            </w:r>
            <w:r w:rsidRPr="004C1B4D">
              <w:rPr>
                <w:i/>
              </w:rPr>
              <w:t>.</w:t>
            </w:r>
          </w:p>
          <w:p w:rsidR="004C1B4D" w:rsidRDefault="004C1B4D"/>
        </w:tc>
      </w:tr>
      <w:tr w:rsidR="004C1B4D" w:rsidTr="001E0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42" w:type="dxa"/>
            <w:tcBorders>
              <w:top w:val="nil"/>
              <w:left w:val="nil"/>
              <w:bottom w:val="nil"/>
              <w:right w:val="nil"/>
            </w:tcBorders>
          </w:tcPr>
          <w:p w:rsidR="004C1B4D" w:rsidRDefault="001E0678">
            <w:r>
              <w:rPr>
                <w:noProof/>
                <w:lang w:eastAsia="en-GB"/>
              </w:rPr>
              <w:lastRenderedPageBreak/>
              <w:drawing>
                <wp:inline distT="0" distB="0" distL="0" distR="0" wp14:anchorId="0EA9654A" wp14:editId="139F772A">
                  <wp:extent cx="5143500" cy="5193647"/>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41222" cy="5191346"/>
                          </a:xfrm>
                          <a:prstGeom prst="rect">
                            <a:avLst/>
                          </a:prstGeom>
                        </pic:spPr>
                      </pic:pic>
                    </a:graphicData>
                  </a:graphic>
                </wp:inline>
              </w:drawing>
            </w:r>
          </w:p>
        </w:tc>
      </w:tr>
      <w:tr w:rsidR="004C1B4D" w:rsidTr="001E0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42" w:type="dxa"/>
            <w:tcBorders>
              <w:top w:val="nil"/>
              <w:left w:val="nil"/>
              <w:bottom w:val="nil"/>
              <w:right w:val="nil"/>
            </w:tcBorders>
          </w:tcPr>
          <w:p w:rsidR="004C1B4D" w:rsidRDefault="004C1B4D"/>
          <w:p w:rsidR="001E0678" w:rsidRPr="001E0678" w:rsidRDefault="001E0678" w:rsidP="001E0678">
            <w:pPr>
              <w:jc w:val="center"/>
              <w:rPr>
                <w:i/>
              </w:rPr>
            </w:pPr>
            <w:r w:rsidRPr="001E0678">
              <w:rPr>
                <w:i/>
              </w:rPr>
              <w:t>Figure 11 - Plans of the settings discussed in the text (after Quinnell and Dunn 1992).</w:t>
            </w:r>
          </w:p>
          <w:p w:rsidR="001E0678" w:rsidRDefault="001E0678"/>
        </w:tc>
      </w:tr>
    </w:tbl>
    <w:p w:rsidR="004C1B4D" w:rsidRDefault="004C1B4D"/>
    <w:p w:rsidR="004C1B4D" w:rsidRDefault="004C1B4D"/>
    <w:p w:rsidR="004C1B4D" w:rsidRDefault="004C1B4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8439C8">
            <w:r>
              <w:rPr>
                <w:noProof/>
                <w:lang w:eastAsia="en-GB"/>
              </w:rPr>
              <w:drawing>
                <wp:inline distT="0" distB="0" distL="0" distR="0">
                  <wp:extent cx="5727426" cy="140017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0.png"/>
                          <pic:cNvPicPr/>
                        </pic:nvPicPr>
                        <pic:blipFill rotWithShape="1">
                          <a:blip r:embed="rId16" cstate="print">
                            <a:extLst>
                              <a:ext uri="{28A0092B-C50C-407E-A947-70E740481C1C}">
                                <a14:useLocalDpi xmlns:a14="http://schemas.microsoft.com/office/drawing/2010/main" val="0"/>
                              </a:ext>
                            </a:extLst>
                          </a:blip>
                          <a:srcRect t="60695"/>
                          <a:stretch/>
                        </pic:blipFill>
                        <pic:spPr bwMode="auto">
                          <a:xfrm>
                            <a:off x="0" y="0"/>
                            <a:ext cx="5731510" cy="1401173"/>
                          </a:xfrm>
                          <a:prstGeom prst="rect">
                            <a:avLst/>
                          </a:prstGeom>
                          <a:ln>
                            <a:noFill/>
                          </a:ln>
                          <a:extLst>
                            <a:ext uri="{53640926-AAD7-44D8-BBD7-CCE9431645EC}">
                              <a14:shadowObscured xmlns:a14="http://schemas.microsoft.com/office/drawing/2010/main"/>
                            </a:ext>
                          </a:extLst>
                        </pic:spPr>
                      </pic:pic>
                    </a:graphicData>
                  </a:graphic>
                </wp:inline>
              </w:drawing>
            </w:r>
          </w:p>
        </w:tc>
      </w:tr>
      <w:tr w:rsidR="00F24C79" w:rsidTr="00F24C79">
        <w:tc>
          <w:tcPr>
            <w:tcW w:w="9242" w:type="dxa"/>
          </w:tcPr>
          <w:p w:rsidR="00F24C79" w:rsidRDefault="00F24C79"/>
          <w:p w:rsidR="00F24C79" w:rsidRPr="00F24C79" w:rsidRDefault="00F24C79" w:rsidP="00F24C79">
            <w:pPr>
              <w:jc w:val="center"/>
              <w:rPr>
                <w:i/>
              </w:rPr>
            </w:pPr>
            <w:r w:rsidRPr="00F24C79">
              <w:rPr>
                <w:i/>
              </w:rPr>
              <w:t>Figure 1</w:t>
            </w:r>
            <w:r w:rsidR="001E0678">
              <w:rPr>
                <w:i/>
              </w:rPr>
              <w:t>2 –S</w:t>
            </w:r>
            <w:r w:rsidRPr="00F24C79">
              <w:rPr>
                <w:i/>
              </w:rPr>
              <w:t>chematic profile</w:t>
            </w:r>
            <w:r w:rsidR="001E0678">
              <w:rPr>
                <w:i/>
              </w:rPr>
              <w:t xml:space="preserve"> of Lanacombe I</w:t>
            </w:r>
            <w:r w:rsidR="008439C8">
              <w:rPr>
                <w:i/>
              </w:rPr>
              <w:t xml:space="preserve"> showing relative heights of uprights</w:t>
            </w:r>
            <w:r w:rsidRPr="00F24C79">
              <w:rPr>
                <w:i/>
              </w:rPr>
              <w:t>.</w:t>
            </w:r>
          </w:p>
          <w:p w:rsidR="00F24C79" w:rsidRDefault="00F24C79"/>
        </w:tc>
      </w:tr>
    </w:tbl>
    <w:p w:rsidR="00F24C79" w:rsidRDefault="00F24C79"/>
    <w:p w:rsidR="00F24C79" w:rsidRDefault="00F24C79"/>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F24C79">
        <w:tc>
          <w:tcPr>
            <w:tcW w:w="9242" w:type="dxa"/>
          </w:tcPr>
          <w:p w:rsidR="00F24C79" w:rsidRDefault="00F24C79">
            <w:r>
              <w:rPr>
                <w:noProof/>
                <w:lang w:eastAsia="en-GB"/>
              </w:rPr>
              <w:lastRenderedPageBreak/>
              <w:drawing>
                <wp:inline distT="0" distB="0" distL="0" distR="0" wp14:anchorId="12037011" wp14:editId="28EEF1E7">
                  <wp:extent cx="5731510" cy="26289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2628900"/>
                          </a:xfrm>
                          <a:prstGeom prst="rect">
                            <a:avLst/>
                          </a:prstGeom>
                        </pic:spPr>
                      </pic:pic>
                    </a:graphicData>
                  </a:graphic>
                </wp:inline>
              </w:drawing>
            </w:r>
          </w:p>
        </w:tc>
      </w:tr>
      <w:tr w:rsidR="00F24C79" w:rsidTr="00F24C79">
        <w:tc>
          <w:tcPr>
            <w:tcW w:w="9242" w:type="dxa"/>
          </w:tcPr>
          <w:p w:rsidR="00F24C79" w:rsidRDefault="00F24C79"/>
          <w:p w:rsidR="00F24C79" w:rsidRPr="00F24C79" w:rsidRDefault="00F24C79" w:rsidP="00F24C79">
            <w:pPr>
              <w:jc w:val="center"/>
              <w:rPr>
                <w:i/>
              </w:rPr>
            </w:pPr>
            <w:r w:rsidRPr="00F24C79">
              <w:rPr>
                <w:i/>
              </w:rPr>
              <w:t>Figure 1</w:t>
            </w:r>
            <w:r w:rsidR="001E0678">
              <w:rPr>
                <w:i/>
              </w:rPr>
              <w:t>3</w:t>
            </w:r>
            <w:r w:rsidRPr="00F24C79">
              <w:rPr>
                <w:i/>
              </w:rPr>
              <w:t xml:space="preserve"> – Furzehill Common (A) and Lanacombe IV (B).</w:t>
            </w:r>
          </w:p>
          <w:p w:rsidR="00F24C79" w:rsidRDefault="00F24C79"/>
        </w:tc>
      </w:tr>
    </w:tbl>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24C79" w:rsidTr="008439C8">
        <w:tc>
          <w:tcPr>
            <w:tcW w:w="9242" w:type="dxa"/>
            <w:shd w:val="clear" w:color="auto" w:fill="auto"/>
          </w:tcPr>
          <w:p w:rsidR="00F24C79" w:rsidRDefault="00F24C79">
            <w:r>
              <w:rPr>
                <w:noProof/>
                <w:lang w:eastAsia="en-GB"/>
              </w:rPr>
              <w:lastRenderedPageBreak/>
              <w:drawing>
                <wp:inline distT="0" distB="0" distL="0" distR="0" wp14:anchorId="038ED9C2" wp14:editId="1A44A033">
                  <wp:extent cx="5731510" cy="640842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6408420"/>
                          </a:xfrm>
                          <a:prstGeom prst="rect">
                            <a:avLst/>
                          </a:prstGeom>
                        </pic:spPr>
                      </pic:pic>
                    </a:graphicData>
                  </a:graphic>
                </wp:inline>
              </w:drawing>
            </w:r>
          </w:p>
        </w:tc>
      </w:tr>
      <w:tr w:rsidR="00F24C79" w:rsidTr="008439C8">
        <w:tc>
          <w:tcPr>
            <w:tcW w:w="9242" w:type="dxa"/>
            <w:shd w:val="clear" w:color="auto" w:fill="auto"/>
          </w:tcPr>
          <w:p w:rsidR="00F24C79" w:rsidRDefault="00F24C79"/>
          <w:p w:rsidR="00F24C79" w:rsidRDefault="00F24C79"/>
          <w:p w:rsidR="00F24C79" w:rsidRPr="00F24C79" w:rsidRDefault="00F24C79" w:rsidP="001E0678">
            <w:pPr>
              <w:jc w:val="center"/>
              <w:rPr>
                <w:i/>
              </w:rPr>
            </w:pPr>
            <w:r w:rsidRPr="00F24C79">
              <w:rPr>
                <w:i/>
              </w:rPr>
              <w:t>Figure 1</w:t>
            </w:r>
            <w:r w:rsidR="001E0678">
              <w:rPr>
                <w:i/>
              </w:rPr>
              <w:t>4</w:t>
            </w:r>
            <w:r w:rsidRPr="00F24C79">
              <w:rPr>
                <w:i/>
              </w:rPr>
              <w:t xml:space="preserve"> – Plan of Porlock Circle.</w:t>
            </w:r>
          </w:p>
        </w:tc>
      </w:tr>
    </w:tbl>
    <w:p w:rsidR="00F24C79" w:rsidRDefault="00F24C7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976274" w:rsidTr="00976274">
        <w:tc>
          <w:tcPr>
            <w:tcW w:w="9242" w:type="dxa"/>
          </w:tcPr>
          <w:p w:rsidR="00976274" w:rsidRDefault="00783AF1">
            <w:r>
              <w:rPr>
                <w:noProof/>
                <w:lang w:eastAsia="en-GB"/>
              </w:rPr>
              <w:lastRenderedPageBreak/>
              <w:drawing>
                <wp:inline distT="0" distB="0" distL="0" distR="0">
                  <wp:extent cx="5731510" cy="39433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3.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943350"/>
                          </a:xfrm>
                          <a:prstGeom prst="rect">
                            <a:avLst/>
                          </a:prstGeom>
                        </pic:spPr>
                      </pic:pic>
                    </a:graphicData>
                  </a:graphic>
                </wp:inline>
              </w:drawing>
            </w:r>
          </w:p>
        </w:tc>
      </w:tr>
      <w:tr w:rsidR="00976274" w:rsidTr="00976274">
        <w:tc>
          <w:tcPr>
            <w:tcW w:w="9242" w:type="dxa"/>
          </w:tcPr>
          <w:p w:rsidR="00976274" w:rsidRDefault="00976274"/>
          <w:p w:rsidR="00976274" w:rsidRDefault="00976274" w:rsidP="00976274">
            <w:pPr>
              <w:jc w:val="center"/>
              <w:rPr>
                <w:i/>
              </w:rPr>
            </w:pPr>
          </w:p>
          <w:p w:rsidR="00976274" w:rsidRPr="00976274" w:rsidRDefault="00976274" w:rsidP="00976274">
            <w:pPr>
              <w:jc w:val="center"/>
              <w:rPr>
                <w:i/>
              </w:rPr>
            </w:pPr>
            <w:r w:rsidRPr="00976274">
              <w:rPr>
                <w:i/>
              </w:rPr>
              <w:t>Figure 1</w:t>
            </w:r>
            <w:r w:rsidR="001E0678">
              <w:rPr>
                <w:i/>
              </w:rPr>
              <w:t>5</w:t>
            </w:r>
            <w:r w:rsidRPr="00976274">
              <w:rPr>
                <w:i/>
              </w:rPr>
              <w:t xml:space="preserve"> – Miniliths (shaded), ‘triggers’ and packing stones encountered at Porlock Circle.</w:t>
            </w:r>
          </w:p>
          <w:p w:rsidR="00976274" w:rsidRDefault="00976274"/>
        </w:tc>
      </w:tr>
    </w:tbl>
    <w:p w:rsidR="00976274" w:rsidRDefault="00976274"/>
    <w:sectPr w:rsidR="0097627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930"/>
    <w:rsid w:val="000020B3"/>
    <w:rsid w:val="001E0678"/>
    <w:rsid w:val="001E7ECC"/>
    <w:rsid w:val="002209EC"/>
    <w:rsid w:val="00286B02"/>
    <w:rsid w:val="003F3676"/>
    <w:rsid w:val="004C1B4D"/>
    <w:rsid w:val="00543C3F"/>
    <w:rsid w:val="005526F9"/>
    <w:rsid w:val="005D02E9"/>
    <w:rsid w:val="006D7D9C"/>
    <w:rsid w:val="00783AF1"/>
    <w:rsid w:val="007B33C1"/>
    <w:rsid w:val="007E3C2D"/>
    <w:rsid w:val="0080340A"/>
    <w:rsid w:val="008439C8"/>
    <w:rsid w:val="0084673A"/>
    <w:rsid w:val="00976274"/>
    <w:rsid w:val="00985AFF"/>
    <w:rsid w:val="009F36FB"/>
    <w:rsid w:val="00B97207"/>
    <w:rsid w:val="00C23930"/>
    <w:rsid w:val="00C72F3F"/>
    <w:rsid w:val="00DE6FCE"/>
    <w:rsid w:val="00EA0DBB"/>
    <w:rsid w:val="00F24C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F3676"/>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F367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367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F3676"/>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F367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367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2873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3E02477B.dotm</Template>
  <TotalTime>149</TotalTime>
  <Pages>14</Pages>
  <Words>454</Words>
  <Characters>2592</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University of Leicester</Company>
  <LinksUpToDate>false</LinksUpToDate>
  <CharactersWithSpaces>3040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mg41</dc:creator>
  <cp:lastModifiedBy>mg41</cp:lastModifiedBy>
  <cp:revision>17</cp:revision>
  <cp:lastPrinted>2014-03-04T15:59:00Z</cp:lastPrinted>
  <dcterms:created xsi:type="dcterms:W3CDTF">2014-02-28T12:38:00Z</dcterms:created>
  <dcterms:modified xsi:type="dcterms:W3CDTF">2014-05-02T10:50:00Z</dcterms:modified>
</cp:coreProperties>
</file>