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DB5" w:rsidRDefault="00FF5EA7" w:rsidP="00EA7DB5">
      <w:pPr>
        <w:pStyle w:val="Heading2"/>
      </w:pPr>
      <w:r>
        <w:t xml:space="preserve">The Efficacy of Market Abuse </w:t>
      </w:r>
      <w:r w:rsidR="000C6AF9">
        <w:t>Regulation</w:t>
      </w:r>
      <w:r>
        <w:t xml:space="preserve"> in the UK</w:t>
      </w:r>
      <w:r w:rsidR="00A064E3">
        <w:t xml:space="preserve"> </w:t>
      </w:r>
    </w:p>
    <w:p w:rsidR="00EA7DB5" w:rsidRDefault="00EA7DB5" w:rsidP="00EA7DB5">
      <w:pPr>
        <w:rPr>
          <w:lang w:eastAsia="zh-CN"/>
        </w:rPr>
      </w:pPr>
    </w:p>
    <w:p w:rsidR="00EA7DB5" w:rsidRDefault="00EA7DB5" w:rsidP="00EA7DB5">
      <w:pPr>
        <w:rPr>
          <w:lang w:eastAsia="zh-CN"/>
        </w:rPr>
      </w:pPr>
    </w:p>
    <w:p w:rsidR="00EA7DB5" w:rsidRDefault="00EA7DB5" w:rsidP="00EA7DB5">
      <w:pPr>
        <w:rPr>
          <w:lang w:eastAsia="zh-CN"/>
        </w:rPr>
      </w:pPr>
    </w:p>
    <w:p w:rsidR="00EA7DB5" w:rsidRPr="00EA7DB5" w:rsidRDefault="00EA7DB5" w:rsidP="00EA7DB5">
      <w:pPr>
        <w:rPr>
          <w:lang w:eastAsia="zh-CN"/>
        </w:rPr>
      </w:pPr>
    </w:p>
    <w:p w:rsidR="00EA7DB5" w:rsidRDefault="00EA7DB5" w:rsidP="00EA7DB5">
      <w:pPr>
        <w:pStyle w:val="Standard"/>
        <w:jc w:val="center"/>
        <w:rPr>
          <w:rFonts w:asciiTheme="minorHAnsi" w:eastAsiaTheme="minorEastAsia" w:hAnsiTheme="minorHAnsi" w:cstheme="minorBidi"/>
          <w:b/>
          <w:kern w:val="0"/>
          <w:lang w:eastAsia="en-GB" w:bidi="ar-SA"/>
        </w:rPr>
      </w:pPr>
      <w:r>
        <w:rPr>
          <w:rFonts w:asciiTheme="minorHAnsi" w:eastAsiaTheme="minorEastAsia" w:hAnsiTheme="minorHAnsi" w:cstheme="minorBidi"/>
          <w:b/>
          <w:kern w:val="0"/>
          <w:lang w:eastAsia="en-GB" w:bidi="ar-SA"/>
        </w:rPr>
        <w:t>Abstract</w:t>
      </w:r>
    </w:p>
    <w:p w:rsidR="00EA7DB5" w:rsidRDefault="00EA7DB5" w:rsidP="00EA7DB5">
      <w:pPr>
        <w:pStyle w:val="Standard"/>
        <w:jc w:val="center"/>
        <w:rPr>
          <w:rFonts w:asciiTheme="minorHAnsi" w:eastAsia="Calibri" w:hAnsiTheme="minorHAnsi"/>
          <w:b/>
          <w:lang w:val="en-US"/>
        </w:rPr>
      </w:pPr>
    </w:p>
    <w:p w:rsidR="00EA7DB5" w:rsidRDefault="00EA7DB5" w:rsidP="00EA7DB5">
      <w:pPr>
        <w:pStyle w:val="Standard"/>
        <w:jc w:val="center"/>
        <w:rPr>
          <w:rFonts w:asciiTheme="minorHAnsi" w:eastAsia="Calibri" w:hAnsiTheme="minorHAnsi"/>
          <w:b/>
          <w:lang w:val="en-US"/>
        </w:rPr>
      </w:pPr>
    </w:p>
    <w:p w:rsidR="00EA7DB5" w:rsidRDefault="00EA7DB5" w:rsidP="00EA7DB5">
      <w:pPr>
        <w:pStyle w:val="Standard"/>
        <w:spacing w:line="480" w:lineRule="auto"/>
        <w:ind w:left="851" w:right="663"/>
        <w:jc w:val="both"/>
        <w:rPr>
          <w:rFonts w:asciiTheme="minorHAnsi" w:eastAsia="Calibri" w:hAnsiTheme="minorHAnsi"/>
          <w:sz w:val="22"/>
          <w:szCs w:val="22"/>
          <w:lang w:val="en-US"/>
        </w:rPr>
      </w:pPr>
      <w:r>
        <w:rPr>
          <w:rFonts w:asciiTheme="minorHAnsi" w:eastAsia="Calibri" w:hAnsiTheme="minorHAnsi"/>
          <w:sz w:val="22"/>
          <w:szCs w:val="22"/>
          <w:lang w:val="en-US"/>
        </w:rPr>
        <w:t xml:space="preserve">Analyzed in this study are the returns on stock prices of target companies surrounding the first publicized dates of completed takeovers in the UK between 2001 and </w:t>
      </w:r>
      <w:proofErr w:type="gramStart"/>
      <w:r>
        <w:rPr>
          <w:rFonts w:asciiTheme="minorHAnsi" w:eastAsia="Calibri" w:hAnsiTheme="minorHAnsi"/>
          <w:sz w:val="22"/>
          <w:szCs w:val="22"/>
          <w:lang w:val="en-US"/>
        </w:rPr>
        <w:t>2010.</w:t>
      </w:r>
      <w:proofErr w:type="gramEnd"/>
      <w:r>
        <w:rPr>
          <w:rFonts w:asciiTheme="minorHAnsi" w:eastAsia="Calibri" w:hAnsiTheme="minorHAnsi"/>
          <w:sz w:val="22"/>
          <w:szCs w:val="22"/>
          <w:lang w:val="en-US"/>
        </w:rPr>
        <w:t xml:space="preserve"> </w:t>
      </w:r>
      <w:r w:rsidR="00BB27EC">
        <w:rPr>
          <w:rFonts w:asciiTheme="minorHAnsi" w:eastAsia="Calibri" w:hAnsiTheme="minorHAnsi"/>
          <w:sz w:val="22"/>
          <w:szCs w:val="22"/>
          <w:lang w:val="en-US"/>
        </w:rPr>
        <w:t xml:space="preserve">Our sample is analyzed with respect to the </w:t>
      </w:r>
      <w:r w:rsidR="003772AF">
        <w:rPr>
          <w:rFonts w:asciiTheme="minorHAnsi" w:eastAsia="Calibri" w:hAnsiTheme="minorHAnsi"/>
          <w:sz w:val="22"/>
          <w:szCs w:val="22"/>
          <w:lang w:val="en-US"/>
        </w:rPr>
        <w:t>event dates at which news of the takeover reaches the market</w:t>
      </w:r>
      <w:r w:rsidR="00861DCF">
        <w:rPr>
          <w:rFonts w:asciiTheme="minorHAnsi" w:eastAsia="Calibri" w:hAnsiTheme="minorHAnsi"/>
          <w:sz w:val="22"/>
          <w:szCs w:val="22"/>
          <w:lang w:val="en-US"/>
        </w:rPr>
        <w:t xml:space="preserve"> both through a rumored date and official announcement</w:t>
      </w:r>
      <w:r>
        <w:rPr>
          <w:rFonts w:asciiTheme="minorHAnsi" w:eastAsia="Calibri" w:hAnsiTheme="minorHAnsi"/>
          <w:sz w:val="22"/>
          <w:szCs w:val="22"/>
          <w:lang w:val="en-US"/>
        </w:rPr>
        <w:t xml:space="preserve">. </w:t>
      </w:r>
      <w:r w:rsidR="00F84AA1">
        <w:rPr>
          <w:rFonts w:asciiTheme="minorHAnsi" w:eastAsia="Calibri" w:hAnsiTheme="minorHAnsi"/>
          <w:sz w:val="22"/>
          <w:szCs w:val="22"/>
          <w:lang w:val="en-US"/>
        </w:rPr>
        <w:t>S</w:t>
      </w:r>
      <w:r>
        <w:rPr>
          <w:rFonts w:asciiTheme="minorHAnsi" w:eastAsia="Calibri" w:hAnsiTheme="minorHAnsi"/>
          <w:sz w:val="22"/>
          <w:szCs w:val="22"/>
          <w:lang w:val="en-US"/>
        </w:rPr>
        <w:t xml:space="preserve">tatistically significant cumulative </w:t>
      </w:r>
      <w:r w:rsidR="00F84AA1">
        <w:rPr>
          <w:rFonts w:asciiTheme="minorHAnsi" w:eastAsia="Calibri" w:hAnsiTheme="minorHAnsi"/>
          <w:sz w:val="22"/>
          <w:szCs w:val="22"/>
          <w:lang w:val="en-US"/>
        </w:rPr>
        <w:t xml:space="preserve">average </w:t>
      </w:r>
      <w:r>
        <w:rPr>
          <w:rFonts w:asciiTheme="minorHAnsi" w:eastAsia="Calibri" w:hAnsiTheme="minorHAnsi"/>
          <w:sz w:val="22"/>
          <w:szCs w:val="22"/>
          <w:lang w:val="en-US"/>
        </w:rPr>
        <w:t>abnormal returns (C</w:t>
      </w:r>
      <w:r w:rsidR="00F84AA1">
        <w:rPr>
          <w:rFonts w:asciiTheme="minorHAnsi" w:eastAsia="Calibri" w:hAnsiTheme="minorHAnsi"/>
          <w:sz w:val="22"/>
          <w:szCs w:val="22"/>
          <w:lang w:val="en-US"/>
        </w:rPr>
        <w:t>A</w:t>
      </w:r>
      <w:r>
        <w:rPr>
          <w:rFonts w:asciiTheme="minorHAnsi" w:eastAsia="Calibri" w:hAnsiTheme="minorHAnsi"/>
          <w:sz w:val="22"/>
          <w:szCs w:val="22"/>
          <w:lang w:val="en-US"/>
        </w:rPr>
        <w:t xml:space="preserve">ARs) prior to </w:t>
      </w:r>
      <w:r w:rsidR="003772AF">
        <w:rPr>
          <w:rFonts w:asciiTheme="minorHAnsi" w:eastAsia="Calibri" w:hAnsiTheme="minorHAnsi"/>
          <w:sz w:val="22"/>
          <w:szCs w:val="22"/>
          <w:lang w:val="en-US"/>
        </w:rPr>
        <w:t>the</w:t>
      </w:r>
      <w:r w:rsidR="00F84AA1">
        <w:rPr>
          <w:rFonts w:asciiTheme="minorHAnsi" w:eastAsia="Calibri" w:hAnsiTheme="minorHAnsi"/>
          <w:sz w:val="22"/>
          <w:szCs w:val="22"/>
          <w:lang w:val="en-US"/>
        </w:rPr>
        <w:t xml:space="preserve"> event date are observed across the </w:t>
      </w:r>
      <w:r w:rsidR="00F84AA1" w:rsidRPr="00861DCF">
        <w:rPr>
          <w:rFonts w:asciiTheme="minorHAnsi" w:eastAsia="Calibri" w:hAnsiTheme="minorHAnsi"/>
          <w:sz w:val="22"/>
          <w:szCs w:val="22"/>
          <w:lang w:val="en-US"/>
        </w:rPr>
        <w:t>sample</w:t>
      </w:r>
      <w:r w:rsidRPr="00861DCF">
        <w:rPr>
          <w:rFonts w:asciiTheme="minorHAnsi" w:eastAsia="Calibri" w:hAnsiTheme="minorHAnsi"/>
          <w:sz w:val="22"/>
          <w:szCs w:val="22"/>
          <w:lang w:val="en-US"/>
        </w:rPr>
        <w:t xml:space="preserve">. </w:t>
      </w:r>
      <w:r w:rsidR="00861DCF" w:rsidRPr="00861DCF">
        <w:rPr>
          <w:rFonts w:asciiTheme="minorHAnsi" w:eastAsia="Calibri" w:hAnsiTheme="minorHAnsi"/>
          <w:sz w:val="22"/>
          <w:szCs w:val="22"/>
          <w:lang w:val="en-US"/>
        </w:rPr>
        <w:t>T</w:t>
      </w:r>
      <w:r w:rsidR="00BB27EC" w:rsidRPr="00861DCF">
        <w:rPr>
          <w:rFonts w:asciiTheme="minorHAnsi" w:eastAsia="Calibri" w:hAnsiTheme="minorHAnsi"/>
          <w:sz w:val="22"/>
          <w:szCs w:val="22"/>
          <w:lang w:val="en-US"/>
        </w:rPr>
        <w:t>his</w:t>
      </w:r>
      <w:r w:rsidRPr="00861DCF">
        <w:rPr>
          <w:rFonts w:asciiTheme="minorHAnsi" w:eastAsia="Calibri" w:hAnsiTheme="minorHAnsi"/>
          <w:sz w:val="22"/>
          <w:szCs w:val="22"/>
          <w:lang w:val="en-US"/>
        </w:rPr>
        <w:t xml:space="preserve"> may indicate that trading on material nonpublic information </w:t>
      </w:r>
      <w:r w:rsidR="00BB27EC" w:rsidRPr="00861DCF">
        <w:rPr>
          <w:rFonts w:asciiTheme="minorHAnsi" w:eastAsia="Calibri" w:hAnsiTheme="minorHAnsi"/>
          <w:sz w:val="22"/>
          <w:szCs w:val="22"/>
          <w:lang w:val="en-US"/>
        </w:rPr>
        <w:t>is still a contributory factor in the run-up proportion of takeover premiums, thus</w:t>
      </w:r>
      <w:r w:rsidR="00BB27EC">
        <w:rPr>
          <w:rFonts w:asciiTheme="minorHAnsi" w:eastAsia="Calibri" w:hAnsiTheme="minorHAnsi"/>
          <w:sz w:val="22"/>
          <w:szCs w:val="22"/>
          <w:lang w:val="en-US"/>
        </w:rPr>
        <w:t xml:space="preserve"> drawing a question over the efficacy of the regulatory system</w:t>
      </w:r>
      <w:r>
        <w:rPr>
          <w:rFonts w:asciiTheme="minorHAnsi" w:eastAsia="Calibri" w:hAnsiTheme="minorHAnsi"/>
          <w:sz w:val="22"/>
          <w:szCs w:val="22"/>
          <w:lang w:val="en-US"/>
        </w:rPr>
        <w:t>.</w:t>
      </w:r>
    </w:p>
    <w:p w:rsidR="00EA7DB5" w:rsidRDefault="00EA7DB5" w:rsidP="00EA7DB5">
      <w:pPr>
        <w:pStyle w:val="Standard"/>
        <w:spacing w:line="480" w:lineRule="auto"/>
        <w:ind w:left="851" w:right="663"/>
        <w:jc w:val="both"/>
        <w:rPr>
          <w:rFonts w:asciiTheme="minorHAnsi" w:eastAsia="Calibri" w:hAnsiTheme="minorHAnsi"/>
          <w:sz w:val="22"/>
          <w:szCs w:val="22"/>
          <w:lang w:val="en-US"/>
        </w:rPr>
      </w:pPr>
    </w:p>
    <w:p w:rsidR="00EA7DB5" w:rsidRDefault="00EA7DB5" w:rsidP="00EA7DB5">
      <w:pPr>
        <w:pStyle w:val="Standard"/>
        <w:spacing w:line="480" w:lineRule="auto"/>
        <w:ind w:left="851" w:right="663"/>
        <w:jc w:val="both"/>
        <w:rPr>
          <w:rFonts w:asciiTheme="minorHAnsi" w:hAnsiTheme="minorHAnsi"/>
          <w:sz w:val="22"/>
          <w:szCs w:val="22"/>
        </w:rPr>
      </w:pPr>
    </w:p>
    <w:p w:rsidR="00EA7DB5" w:rsidRDefault="00EA7DB5" w:rsidP="00EA7DB5">
      <w:pPr>
        <w:pStyle w:val="Standard"/>
        <w:spacing w:line="480" w:lineRule="auto"/>
        <w:ind w:left="851" w:right="663"/>
        <w:jc w:val="both"/>
        <w:rPr>
          <w:rFonts w:asciiTheme="minorHAnsi" w:hAnsiTheme="minorHAnsi"/>
          <w:sz w:val="22"/>
          <w:szCs w:val="22"/>
        </w:rPr>
      </w:pPr>
    </w:p>
    <w:p w:rsidR="00EA7DB5" w:rsidRPr="00D61F3A" w:rsidRDefault="0096767D" w:rsidP="00D61F3A">
      <w:pPr>
        <w:pStyle w:val="Standard"/>
        <w:spacing w:line="480" w:lineRule="auto"/>
        <w:ind w:left="851" w:right="663"/>
        <w:jc w:val="center"/>
        <w:rPr>
          <w:rFonts w:asciiTheme="minorHAnsi" w:hAnsiTheme="minorHAnsi"/>
          <w:b/>
          <w:sz w:val="22"/>
          <w:szCs w:val="22"/>
        </w:rPr>
      </w:pPr>
      <w:r w:rsidRPr="00D61F3A">
        <w:rPr>
          <w:rFonts w:asciiTheme="minorHAnsi" w:hAnsiTheme="minorHAnsi"/>
          <w:b/>
          <w:sz w:val="22"/>
          <w:szCs w:val="22"/>
        </w:rPr>
        <w:t xml:space="preserve">JEL codes: </w:t>
      </w:r>
      <w:r w:rsidR="00D61F3A" w:rsidRPr="00D61F3A">
        <w:rPr>
          <w:rFonts w:asciiTheme="minorHAnsi" w:hAnsiTheme="minorHAnsi"/>
          <w:b/>
          <w:sz w:val="22"/>
          <w:szCs w:val="22"/>
        </w:rPr>
        <w:t>G34, G38, G18</w:t>
      </w:r>
    </w:p>
    <w:p w:rsidR="00EA7DB5" w:rsidRDefault="00EA7DB5" w:rsidP="00EA7DB5">
      <w:pPr>
        <w:pStyle w:val="Standard"/>
        <w:spacing w:line="480" w:lineRule="auto"/>
        <w:ind w:left="851" w:right="663"/>
        <w:jc w:val="both"/>
        <w:rPr>
          <w:rFonts w:asciiTheme="minorHAnsi" w:hAnsiTheme="minorHAnsi"/>
          <w:sz w:val="22"/>
          <w:szCs w:val="22"/>
        </w:rPr>
      </w:pPr>
    </w:p>
    <w:p w:rsidR="00EA7DB5" w:rsidRPr="00861DCF" w:rsidRDefault="00861DCF" w:rsidP="00861DCF">
      <w:pPr>
        <w:rPr>
          <w:rFonts w:eastAsia="Lucida Sans Unicode" w:cs="Mangal"/>
          <w:kern w:val="3"/>
          <w:lang w:eastAsia="zh-CN" w:bidi="hi-IN"/>
        </w:rPr>
      </w:pPr>
      <w:r>
        <w:br w:type="page"/>
      </w:r>
    </w:p>
    <w:p w:rsidR="00EA7DB5" w:rsidRDefault="00EA7DB5" w:rsidP="00FF5EA7">
      <w:pPr>
        <w:pStyle w:val="Standard"/>
        <w:spacing w:line="480" w:lineRule="auto"/>
        <w:ind w:right="663"/>
        <w:jc w:val="both"/>
        <w:rPr>
          <w:rFonts w:asciiTheme="minorHAnsi" w:hAnsiTheme="minorHAnsi"/>
          <w:sz w:val="22"/>
          <w:szCs w:val="22"/>
        </w:rPr>
      </w:pPr>
    </w:p>
    <w:p w:rsidR="00EA7DB5" w:rsidRPr="00FF5EA7" w:rsidRDefault="00EA7DB5" w:rsidP="00EA7DB5">
      <w:pPr>
        <w:pStyle w:val="Heading3"/>
        <w:rPr>
          <w:color w:val="auto"/>
        </w:rPr>
      </w:pPr>
      <w:r w:rsidRPr="00FF5EA7">
        <w:rPr>
          <w:color w:val="auto"/>
        </w:rPr>
        <w:t>Introduction</w:t>
      </w:r>
    </w:p>
    <w:p w:rsidR="00EA7DB5" w:rsidRDefault="00EA7DB5" w:rsidP="00EA7DB5">
      <w:pPr>
        <w:rPr>
          <w:lang w:val="en-US"/>
        </w:rPr>
      </w:pPr>
    </w:p>
    <w:p w:rsidR="00EA7DB5" w:rsidRDefault="00EA7DB5" w:rsidP="00EA7DB5">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Since assuming the guardianship of market integrity surprisingly little research has been carried out to gauge the success of the UK’s </w:t>
      </w:r>
      <w:r w:rsidR="00B27EAB">
        <w:rPr>
          <w:rFonts w:asciiTheme="minorHAnsi" w:hAnsiTheme="minorHAnsi"/>
          <w:sz w:val="22"/>
          <w:szCs w:val="22"/>
        </w:rPr>
        <w:t>f</w:t>
      </w:r>
      <w:r w:rsidR="00F84AA1">
        <w:rPr>
          <w:rFonts w:asciiTheme="minorHAnsi" w:hAnsiTheme="minorHAnsi"/>
          <w:sz w:val="22"/>
          <w:szCs w:val="22"/>
        </w:rPr>
        <w:t>inancial regulatory body</w:t>
      </w:r>
      <w:r>
        <w:rPr>
          <w:rFonts w:asciiTheme="minorHAnsi" w:hAnsiTheme="minorHAnsi"/>
          <w:sz w:val="22"/>
          <w:szCs w:val="22"/>
        </w:rPr>
        <w:t xml:space="preserve"> in meeting its enforcement responsibilities. The role of protecting the markets from abuse of various kinds was assumed by the </w:t>
      </w:r>
      <w:r w:rsidR="00B27EAB">
        <w:rPr>
          <w:rFonts w:asciiTheme="minorHAnsi" w:hAnsiTheme="minorHAnsi"/>
          <w:sz w:val="22"/>
          <w:szCs w:val="22"/>
        </w:rPr>
        <w:t>Financial Services Authority (</w:t>
      </w:r>
      <w:r>
        <w:rPr>
          <w:rFonts w:asciiTheme="minorHAnsi" w:hAnsiTheme="minorHAnsi"/>
          <w:sz w:val="22"/>
          <w:szCs w:val="22"/>
        </w:rPr>
        <w:t>FSA</w:t>
      </w:r>
      <w:r w:rsidR="00B27EAB">
        <w:rPr>
          <w:rFonts w:asciiTheme="minorHAnsi" w:hAnsiTheme="minorHAnsi"/>
          <w:sz w:val="22"/>
          <w:szCs w:val="22"/>
        </w:rPr>
        <w:t>) in 2000</w:t>
      </w:r>
      <w:r>
        <w:rPr>
          <w:rFonts w:asciiTheme="minorHAnsi" w:hAnsiTheme="minorHAnsi"/>
          <w:sz w:val="22"/>
          <w:szCs w:val="22"/>
        </w:rPr>
        <w:t xml:space="preserve"> following the introduction of the Financial Services and Markets Act 2000.</w:t>
      </w:r>
      <w:r w:rsidR="00B27EAB">
        <w:rPr>
          <w:rFonts w:asciiTheme="minorHAnsi" w:hAnsiTheme="minorHAnsi"/>
          <w:sz w:val="22"/>
          <w:szCs w:val="22"/>
        </w:rPr>
        <w:t xml:space="preserve"> In 2013 the FSA split into two bodies, the Prudential Regulatory Authority (PRA) and the Financial Conduct Authority (FCA). While the PRA was created to promote </w:t>
      </w:r>
      <w:r w:rsidR="00C8684A">
        <w:rPr>
          <w:rFonts w:asciiTheme="minorHAnsi" w:hAnsiTheme="minorHAnsi"/>
          <w:sz w:val="22"/>
          <w:szCs w:val="22"/>
        </w:rPr>
        <w:t>financial stability through regulating the deposit taking institutions in addition to investment banks and insurance firms the FCA adopted the remaining regulatory responsibilities which include policing the financial markets, its support structure and any firms which fall outside of the remit of the PRA. The objective of this study is to examine the efficacy of the regulatory regime in the UK in</w:t>
      </w:r>
      <w:r w:rsidR="0028506F">
        <w:rPr>
          <w:rFonts w:asciiTheme="minorHAnsi" w:hAnsiTheme="minorHAnsi"/>
          <w:sz w:val="22"/>
          <w:szCs w:val="22"/>
        </w:rPr>
        <w:t xml:space="preserve"> controlling the misuse of insider information around mergers and acquisitions in the period since the adoption of FMSA 2000.</w:t>
      </w:r>
    </w:p>
    <w:p w:rsidR="00EA7DB5" w:rsidRDefault="00EA6342" w:rsidP="00EA7DB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To date</w:t>
      </w:r>
      <w:r w:rsidR="007E5E3D">
        <w:rPr>
          <w:rFonts w:asciiTheme="minorHAnsi" w:hAnsiTheme="minorHAnsi"/>
          <w:sz w:val="22"/>
          <w:szCs w:val="22"/>
        </w:rPr>
        <w:t>,</w:t>
      </w:r>
      <w:r>
        <w:rPr>
          <w:rFonts w:asciiTheme="minorHAnsi" w:hAnsiTheme="minorHAnsi"/>
          <w:sz w:val="22"/>
          <w:szCs w:val="22"/>
        </w:rPr>
        <w:t xml:space="preserve"> </w:t>
      </w:r>
      <w:r w:rsidR="00F942AE">
        <w:rPr>
          <w:rFonts w:asciiTheme="minorHAnsi" w:hAnsiTheme="minorHAnsi"/>
          <w:sz w:val="22"/>
          <w:szCs w:val="22"/>
        </w:rPr>
        <w:t>empirical studies that examine</w:t>
      </w:r>
      <w:r w:rsidR="00EA7DB5">
        <w:rPr>
          <w:rFonts w:asciiTheme="minorHAnsi" w:hAnsiTheme="minorHAnsi"/>
          <w:sz w:val="22"/>
          <w:szCs w:val="22"/>
        </w:rPr>
        <w:t xml:space="preserve"> instances of abuse focus upon known ca</w:t>
      </w:r>
      <w:r w:rsidR="007E5E3D">
        <w:rPr>
          <w:rFonts w:asciiTheme="minorHAnsi" w:hAnsiTheme="minorHAnsi"/>
          <w:sz w:val="22"/>
          <w:szCs w:val="22"/>
        </w:rPr>
        <w:t>ses of insider trading (</w:t>
      </w:r>
      <w:proofErr w:type="spellStart"/>
      <w:r w:rsidR="007E5E3D">
        <w:rPr>
          <w:rFonts w:asciiTheme="minorHAnsi" w:hAnsiTheme="minorHAnsi"/>
          <w:sz w:val="22"/>
          <w:szCs w:val="22"/>
        </w:rPr>
        <w:t>Meulbroe</w:t>
      </w:r>
      <w:r w:rsidR="00EA7DB5">
        <w:rPr>
          <w:rFonts w:asciiTheme="minorHAnsi" w:hAnsiTheme="minorHAnsi"/>
          <w:sz w:val="22"/>
          <w:szCs w:val="22"/>
        </w:rPr>
        <w:t>k</w:t>
      </w:r>
      <w:proofErr w:type="spellEnd"/>
      <w:r w:rsidR="00EA7DB5">
        <w:rPr>
          <w:rFonts w:asciiTheme="minorHAnsi" w:hAnsiTheme="minorHAnsi"/>
          <w:sz w:val="22"/>
          <w:szCs w:val="22"/>
        </w:rPr>
        <w:t xml:space="preserve"> 1992, Jarrell and </w:t>
      </w:r>
      <w:proofErr w:type="spellStart"/>
      <w:r w:rsidR="00EA7DB5">
        <w:rPr>
          <w:rFonts w:asciiTheme="minorHAnsi" w:hAnsiTheme="minorHAnsi"/>
          <w:sz w:val="22"/>
          <w:szCs w:val="22"/>
        </w:rPr>
        <w:t>Poulsen</w:t>
      </w:r>
      <w:proofErr w:type="spellEnd"/>
      <w:r w:rsidR="00EA7DB5">
        <w:rPr>
          <w:rFonts w:asciiTheme="minorHAnsi" w:hAnsiTheme="minorHAnsi"/>
          <w:sz w:val="22"/>
          <w:szCs w:val="22"/>
        </w:rPr>
        <w:t xml:space="preserve"> 1989). Research in this area often investigates corporate restructuring events such as mergers, acquisitions and tender offers </w:t>
      </w:r>
      <w:r>
        <w:rPr>
          <w:rFonts w:asciiTheme="minorHAnsi" w:hAnsiTheme="minorHAnsi"/>
          <w:sz w:val="22"/>
          <w:szCs w:val="22"/>
        </w:rPr>
        <w:t>which are usually encompassed in the</w:t>
      </w:r>
      <w:r w:rsidR="00EA7DB5">
        <w:rPr>
          <w:rFonts w:asciiTheme="minorHAnsi" w:hAnsiTheme="minorHAnsi"/>
          <w:sz w:val="22"/>
          <w:szCs w:val="22"/>
        </w:rPr>
        <w:t xml:space="preserve"> catch-all term, takeover. Announcements relating to these have been shown in the literature to have a price altering effect </w:t>
      </w:r>
      <w:r w:rsidR="00861DCF">
        <w:rPr>
          <w:rFonts w:asciiTheme="minorHAnsi" w:hAnsiTheme="minorHAnsi"/>
          <w:sz w:val="22"/>
          <w:szCs w:val="22"/>
        </w:rPr>
        <w:t>when a</w:t>
      </w:r>
      <w:r>
        <w:rPr>
          <w:rFonts w:asciiTheme="minorHAnsi" w:hAnsiTheme="minorHAnsi"/>
          <w:sz w:val="22"/>
          <w:szCs w:val="22"/>
        </w:rPr>
        <w:t xml:space="preserve"> proportion of the anticipated premium is incorporated into the underlying asset price ahead of the completion date following the announcement (</w:t>
      </w:r>
      <w:proofErr w:type="spellStart"/>
      <w:r>
        <w:rPr>
          <w:rFonts w:asciiTheme="minorHAnsi" w:hAnsiTheme="minorHAnsi"/>
          <w:sz w:val="22"/>
          <w:szCs w:val="22"/>
        </w:rPr>
        <w:t>Seyhun</w:t>
      </w:r>
      <w:proofErr w:type="spellEnd"/>
      <w:r>
        <w:rPr>
          <w:rFonts w:asciiTheme="minorHAnsi" w:hAnsiTheme="minorHAnsi"/>
          <w:sz w:val="22"/>
          <w:szCs w:val="22"/>
        </w:rPr>
        <w:t xml:space="preserve"> 1992)</w:t>
      </w:r>
      <w:r w:rsidR="00EA7DB5">
        <w:rPr>
          <w:rFonts w:asciiTheme="minorHAnsi" w:hAnsiTheme="minorHAnsi"/>
          <w:sz w:val="22"/>
          <w:szCs w:val="22"/>
        </w:rPr>
        <w:t xml:space="preserve">. </w:t>
      </w:r>
      <w:r>
        <w:rPr>
          <w:rFonts w:asciiTheme="minorHAnsi" w:hAnsiTheme="minorHAnsi"/>
          <w:sz w:val="22"/>
          <w:szCs w:val="22"/>
        </w:rPr>
        <w:t>The anticipation is not limited to beginning just after the date when an acquiring firm officially announces its intention to engage in a takeover. A</w:t>
      </w:r>
      <w:r w:rsidR="00EA7DB5">
        <w:rPr>
          <w:rFonts w:asciiTheme="minorHAnsi" w:hAnsiTheme="minorHAnsi"/>
          <w:sz w:val="22"/>
          <w:szCs w:val="22"/>
        </w:rPr>
        <w:t xml:space="preserve"> reaction is discernible in the target company’s stock </w:t>
      </w:r>
      <w:r>
        <w:rPr>
          <w:rFonts w:asciiTheme="minorHAnsi" w:hAnsiTheme="minorHAnsi"/>
          <w:sz w:val="22"/>
          <w:szCs w:val="22"/>
        </w:rPr>
        <w:t xml:space="preserve">price </w:t>
      </w:r>
      <w:r w:rsidR="00EA7DB5">
        <w:rPr>
          <w:rFonts w:asciiTheme="minorHAnsi" w:hAnsiTheme="minorHAnsi"/>
          <w:sz w:val="22"/>
          <w:szCs w:val="22"/>
        </w:rPr>
        <w:t xml:space="preserve">prior </w:t>
      </w:r>
      <w:r>
        <w:rPr>
          <w:rFonts w:asciiTheme="minorHAnsi" w:hAnsiTheme="minorHAnsi"/>
          <w:sz w:val="22"/>
          <w:szCs w:val="22"/>
        </w:rPr>
        <w:t xml:space="preserve">to the date when the </w:t>
      </w:r>
      <w:r w:rsidR="00EA7DB5">
        <w:rPr>
          <w:rFonts w:asciiTheme="minorHAnsi" w:hAnsiTheme="minorHAnsi"/>
          <w:sz w:val="22"/>
          <w:szCs w:val="22"/>
        </w:rPr>
        <w:t>knowledge of the event becom</w:t>
      </w:r>
      <w:r w:rsidR="00861DCF">
        <w:rPr>
          <w:rFonts w:asciiTheme="minorHAnsi" w:hAnsiTheme="minorHAnsi"/>
          <w:sz w:val="22"/>
          <w:szCs w:val="22"/>
        </w:rPr>
        <w:t>es</w:t>
      </w:r>
      <w:r w:rsidR="00EA7DB5">
        <w:rPr>
          <w:rFonts w:asciiTheme="minorHAnsi" w:hAnsiTheme="minorHAnsi"/>
          <w:sz w:val="22"/>
          <w:szCs w:val="22"/>
        </w:rPr>
        <w:t xml:space="preserve"> publicly available. A </w:t>
      </w:r>
      <w:r w:rsidR="00EA7DB5">
        <w:rPr>
          <w:rFonts w:asciiTheme="minorHAnsi" w:hAnsiTheme="minorHAnsi"/>
          <w:sz w:val="22"/>
          <w:szCs w:val="22"/>
        </w:rPr>
        <w:lastRenderedPageBreak/>
        <w:t>broad body of empirical literature has been published both in Europe and the US, which support</w:t>
      </w:r>
      <w:r w:rsidR="00861DCF">
        <w:rPr>
          <w:rFonts w:asciiTheme="minorHAnsi" w:hAnsiTheme="minorHAnsi"/>
          <w:sz w:val="22"/>
          <w:szCs w:val="22"/>
        </w:rPr>
        <w:t>s</w:t>
      </w:r>
      <w:r w:rsidR="00EA7DB5">
        <w:rPr>
          <w:rFonts w:asciiTheme="minorHAnsi" w:hAnsiTheme="minorHAnsi"/>
          <w:sz w:val="22"/>
          <w:szCs w:val="22"/>
        </w:rPr>
        <w:t xml:space="preserve"> this position (Keown and Pinkerton 1981, Jens</w:t>
      </w:r>
      <w:r w:rsidR="00343BD7">
        <w:rPr>
          <w:rFonts w:asciiTheme="minorHAnsi" w:hAnsiTheme="minorHAnsi"/>
          <w:sz w:val="22"/>
          <w:szCs w:val="22"/>
        </w:rPr>
        <w:t>e</w:t>
      </w:r>
      <w:r w:rsidR="00EA7DB5">
        <w:rPr>
          <w:rFonts w:asciiTheme="minorHAnsi" w:hAnsiTheme="minorHAnsi"/>
          <w:sz w:val="22"/>
          <w:szCs w:val="22"/>
        </w:rPr>
        <w:t xml:space="preserve">n and </w:t>
      </w:r>
      <w:proofErr w:type="spellStart"/>
      <w:r w:rsidR="00EA7DB5">
        <w:rPr>
          <w:rFonts w:asciiTheme="minorHAnsi" w:hAnsiTheme="minorHAnsi"/>
          <w:sz w:val="22"/>
          <w:szCs w:val="22"/>
        </w:rPr>
        <w:t>Ruback</w:t>
      </w:r>
      <w:proofErr w:type="spellEnd"/>
      <w:r w:rsidR="00EA7DB5">
        <w:rPr>
          <w:rFonts w:asciiTheme="minorHAnsi" w:hAnsiTheme="minorHAnsi"/>
          <w:sz w:val="22"/>
          <w:szCs w:val="22"/>
        </w:rPr>
        <w:t xml:space="preserve"> 198</w:t>
      </w:r>
      <w:r w:rsidR="00343BD7">
        <w:rPr>
          <w:rFonts w:asciiTheme="minorHAnsi" w:hAnsiTheme="minorHAnsi"/>
          <w:sz w:val="22"/>
          <w:szCs w:val="22"/>
        </w:rPr>
        <w:t>3</w:t>
      </w:r>
      <w:r w:rsidR="00EA7DB5">
        <w:rPr>
          <w:rFonts w:asciiTheme="minorHAnsi" w:hAnsiTheme="minorHAnsi"/>
          <w:sz w:val="22"/>
          <w:szCs w:val="22"/>
        </w:rPr>
        <w:t xml:space="preserve">, </w:t>
      </w:r>
      <w:proofErr w:type="spellStart"/>
      <w:r w:rsidR="00EA7DB5">
        <w:rPr>
          <w:rFonts w:asciiTheme="minorHAnsi" w:hAnsiTheme="minorHAnsi"/>
          <w:sz w:val="22"/>
          <w:szCs w:val="22"/>
        </w:rPr>
        <w:t>Seyhun</w:t>
      </w:r>
      <w:proofErr w:type="spellEnd"/>
      <w:r w:rsidR="00EA7DB5">
        <w:rPr>
          <w:rFonts w:asciiTheme="minorHAnsi" w:hAnsiTheme="minorHAnsi"/>
          <w:sz w:val="22"/>
          <w:szCs w:val="22"/>
        </w:rPr>
        <w:t xml:space="preserve"> 2000, Bris 2005, among</w:t>
      </w:r>
      <w:r>
        <w:rPr>
          <w:rFonts w:asciiTheme="minorHAnsi" w:hAnsiTheme="minorHAnsi"/>
          <w:sz w:val="22"/>
          <w:szCs w:val="22"/>
        </w:rPr>
        <w:t>st</w:t>
      </w:r>
      <w:r w:rsidR="00EA7DB5">
        <w:rPr>
          <w:rFonts w:asciiTheme="minorHAnsi" w:hAnsiTheme="minorHAnsi"/>
          <w:sz w:val="22"/>
          <w:szCs w:val="22"/>
        </w:rPr>
        <w:t xml:space="preserve"> others).</w:t>
      </w:r>
      <w:r>
        <w:rPr>
          <w:rFonts w:asciiTheme="minorHAnsi" w:hAnsiTheme="minorHAnsi"/>
          <w:sz w:val="22"/>
          <w:szCs w:val="22"/>
        </w:rPr>
        <w:t xml:space="preserve"> The question for researchers and regulators is wh</w:t>
      </w:r>
      <w:r w:rsidR="00D040D9">
        <w:rPr>
          <w:rFonts w:asciiTheme="minorHAnsi" w:hAnsiTheme="minorHAnsi"/>
          <w:sz w:val="22"/>
          <w:szCs w:val="22"/>
        </w:rPr>
        <w:t>ich</w:t>
      </w:r>
      <w:r>
        <w:rPr>
          <w:rFonts w:asciiTheme="minorHAnsi" w:hAnsiTheme="minorHAnsi"/>
          <w:sz w:val="22"/>
          <w:szCs w:val="22"/>
        </w:rPr>
        <w:t xml:space="preserve"> factors dr</w:t>
      </w:r>
      <w:r w:rsidR="00D040D9">
        <w:rPr>
          <w:rFonts w:asciiTheme="minorHAnsi" w:hAnsiTheme="minorHAnsi"/>
          <w:sz w:val="22"/>
          <w:szCs w:val="22"/>
        </w:rPr>
        <w:t>ive these anticipatory price movements.</w:t>
      </w:r>
    </w:p>
    <w:p w:rsidR="00EA7DB5" w:rsidRDefault="00EA7DB5" w:rsidP="00EA7DB5">
      <w:pPr>
        <w:pStyle w:val="Standard"/>
        <w:spacing w:line="480" w:lineRule="auto"/>
        <w:ind w:left="851"/>
        <w:jc w:val="both"/>
        <w:rPr>
          <w:rFonts w:asciiTheme="minorHAnsi" w:hAnsiTheme="minorHAnsi"/>
          <w:sz w:val="22"/>
          <w:szCs w:val="22"/>
        </w:rPr>
      </w:pPr>
      <w:r>
        <w:rPr>
          <w:rFonts w:asciiTheme="minorHAnsi" w:hAnsiTheme="minorHAnsi"/>
          <w:sz w:val="22"/>
          <w:szCs w:val="22"/>
        </w:rPr>
        <w:t>Presumed in much previous work is that the pre-event price run up occurs as a result of informe</w:t>
      </w:r>
      <w:r w:rsidR="007E5E3D">
        <w:rPr>
          <w:rFonts w:asciiTheme="minorHAnsi" w:hAnsiTheme="minorHAnsi"/>
          <w:sz w:val="22"/>
          <w:szCs w:val="22"/>
        </w:rPr>
        <w:t>d trading (</w:t>
      </w:r>
      <w:proofErr w:type="spellStart"/>
      <w:r w:rsidR="007E5E3D">
        <w:rPr>
          <w:rFonts w:asciiTheme="minorHAnsi" w:hAnsiTheme="minorHAnsi"/>
          <w:sz w:val="22"/>
          <w:szCs w:val="22"/>
        </w:rPr>
        <w:t>Seyhun</w:t>
      </w:r>
      <w:proofErr w:type="spellEnd"/>
      <w:r w:rsidR="007E5E3D">
        <w:rPr>
          <w:rFonts w:asciiTheme="minorHAnsi" w:hAnsiTheme="minorHAnsi"/>
          <w:sz w:val="22"/>
          <w:szCs w:val="22"/>
        </w:rPr>
        <w:t xml:space="preserve"> 1992, </w:t>
      </w:r>
      <w:proofErr w:type="spellStart"/>
      <w:r w:rsidR="007E5E3D">
        <w:rPr>
          <w:rFonts w:asciiTheme="minorHAnsi" w:hAnsiTheme="minorHAnsi"/>
          <w:sz w:val="22"/>
          <w:szCs w:val="22"/>
        </w:rPr>
        <w:t>Meulbroek</w:t>
      </w:r>
      <w:proofErr w:type="spellEnd"/>
      <w:r w:rsidR="007E5E3D">
        <w:rPr>
          <w:rFonts w:asciiTheme="minorHAnsi" w:hAnsiTheme="minorHAnsi"/>
          <w:sz w:val="22"/>
          <w:szCs w:val="22"/>
        </w:rPr>
        <w:t xml:space="preserve"> and Hart 1997, </w:t>
      </w:r>
      <w:proofErr w:type="spellStart"/>
      <w:r w:rsidR="007E5E3D">
        <w:rPr>
          <w:rFonts w:asciiTheme="minorHAnsi" w:hAnsiTheme="minorHAnsi"/>
          <w:sz w:val="22"/>
          <w:szCs w:val="22"/>
        </w:rPr>
        <w:t>Meulbroe</w:t>
      </w:r>
      <w:r>
        <w:rPr>
          <w:rFonts w:asciiTheme="minorHAnsi" w:hAnsiTheme="minorHAnsi"/>
          <w:sz w:val="22"/>
          <w:szCs w:val="22"/>
        </w:rPr>
        <w:t>k</w:t>
      </w:r>
      <w:proofErr w:type="spellEnd"/>
      <w:r>
        <w:rPr>
          <w:rFonts w:asciiTheme="minorHAnsi" w:hAnsiTheme="minorHAnsi"/>
          <w:sz w:val="22"/>
          <w:szCs w:val="22"/>
        </w:rPr>
        <w:t xml:space="preserve"> 1992, </w:t>
      </w:r>
      <w:proofErr w:type="spellStart"/>
      <w:r>
        <w:rPr>
          <w:rFonts w:asciiTheme="minorHAnsi" w:hAnsiTheme="minorHAnsi"/>
          <w:sz w:val="22"/>
          <w:szCs w:val="22"/>
        </w:rPr>
        <w:t>Korczak</w:t>
      </w:r>
      <w:proofErr w:type="spellEnd"/>
      <w:r>
        <w:rPr>
          <w:rFonts w:asciiTheme="minorHAnsi" w:hAnsiTheme="minorHAnsi"/>
          <w:sz w:val="22"/>
          <w:szCs w:val="22"/>
        </w:rPr>
        <w:t xml:space="preserve"> et al 2010). If such </w:t>
      </w:r>
      <w:r w:rsidR="00D040D9">
        <w:rPr>
          <w:rFonts w:asciiTheme="minorHAnsi" w:hAnsiTheme="minorHAnsi"/>
          <w:sz w:val="22"/>
          <w:szCs w:val="22"/>
        </w:rPr>
        <w:t>abnormal returns are observable in the run-up to a takeover announcement then</w:t>
      </w:r>
      <w:r>
        <w:rPr>
          <w:rFonts w:asciiTheme="minorHAnsi" w:hAnsiTheme="minorHAnsi"/>
          <w:sz w:val="22"/>
          <w:szCs w:val="22"/>
        </w:rPr>
        <w:t xml:space="preserve"> this could draw into question the effectiveness of legislation and the </w:t>
      </w:r>
      <w:r w:rsidR="00D040D9">
        <w:rPr>
          <w:rFonts w:asciiTheme="minorHAnsi" w:hAnsiTheme="minorHAnsi"/>
          <w:sz w:val="22"/>
          <w:szCs w:val="22"/>
        </w:rPr>
        <w:t xml:space="preserve">regulator’s </w:t>
      </w:r>
      <w:r>
        <w:rPr>
          <w:rFonts w:asciiTheme="minorHAnsi" w:hAnsiTheme="minorHAnsi"/>
          <w:sz w:val="22"/>
          <w:szCs w:val="22"/>
        </w:rPr>
        <w:t>capacity to act as an enforcer. This</w:t>
      </w:r>
      <w:r w:rsidR="00D040D9">
        <w:rPr>
          <w:rFonts w:asciiTheme="minorHAnsi" w:hAnsiTheme="minorHAnsi"/>
          <w:sz w:val="22"/>
          <w:szCs w:val="22"/>
        </w:rPr>
        <w:t xml:space="preserve"> is </w:t>
      </w:r>
      <w:r w:rsidR="00BD7CE2">
        <w:rPr>
          <w:rFonts w:asciiTheme="minorHAnsi" w:hAnsiTheme="minorHAnsi"/>
          <w:sz w:val="22"/>
          <w:szCs w:val="22"/>
        </w:rPr>
        <w:t xml:space="preserve">often </w:t>
      </w:r>
      <w:r w:rsidR="00D040D9">
        <w:rPr>
          <w:rFonts w:asciiTheme="minorHAnsi" w:hAnsiTheme="minorHAnsi"/>
          <w:sz w:val="22"/>
          <w:szCs w:val="22"/>
        </w:rPr>
        <w:t>referred to in the literature as the ‘I</w:t>
      </w:r>
      <w:r>
        <w:rPr>
          <w:rFonts w:asciiTheme="minorHAnsi" w:hAnsiTheme="minorHAnsi"/>
          <w:sz w:val="22"/>
          <w:szCs w:val="22"/>
        </w:rPr>
        <w:t xml:space="preserve">nformed trading </w:t>
      </w:r>
      <w:r w:rsidR="00D040D9">
        <w:rPr>
          <w:rFonts w:asciiTheme="minorHAnsi" w:hAnsiTheme="minorHAnsi"/>
          <w:sz w:val="22"/>
          <w:szCs w:val="22"/>
        </w:rPr>
        <w:t xml:space="preserve">hypotheses’. </w:t>
      </w:r>
      <w:r>
        <w:rPr>
          <w:rFonts w:asciiTheme="minorHAnsi" w:hAnsiTheme="minorHAnsi"/>
          <w:sz w:val="22"/>
          <w:szCs w:val="22"/>
        </w:rPr>
        <w:t xml:space="preserve">This paper’s main contribution is to attempt to resolve this debate in the UK within a post </w:t>
      </w:r>
      <w:r w:rsidR="00354B05">
        <w:rPr>
          <w:rFonts w:asciiTheme="minorHAnsi" w:hAnsiTheme="minorHAnsi"/>
          <w:sz w:val="22"/>
          <w:szCs w:val="22"/>
        </w:rPr>
        <w:t>FMSA</w:t>
      </w:r>
      <w:r>
        <w:rPr>
          <w:rFonts w:asciiTheme="minorHAnsi" w:hAnsiTheme="minorHAnsi"/>
          <w:sz w:val="22"/>
          <w:szCs w:val="22"/>
        </w:rPr>
        <w:t xml:space="preserve"> </w:t>
      </w:r>
      <w:r w:rsidR="00354B05">
        <w:rPr>
          <w:rFonts w:asciiTheme="minorHAnsi" w:hAnsiTheme="minorHAnsi"/>
          <w:sz w:val="22"/>
          <w:szCs w:val="22"/>
        </w:rPr>
        <w:t>(</w:t>
      </w:r>
      <w:r>
        <w:rPr>
          <w:rFonts w:asciiTheme="minorHAnsi" w:hAnsiTheme="minorHAnsi"/>
          <w:sz w:val="22"/>
          <w:szCs w:val="22"/>
        </w:rPr>
        <w:t>2000</w:t>
      </w:r>
      <w:r w:rsidR="00354B05">
        <w:rPr>
          <w:rFonts w:asciiTheme="minorHAnsi" w:hAnsiTheme="minorHAnsi"/>
          <w:sz w:val="22"/>
          <w:szCs w:val="22"/>
        </w:rPr>
        <w:t>)</w:t>
      </w:r>
      <w:r>
        <w:rPr>
          <w:rFonts w:asciiTheme="minorHAnsi" w:hAnsiTheme="minorHAnsi"/>
          <w:sz w:val="22"/>
          <w:szCs w:val="22"/>
        </w:rPr>
        <w:t xml:space="preserve"> context.</w:t>
      </w:r>
    </w:p>
    <w:p w:rsidR="00EA7DB5" w:rsidRDefault="00460D35" w:rsidP="006529E7">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Shortly after the passing of the FMSA into legislation</w:t>
      </w:r>
      <w:r w:rsidR="00037B45">
        <w:rPr>
          <w:rFonts w:asciiTheme="minorHAnsi" w:hAnsiTheme="minorHAnsi"/>
          <w:sz w:val="22"/>
          <w:szCs w:val="22"/>
        </w:rPr>
        <w:t>,</w:t>
      </w:r>
      <w:r>
        <w:rPr>
          <w:rFonts w:asciiTheme="minorHAnsi" w:hAnsiTheme="minorHAnsi"/>
          <w:sz w:val="22"/>
          <w:szCs w:val="22"/>
        </w:rPr>
        <w:t xml:space="preserve"> the FSA (which has now become the FCA) adopted the role of </w:t>
      </w:r>
      <w:r w:rsidR="00EA7DB5">
        <w:rPr>
          <w:rFonts w:asciiTheme="minorHAnsi" w:hAnsiTheme="minorHAnsi"/>
          <w:sz w:val="22"/>
          <w:szCs w:val="22"/>
        </w:rPr>
        <w:t>‘policeman of the markets’</w:t>
      </w:r>
      <w:r w:rsidR="00AA7397">
        <w:rPr>
          <w:rFonts w:asciiTheme="minorHAnsi" w:hAnsiTheme="minorHAnsi"/>
          <w:sz w:val="22"/>
          <w:szCs w:val="22"/>
        </w:rPr>
        <w:t xml:space="preserve"> ensuring that those in a position to engage in Market Abuse would be sufficiently deterred from doing so</w:t>
      </w:r>
      <w:r w:rsidR="00EA7DB5">
        <w:rPr>
          <w:rFonts w:asciiTheme="minorHAnsi" w:hAnsiTheme="minorHAnsi"/>
          <w:sz w:val="22"/>
          <w:szCs w:val="22"/>
        </w:rPr>
        <w:t>.</w:t>
      </w:r>
      <w:r w:rsidR="00736A31">
        <w:rPr>
          <w:rFonts w:asciiTheme="minorHAnsi" w:hAnsiTheme="minorHAnsi"/>
          <w:sz w:val="22"/>
          <w:szCs w:val="22"/>
        </w:rPr>
        <w:t xml:space="preserve"> Monitoring the activity of capital markets in an economy which is as developed as that of the UK is not an easy undertaking. By its own admission the</w:t>
      </w:r>
      <w:r w:rsidR="00EA7DB5">
        <w:rPr>
          <w:rFonts w:asciiTheme="minorHAnsi" w:hAnsiTheme="minorHAnsi"/>
          <w:sz w:val="22"/>
          <w:szCs w:val="22"/>
        </w:rPr>
        <w:t xml:space="preserve"> FSA </w:t>
      </w:r>
      <w:r w:rsidR="00736A31">
        <w:rPr>
          <w:rFonts w:asciiTheme="minorHAnsi" w:hAnsiTheme="minorHAnsi"/>
          <w:sz w:val="22"/>
          <w:szCs w:val="22"/>
        </w:rPr>
        <w:t>acknowledges that</w:t>
      </w:r>
      <w:r w:rsidR="00EA7DB5">
        <w:rPr>
          <w:rFonts w:asciiTheme="minorHAnsi" w:hAnsiTheme="minorHAnsi"/>
          <w:sz w:val="22"/>
          <w:szCs w:val="22"/>
        </w:rPr>
        <w:t xml:space="preserve"> a scarcity of resources prohibits it from following up on every suspicious transaction </w:t>
      </w:r>
      <w:r w:rsidR="00736A31">
        <w:rPr>
          <w:rFonts w:asciiTheme="minorHAnsi" w:hAnsiTheme="minorHAnsi"/>
          <w:sz w:val="22"/>
          <w:szCs w:val="22"/>
        </w:rPr>
        <w:t xml:space="preserve">that is made </w:t>
      </w:r>
      <w:r w:rsidR="00EA7DB5">
        <w:rPr>
          <w:rFonts w:asciiTheme="minorHAnsi" w:hAnsiTheme="minorHAnsi"/>
          <w:sz w:val="22"/>
          <w:szCs w:val="22"/>
        </w:rPr>
        <w:t xml:space="preserve">(Barnes </w:t>
      </w:r>
      <w:r w:rsidR="00C36C31">
        <w:rPr>
          <w:rFonts w:asciiTheme="minorHAnsi" w:hAnsiTheme="minorHAnsi"/>
          <w:sz w:val="22"/>
          <w:szCs w:val="22"/>
        </w:rPr>
        <w:t>199</w:t>
      </w:r>
      <w:r w:rsidR="00EA7DB5">
        <w:rPr>
          <w:rFonts w:asciiTheme="minorHAnsi" w:hAnsiTheme="minorHAnsi"/>
          <w:sz w:val="22"/>
          <w:szCs w:val="22"/>
        </w:rPr>
        <w:t>9).</w:t>
      </w:r>
      <w:r w:rsidR="00736A31">
        <w:rPr>
          <w:rFonts w:asciiTheme="minorHAnsi" w:hAnsiTheme="minorHAnsi"/>
          <w:sz w:val="22"/>
          <w:szCs w:val="22"/>
        </w:rPr>
        <w:t xml:space="preserve"> The level of success is difficult to gauge </w:t>
      </w:r>
      <w:r w:rsidR="00D65EAE">
        <w:rPr>
          <w:rFonts w:asciiTheme="minorHAnsi" w:hAnsiTheme="minorHAnsi"/>
          <w:sz w:val="22"/>
          <w:szCs w:val="22"/>
        </w:rPr>
        <w:t>as figure</w:t>
      </w:r>
      <w:r w:rsidR="005E1AF2">
        <w:rPr>
          <w:rFonts w:asciiTheme="minorHAnsi" w:hAnsiTheme="minorHAnsi"/>
          <w:sz w:val="22"/>
          <w:szCs w:val="22"/>
        </w:rPr>
        <w:t>s</w:t>
      </w:r>
      <w:r w:rsidR="00D65EAE">
        <w:rPr>
          <w:rFonts w:asciiTheme="minorHAnsi" w:hAnsiTheme="minorHAnsi"/>
          <w:sz w:val="22"/>
          <w:szCs w:val="22"/>
        </w:rPr>
        <w:t xml:space="preserve"> drawn from detection levels can only be understood as a proportion of all wrongdoing. Instances of market abuse go largely unreported and while the practice is not victimless it is often the case that the victims themselves </w:t>
      </w:r>
      <w:r w:rsidR="00F007E0">
        <w:rPr>
          <w:rFonts w:asciiTheme="minorHAnsi" w:hAnsiTheme="minorHAnsi"/>
          <w:sz w:val="22"/>
          <w:szCs w:val="22"/>
        </w:rPr>
        <w:t>are</w:t>
      </w:r>
      <w:r w:rsidR="00D65EAE">
        <w:rPr>
          <w:rFonts w:asciiTheme="minorHAnsi" w:hAnsiTheme="minorHAnsi"/>
          <w:sz w:val="22"/>
          <w:szCs w:val="22"/>
        </w:rPr>
        <w:t xml:space="preserve"> not aware of the transgression. </w:t>
      </w:r>
      <w:r w:rsidR="006529E7">
        <w:rPr>
          <w:rFonts w:asciiTheme="minorHAnsi" w:hAnsiTheme="minorHAnsi"/>
          <w:sz w:val="22"/>
          <w:szCs w:val="22"/>
        </w:rPr>
        <w:t xml:space="preserve">As such, in order to glimpse some evidence of market abuse, we are forced to rely upon inferences from activity prior to </w:t>
      </w:r>
      <w:r w:rsidR="009E2A9D">
        <w:rPr>
          <w:rFonts w:asciiTheme="minorHAnsi" w:hAnsiTheme="minorHAnsi"/>
          <w:sz w:val="22"/>
          <w:szCs w:val="22"/>
        </w:rPr>
        <w:t>events which are known to affect a company’s value in a given way.</w:t>
      </w:r>
      <w:r w:rsidR="00EA7DB5">
        <w:rPr>
          <w:rFonts w:asciiTheme="minorHAnsi" w:hAnsiTheme="minorHAnsi"/>
          <w:sz w:val="22"/>
          <w:szCs w:val="22"/>
        </w:rPr>
        <w:t xml:space="preserve"> </w:t>
      </w:r>
      <w:r w:rsidR="009E2A9D">
        <w:rPr>
          <w:rFonts w:asciiTheme="minorHAnsi" w:hAnsiTheme="minorHAnsi"/>
          <w:sz w:val="22"/>
          <w:szCs w:val="22"/>
        </w:rPr>
        <w:t xml:space="preserve">Takeovers are </w:t>
      </w:r>
      <w:r w:rsidR="009C1C24">
        <w:rPr>
          <w:rFonts w:asciiTheme="minorHAnsi" w:hAnsiTheme="minorHAnsi"/>
          <w:sz w:val="22"/>
          <w:szCs w:val="22"/>
        </w:rPr>
        <w:t>an event type which offers</w:t>
      </w:r>
      <w:r w:rsidR="009E2A9D">
        <w:rPr>
          <w:rFonts w:asciiTheme="minorHAnsi" w:hAnsiTheme="minorHAnsi"/>
          <w:sz w:val="22"/>
          <w:szCs w:val="22"/>
        </w:rPr>
        <w:t xml:space="preserve"> to those in possession of private information an opportunity to capitalise on the</w:t>
      </w:r>
      <w:r w:rsidR="008734B6">
        <w:rPr>
          <w:rFonts w:asciiTheme="minorHAnsi" w:hAnsiTheme="minorHAnsi"/>
          <w:sz w:val="22"/>
          <w:szCs w:val="22"/>
        </w:rPr>
        <w:t>ir position.</w:t>
      </w:r>
      <w:r w:rsidR="009C1C24">
        <w:rPr>
          <w:rFonts w:asciiTheme="minorHAnsi" w:hAnsiTheme="minorHAnsi"/>
          <w:sz w:val="22"/>
          <w:szCs w:val="22"/>
        </w:rPr>
        <w:t xml:space="preserve"> An individual in possession of the knowledge that a takeover may occur can place themselves on the winning end of a trade in a target </w:t>
      </w:r>
      <w:r w:rsidR="009C1C24">
        <w:rPr>
          <w:rFonts w:asciiTheme="minorHAnsi" w:hAnsiTheme="minorHAnsi"/>
          <w:sz w:val="22"/>
          <w:szCs w:val="22"/>
        </w:rPr>
        <w:lastRenderedPageBreak/>
        <w:t>firms shares.</w:t>
      </w:r>
      <w:r w:rsidR="00037B45">
        <w:rPr>
          <w:rFonts w:asciiTheme="minorHAnsi" w:hAnsiTheme="minorHAnsi"/>
          <w:sz w:val="22"/>
          <w:szCs w:val="22"/>
        </w:rPr>
        <w:t xml:space="preserve"> The investigative procedure for this study seeks to establish whether there is a significant ex ante reaction in stock price prior to the news reaching the market of an impending takeover. </w:t>
      </w:r>
    </w:p>
    <w:p w:rsidR="00EA7DB5" w:rsidRDefault="009A53AA" w:rsidP="00EA7DB5">
      <w:pPr>
        <w:pStyle w:val="Standard"/>
        <w:spacing w:line="480" w:lineRule="auto"/>
        <w:ind w:left="851" w:firstLine="589"/>
        <w:jc w:val="both"/>
        <w:rPr>
          <w:rFonts w:asciiTheme="minorHAnsi" w:hAnsiTheme="minorHAnsi"/>
          <w:sz w:val="22"/>
          <w:szCs w:val="22"/>
        </w:rPr>
      </w:pPr>
      <w:r w:rsidRPr="009A53AA">
        <w:rPr>
          <w:rFonts w:asciiTheme="minorHAnsi" w:hAnsiTheme="minorHAnsi"/>
          <w:sz w:val="22"/>
          <w:szCs w:val="22"/>
        </w:rPr>
        <w:t>This is achieved using</w:t>
      </w:r>
      <w:r w:rsidR="003A05C2" w:rsidRPr="009A53AA">
        <w:rPr>
          <w:rFonts w:asciiTheme="minorHAnsi" w:hAnsiTheme="minorHAnsi"/>
          <w:sz w:val="22"/>
          <w:szCs w:val="22"/>
        </w:rPr>
        <w:t xml:space="preserve"> event study analysis </w:t>
      </w:r>
      <w:r w:rsidR="003C1876">
        <w:rPr>
          <w:rFonts w:asciiTheme="minorHAnsi" w:hAnsiTheme="minorHAnsi"/>
          <w:sz w:val="22"/>
          <w:szCs w:val="22"/>
        </w:rPr>
        <w:t>that</w:t>
      </w:r>
      <w:r w:rsidR="003A05C2">
        <w:rPr>
          <w:rFonts w:asciiTheme="minorHAnsi" w:hAnsiTheme="minorHAnsi"/>
          <w:sz w:val="22"/>
          <w:szCs w:val="22"/>
        </w:rPr>
        <w:t xml:space="preserve"> check</w:t>
      </w:r>
      <w:r w:rsidR="003C1876">
        <w:rPr>
          <w:rFonts w:asciiTheme="minorHAnsi" w:hAnsiTheme="minorHAnsi"/>
          <w:sz w:val="22"/>
          <w:szCs w:val="22"/>
        </w:rPr>
        <w:t>s</w:t>
      </w:r>
      <w:r w:rsidR="003A05C2">
        <w:rPr>
          <w:rFonts w:asciiTheme="minorHAnsi" w:hAnsiTheme="minorHAnsi"/>
          <w:sz w:val="22"/>
          <w:szCs w:val="22"/>
        </w:rPr>
        <w:t xml:space="preserve"> for the presence of</w:t>
      </w:r>
      <w:r w:rsidR="00EA7DB5">
        <w:rPr>
          <w:rFonts w:asciiTheme="minorHAnsi" w:hAnsiTheme="minorHAnsi"/>
          <w:sz w:val="22"/>
          <w:szCs w:val="22"/>
        </w:rPr>
        <w:t xml:space="preserve"> abnormal returns prior to the announcement dates. </w:t>
      </w:r>
      <w:r w:rsidR="003A05C2">
        <w:rPr>
          <w:rFonts w:asciiTheme="minorHAnsi" w:hAnsiTheme="minorHAnsi"/>
          <w:sz w:val="22"/>
          <w:szCs w:val="22"/>
        </w:rPr>
        <w:t>With takeovers there are two possible dates that news that a firm has become a target will reach the market</w:t>
      </w:r>
      <w:r w:rsidR="00E92AFF">
        <w:rPr>
          <w:rFonts w:asciiTheme="minorHAnsi" w:hAnsiTheme="minorHAnsi"/>
          <w:sz w:val="22"/>
          <w:szCs w:val="22"/>
        </w:rPr>
        <w:t xml:space="preserve">. There is </w:t>
      </w:r>
      <w:r w:rsidR="003C1876">
        <w:rPr>
          <w:rFonts w:asciiTheme="minorHAnsi" w:hAnsiTheme="minorHAnsi"/>
          <w:sz w:val="22"/>
          <w:szCs w:val="22"/>
        </w:rPr>
        <w:t>the</w:t>
      </w:r>
      <w:r w:rsidR="00E92AFF">
        <w:rPr>
          <w:rFonts w:asciiTheme="minorHAnsi" w:hAnsiTheme="minorHAnsi"/>
          <w:sz w:val="22"/>
          <w:szCs w:val="22"/>
        </w:rPr>
        <w:t xml:space="preserve"> rumour date, where news reaches the market that a firm may be taken over and there is </w:t>
      </w:r>
      <w:r w:rsidR="003C1876">
        <w:rPr>
          <w:rFonts w:asciiTheme="minorHAnsi" w:hAnsiTheme="minorHAnsi"/>
          <w:sz w:val="22"/>
          <w:szCs w:val="22"/>
        </w:rPr>
        <w:t>the</w:t>
      </w:r>
      <w:r w:rsidR="00E92AFF">
        <w:rPr>
          <w:rFonts w:asciiTheme="minorHAnsi" w:hAnsiTheme="minorHAnsi"/>
          <w:sz w:val="22"/>
          <w:szCs w:val="22"/>
        </w:rPr>
        <w:t xml:space="preserve"> announcement date, this is where a firm will officially declare its intention to target another firm</w:t>
      </w:r>
      <w:r w:rsidR="002A2E25">
        <w:rPr>
          <w:rFonts w:asciiTheme="minorHAnsi" w:hAnsiTheme="minorHAnsi"/>
          <w:sz w:val="22"/>
          <w:szCs w:val="22"/>
        </w:rPr>
        <w:t>.</w:t>
      </w:r>
      <w:r w:rsidR="002A2E25" w:rsidRPr="002A2E25">
        <w:t xml:space="preserve"> </w:t>
      </w:r>
      <w:r w:rsidR="002A2E25" w:rsidRPr="002A2E25">
        <w:rPr>
          <w:rFonts w:asciiTheme="minorHAnsi" w:hAnsiTheme="minorHAnsi"/>
          <w:sz w:val="22"/>
          <w:szCs w:val="22"/>
        </w:rPr>
        <w:t>This study uses a sample of rumour dates for only those deals which have been completed</w:t>
      </w:r>
      <w:r w:rsidR="003C1876">
        <w:rPr>
          <w:rFonts w:asciiTheme="minorHAnsi" w:hAnsiTheme="minorHAnsi"/>
          <w:sz w:val="22"/>
          <w:szCs w:val="22"/>
        </w:rPr>
        <w:t>,</w:t>
      </w:r>
      <w:r w:rsidR="002A2E25" w:rsidRPr="002A2E25">
        <w:rPr>
          <w:rFonts w:asciiTheme="minorHAnsi" w:hAnsiTheme="minorHAnsi"/>
          <w:sz w:val="22"/>
          <w:szCs w:val="22"/>
        </w:rPr>
        <w:t xml:space="preserve"> removing the concern that unfounded rumours could </w:t>
      </w:r>
      <w:r w:rsidR="002A2E25">
        <w:rPr>
          <w:rFonts w:asciiTheme="minorHAnsi" w:hAnsiTheme="minorHAnsi"/>
          <w:sz w:val="22"/>
          <w:szCs w:val="22"/>
        </w:rPr>
        <w:t>find their way into the sample</w:t>
      </w:r>
      <w:r w:rsidR="003C1876">
        <w:rPr>
          <w:rFonts w:asciiTheme="minorHAnsi" w:hAnsiTheme="minorHAnsi"/>
          <w:sz w:val="22"/>
          <w:szCs w:val="22"/>
        </w:rPr>
        <w:t>. It would be reasonable to assume that astute market participants could screen out rumours emanating from less reliable sources</w:t>
      </w:r>
      <w:r w:rsidR="00E92AFF">
        <w:rPr>
          <w:rFonts w:asciiTheme="minorHAnsi" w:hAnsiTheme="minorHAnsi"/>
          <w:sz w:val="22"/>
          <w:szCs w:val="22"/>
        </w:rPr>
        <w:t xml:space="preserve">. </w:t>
      </w:r>
      <w:r w:rsidR="00F15DCD">
        <w:rPr>
          <w:rFonts w:asciiTheme="minorHAnsi" w:hAnsiTheme="minorHAnsi"/>
          <w:sz w:val="22"/>
          <w:szCs w:val="22"/>
        </w:rPr>
        <w:t>With this date</w:t>
      </w:r>
      <w:r w:rsidR="00E92AFF">
        <w:rPr>
          <w:rFonts w:asciiTheme="minorHAnsi" w:hAnsiTheme="minorHAnsi"/>
          <w:sz w:val="22"/>
          <w:szCs w:val="22"/>
        </w:rPr>
        <w:t>,</w:t>
      </w:r>
      <w:r w:rsidR="002A2E25">
        <w:rPr>
          <w:rFonts w:asciiTheme="minorHAnsi" w:hAnsiTheme="minorHAnsi"/>
          <w:sz w:val="22"/>
          <w:szCs w:val="22"/>
        </w:rPr>
        <w:t xml:space="preserve"> </w:t>
      </w:r>
      <w:r w:rsidR="00E92AFF">
        <w:rPr>
          <w:rFonts w:asciiTheme="minorHAnsi" w:hAnsiTheme="minorHAnsi"/>
          <w:sz w:val="22"/>
          <w:szCs w:val="22"/>
        </w:rPr>
        <w:t>the information is usually disseminated in the media and appears as a form of rumour or speculative statement</w:t>
      </w:r>
      <w:r w:rsidR="00FC717A">
        <w:rPr>
          <w:rFonts w:asciiTheme="minorHAnsi" w:hAnsiTheme="minorHAnsi"/>
          <w:sz w:val="22"/>
          <w:szCs w:val="22"/>
        </w:rPr>
        <w:t xml:space="preserve">, this is the day </w:t>
      </w:r>
      <w:r w:rsidR="00460BF2">
        <w:rPr>
          <w:rFonts w:asciiTheme="minorHAnsi" w:hAnsiTheme="minorHAnsi"/>
          <w:sz w:val="22"/>
          <w:szCs w:val="22"/>
        </w:rPr>
        <w:t>at which the takeover comes ‘into play’</w:t>
      </w:r>
      <w:r w:rsidR="00E92AFF">
        <w:rPr>
          <w:rFonts w:asciiTheme="minorHAnsi" w:hAnsiTheme="minorHAnsi"/>
          <w:sz w:val="22"/>
          <w:szCs w:val="22"/>
        </w:rPr>
        <w:t xml:space="preserve">. For the </w:t>
      </w:r>
      <w:r w:rsidR="00FC717A">
        <w:rPr>
          <w:rFonts w:asciiTheme="minorHAnsi" w:hAnsiTheme="minorHAnsi"/>
          <w:sz w:val="22"/>
          <w:szCs w:val="22"/>
        </w:rPr>
        <w:t xml:space="preserve">official announcement, this is fed out </w:t>
      </w:r>
      <w:r w:rsidR="00462C59">
        <w:rPr>
          <w:rFonts w:asciiTheme="minorHAnsi" w:hAnsiTheme="minorHAnsi"/>
          <w:sz w:val="22"/>
          <w:szCs w:val="22"/>
        </w:rPr>
        <w:t xml:space="preserve">along the RNS communication channel </w:t>
      </w:r>
      <w:r w:rsidR="00FC717A">
        <w:rPr>
          <w:rFonts w:asciiTheme="minorHAnsi" w:hAnsiTheme="minorHAnsi"/>
          <w:sz w:val="22"/>
          <w:szCs w:val="22"/>
        </w:rPr>
        <w:t>when the</w:t>
      </w:r>
      <w:r w:rsidR="00462C59">
        <w:rPr>
          <w:rFonts w:asciiTheme="minorHAnsi" w:hAnsiTheme="minorHAnsi"/>
          <w:sz w:val="22"/>
          <w:szCs w:val="22"/>
        </w:rPr>
        <w:t xml:space="preserve"> acquiring firm meets conditions which stipulate the need to inform the market of the impending event, full details of these are given in section 2.2 of the Takeover Code</w:t>
      </w:r>
      <w:r w:rsidR="00F77FED">
        <w:rPr>
          <w:rFonts w:asciiTheme="minorHAnsi" w:hAnsiTheme="minorHAnsi"/>
          <w:sz w:val="22"/>
          <w:szCs w:val="22"/>
        </w:rPr>
        <w:t xml:space="preserve"> (2013)</w:t>
      </w:r>
      <w:r w:rsidR="00462C59">
        <w:rPr>
          <w:rFonts w:asciiTheme="minorHAnsi" w:hAnsiTheme="minorHAnsi"/>
          <w:sz w:val="22"/>
          <w:szCs w:val="22"/>
        </w:rPr>
        <w:t xml:space="preserve">. </w:t>
      </w:r>
    </w:p>
    <w:p w:rsidR="00C61E2F" w:rsidRDefault="00EA7DB5" w:rsidP="00817AA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The remainder of this paper is structured as follows. First, the literature on insider activity </w:t>
      </w:r>
      <w:r w:rsidR="00460BF2">
        <w:rPr>
          <w:rFonts w:asciiTheme="minorHAnsi" w:hAnsiTheme="minorHAnsi"/>
          <w:sz w:val="22"/>
          <w:szCs w:val="22"/>
        </w:rPr>
        <w:t>a</w:t>
      </w:r>
      <w:r w:rsidR="0066609B">
        <w:rPr>
          <w:rFonts w:asciiTheme="minorHAnsi" w:hAnsiTheme="minorHAnsi"/>
          <w:sz w:val="22"/>
          <w:szCs w:val="22"/>
        </w:rPr>
        <w:t>round</w:t>
      </w:r>
      <w:r>
        <w:rPr>
          <w:rFonts w:asciiTheme="minorHAnsi" w:hAnsiTheme="minorHAnsi"/>
          <w:sz w:val="22"/>
          <w:szCs w:val="22"/>
        </w:rPr>
        <w:t xml:space="preserve"> Mergers and Acquisitions is reviewed. Then, a full description of the </w:t>
      </w:r>
      <w:r w:rsidR="0066609B">
        <w:rPr>
          <w:rFonts w:asciiTheme="minorHAnsi" w:hAnsiTheme="minorHAnsi"/>
          <w:sz w:val="22"/>
          <w:szCs w:val="22"/>
        </w:rPr>
        <w:t xml:space="preserve">UK </w:t>
      </w:r>
      <w:r>
        <w:rPr>
          <w:rFonts w:asciiTheme="minorHAnsi" w:hAnsiTheme="minorHAnsi"/>
          <w:sz w:val="22"/>
          <w:szCs w:val="22"/>
        </w:rPr>
        <w:t xml:space="preserve">legal context is provided </w:t>
      </w:r>
      <w:r w:rsidR="0066609B">
        <w:rPr>
          <w:rFonts w:asciiTheme="minorHAnsi" w:hAnsiTheme="minorHAnsi"/>
          <w:sz w:val="22"/>
          <w:szCs w:val="22"/>
        </w:rPr>
        <w:t xml:space="preserve">through </w:t>
      </w:r>
      <w:r w:rsidR="00460BF2">
        <w:rPr>
          <w:rFonts w:asciiTheme="minorHAnsi" w:hAnsiTheme="minorHAnsi"/>
          <w:sz w:val="22"/>
          <w:szCs w:val="22"/>
        </w:rPr>
        <w:t>outlining the legislative framework and enforcement implications.</w:t>
      </w:r>
      <w:r>
        <w:rPr>
          <w:rFonts w:asciiTheme="minorHAnsi" w:hAnsiTheme="minorHAnsi"/>
          <w:sz w:val="22"/>
          <w:szCs w:val="22"/>
        </w:rPr>
        <w:t xml:space="preserve"> </w:t>
      </w:r>
      <w:r w:rsidR="00460BF2">
        <w:rPr>
          <w:rFonts w:asciiTheme="minorHAnsi" w:hAnsiTheme="minorHAnsi"/>
          <w:sz w:val="22"/>
          <w:szCs w:val="22"/>
        </w:rPr>
        <w:t xml:space="preserve">Methodological procedures complete with a sample statistics and results are </w:t>
      </w:r>
      <w:r w:rsidR="0066609B">
        <w:rPr>
          <w:rFonts w:asciiTheme="minorHAnsi" w:hAnsiTheme="minorHAnsi"/>
          <w:sz w:val="22"/>
          <w:szCs w:val="22"/>
        </w:rPr>
        <w:t xml:space="preserve">the </w:t>
      </w:r>
      <w:r w:rsidR="00460BF2">
        <w:rPr>
          <w:rFonts w:asciiTheme="minorHAnsi" w:hAnsiTheme="minorHAnsi"/>
          <w:sz w:val="22"/>
          <w:szCs w:val="22"/>
        </w:rPr>
        <w:t>outlined in the following section</w:t>
      </w:r>
      <w:r>
        <w:rPr>
          <w:rFonts w:asciiTheme="minorHAnsi" w:hAnsiTheme="minorHAnsi"/>
          <w:sz w:val="22"/>
          <w:szCs w:val="22"/>
        </w:rPr>
        <w:t xml:space="preserve">. </w:t>
      </w:r>
      <w:r w:rsidR="00460BF2">
        <w:rPr>
          <w:rFonts w:asciiTheme="minorHAnsi" w:hAnsiTheme="minorHAnsi"/>
          <w:sz w:val="22"/>
          <w:szCs w:val="22"/>
        </w:rPr>
        <w:t xml:space="preserve">The study concludes with a discussion of the </w:t>
      </w:r>
      <w:r w:rsidR="0066609B">
        <w:rPr>
          <w:rFonts w:asciiTheme="minorHAnsi" w:hAnsiTheme="minorHAnsi"/>
          <w:sz w:val="22"/>
          <w:szCs w:val="22"/>
        </w:rPr>
        <w:t xml:space="preserve">results and research </w:t>
      </w:r>
      <w:r w:rsidR="00460BF2">
        <w:rPr>
          <w:rFonts w:asciiTheme="minorHAnsi" w:hAnsiTheme="minorHAnsi"/>
          <w:sz w:val="22"/>
          <w:szCs w:val="22"/>
        </w:rPr>
        <w:t>limitations and</w:t>
      </w:r>
      <w:r w:rsidR="0066609B">
        <w:rPr>
          <w:rFonts w:asciiTheme="minorHAnsi" w:hAnsiTheme="minorHAnsi"/>
          <w:sz w:val="22"/>
          <w:szCs w:val="22"/>
        </w:rPr>
        <w:t xml:space="preserve"> an exploration of</w:t>
      </w:r>
      <w:r w:rsidR="00460BF2">
        <w:rPr>
          <w:rFonts w:asciiTheme="minorHAnsi" w:hAnsiTheme="minorHAnsi"/>
          <w:sz w:val="22"/>
          <w:szCs w:val="22"/>
        </w:rPr>
        <w:t xml:space="preserve"> directions for future </w:t>
      </w:r>
      <w:r w:rsidR="0066609B">
        <w:rPr>
          <w:rFonts w:asciiTheme="minorHAnsi" w:hAnsiTheme="minorHAnsi"/>
          <w:sz w:val="22"/>
          <w:szCs w:val="22"/>
        </w:rPr>
        <w:t xml:space="preserve">useful </w:t>
      </w:r>
      <w:r w:rsidR="00460BF2">
        <w:rPr>
          <w:rFonts w:asciiTheme="minorHAnsi" w:hAnsiTheme="minorHAnsi"/>
          <w:sz w:val="22"/>
          <w:szCs w:val="22"/>
        </w:rPr>
        <w:t>work in this area</w:t>
      </w:r>
      <w:r w:rsidR="0066609B">
        <w:rPr>
          <w:rFonts w:asciiTheme="minorHAnsi" w:hAnsiTheme="minorHAnsi"/>
          <w:sz w:val="22"/>
          <w:szCs w:val="22"/>
        </w:rPr>
        <w:t>.</w:t>
      </w:r>
    </w:p>
    <w:p w:rsidR="00EA7DB5" w:rsidRPr="00FF5EA7" w:rsidRDefault="00EA7DB5" w:rsidP="00EA7DB5">
      <w:pPr>
        <w:pStyle w:val="Heading3"/>
        <w:rPr>
          <w:color w:val="auto"/>
        </w:rPr>
      </w:pPr>
      <w:r w:rsidRPr="00FF5EA7">
        <w:rPr>
          <w:color w:val="auto"/>
        </w:rPr>
        <w:t>Literature Review</w:t>
      </w:r>
    </w:p>
    <w:p w:rsidR="00EA7DB5" w:rsidRDefault="00EA7DB5" w:rsidP="00EA7DB5">
      <w:pPr>
        <w:pStyle w:val="ListParagraph"/>
        <w:suppressAutoHyphens/>
        <w:autoSpaceDN w:val="0"/>
        <w:spacing w:line="480" w:lineRule="auto"/>
        <w:ind w:left="360"/>
        <w:jc w:val="both"/>
        <w:textAlignment w:val="baseline"/>
      </w:pPr>
    </w:p>
    <w:p w:rsidR="00EA7DB5" w:rsidRDefault="00EA7DB5" w:rsidP="00EA7DB5">
      <w:pPr>
        <w:pStyle w:val="Standard"/>
        <w:spacing w:line="480" w:lineRule="auto"/>
        <w:ind w:left="851" w:firstLine="229"/>
        <w:jc w:val="both"/>
        <w:rPr>
          <w:rFonts w:asciiTheme="minorHAnsi" w:hAnsiTheme="minorHAnsi"/>
          <w:sz w:val="22"/>
          <w:szCs w:val="22"/>
        </w:rPr>
      </w:pPr>
      <w:r>
        <w:rPr>
          <w:rFonts w:asciiTheme="minorHAnsi" w:hAnsiTheme="minorHAnsi"/>
          <w:sz w:val="22"/>
          <w:szCs w:val="22"/>
        </w:rPr>
        <w:lastRenderedPageBreak/>
        <w:t xml:space="preserve">There is considerable evidence to suggest that a price run-up can be expected within target companies prior to the announcement of a </w:t>
      </w:r>
      <w:r w:rsidR="00205015">
        <w:rPr>
          <w:rFonts w:asciiTheme="minorHAnsi" w:hAnsiTheme="minorHAnsi"/>
          <w:sz w:val="22"/>
          <w:szCs w:val="22"/>
        </w:rPr>
        <w:t>takeover</w:t>
      </w:r>
      <w:r>
        <w:rPr>
          <w:rFonts w:asciiTheme="minorHAnsi" w:hAnsiTheme="minorHAnsi"/>
          <w:sz w:val="22"/>
          <w:szCs w:val="22"/>
        </w:rPr>
        <w:t>. Studies s</w:t>
      </w:r>
      <w:r w:rsidR="00205015">
        <w:rPr>
          <w:rFonts w:asciiTheme="minorHAnsi" w:hAnsiTheme="minorHAnsi"/>
          <w:sz w:val="22"/>
          <w:szCs w:val="22"/>
        </w:rPr>
        <w:t>how</w:t>
      </w:r>
      <w:r>
        <w:rPr>
          <w:rFonts w:asciiTheme="minorHAnsi" w:hAnsiTheme="minorHAnsi"/>
          <w:sz w:val="22"/>
          <w:szCs w:val="22"/>
        </w:rPr>
        <w:t xml:space="preserve"> that positive gains are realisable in stock prices a number of weeks before the</w:t>
      </w:r>
      <w:r w:rsidR="00343BD7">
        <w:rPr>
          <w:rFonts w:asciiTheme="minorHAnsi" w:hAnsiTheme="minorHAnsi"/>
          <w:sz w:val="22"/>
          <w:szCs w:val="22"/>
        </w:rPr>
        <w:t xml:space="preserve"> formal announcement date</w:t>
      </w:r>
      <w:r w:rsidR="00205015">
        <w:rPr>
          <w:rFonts w:asciiTheme="minorHAnsi" w:hAnsiTheme="minorHAnsi"/>
          <w:sz w:val="22"/>
          <w:szCs w:val="22"/>
        </w:rPr>
        <w:t>. Some claim that as much as half of the total premium is attained by the close of the trading day immediately prior to the date on which the takeover is announced</w:t>
      </w:r>
      <w:r w:rsidR="00343BD7">
        <w:rPr>
          <w:rFonts w:asciiTheme="minorHAnsi" w:hAnsiTheme="minorHAnsi"/>
          <w:sz w:val="22"/>
          <w:szCs w:val="22"/>
        </w:rPr>
        <w:t xml:space="preserve"> (</w:t>
      </w:r>
      <w:r w:rsidR="00205015">
        <w:rPr>
          <w:rFonts w:asciiTheme="minorHAnsi" w:hAnsiTheme="minorHAnsi"/>
          <w:sz w:val="22"/>
          <w:szCs w:val="22"/>
        </w:rPr>
        <w:t xml:space="preserve">See </w:t>
      </w:r>
      <w:r w:rsidR="00343BD7">
        <w:rPr>
          <w:rFonts w:asciiTheme="minorHAnsi" w:hAnsiTheme="minorHAnsi"/>
          <w:sz w:val="22"/>
          <w:szCs w:val="22"/>
        </w:rPr>
        <w:t>Jense</w:t>
      </w:r>
      <w:r>
        <w:rPr>
          <w:rFonts w:asciiTheme="minorHAnsi" w:hAnsiTheme="minorHAnsi"/>
          <w:sz w:val="22"/>
          <w:szCs w:val="22"/>
        </w:rPr>
        <w:t xml:space="preserve">n and </w:t>
      </w:r>
      <w:proofErr w:type="spellStart"/>
      <w:r>
        <w:rPr>
          <w:rFonts w:asciiTheme="minorHAnsi" w:hAnsiTheme="minorHAnsi"/>
          <w:sz w:val="22"/>
          <w:szCs w:val="22"/>
        </w:rPr>
        <w:t>Ruback</w:t>
      </w:r>
      <w:proofErr w:type="spellEnd"/>
      <w:r>
        <w:rPr>
          <w:rFonts w:asciiTheme="minorHAnsi" w:hAnsiTheme="minorHAnsi"/>
          <w:sz w:val="22"/>
          <w:szCs w:val="22"/>
        </w:rPr>
        <w:t xml:space="preserve"> 1983, Bradley, 1980, Keown and Pinkerton 1981, Jar</w:t>
      </w:r>
      <w:r w:rsidR="006654E7">
        <w:rPr>
          <w:rFonts w:asciiTheme="minorHAnsi" w:hAnsiTheme="minorHAnsi"/>
          <w:sz w:val="22"/>
          <w:szCs w:val="22"/>
        </w:rPr>
        <w:t>r</w:t>
      </w:r>
      <w:r w:rsidR="00205015">
        <w:rPr>
          <w:rFonts w:asciiTheme="minorHAnsi" w:hAnsiTheme="minorHAnsi"/>
          <w:sz w:val="22"/>
          <w:szCs w:val="22"/>
        </w:rPr>
        <w:t xml:space="preserve">ell, </w:t>
      </w:r>
      <w:proofErr w:type="spellStart"/>
      <w:r w:rsidR="00205015">
        <w:rPr>
          <w:rFonts w:asciiTheme="minorHAnsi" w:hAnsiTheme="minorHAnsi"/>
          <w:sz w:val="22"/>
          <w:szCs w:val="22"/>
        </w:rPr>
        <w:t>Brickley</w:t>
      </w:r>
      <w:proofErr w:type="spellEnd"/>
      <w:r w:rsidR="00205015">
        <w:rPr>
          <w:rFonts w:asciiTheme="minorHAnsi" w:hAnsiTheme="minorHAnsi"/>
          <w:sz w:val="22"/>
          <w:szCs w:val="22"/>
        </w:rPr>
        <w:t xml:space="preserve"> and Netter 1988).</w:t>
      </w:r>
    </w:p>
    <w:p w:rsidR="00EA7DB5" w:rsidRPr="00FF5EA7" w:rsidRDefault="00EA7DB5" w:rsidP="00FF5EA7">
      <w:pPr>
        <w:pStyle w:val="Standard"/>
        <w:spacing w:line="480" w:lineRule="auto"/>
        <w:ind w:left="851" w:firstLine="229"/>
        <w:jc w:val="both"/>
        <w:rPr>
          <w:rFonts w:asciiTheme="minorHAnsi" w:hAnsiTheme="minorHAnsi"/>
          <w:sz w:val="22"/>
          <w:szCs w:val="22"/>
        </w:rPr>
      </w:pPr>
      <w:r>
        <w:rPr>
          <w:rFonts w:asciiTheme="minorHAnsi" w:hAnsiTheme="minorHAnsi"/>
          <w:sz w:val="22"/>
          <w:szCs w:val="22"/>
        </w:rPr>
        <w:t xml:space="preserve">Despite </w:t>
      </w:r>
      <w:r w:rsidR="00205015">
        <w:rPr>
          <w:rFonts w:asciiTheme="minorHAnsi" w:hAnsiTheme="minorHAnsi"/>
          <w:sz w:val="22"/>
          <w:szCs w:val="22"/>
        </w:rPr>
        <w:t>the general</w:t>
      </w:r>
      <w:r>
        <w:rPr>
          <w:rFonts w:asciiTheme="minorHAnsi" w:hAnsiTheme="minorHAnsi"/>
          <w:sz w:val="22"/>
          <w:szCs w:val="22"/>
        </w:rPr>
        <w:t xml:space="preserve"> agreement that abnormal returns exist, </w:t>
      </w:r>
      <w:r w:rsidR="00205015">
        <w:rPr>
          <w:rFonts w:asciiTheme="minorHAnsi" w:hAnsiTheme="minorHAnsi"/>
          <w:sz w:val="22"/>
          <w:szCs w:val="22"/>
        </w:rPr>
        <w:t>there is a split in opinion as to what may be the attribut</w:t>
      </w:r>
      <w:r w:rsidR="000B5676">
        <w:rPr>
          <w:rFonts w:asciiTheme="minorHAnsi" w:hAnsiTheme="minorHAnsi"/>
          <w:sz w:val="22"/>
          <w:szCs w:val="22"/>
        </w:rPr>
        <w:t>ing</w:t>
      </w:r>
      <w:r w:rsidR="00205015">
        <w:rPr>
          <w:rFonts w:asciiTheme="minorHAnsi" w:hAnsiTheme="minorHAnsi"/>
          <w:sz w:val="22"/>
          <w:szCs w:val="22"/>
        </w:rPr>
        <w:t xml:space="preserve"> cause</w:t>
      </w:r>
      <w:r>
        <w:rPr>
          <w:rFonts w:asciiTheme="minorHAnsi" w:hAnsiTheme="minorHAnsi"/>
          <w:sz w:val="22"/>
          <w:szCs w:val="22"/>
        </w:rPr>
        <w:t xml:space="preserve">. The dividing line rests between those who are inclined to argue that such anticipation is consistent with ideas </w:t>
      </w:r>
      <w:r w:rsidR="00205015">
        <w:rPr>
          <w:rFonts w:asciiTheme="minorHAnsi" w:hAnsiTheme="minorHAnsi"/>
          <w:sz w:val="22"/>
          <w:szCs w:val="22"/>
        </w:rPr>
        <w:t xml:space="preserve">on a market that functions </w:t>
      </w:r>
      <w:r w:rsidR="000B5676">
        <w:rPr>
          <w:rFonts w:asciiTheme="minorHAnsi" w:hAnsiTheme="minorHAnsi"/>
          <w:sz w:val="22"/>
          <w:szCs w:val="22"/>
        </w:rPr>
        <w:t>efficiently</w:t>
      </w:r>
      <w:r w:rsidR="00205015">
        <w:rPr>
          <w:rFonts w:asciiTheme="minorHAnsi" w:hAnsiTheme="minorHAnsi"/>
          <w:sz w:val="22"/>
          <w:szCs w:val="22"/>
        </w:rPr>
        <w:t xml:space="preserve">, </w:t>
      </w:r>
      <w:r w:rsidR="00205015" w:rsidRPr="00D514B2">
        <w:rPr>
          <w:rFonts w:asciiTheme="minorHAnsi" w:hAnsiTheme="minorHAnsi"/>
          <w:sz w:val="22"/>
          <w:szCs w:val="22"/>
        </w:rPr>
        <w:t>picking up on all publicly available signals</w:t>
      </w:r>
      <w:r w:rsidR="000B5676" w:rsidRPr="00D514B2">
        <w:rPr>
          <w:rFonts w:asciiTheme="minorHAnsi" w:hAnsiTheme="minorHAnsi"/>
          <w:sz w:val="22"/>
          <w:szCs w:val="22"/>
        </w:rPr>
        <w:t>,</w:t>
      </w:r>
      <w:r w:rsidRPr="00D514B2">
        <w:rPr>
          <w:rFonts w:asciiTheme="minorHAnsi" w:hAnsiTheme="minorHAnsi"/>
          <w:sz w:val="22"/>
          <w:szCs w:val="22"/>
        </w:rPr>
        <w:t xml:space="preserve"> and those who believe that it is a consequence of the leakage of privately held price sensitive information</w:t>
      </w:r>
      <w:r w:rsidR="00B662DA">
        <w:rPr>
          <w:rFonts w:asciiTheme="minorHAnsi" w:hAnsiTheme="minorHAnsi"/>
          <w:sz w:val="22"/>
          <w:szCs w:val="22"/>
        </w:rPr>
        <w:t xml:space="preserve"> which then results in illicit trading actions based upon privately held price sensitive information</w:t>
      </w:r>
      <w:r w:rsidRPr="00D514B2">
        <w:rPr>
          <w:rFonts w:asciiTheme="minorHAnsi" w:hAnsiTheme="minorHAnsi"/>
          <w:sz w:val="22"/>
          <w:szCs w:val="22"/>
        </w:rPr>
        <w:t xml:space="preserve">. </w:t>
      </w:r>
    </w:p>
    <w:p w:rsidR="00EA7DB5" w:rsidRPr="00FF5EA7" w:rsidRDefault="004554FE" w:rsidP="00EA7DB5">
      <w:pPr>
        <w:pStyle w:val="Heading3"/>
        <w:rPr>
          <w:color w:val="auto"/>
        </w:rPr>
      </w:pPr>
      <w:bookmarkStart w:id="0" w:name="_Toc330487998"/>
      <w:r w:rsidRPr="00FF5EA7">
        <w:rPr>
          <w:color w:val="auto"/>
        </w:rPr>
        <w:t xml:space="preserve"> </w:t>
      </w:r>
      <w:bookmarkEnd w:id="0"/>
      <w:r w:rsidRPr="00FF5EA7">
        <w:rPr>
          <w:color w:val="auto"/>
        </w:rPr>
        <w:t>Pre-announcement abnormal returns</w:t>
      </w:r>
    </w:p>
    <w:p w:rsidR="00EA7DB5" w:rsidRDefault="00EA7DB5" w:rsidP="00EA7DB5">
      <w:pPr>
        <w:pStyle w:val="Standard"/>
        <w:spacing w:line="480" w:lineRule="auto"/>
        <w:ind w:left="851"/>
        <w:jc w:val="both"/>
        <w:rPr>
          <w:rFonts w:asciiTheme="minorHAnsi" w:hAnsiTheme="minorHAnsi"/>
          <w:sz w:val="22"/>
          <w:szCs w:val="22"/>
        </w:rPr>
      </w:pPr>
    </w:p>
    <w:p w:rsidR="00EA7DB5" w:rsidRDefault="004554FE" w:rsidP="0081700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Is abnormal price behaviour the result of tr</w:t>
      </w:r>
      <w:r w:rsidR="00817005">
        <w:rPr>
          <w:rFonts w:asciiTheme="minorHAnsi" w:hAnsiTheme="minorHAnsi"/>
          <w:sz w:val="22"/>
          <w:szCs w:val="22"/>
        </w:rPr>
        <w:t>ading upon private information? In the US, a study by Asquith (1983) was among the first to identify significant abnormal returns in the days before a firm would announce its intention to engage in a takeover. Po</w:t>
      </w:r>
      <w:r w:rsidR="002F64CC">
        <w:rPr>
          <w:rFonts w:asciiTheme="minorHAnsi" w:hAnsiTheme="minorHAnsi"/>
          <w:sz w:val="22"/>
          <w:szCs w:val="22"/>
        </w:rPr>
        <w:t xml:space="preserve">ssible reasons for this price movement become a cause for concern and intuitive reasoning would suggest that private information about plans for a takeover is used to direct trades, thus creating an unfair trading situation. Following this reasoning, </w:t>
      </w:r>
      <w:proofErr w:type="spellStart"/>
      <w:r w:rsidR="00EA7DB5">
        <w:rPr>
          <w:rFonts w:asciiTheme="minorHAnsi" w:hAnsiTheme="minorHAnsi"/>
          <w:sz w:val="22"/>
          <w:szCs w:val="22"/>
        </w:rPr>
        <w:t>Meulbroek</w:t>
      </w:r>
      <w:proofErr w:type="spellEnd"/>
      <w:r w:rsidR="00EA7DB5">
        <w:rPr>
          <w:rFonts w:asciiTheme="minorHAnsi" w:hAnsiTheme="minorHAnsi"/>
          <w:sz w:val="22"/>
          <w:szCs w:val="22"/>
        </w:rPr>
        <w:t xml:space="preserve"> and Hart (1997) examine</w:t>
      </w:r>
      <w:r w:rsidR="00817005">
        <w:rPr>
          <w:rFonts w:asciiTheme="minorHAnsi" w:hAnsiTheme="minorHAnsi"/>
          <w:sz w:val="22"/>
          <w:szCs w:val="22"/>
        </w:rPr>
        <w:t>d</w:t>
      </w:r>
      <w:r w:rsidR="00EA7DB5">
        <w:rPr>
          <w:rFonts w:asciiTheme="minorHAnsi" w:hAnsiTheme="minorHAnsi"/>
          <w:sz w:val="22"/>
          <w:szCs w:val="22"/>
        </w:rPr>
        <w:t xml:space="preserve"> the abnormal returns </w:t>
      </w:r>
      <w:r w:rsidR="00817005">
        <w:rPr>
          <w:rFonts w:asciiTheme="minorHAnsi" w:hAnsiTheme="minorHAnsi"/>
          <w:sz w:val="22"/>
          <w:szCs w:val="22"/>
        </w:rPr>
        <w:t xml:space="preserve">in </w:t>
      </w:r>
      <w:r w:rsidR="002F64CC">
        <w:rPr>
          <w:rFonts w:asciiTheme="minorHAnsi" w:hAnsiTheme="minorHAnsi"/>
          <w:sz w:val="22"/>
          <w:szCs w:val="22"/>
        </w:rPr>
        <w:t xml:space="preserve">US </w:t>
      </w:r>
      <w:r w:rsidR="00817005">
        <w:rPr>
          <w:rFonts w:asciiTheme="minorHAnsi" w:hAnsiTheme="minorHAnsi"/>
          <w:sz w:val="22"/>
          <w:szCs w:val="22"/>
        </w:rPr>
        <w:t>firms where</w:t>
      </w:r>
      <w:r w:rsidR="00EA7DB5">
        <w:rPr>
          <w:rFonts w:asciiTheme="minorHAnsi" w:hAnsiTheme="minorHAnsi"/>
          <w:sz w:val="22"/>
          <w:szCs w:val="22"/>
        </w:rPr>
        <w:t xml:space="preserve"> known illegal insider trading </w:t>
      </w:r>
      <w:r w:rsidR="002F64CC">
        <w:rPr>
          <w:rFonts w:asciiTheme="minorHAnsi" w:hAnsiTheme="minorHAnsi"/>
          <w:sz w:val="22"/>
          <w:szCs w:val="22"/>
        </w:rPr>
        <w:t>ahead of</w:t>
      </w:r>
      <w:r w:rsidR="00EA7DB5">
        <w:rPr>
          <w:rFonts w:asciiTheme="minorHAnsi" w:hAnsiTheme="minorHAnsi"/>
          <w:sz w:val="22"/>
          <w:szCs w:val="22"/>
        </w:rPr>
        <w:t xml:space="preserve"> takeover</w:t>
      </w:r>
      <w:r w:rsidR="002F64CC">
        <w:rPr>
          <w:rFonts w:asciiTheme="minorHAnsi" w:hAnsiTheme="minorHAnsi"/>
          <w:sz w:val="22"/>
          <w:szCs w:val="22"/>
        </w:rPr>
        <w:t>s</w:t>
      </w:r>
      <w:r w:rsidR="00EA7DB5">
        <w:rPr>
          <w:rFonts w:asciiTheme="minorHAnsi" w:hAnsiTheme="minorHAnsi"/>
          <w:sz w:val="22"/>
          <w:szCs w:val="22"/>
        </w:rPr>
        <w:t xml:space="preserve"> </w:t>
      </w:r>
      <w:r w:rsidR="002F64CC">
        <w:rPr>
          <w:rFonts w:asciiTheme="minorHAnsi" w:hAnsiTheme="minorHAnsi"/>
          <w:sz w:val="22"/>
          <w:szCs w:val="22"/>
        </w:rPr>
        <w:t>was known to have taken place;</w:t>
      </w:r>
      <w:r w:rsidR="00817005">
        <w:rPr>
          <w:rFonts w:asciiTheme="minorHAnsi" w:hAnsiTheme="minorHAnsi"/>
          <w:sz w:val="22"/>
          <w:szCs w:val="22"/>
        </w:rPr>
        <w:t xml:space="preserve"> they concluded</w:t>
      </w:r>
      <w:r w:rsidR="00EA7DB5">
        <w:rPr>
          <w:rFonts w:asciiTheme="minorHAnsi" w:hAnsiTheme="minorHAnsi"/>
          <w:sz w:val="22"/>
          <w:szCs w:val="22"/>
        </w:rPr>
        <w:t xml:space="preserve"> that insider trading contributes to the magnitude of the </w:t>
      </w:r>
      <w:r w:rsidR="002F64CC">
        <w:rPr>
          <w:rFonts w:asciiTheme="minorHAnsi" w:hAnsiTheme="minorHAnsi"/>
          <w:sz w:val="22"/>
          <w:szCs w:val="22"/>
        </w:rPr>
        <w:t>ex-ante abnormal returns ahead of the announcement</w:t>
      </w:r>
      <w:r w:rsidR="00EA7DB5">
        <w:rPr>
          <w:rFonts w:asciiTheme="minorHAnsi" w:hAnsiTheme="minorHAnsi"/>
          <w:sz w:val="22"/>
          <w:szCs w:val="22"/>
        </w:rPr>
        <w:t xml:space="preserve">. </w:t>
      </w:r>
      <w:proofErr w:type="spellStart"/>
      <w:r w:rsidR="00EA7DB5">
        <w:rPr>
          <w:rFonts w:asciiTheme="minorHAnsi" w:hAnsiTheme="minorHAnsi"/>
          <w:sz w:val="22"/>
          <w:szCs w:val="22"/>
        </w:rPr>
        <w:t>Meulbroek</w:t>
      </w:r>
      <w:proofErr w:type="spellEnd"/>
      <w:r w:rsidR="00EA7DB5">
        <w:rPr>
          <w:rFonts w:asciiTheme="minorHAnsi" w:hAnsiTheme="minorHAnsi"/>
          <w:sz w:val="22"/>
          <w:szCs w:val="22"/>
        </w:rPr>
        <w:t xml:space="preserve"> (1992) </w:t>
      </w:r>
      <w:r w:rsidR="002F64CC">
        <w:rPr>
          <w:rFonts w:asciiTheme="minorHAnsi" w:hAnsiTheme="minorHAnsi"/>
          <w:sz w:val="22"/>
          <w:szCs w:val="22"/>
        </w:rPr>
        <w:t>supports</w:t>
      </w:r>
      <w:r w:rsidR="00EA7DB5">
        <w:rPr>
          <w:rFonts w:asciiTheme="minorHAnsi" w:hAnsiTheme="minorHAnsi"/>
          <w:sz w:val="22"/>
          <w:szCs w:val="22"/>
        </w:rPr>
        <w:t xml:space="preserve"> this </w:t>
      </w:r>
      <w:r w:rsidR="002F64CC">
        <w:rPr>
          <w:rFonts w:asciiTheme="minorHAnsi" w:hAnsiTheme="minorHAnsi"/>
          <w:sz w:val="22"/>
          <w:szCs w:val="22"/>
        </w:rPr>
        <w:t>conclusion</w:t>
      </w:r>
      <w:r w:rsidR="00EA7DB5">
        <w:rPr>
          <w:rFonts w:asciiTheme="minorHAnsi" w:hAnsiTheme="minorHAnsi"/>
          <w:sz w:val="22"/>
          <w:szCs w:val="22"/>
        </w:rPr>
        <w:t xml:space="preserve"> through linking positive gains in the target run-up prior to merger announcement, to days where illegal insider trading was known to have occurred. </w:t>
      </w:r>
      <w:r w:rsidR="00B25E3A" w:rsidRPr="00B25E3A">
        <w:rPr>
          <w:rFonts w:asciiTheme="minorHAnsi" w:hAnsiTheme="minorHAnsi"/>
          <w:sz w:val="22"/>
          <w:szCs w:val="22"/>
        </w:rPr>
        <w:t xml:space="preserve">Jarrell and </w:t>
      </w:r>
      <w:proofErr w:type="spellStart"/>
      <w:r w:rsidR="00B25E3A" w:rsidRPr="00B25E3A">
        <w:rPr>
          <w:rFonts w:asciiTheme="minorHAnsi" w:hAnsiTheme="minorHAnsi"/>
          <w:sz w:val="22"/>
          <w:szCs w:val="22"/>
        </w:rPr>
        <w:t>Poulsen</w:t>
      </w:r>
      <w:proofErr w:type="spellEnd"/>
      <w:r w:rsidR="00B25E3A" w:rsidRPr="00B25E3A">
        <w:rPr>
          <w:rFonts w:asciiTheme="minorHAnsi" w:hAnsiTheme="minorHAnsi"/>
          <w:sz w:val="22"/>
          <w:szCs w:val="22"/>
        </w:rPr>
        <w:t xml:space="preserve"> (1989) argue that 40% of the entire premium is achieved in the period </w:t>
      </w:r>
      <w:r w:rsidR="00B25E3A" w:rsidRPr="00B25E3A">
        <w:rPr>
          <w:rFonts w:asciiTheme="minorHAnsi" w:hAnsiTheme="minorHAnsi"/>
          <w:sz w:val="22"/>
          <w:szCs w:val="22"/>
        </w:rPr>
        <w:lastRenderedPageBreak/>
        <w:t>before the announcement of a takeover; they argue that this is in part due to media speculation arising from known attempts by acquirers to purchase shares in the target firm.</w:t>
      </w:r>
      <w:r w:rsidR="00B25E3A">
        <w:rPr>
          <w:rFonts w:asciiTheme="minorHAnsi" w:hAnsiTheme="minorHAnsi"/>
          <w:sz w:val="22"/>
          <w:szCs w:val="22"/>
        </w:rPr>
        <w:t xml:space="preserve"> </w:t>
      </w:r>
      <w:r w:rsidR="00B25E3A" w:rsidRPr="00B25E3A">
        <w:rPr>
          <w:rFonts w:asciiTheme="minorHAnsi" w:hAnsiTheme="minorHAnsi"/>
          <w:sz w:val="22"/>
          <w:szCs w:val="22"/>
        </w:rPr>
        <w:t>Agrawal and Nasser (2012) report that insiders can also harvest profits passively through delaying the sales of shares they possess until an opportune time present</w:t>
      </w:r>
      <w:r w:rsidR="00B25E3A">
        <w:rPr>
          <w:rFonts w:asciiTheme="minorHAnsi" w:hAnsiTheme="minorHAnsi"/>
          <w:sz w:val="22"/>
          <w:szCs w:val="22"/>
        </w:rPr>
        <w:t xml:space="preserve">s within the takeover process. </w:t>
      </w:r>
      <w:r w:rsidR="00B25E3A" w:rsidRPr="00B25E3A">
        <w:rPr>
          <w:rFonts w:asciiTheme="minorHAnsi" w:hAnsiTheme="minorHAnsi"/>
          <w:sz w:val="22"/>
          <w:szCs w:val="22"/>
        </w:rPr>
        <w:t>The findings</w:t>
      </w:r>
      <w:r w:rsidR="00B25E3A">
        <w:rPr>
          <w:rFonts w:asciiTheme="minorHAnsi" w:hAnsiTheme="minorHAnsi"/>
          <w:sz w:val="22"/>
          <w:szCs w:val="22"/>
        </w:rPr>
        <w:t xml:space="preserve"> that suggests insiders are active</w:t>
      </w:r>
      <w:r w:rsidR="00B25E3A" w:rsidRPr="00B25E3A">
        <w:rPr>
          <w:rFonts w:asciiTheme="minorHAnsi" w:hAnsiTheme="minorHAnsi"/>
          <w:sz w:val="22"/>
          <w:szCs w:val="22"/>
        </w:rPr>
        <w:t xml:space="preserve"> grow</w:t>
      </w:r>
      <w:r w:rsidR="00B25E3A">
        <w:rPr>
          <w:rFonts w:asciiTheme="minorHAnsi" w:hAnsiTheme="minorHAnsi"/>
          <w:sz w:val="22"/>
          <w:szCs w:val="22"/>
        </w:rPr>
        <w:t>s</w:t>
      </w:r>
      <w:r w:rsidR="00B25E3A" w:rsidRPr="00B25E3A">
        <w:rPr>
          <w:rFonts w:asciiTheme="minorHAnsi" w:hAnsiTheme="minorHAnsi"/>
          <w:sz w:val="22"/>
          <w:szCs w:val="22"/>
        </w:rPr>
        <w:t xml:space="preserve"> more intriguing when robustness checks control for the presence of media rumours, and suitable adjustments are made for the normal premium expectancy.</w:t>
      </w:r>
    </w:p>
    <w:p w:rsidR="00EA7DB5" w:rsidRDefault="00A66067" w:rsidP="00EA7DB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Taking an opposing view, </w:t>
      </w:r>
      <w:r w:rsidR="00EA7DB5">
        <w:rPr>
          <w:rFonts w:asciiTheme="minorHAnsi" w:hAnsiTheme="minorHAnsi"/>
          <w:sz w:val="22"/>
          <w:szCs w:val="22"/>
        </w:rPr>
        <w:t>Keown and Pinkerton (1981)</w:t>
      </w:r>
      <w:r>
        <w:rPr>
          <w:rFonts w:asciiTheme="minorHAnsi" w:hAnsiTheme="minorHAnsi"/>
          <w:sz w:val="22"/>
          <w:szCs w:val="22"/>
        </w:rPr>
        <w:t xml:space="preserve"> </w:t>
      </w:r>
      <w:r w:rsidR="00EA7DB5">
        <w:rPr>
          <w:rFonts w:asciiTheme="minorHAnsi" w:hAnsiTheme="minorHAnsi"/>
          <w:sz w:val="22"/>
          <w:szCs w:val="22"/>
        </w:rPr>
        <w:t xml:space="preserve">attribute </w:t>
      </w:r>
      <w:r>
        <w:rPr>
          <w:rFonts w:asciiTheme="minorHAnsi" w:hAnsiTheme="minorHAnsi"/>
          <w:sz w:val="22"/>
          <w:szCs w:val="22"/>
        </w:rPr>
        <w:t xml:space="preserve">ex-ante abnormal returns </w:t>
      </w:r>
      <w:r w:rsidR="00F85E62">
        <w:rPr>
          <w:rFonts w:asciiTheme="minorHAnsi" w:hAnsiTheme="minorHAnsi"/>
          <w:sz w:val="22"/>
          <w:szCs w:val="22"/>
        </w:rPr>
        <w:t xml:space="preserve">to </w:t>
      </w:r>
      <w:r>
        <w:rPr>
          <w:rFonts w:asciiTheme="minorHAnsi" w:hAnsiTheme="minorHAnsi"/>
          <w:sz w:val="22"/>
          <w:szCs w:val="22"/>
        </w:rPr>
        <w:t xml:space="preserve">the presence of pre-announcement rumours and </w:t>
      </w:r>
      <w:r w:rsidR="00EA7DB5">
        <w:rPr>
          <w:rFonts w:asciiTheme="minorHAnsi" w:hAnsiTheme="minorHAnsi"/>
          <w:sz w:val="22"/>
          <w:szCs w:val="22"/>
        </w:rPr>
        <w:t>astute invest</w:t>
      </w:r>
      <w:r>
        <w:rPr>
          <w:rFonts w:asciiTheme="minorHAnsi" w:hAnsiTheme="minorHAnsi"/>
          <w:sz w:val="22"/>
          <w:szCs w:val="22"/>
        </w:rPr>
        <w:t>or action</w:t>
      </w:r>
      <w:r w:rsidR="00EA7DB5">
        <w:rPr>
          <w:rFonts w:asciiTheme="minorHAnsi" w:hAnsiTheme="minorHAnsi"/>
          <w:sz w:val="22"/>
          <w:szCs w:val="22"/>
        </w:rPr>
        <w:t xml:space="preserve">. </w:t>
      </w:r>
      <w:r>
        <w:rPr>
          <w:rFonts w:asciiTheme="minorHAnsi" w:hAnsiTheme="minorHAnsi"/>
          <w:sz w:val="22"/>
          <w:szCs w:val="22"/>
        </w:rPr>
        <w:t xml:space="preserve">Neely (1987) </w:t>
      </w:r>
      <w:r w:rsidR="00F85E62">
        <w:rPr>
          <w:rFonts w:asciiTheme="minorHAnsi" w:hAnsiTheme="minorHAnsi"/>
          <w:sz w:val="22"/>
          <w:szCs w:val="22"/>
        </w:rPr>
        <w:t>concurs with this and adds that</w:t>
      </w:r>
      <w:r w:rsidR="00EA7DB5">
        <w:rPr>
          <w:rFonts w:asciiTheme="minorHAnsi" w:hAnsiTheme="minorHAnsi"/>
          <w:sz w:val="22"/>
          <w:szCs w:val="22"/>
        </w:rPr>
        <w:t xml:space="preserve"> the price </w:t>
      </w:r>
      <w:r>
        <w:rPr>
          <w:rFonts w:asciiTheme="minorHAnsi" w:hAnsiTheme="minorHAnsi"/>
          <w:sz w:val="22"/>
          <w:szCs w:val="22"/>
        </w:rPr>
        <w:t>movement</w:t>
      </w:r>
      <w:r w:rsidR="00EA7DB5">
        <w:rPr>
          <w:rFonts w:asciiTheme="minorHAnsi" w:hAnsiTheme="minorHAnsi"/>
          <w:sz w:val="22"/>
          <w:szCs w:val="22"/>
        </w:rPr>
        <w:t xml:space="preserve"> </w:t>
      </w:r>
      <w:r w:rsidR="00F85E62">
        <w:rPr>
          <w:rFonts w:asciiTheme="minorHAnsi" w:hAnsiTheme="minorHAnsi"/>
          <w:sz w:val="22"/>
          <w:szCs w:val="22"/>
        </w:rPr>
        <w:t xml:space="preserve">is </w:t>
      </w:r>
      <w:r w:rsidR="00B34B7B">
        <w:rPr>
          <w:rFonts w:asciiTheme="minorHAnsi" w:hAnsiTheme="minorHAnsi"/>
          <w:sz w:val="22"/>
          <w:szCs w:val="22"/>
        </w:rPr>
        <w:t xml:space="preserve">also </w:t>
      </w:r>
      <w:r w:rsidR="00F85E62">
        <w:rPr>
          <w:rFonts w:asciiTheme="minorHAnsi" w:hAnsiTheme="minorHAnsi"/>
          <w:sz w:val="22"/>
          <w:szCs w:val="22"/>
        </w:rPr>
        <w:t>due to</w:t>
      </w:r>
      <w:r w:rsidR="00EA7DB5">
        <w:rPr>
          <w:rFonts w:asciiTheme="minorHAnsi" w:hAnsiTheme="minorHAnsi"/>
          <w:sz w:val="22"/>
          <w:szCs w:val="22"/>
        </w:rPr>
        <w:t xml:space="preserve"> </w:t>
      </w:r>
      <w:r w:rsidR="00B34B7B">
        <w:rPr>
          <w:rFonts w:asciiTheme="minorHAnsi" w:hAnsiTheme="minorHAnsi"/>
          <w:sz w:val="22"/>
          <w:szCs w:val="22"/>
        </w:rPr>
        <w:t xml:space="preserve">the </w:t>
      </w:r>
      <w:r w:rsidR="00EA7DB5">
        <w:rPr>
          <w:rFonts w:asciiTheme="minorHAnsi" w:hAnsiTheme="minorHAnsi"/>
          <w:sz w:val="22"/>
          <w:szCs w:val="22"/>
        </w:rPr>
        <w:t>buying pressure created by acquirers before an announcement is made</w:t>
      </w:r>
      <w:r>
        <w:rPr>
          <w:rFonts w:asciiTheme="minorHAnsi" w:hAnsiTheme="minorHAnsi"/>
          <w:sz w:val="22"/>
          <w:szCs w:val="22"/>
        </w:rPr>
        <w:t xml:space="preserve">. As </w:t>
      </w:r>
      <w:r w:rsidR="00B34B7B">
        <w:rPr>
          <w:rFonts w:asciiTheme="minorHAnsi" w:hAnsiTheme="minorHAnsi"/>
          <w:sz w:val="22"/>
          <w:szCs w:val="22"/>
        </w:rPr>
        <w:t>residual magnitudes are</w:t>
      </w:r>
      <w:r>
        <w:rPr>
          <w:rFonts w:asciiTheme="minorHAnsi" w:hAnsiTheme="minorHAnsi"/>
          <w:sz w:val="22"/>
          <w:szCs w:val="22"/>
        </w:rPr>
        <w:t xml:space="preserve"> greater </w:t>
      </w:r>
      <w:r w:rsidR="00B34B7B">
        <w:rPr>
          <w:rFonts w:asciiTheme="minorHAnsi" w:hAnsiTheme="minorHAnsi"/>
          <w:sz w:val="22"/>
          <w:szCs w:val="22"/>
        </w:rPr>
        <w:t>where target firm sizes are larger</w:t>
      </w:r>
      <w:r w:rsidR="00F85E62">
        <w:rPr>
          <w:rFonts w:asciiTheme="minorHAnsi" w:hAnsiTheme="minorHAnsi"/>
          <w:sz w:val="22"/>
          <w:szCs w:val="22"/>
        </w:rPr>
        <w:t>,</w:t>
      </w:r>
      <w:r w:rsidR="00B34B7B">
        <w:rPr>
          <w:rFonts w:asciiTheme="minorHAnsi" w:hAnsiTheme="minorHAnsi"/>
          <w:sz w:val="22"/>
          <w:szCs w:val="22"/>
        </w:rPr>
        <w:t xml:space="preserve"> this strengthens the argument that abnormalities are a function of investors acting </w:t>
      </w:r>
      <w:r w:rsidR="00B25E3A">
        <w:rPr>
          <w:rFonts w:asciiTheme="minorHAnsi" w:hAnsiTheme="minorHAnsi"/>
          <w:sz w:val="22"/>
          <w:szCs w:val="22"/>
        </w:rPr>
        <w:t>up</w:t>
      </w:r>
      <w:r w:rsidR="00B34B7B">
        <w:rPr>
          <w:rFonts w:asciiTheme="minorHAnsi" w:hAnsiTheme="minorHAnsi"/>
          <w:sz w:val="22"/>
          <w:szCs w:val="22"/>
        </w:rPr>
        <w:t>on publicly discernible signals.</w:t>
      </w:r>
    </w:p>
    <w:p w:rsidR="00EA7DB5" w:rsidRDefault="00F85E62" w:rsidP="00EA7DB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In</w:t>
      </w:r>
      <w:r w:rsidR="00EA7DB5">
        <w:rPr>
          <w:rFonts w:asciiTheme="minorHAnsi" w:hAnsiTheme="minorHAnsi"/>
          <w:sz w:val="22"/>
          <w:szCs w:val="22"/>
        </w:rPr>
        <w:t xml:space="preserve"> the UK</w:t>
      </w:r>
      <w:r>
        <w:rPr>
          <w:rFonts w:asciiTheme="minorHAnsi" w:hAnsiTheme="minorHAnsi"/>
          <w:sz w:val="22"/>
          <w:szCs w:val="22"/>
        </w:rPr>
        <w:t xml:space="preserve"> context a similar perspective is offered</w:t>
      </w:r>
      <w:r w:rsidR="00EA7DB5">
        <w:rPr>
          <w:rFonts w:asciiTheme="minorHAnsi" w:hAnsiTheme="minorHAnsi"/>
          <w:sz w:val="22"/>
          <w:szCs w:val="22"/>
        </w:rPr>
        <w:t xml:space="preserve">, </w:t>
      </w:r>
      <w:proofErr w:type="spellStart"/>
      <w:r w:rsidR="00EA7DB5">
        <w:rPr>
          <w:rFonts w:asciiTheme="minorHAnsi" w:hAnsiTheme="minorHAnsi"/>
          <w:sz w:val="22"/>
          <w:szCs w:val="22"/>
        </w:rPr>
        <w:t>Korczak</w:t>
      </w:r>
      <w:proofErr w:type="spellEnd"/>
      <w:r w:rsidR="00EA7DB5">
        <w:rPr>
          <w:rFonts w:asciiTheme="minorHAnsi" w:hAnsiTheme="minorHAnsi"/>
          <w:sz w:val="22"/>
          <w:szCs w:val="22"/>
        </w:rPr>
        <w:t xml:space="preserve"> et al (2010) </w:t>
      </w:r>
      <w:r>
        <w:rPr>
          <w:rFonts w:asciiTheme="minorHAnsi" w:hAnsiTheme="minorHAnsi"/>
          <w:sz w:val="22"/>
          <w:szCs w:val="22"/>
        </w:rPr>
        <w:t>show</w:t>
      </w:r>
      <w:r w:rsidR="00EA7DB5">
        <w:rPr>
          <w:rFonts w:asciiTheme="minorHAnsi" w:hAnsiTheme="minorHAnsi"/>
          <w:sz w:val="22"/>
          <w:szCs w:val="22"/>
        </w:rPr>
        <w:t xml:space="preserve"> that insiders display a propensity to trade ahead of company news announcements</w:t>
      </w:r>
      <w:r>
        <w:rPr>
          <w:rFonts w:asciiTheme="minorHAnsi" w:hAnsiTheme="minorHAnsi"/>
          <w:sz w:val="22"/>
          <w:szCs w:val="22"/>
        </w:rPr>
        <w:t xml:space="preserve">, and </w:t>
      </w:r>
      <w:r w:rsidR="00EA7DB5">
        <w:rPr>
          <w:rFonts w:asciiTheme="minorHAnsi" w:hAnsiTheme="minorHAnsi"/>
          <w:sz w:val="22"/>
          <w:szCs w:val="22"/>
        </w:rPr>
        <w:t xml:space="preserve">the capacity for investors to buy ahead of good news announcements outweighs their inclination to sell prior to the release of negative information. However, the level of insider activity before trading ahead of bad news is governed by the supposed significance of the event. </w:t>
      </w:r>
      <w:r>
        <w:rPr>
          <w:rFonts w:asciiTheme="minorHAnsi" w:hAnsiTheme="minorHAnsi"/>
          <w:sz w:val="22"/>
          <w:szCs w:val="22"/>
        </w:rPr>
        <w:t>Conversely, i</w:t>
      </w:r>
      <w:r w:rsidR="00EA7DB5">
        <w:rPr>
          <w:rFonts w:asciiTheme="minorHAnsi" w:hAnsiTheme="minorHAnsi"/>
          <w:sz w:val="22"/>
          <w:szCs w:val="22"/>
        </w:rPr>
        <w:t xml:space="preserve">n conditions where the effect of the news is thought to dramatically affect stock prices, the probability of insider selling is shown to decrease. </w:t>
      </w:r>
      <w:r>
        <w:rPr>
          <w:rFonts w:asciiTheme="minorHAnsi" w:hAnsiTheme="minorHAnsi"/>
          <w:sz w:val="22"/>
          <w:szCs w:val="22"/>
        </w:rPr>
        <w:t xml:space="preserve">The authors conclude that this inappropriate behaviour </w:t>
      </w:r>
      <w:r w:rsidR="00EA7DB5">
        <w:rPr>
          <w:rFonts w:asciiTheme="minorHAnsi" w:hAnsiTheme="minorHAnsi"/>
          <w:sz w:val="22"/>
          <w:szCs w:val="22"/>
        </w:rPr>
        <w:t>is toned down when an incident is likely to attract more attention from regulators and market commentators.</w:t>
      </w:r>
    </w:p>
    <w:p w:rsidR="00B25E3A" w:rsidRDefault="00EA7DB5" w:rsidP="0096767D">
      <w:pPr>
        <w:pStyle w:val="Standard"/>
        <w:spacing w:line="480" w:lineRule="auto"/>
        <w:ind w:left="851" w:firstLine="589"/>
        <w:jc w:val="both"/>
        <w:rPr>
          <w:rFonts w:asciiTheme="minorHAnsi" w:hAnsiTheme="minorHAnsi"/>
          <w:sz w:val="22"/>
          <w:szCs w:val="22"/>
        </w:rPr>
      </w:pPr>
      <w:r w:rsidRPr="00B25E3A">
        <w:rPr>
          <w:rFonts w:asciiTheme="minorHAnsi" w:hAnsiTheme="minorHAnsi"/>
          <w:sz w:val="22"/>
          <w:szCs w:val="22"/>
        </w:rPr>
        <w:t xml:space="preserve">During instances where news of the merger has been leaked or has established itself as a rumour there is no longer a solid case to suggest that the pre-announcement trading activity is instigated solely as a consequence of privately held information. </w:t>
      </w:r>
      <w:r w:rsidR="00B25E3A" w:rsidRPr="00B25E3A">
        <w:rPr>
          <w:rFonts w:asciiTheme="minorHAnsi" w:hAnsiTheme="minorHAnsi"/>
          <w:sz w:val="22"/>
          <w:szCs w:val="22"/>
        </w:rPr>
        <w:t>However, e</w:t>
      </w:r>
      <w:r w:rsidRPr="00B25E3A">
        <w:rPr>
          <w:rFonts w:asciiTheme="minorHAnsi" w:hAnsiTheme="minorHAnsi"/>
          <w:sz w:val="22"/>
          <w:szCs w:val="22"/>
        </w:rPr>
        <w:t xml:space="preserve">vidence of activity prior to the rumour date is highly suggestive of insider trading activity. </w:t>
      </w:r>
      <w:r w:rsidRPr="00B25E3A">
        <w:rPr>
          <w:rFonts w:asciiTheme="minorHAnsi" w:hAnsiTheme="minorHAnsi"/>
          <w:sz w:val="22"/>
          <w:szCs w:val="22"/>
        </w:rPr>
        <w:lastRenderedPageBreak/>
        <w:t xml:space="preserve">In the empirical literature a number of studies have documented the presence of abnormal returns prior to the rumour date. Jarrell and </w:t>
      </w:r>
      <w:proofErr w:type="spellStart"/>
      <w:r w:rsidRPr="00B25E3A">
        <w:rPr>
          <w:rFonts w:asciiTheme="minorHAnsi" w:hAnsiTheme="minorHAnsi"/>
          <w:sz w:val="22"/>
          <w:szCs w:val="22"/>
        </w:rPr>
        <w:t>Poulsen</w:t>
      </w:r>
      <w:proofErr w:type="spellEnd"/>
      <w:r w:rsidRPr="00B25E3A">
        <w:rPr>
          <w:rFonts w:asciiTheme="minorHAnsi" w:hAnsiTheme="minorHAnsi"/>
          <w:sz w:val="22"/>
          <w:szCs w:val="22"/>
        </w:rPr>
        <w:t xml:space="preserve"> (1989) ascribe cumulative abnormal returns in such instances to reach 11.2% by close of the last trading day prior to the rumour. The general conclusion is that as the rumour date often precedes the announcement date by as many as two months, trading by directors can occur outside of a time when their activities are more likely to be scrutinised.</w:t>
      </w:r>
    </w:p>
    <w:p w:rsidR="00EA7DB5" w:rsidRDefault="00EA7DB5" w:rsidP="00EA7DB5">
      <w:pPr>
        <w:pStyle w:val="Heading3"/>
      </w:pPr>
      <w:bookmarkStart w:id="1" w:name="_Toc330487999"/>
      <w:r w:rsidRPr="00FF5EA7">
        <w:rPr>
          <w:color w:val="auto"/>
        </w:rPr>
        <w:t>What is the effect of regulation and enforcement?</w:t>
      </w:r>
      <w:bookmarkEnd w:id="1"/>
    </w:p>
    <w:p w:rsidR="00EA7DB5" w:rsidRDefault="00EA7DB5" w:rsidP="00EA7DB5">
      <w:pPr>
        <w:pStyle w:val="Standard"/>
        <w:spacing w:line="480" w:lineRule="auto"/>
        <w:ind w:left="851"/>
        <w:jc w:val="both"/>
        <w:rPr>
          <w:rFonts w:asciiTheme="minorHAnsi" w:hAnsiTheme="minorHAnsi"/>
          <w:sz w:val="22"/>
          <w:szCs w:val="22"/>
        </w:rPr>
      </w:pPr>
    </w:p>
    <w:p w:rsidR="00EA7DB5" w:rsidRDefault="00EA7DB5" w:rsidP="00EA7DB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If we are to accept the insider trading hypothesis</w:t>
      </w:r>
      <w:r w:rsidR="00834FA0">
        <w:rPr>
          <w:rFonts w:asciiTheme="minorHAnsi" w:hAnsiTheme="minorHAnsi"/>
          <w:sz w:val="22"/>
          <w:szCs w:val="22"/>
        </w:rPr>
        <w:t>,</w:t>
      </w:r>
      <w:r w:rsidR="00555962">
        <w:rPr>
          <w:rFonts w:asciiTheme="minorHAnsi" w:hAnsiTheme="minorHAnsi"/>
          <w:sz w:val="22"/>
          <w:szCs w:val="22"/>
        </w:rPr>
        <w:t xml:space="preserve"> then </w:t>
      </w:r>
      <w:r w:rsidR="00834FA0">
        <w:rPr>
          <w:rFonts w:asciiTheme="minorHAnsi" w:hAnsiTheme="minorHAnsi"/>
          <w:sz w:val="22"/>
          <w:szCs w:val="22"/>
        </w:rPr>
        <w:t xml:space="preserve">it is easy to see how </w:t>
      </w:r>
      <w:r w:rsidR="00555962">
        <w:rPr>
          <w:rFonts w:asciiTheme="minorHAnsi" w:hAnsiTheme="minorHAnsi"/>
          <w:sz w:val="22"/>
          <w:szCs w:val="22"/>
        </w:rPr>
        <w:t>significantly abnormal returns ahead of a takeover create cause for alarm. E</w:t>
      </w:r>
      <w:r>
        <w:rPr>
          <w:rFonts w:asciiTheme="minorHAnsi" w:hAnsiTheme="minorHAnsi"/>
          <w:sz w:val="22"/>
          <w:szCs w:val="22"/>
        </w:rPr>
        <w:t>mpirical studies s</w:t>
      </w:r>
      <w:r w:rsidR="00555962">
        <w:rPr>
          <w:rFonts w:asciiTheme="minorHAnsi" w:hAnsiTheme="minorHAnsi"/>
          <w:sz w:val="22"/>
          <w:szCs w:val="22"/>
        </w:rPr>
        <w:t xml:space="preserve">how that abnormal price movements can be detected as early as </w:t>
      </w:r>
      <w:r>
        <w:rPr>
          <w:rFonts w:asciiTheme="minorHAnsi" w:hAnsiTheme="minorHAnsi"/>
          <w:sz w:val="22"/>
          <w:szCs w:val="22"/>
        </w:rPr>
        <w:t xml:space="preserve">fifty days before the first public disclosure of </w:t>
      </w:r>
      <w:r w:rsidR="00555962">
        <w:rPr>
          <w:rFonts w:asciiTheme="minorHAnsi" w:hAnsiTheme="minorHAnsi"/>
          <w:sz w:val="22"/>
          <w:szCs w:val="22"/>
        </w:rPr>
        <w:t>a</w:t>
      </w:r>
      <w:r>
        <w:rPr>
          <w:rFonts w:asciiTheme="minorHAnsi" w:hAnsiTheme="minorHAnsi"/>
          <w:sz w:val="22"/>
          <w:szCs w:val="22"/>
        </w:rPr>
        <w:t xml:space="preserve"> takeover (</w:t>
      </w:r>
      <w:proofErr w:type="spellStart"/>
      <w:r>
        <w:rPr>
          <w:rFonts w:asciiTheme="minorHAnsi" w:hAnsiTheme="minorHAnsi"/>
          <w:sz w:val="22"/>
          <w:szCs w:val="22"/>
        </w:rPr>
        <w:t>Meulbroek</w:t>
      </w:r>
      <w:proofErr w:type="spellEnd"/>
      <w:r>
        <w:rPr>
          <w:rFonts w:asciiTheme="minorHAnsi" w:hAnsiTheme="minorHAnsi"/>
          <w:sz w:val="22"/>
          <w:szCs w:val="22"/>
        </w:rPr>
        <w:t xml:space="preserve"> 1992)</w:t>
      </w:r>
      <w:r w:rsidR="008158E3">
        <w:rPr>
          <w:rFonts w:asciiTheme="minorHAnsi" w:hAnsiTheme="minorHAnsi"/>
          <w:sz w:val="22"/>
          <w:szCs w:val="22"/>
        </w:rPr>
        <w:t>,</w:t>
      </w:r>
      <w:r w:rsidR="00555962">
        <w:rPr>
          <w:rFonts w:asciiTheme="minorHAnsi" w:hAnsiTheme="minorHAnsi"/>
          <w:sz w:val="22"/>
          <w:szCs w:val="22"/>
        </w:rPr>
        <w:t xml:space="preserve">with a sharp increase in the magnitude of returns in the twenty days immediately prior to the event </w:t>
      </w:r>
      <w:r w:rsidR="008158E3">
        <w:rPr>
          <w:rFonts w:asciiTheme="minorHAnsi" w:hAnsiTheme="minorHAnsi"/>
          <w:sz w:val="22"/>
          <w:szCs w:val="22"/>
        </w:rPr>
        <w:t>(</w:t>
      </w:r>
      <w:proofErr w:type="spellStart"/>
      <w:r w:rsidR="008158E3">
        <w:rPr>
          <w:rFonts w:asciiTheme="minorHAnsi" w:hAnsiTheme="minorHAnsi"/>
          <w:sz w:val="22"/>
          <w:szCs w:val="22"/>
        </w:rPr>
        <w:t>Meulbroek</w:t>
      </w:r>
      <w:proofErr w:type="spellEnd"/>
      <w:r w:rsidR="008158E3">
        <w:rPr>
          <w:rFonts w:asciiTheme="minorHAnsi" w:hAnsiTheme="minorHAnsi"/>
          <w:sz w:val="22"/>
          <w:szCs w:val="22"/>
        </w:rPr>
        <w:t xml:space="preserve"> and Hart 1997). This draws a question over the efficacy of the market abuse legislation and its mechanisms for enforcement. </w:t>
      </w:r>
      <w:r w:rsidR="00431EF0">
        <w:rPr>
          <w:rFonts w:asciiTheme="minorHAnsi" w:hAnsiTheme="minorHAnsi"/>
          <w:sz w:val="22"/>
          <w:szCs w:val="22"/>
        </w:rPr>
        <w:t>Some empirical work suggests that</w:t>
      </w:r>
      <w:r>
        <w:rPr>
          <w:rFonts w:asciiTheme="minorHAnsi" w:hAnsiTheme="minorHAnsi"/>
          <w:sz w:val="22"/>
          <w:szCs w:val="22"/>
        </w:rPr>
        <w:t xml:space="preserve"> informed trading is curbed when insider trading regulations are introduced</w:t>
      </w:r>
      <w:r w:rsidR="00431EF0">
        <w:rPr>
          <w:rFonts w:asciiTheme="minorHAnsi" w:hAnsiTheme="minorHAnsi"/>
          <w:sz w:val="22"/>
          <w:szCs w:val="22"/>
        </w:rPr>
        <w:t xml:space="preserve">, </w:t>
      </w:r>
      <w:proofErr w:type="spellStart"/>
      <w:r>
        <w:rPr>
          <w:rFonts w:asciiTheme="minorHAnsi" w:hAnsiTheme="minorHAnsi"/>
          <w:sz w:val="22"/>
          <w:szCs w:val="22"/>
        </w:rPr>
        <w:t>Korczak</w:t>
      </w:r>
      <w:proofErr w:type="spellEnd"/>
      <w:r>
        <w:rPr>
          <w:rFonts w:asciiTheme="minorHAnsi" w:hAnsiTheme="minorHAnsi"/>
          <w:sz w:val="22"/>
          <w:szCs w:val="22"/>
        </w:rPr>
        <w:t xml:space="preserve"> et al </w:t>
      </w:r>
      <w:r w:rsidR="00431EF0">
        <w:rPr>
          <w:rFonts w:asciiTheme="minorHAnsi" w:hAnsiTheme="minorHAnsi"/>
          <w:sz w:val="22"/>
          <w:szCs w:val="22"/>
        </w:rPr>
        <w:t>(</w:t>
      </w:r>
      <w:r>
        <w:rPr>
          <w:rFonts w:asciiTheme="minorHAnsi" w:hAnsiTheme="minorHAnsi"/>
          <w:sz w:val="22"/>
          <w:szCs w:val="22"/>
        </w:rPr>
        <w:t>2010)</w:t>
      </w:r>
      <w:r w:rsidR="00431EF0">
        <w:rPr>
          <w:rFonts w:asciiTheme="minorHAnsi" w:hAnsiTheme="minorHAnsi"/>
          <w:sz w:val="22"/>
          <w:szCs w:val="22"/>
        </w:rPr>
        <w:t xml:space="preserve"> point to UK evidence supporting this point</w:t>
      </w:r>
      <w:r>
        <w:rPr>
          <w:rFonts w:asciiTheme="minorHAnsi" w:hAnsiTheme="minorHAnsi"/>
          <w:sz w:val="22"/>
          <w:szCs w:val="22"/>
        </w:rPr>
        <w:t xml:space="preserve">. </w:t>
      </w:r>
      <w:proofErr w:type="spellStart"/>
      <w:r>
        <w:rPr>
          <w:rFonts w:asciiTheme="minorHAnsi" w:hAnsiTheme="minorHAnsi"/>
          <w:sz w:val="22"/>
          <w:szCs w:val="22"/>
        </w:rPr>
        <w:t>Durnev</w:t>
      </w:r>
      <w:proofErr w:type="spellEnd"/>
      <w:r>
        <w:rPr>
          <w:rFonts w:asciiTheme="minorHAnsi" w:hAnsiTheme="minorHAnsi"/>
          <w:sz w:val="22"/>
          <w:szCs w:val="22"/>
        </w:rPr>
        <w:t xml:space="preserve"> and Nain (2005)</w:t>
      </w:r>
      <w:r w:rsidR="00431EF0">
        <w:rPr>
          <w:rFonts w:asciiTheme="minorHAnsi" w:hAnsiTheme="minorHAnsi"/>
          <w:sz w:val="22"/>
          <w:szCs w:val="22"/>
        </w:rPr>
        <w:t xml:space="preserve">, </w:t>
      </w:r>
      <w:r w:rsidR="00404929">
        <w:rPr>
          <w:rFonts w:asciiTheme="minorHAnsi" w:hAnsiTheme="minorHAnsi"/>
          <w:sz w:val="22"/>
          <w:szCs w:val="22"/>
        </w:rPr>
        <w:t>who examine</w:t>
      </w:r>
      <w:r w:rsidR="00431EF0">
        <w:rPr>
          <w:rFonts w:asciiTheme="minorHAnsi" w:hAnsiTheme="minorHAnsi"/>
          <w:sz w:val="22"/>
          <w:szCs w:val="22"/>
        </w:rPr>
        <w:t xml:space="preserve"> a broad sample of twenty one </w:t>
      </w:r>
      <w:r w:rsidR="00404929">
        <w:rPr>
          <w:rFonts w:asciiTheme="minorHAnsi" w:hAnsiTheme="minorHAnsi"/>
          <w:sz w:val="22"/>
          <w:szCs w:val="22"/>
        </w:rPr>
        <w:t>countries,</w:t>
      </w:r>
      <w:r>
        <w:rPr>
          <w:rFonts w:asciiTheme="minorHAnsi" w:hAnsiTheme="minorHAnsi"/>
          <w:sz w:val="22"/>
          <w:szCs w:val="22"/>
        </w:rPr>
        <w:t xml:space="preserve"> find that on the whole, restrictions on insider activity curb levels of informed trading, but that in companies where the share ownership is concentrated among large shareholders</w:t>
      </w:r>
      <w:r w:rsidR="00555962">
        <w:rPr>
          <w:rFonts w:asciiTheme="minorHAnsi" w:hAnsiTheme="minorHAnsi"/>
          <w:sz w:val="22"/>
          <w:szCs w:val="22"/>
        </w:rPr>
        <w:t>,</w:t>
      </w:r>
      <w:r>
        <w:rPr>
          <w:rFonts w:asciiTheme="minorHAnsi" w:hAnsiTheme="minorHAnsi"/>
          <w:sz w:val="22"/>
          <w:szCs w:val="22"/>
        </w:rPr>
        <w:t xml:space="preserve"> these restrictions become less effective. Certainly the positive attitude among regulators toward imposing restrictions in this area is gathering into something of a global trend</w:t>
      </w:r>
      <w:r w:rsidR="00431EF0">
        <w:rPr>
          <w:rFonts w:asciiTheme="minorHAnsi" w:hAnsiTheme="minorHAnsi"/>
          <w:sz w:val="22"/>
          <w:szCs w:val="22"/>
        </w:rPr>
        <w:t xml:space="preserve"> as markets compete in terms of efficiency and transparency</w:t>
      </w:r>
      <w:r>
        <w:rPr>
          <w:rFonts w:asciiTheme="minorHAnsi" w:hAnsiTheme="minorHAnsi"/>
          <w:sz w:val="22"/>
          <w:szCs w:val="22"/>
        </w:rPr>
        <w:t xml:space="preserve">. </w:t>
      </w:r>
      <w:r w:rsidR="00431EF0">
        <w:rPr>
          <w:rFonts w:asciiTheme="minorHAnsi" w:hAnsiTheme="minorHAnsi"/>
          <w:sz w:val="22"/>
          <w:szCs w:val="22"/>
        </w:rPr>
        <w:t xml:space="preserve">For example, </w:t>
      </w:r>
      <w:r>
        <w:rPr>
          <w:rFonts w:asciiTheme="minorHAnsi" w:hAnsiTheme="minorHAnsi"/>
          <w:sz w:val="22"/>
          <w:szCs w:val="22"/>
        </w:rPr>
        <w:t xml:space="preserve">Bhattacharya and </w:t>
      </w:r>
      <w:proofErr w:type="spellStart"/>
      <w:r>
        <w:rPr>
          <w:rFonts w:asciiTheme="minorHAnsi" w:hAnsiTheme="minorHAnsi"/>
          <w:sz w:val="22"/>
          <w:szCs w:val="22"/>
        </w:rPr>
        <w:t>Daouk</w:t>
      </w:r>
      <w:proofErr w:type="spellEnd"/>
      <w:r>
        <w:rPr>
          <w:rFonts w:asciiTheme="minorHAnsi" w:hAnsiTheme="minorHAnsi"/>
          <w:sz w:val="22"/>
          <w:szCs w:val="22"/>
        </w:rPr>
        <w:t xml:space="preserve"> (2002) surveyed </w:t>
      </w:r>
      <w:r w:rsidR="00404929">
        <w:rPr>
          <w:rFonts w:asciiTheme="minorHAnsi" w:hAnsiTheme="minorHAnsi"/>
          <w:sz w:val="22"/>
          <w:szCs w:val="22"/>
        </w:rPr>
        <w:t>the</w:t>
      </w:r>
      <w:r>
        <w:rPr>
          <w:rFonts w:asciiTheme="minorHAnsi" w:hAnsiTheme="minorHAnsi"/>
          <w:sz w:val="22"/>
          <w:szCs w:val="22"/>
        </w:rPr>
        <w:t xml:space="preserve"> stock markets</w:t>
      </w:r>
      <w:r w:rsidR="00555962">
        <w:rPr>
          <w:rFonts w:asciiTheme="minorHAnsi" w:hAnsiTheme="minorHAnsi"/>
          <w:sz w:val="22"/>
          <w:szCs w:val="22"/>
        </w:rPr>
        <w:t xml:space="preserve"> of 103 countries,</w:t>
      </w:r>
      <w:r>
        <w:rPr>
          <w:rFonts w:asciiTheme="minorHAnsi" w:hAnsiTheme="minorHAnsi"/>
          <w:sz w:val="22"/>
          <w:szCs w:val="22"/>
        </w:rPr>
        <w:t xml:space="preserve"> and found that 87 of these prohibit the activity. </w:t>
      </w:r>
      <w:r w:rsidR="00431EF0">
        <w:rPr>
          <w:rFonts w:asciiTheme="minorHAnsi" w:hAnsiTheme="minorHAnsi"/>
          <w:sz w:val="22"/>
          <w:szCs w:val="22"/>
        </w:rPr>
        <w:t>Where a ban on insider trading is imposed</w:t>
      </w:r>
      <w:r w:rsidR="00404929">
        <w:rPr>
          <w:rFonts w:asciiTheme="minorHAnsi" w:hAnsiTheme="minorHAnsi"/>
          <w:sz w:val="22"/>
          <w:szCs w:val="22"/>
        </w:rPr>
        <w:t>,</w:t>
      </w:r>
      <w:r w:rsidR="00431EF0">
        <w:rPr>
          <w:rFonts w:asciiTheme="minorHAnsi" w:hAnsiTheme="minorHAnsi"/>
          <w:sz w:val="22"/>
          <w:szCs w:val="22"/>
        </w:rPr>
        <w:t xml:space="preserve"> its </w:t>
      </w:r>
      <w:r>
        <w:rPr>
          <w:rFonts w:asciiTheme="minorHAnsi" w:hAnsiTheme="minorHAnsi"/>
          <w:sz w:val="22"/>
          <w:szCs w:val="22"/>
        </w:rPr>
        <w:t>principle motivation is to protect the inte</w:t>
      </w:r>
      <w:r w:rsidR="00431EF0">
        <w:rPr>
          <w:rFonts w:asciiTheme="minorHAnsi" w:hAnsiTheme="minorHAnsi"/>
          <w:sz w:val="22"/>
          <w:szCs w:val="22"/>
        </w:rPr>
        <w:t>grity of the market by safeguarding the interests of the uninformed investors</w:t>
      </w:r>
      <w:r>
        <w:rPr>
          <w:rFonts w:asciiTheme="minorHAnsi" w:hAnsiTheme="minorHAnsi"/>
          <w:sz w:val="22"/>
          <w:szCs w:val="22"/>
        </w:rPr>
        <w:t xml:space="preserve">. </w:t>
      </w:r>
      <w:r w:rsidR="00431EF0">
        <w:rPr>
          <w:rFonts w:asciiTheme="minorHAnsi" w:hAnsiTheme="minorHAnsi"/>
          <w:sz w:val="22"/>
          <w:szCs w:val="22"/>
        </w:rPr>
        <w:t xml:space="preserve">However, </w:t>
      </w:r>
      <w:r>
        <w:rPr>
          <w:rFonts w:asciiTheme="minorHAnsi" w:hAnsiTheme="minorHAnsi"/>
          <w:sz w:val="22"/>
          <w:szCs w:val="22"/>
        </w:rPr>
        <w:t xml:space="preserve">it does not follow that an increase in regulation or sanctioning will </w:t>
      </w:r>
      <w:r>
        <w:rPr>
          <w:rFonts w:asciiTheme="minorHAnsi" w:hAnsiTheme="minorHAnsi"/>
          <w:sz w:val="22"/>
          <w:szCs w:val="22"/>
        </w:rPr>
        <w:lastRenderedPageBreak/>
        <w:t xml:space="preserve">dampen either the instance or volume of insider trading. </w:t>
      </w:r>
      <w:r w:rsidR="00431EF0">
        <w:rPr>
          <w:rFonts w:asciiTheme="minorHAnsi" w:hAnsiTheme="minorHAnsi"/>
          <w:sz w:val="22"/>
          <w:szCs w:val="22"/>
        </w:rPr>
        <w:t xml:space="preserve">For </w:t>
      </w:r>
      <w:r w:rsidR="00404929">
        <w:rPr>
          <w:rFonts w:asciiTheme="minorHAnsi" w:hAnsiTheme="minorHAnsi"/>
          <w:sz w:val="22"/>
          <w:szCs w:val="22"/>
        </w:rPr>
        <w:t>example</w:t>
      </w:r>
      <w:r w:rsidR="00431EF0">
        <w:rPr>
          <w:rFonts w:asciiTheme="minorHAnsi" w:hAnsiTheme="minorHAnsi"/>
          <w:sz w:val="22"/>
          <w:szCs w:val="22"/>
        </w:rPr>
        <w:t xml:space="preserve">, </w:t>
      </w:r>
      <w:proofErr w:type="spellStart"/>
      <w:r>
        <w:rPr>
          <w:rFonts w:asciiTheme="minorHAnsi" w:hAnsiTheme="minorHAnsi"/>
          <w:sz w:val="22"/>
          <w:szCs w:val="22"/>
        </w:rPr>
        <w:t>Seyhun</w:t>
      </w:r>
      <w:proofErr w:type="spellEnd"/>
      <w:r>
        <w:rPr>
          <w:rFonts w:asciiTheme="minorHAnsi" w:hAnsiTheme="minorHAnsi"/>
          <w:sz w:val="22"/>
          <w:szCs w:val="22"/>
        </w:rPr>
        <w:t xml:space="preserve"> (1992) finds that despite the overhaul in regulation and sanctioning in the</w:t>
      </w:r>
      <w:r w:rsidR="00555962">
        <w:rPr>
          <w:rFonts w:asciiTheme="minorHAnsi" w:hAnsiTheme="minorHAnsi"/>
          <w:sz w:val="22"/>
          <w:szCs w:val="22"/>
        </w:rPr>
        <w:t xml:space="preserve"> US</w:t>
      </w:r>
      <w:r w:rsidR="00404929">
        <w:rPr>
          <w:rFonts w:asciiTheme="minorHAnsi" w:hAnsiTheme="minorHAnsi"/>
          <w:sz w:val="22"/>
          <w:szCs w:val="22"/>
        </w:rPr>
        <w:t>,</w:t>
      </w:r>
      <w:r w:rsidR="00555962">
        <w:rPr>
          <w:rFonts w:asciiTheme="minorHAnsi" w:hAnsiTheme="minorHAnsi"/>
          <w:sz w:val="22"/>
          <w:szCs w:val="22"/>
        </w:rPr>
        <w:t xml:space="preserve"> </w:t>
      </w:r>
      <w:r>
        <w:rPr>
          <w:rFonts w:asciiTheme="minorHAnsi" w:hAnsiTheme="minorHAnsi"/>
          <w:sz w:val="22"/>
          <w:szCs w:val="22"/>
        </w:rPr>
        <w:t>profits earned by insiders</w:t>
      </w:r>
      <w:r w:rsidR="00404929">
        <w:rPr>
          <w:rFonts w:asciiTheme="minorHAnsi" w:hAnsiTheme="minorHAnsi"/>
          <w:sz w:val="22"/>
          <w:szCs w:val="22"/>
        </w:rPr>
        <w:t xml:space="preserve"> from reported trades</w:t>
      </w:r>
      <w:r>
        <w:rPr>
          <w:rFonts w:asciiTheme="minorHAnsi" w:hAnsiTheme="minorHAnsi"/>
          <w:sz w:val="22"/>
          <w:szCs w:val="22"/>
        </w:rPr>
        <w:t xml:space="preserve"> increased from 3.5% in the pre-1980 period to 7% </w:t>
      </w:r>
      <w:r w:rsidR="00404929">
        <w:rPr>
          <w:rFonts w:asciiTheme="minorHAnsi" w:hAnsiTheme="minorHAnsi"/>
          <w:sz w:val="22"/>
          <w:szCs w:val="22"/>
        </w:rPr>
        <w:t xml:space="preserve">afterwards, </w:t>
      </w:r>
      <w:r w:rsidR="00431EF0">
        <w:rPr>
          <w:rFonts w:asciiTheme="minorHAnsi" w:hAnsiTheme="minorHAnsi"/>
          <w:sz w:val="22"/>
          <w:szCs w:val="22"/>
        </w:rPr>
        <w:t>this was accompanied by a fourfold increase in the volume of these types of trades</w:t>
      </w:r>
      <w:r>
        <w:rPr>
          <w:rFonts w:asciiTheme="minorHAnsi" w:hAnsiTheme="minorHAnsi"/>
          <w:sz w:val="22"/>
          <w:szCs w:val="22"/>
        </w:rPr>
        <w:t>.</w:t>
      </w:r>
    </w:p>
    <w:p w:rsidR="00EA7DB5" w:rsidRDefault="0030347C" w:rsidP="001D5C84">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The consensus among regulators is that it appears to be a form of ‘cheating’ that is ‘legally forbidden, morally wrong and economically dangerous’ (</w:t>
      </w:r>
      <w:proofErr w:type="spellStart"/>
      <w:r>
        <w:rPr>
          <w:rFonts w:asciiTheme="minorHAnsi" w:hAnsiTheme="minorHAnsi"/>
          <w:sz w:val="22"/>
          <w:szCs w:val="22"/>
        </w:rPr>
        <w:t>Zevitt</w:t>
      </w:r>
      <w:proofErr w:type="spellEnd"/>
      <w:r>
        <w:rPr>
          <w:rFonts w:asciiTheme="minorHAnsi" w:hAnsiTheme="minorHAnsi"/>
          <w:sz w:val="22"/>
          <w:szCs w:val="22"/>
        </w:rPr>
        <w:t xml:space="preserve"> 1998). However in a study of European takeovers, </w:t>
      </w:r>
      <w:r w:rsidR="00EA7DB5">
        <w:rPr>
          <w:rFonts w:asciiTheme="minorHAnsi" w:hAnsiTheme="minorHAnsi"/>
          <w:sz w:val="22"/>
          <w:szCs w:val="22"/>
        </w:rPr>
        <w:t>Bris (2005)</w:t>
      </w:r>
      <w:r>
        <w:rPr>
          <w:rFonts w:asciiTheme="minorHAnsi" w:hAnsiTheme="minorHAnsi"/>
          <w:sz w:val="22"/>
          <w:szCs w:val="22"/>
        </w:rPr>
        <w:t xml:space="preserve"> showed </w:t>
      </w:r>
      <w:r w:rsidR="00EA7DB5">
        <w:rPr>
          <w:rFonts w:asciiTheme="minorHAnsi" w:hAnsiTheme="minorHAnsi"/>
          <w:sz w:val="22"/>
          <w:szCs w:val="22"/>
        </w:rPr>
        <w:t xml:space="preserve">that a period of intense takeover activity is generally preceded by an episode of concentrated insider trading. </w:t>
      </w:r>
      <w:r>
        <w:rPr>
          <w:rFonts w:asciiTheme="minorHAnsi" w:hAnsiTheme="minorHAnsi"/>
          <w:sz w:val="22"/>
          <w:szCs w:val="22"/>
        </w:rPr>
        <w:t xml:space="preserve">This study also found that </w:t>
      </w:r>
      <w:r w:rsidR="00EA7DB5">
        <w:rPr>
          <w:rFonts w:asciiTheme="minorHAnsi" w:hAnsiTheme="minorHAnsi"/>
          <w:sz w:val="22"/>
          <w:szCs w:val="22"/>
        </w:rPr>
        <w:t xml:space="preserve">there is a direct correlation between the severity of punishment, the diligence of regulators and the incidence and profitability of insider trading. </w:t>
      </w:r>
      <w:r>
        <w:rPr>
          <w:rFonts w:asciiTheme="minorHAnsi" w:hAnsiTheme="minorHAnsi"/>
          <w:sz w:val="22"/>
          <w:szCs w:val="22"/>
        </w:rPr>
        <w:t>From this</w:t>
      </w:r>
      <w:r w:rsidR="00CA40D0">
        <w:rPr>
          <w:rFonts w:asciiTheme="minorHAnsi" w:hAnsiTheme="minorHAnsi"/>
          <w:sz w:val="22"/>
          <w:szCs w:val="22"/>
        </w:rPr>
        <w:t>,</w:t>
      </w:r>
      <w:r>
        <w:rPr>
          <w:rFonts w:asciiTheme="minorHAnsi" w:hAnsiTheme="minorHAnsi"/>
          <w:sz w:val="22"/>
          <w:szCs w:val="22"/>
        </w:rPr>
        <w:t xml:space="preserve"> one could assume that more</w:t>
      </w:r>
      <w:r w:rsidR="00EA7DB5">
        <w:rPr>
          <w:rFonts w:asciiTheme="minorHAnsi" w:hAnsiTheme="minorHAnsi"/>
          <w:sz w:val="22"/>
          <w:szCs w:val="22"/>
        </w:rPr>
        <w:t xml:space="preserve"> stringent enforcement </w:t>
      </w:r>
      <w:r>
        <w:rPr>
          <w:rFonts w:asciiTheme="minorHAnsi" w:hAnsiTheme="minorHAnsi"/>
          <w:sz w:val="22"/>
          <w:szCs w:val="22"/>
        </w:rPr>
        <w:t xml:space="preserve">could </w:t>
      </w:r>
      <w:r w:rsidR="00EA7DB5">
        <w:rPr>
          <w:rFonts w:asciiTheme="minorHAnsi" w:hAnsiTheme="minorHAnsi"/>
          <w:sz w:val="22"/>
          <w:szCs w:val="22"/>
        </w:rPr>
        <w:t>dramatically discourage this activity. The</w:t>
      </w:r>
      <w:r>
        <w:rPr>
          <w:rFonts w:asciiTheme="minorHAnsi" w:hAnsiTheme="minorHAnsi"/>
          <w:sz w:val="22"/>
          <w:szCs w:val="22"/>
        </w:rPr>
        <w:t>re is a</w:t>
      </w:r>
      <w:r w:rsidR="00EA7DB5">
        <w:rPr>
          <w:rFonts w:asciiTheme="minorHAnsi" w:hAnsiTheme="minorHAnsi"/>
          <w:sz w:val="22"/>
          <w:szCs w:val="22"/>
        </w:rPr>
        <w:t xml:space="preserve"> theoretical precedence</w:t>
      </w:r>
      <w:r>
        <w:rPr>
          <w:rFonts w:asciiTheme="minorHAnsi" w:hAnsiTheme="minorHAnsi"/>
          <w:sz w:val="22"/>
          <w:szCs w:val="22"/>
        </w:rPr>
        <w:t xml:space="preserve"> here, </w:t>
      </w:r>
      <w:r w:rsidR="00EA7DB5">
        <w:rPr>
          <w:rFonts w:asciiTheme="minorHAnsi" w:hAnsiTheme="minorHAnsi"/>
          <w:sz w:val="22"/>
          <w:szCs w:val="22"/>
        </w:rPr>
        <w:t>the rational e</w:t>
      </w:r>
      <w:r w:rsidR="007A7FAD">
        <w:rPr>
          <w:rFonts w:asciiTheme="minorHAnsi" w:hAnsiTheme="minorHAnsi"/>
          <w:sz w:val="22"/>
          <w:szCs w:val="22"/>
        </w:rPr>
        <w:t xml:space="preserve">conomic perspective posited by </w:t>
      </w:r>
      <w:r w:rsidR="00EA7DB5">
        <w:rPr>
          <w:rFonts w:asciiTheme="minorHAnsi" w:hAnsiTheme="minorHAnsi"/>
          <w:sz w:val="22"/>
          <w:szCs w:val="22"/>
        </w:rPr>
        <w:t xml:space="preserve">Becker </w:t>
      </w:r>
      <w:r w:rsidR="007A7FAD">
        <w:rPr>
          <w:rFonts w:asciiTheme="minorHAnsi" w:hAnsiTheme="minorHAnsi"/>
          <w:sz w:val="22"/>
          <w:szCs w:val="22"/>
        </w:rPr>
        <w:t>(</w:t>
      </w:r>
      <w:r w:rsidR="00EA7DB5">
        <w:rPr>
          <w:rFonts w:asciiTheme="minorHAnsi" w:hAnsiTheme="minorHAnsi"/>
          <w:sz w:val="22"/>
          <w:szCs w:val="22"/>
        </w:rPr>
        <w:t>1993)</w:t>
      </w:r>
      <w:r>
        <w:rPr>
          <w:rFonts w:asciiTheme="minorHAnsi" w:hAnsiTheme="minorHAnsi"/>
          <w:sz w:val="22"/>
          <w:szCs w:val="22"/>
        </w:rPr>
        <w:t xml:space="preserve"> which says that as </w:t>
      </w:r>
      <w:r w:rsidR="00EA7DB5">
        <w:rPr>
          <w:rFonts w:asciiTheme="minorHAnsi" w:hAnsiTheme="minorHAnsi"/>
          <w:sz w:val="22"/>
          <w:szCs w:val="22"/>
        </w:rPr>
        <w:t xml:space="preserve">the cost of violating the market abuse laws increase, self-interest </w:t>
      </w:r>
      <w:r>
        <w:rPr>
          <w:rFonts w:asciiTheme="minorHAnsi" w:hAnsiTheme="minorHAnsi"/>
          <w:sz w:val="22"/>
          <w:szCs w:val="22"/>
        </w:rPr>
        <w:t xml:space="preserve">will </w:t>
      </w:r>
      <w:r w:rsidR="00EA7DB5">
        <w:rPr>
          <w:rFonts w:asciiTheme="minorHAnsi" w:hAnsiTheme="minorHAnsi"/>
          <w:sz w:val="22"/>
          <w:szCs w:val="22"/>
        </w:rPr>
        <w:t xml:space="preserve">dissipate and the marginal benefits from participating in the activity </w:t>
      </w:r>
      <w:r>
        <w:rPr>
          <w:rFonts w:asciiTheme="minorHAnsi" w:hAnsiTheme="minorHAnsi"/>
          <w:sz w:val="22"/>
          <w:szCs w:val="22"/>
        </w:rPr>
        <w:t xml:space="preserve">will </w:t>
      </w:r>
      <w:r w:rsidR="00EA7DB5">
        <w:rPr>
          <w:rFonts w:asciiTheme="minorHAnsi" w:hAnsiTheme="minorHAnsi"/>
          <w:sz w:val="22"/>
          <w:szCs w:val="22"/>
        </w:rPr>
        <w:t xml:space="preserve">decrease. </w:t>
      </w:r>
      <w:r>
        <w:rPr>
          <w:rFonts w:asciiTheme="minorHAnsi" w:hAnsiTheme="minorHAnsi"/>
          <w:sz w:val="22"/>
          <w:szCs w:val="22"/>
        </w:rPr>
        <w:t>The answer to the problem of abuse seems straightforward, more legislation is required, yet studies show that the solution is not quite as simple as that. I</w:t>
      </w:r>
      <w:r w:rsidR="00EA7DB5">
        <w:rPr>
          <w:rFonts w:asciiTheme="minorHAnsi" w:hAnsiTheme="minorHAnsi"/>
          <w:sz w:val="22"/>
          <w:szCs w:val="22"/>
        </w:rPr>
        <w:t>f market abuse is legislated for in a certain market yet is not enforced, then the effect on the cost of equity can be more severe than if there had been no law in place</w:t>
      </w:r>
      <w:r>
        <w:rPr>
          <w:rFonts w:asciiTheme="minorHAnsi" w:hAnsiTheme="minorHAnsi"/>
          <w:sz w:val="22"/>
          <w:szCs w:val="22"/>
        </w:rPr>
        <w:t xml:space="preserve"> at all</w:t>
      </w:r>
      <w:r w:rsidR="00CA40D0">
        <w:rPr>
          <w:rFonts w:asciiTheme="minorHAnsi" w:hAnsiTheme="minorHAnsi"/>
          <w:sz w:val="22"/>
          <w:szCs w:val="22"/>
        </w:rPr>
        <w:t xml:space="preserve">. Bhattacharya and </w:t>
      </w:r>
      <w:proofErr w:type="spellStart"/>
      <w:r w:rsidR="00CA40D0">
        <w:rPr>
          <w:rFonts w:asciiTheme="minorHAnsi" w:hAnsiTheme="minorHAnsi"/>
          <w:sz w:val="22"/>
          <w:szCs w:val="22"/>
        </w:rPr>
        <w:t>Daouk</w:t>
      </w:r>
      <w:proofErr w:type="spellEnd"/>
      <w:r w:rsidR="00CA40D0">
        <w:rPr>
          <w:rFonts w:asciiTheme="minorHAnsi" w:hAnsiTheme="minorHAnsi"/>
          <w:sz w:val="22"/>
          <w:szCs w:val="22"/>
        </w:rPr>
        <w:t xml:space="preserve"> (2002</w:t>
      </w:r>
      <w:r w:rsidR="00EA7DB5">
        <w:rPr>
          <w:rFonts w:asciiTheme="minorHAnsi" w:hAnsiTheme="minorHAnsi"/>
          <w:sz w:val="22"/>
          <w:szCs w:val="22"/>
        </w:rPr>
        <w:t xml:space="preserve">) find this to be the case in emerging markets where these conditions </w:t>
      </w:r>
      <w:r w:rsidR="001D5C84">
        <w:rPr>
          <w:rFonts w:asciiTheme="minorHAnsi" w:hAnsiTheme="minorHAnsi"/>
          <w:sz w:val="22"/>
          <w:szCs w:val="22"/>
        </w:rPr>
        <w:t>are the most prevalent</w:t>
      </w:r>
      <w:r w:rsidR="00EA7DB5">
        <w:rPr>
          <w:rFonts w:asciiTheme="minorHAnsi" w:hAnsiTheme="minorHAnsi"/>
          <w:sz w:val="22"/>
          <w:szCs w:val="22"/>
        </w:rPr>
        <w:t xml:space="preserve">. </w:t>
      </w:r>
      <w:r w:rsidR="001D5C84">
        <w:rPr>
          <w:rFonts w:asciiTheme="minorHAnsi" w:hAnsiTheme="minorHAnsi"/>
          <w:sz w:val="22"/>
          <w:szCs w:val="22"/>
        </w:rPr>
        <w:t>An e</w:t>
      </w:r>
      <w:r w:rsidR="00EA7DB5">
        <w:rPr>
          <w:rFonts w:asciiTheme="minorHAnsi" w:hAnsiTheme="minorHAnsi"/>
          <w:sz w:val="22"/>
          <w:szCs w:val="22"/>
        </w:rPr>
        <w:t xml:space="preserve">xplanation </w:t>
      </w:r>
      <w:r w:rsidR="001D5C84">
        <w:rPr>
          <w:rFonts w:asciiTheme="minorHAnsi" w:hAnsiTheme="minorHAnsi"/>
          <w:sz w:val="22"/>
          <w:szCs w:val="22"/>
        </w:rPr>
        <w:t>arrives using reasoning which echoes the prisoner’s dilemma. I</w:t>
      </w:r>
      <w:r w:rsidR="00EA7DB5">
        <w:rPr>
          <w:rFonts w:asciiTheme="minorHAnsi" w:hAnsiTheme="minorHAnsi"/>
          <w:sz w:val="22"/>
          <w:szCs w:val="22"/>
        </w:rPr>
        <w:t xml:space="preserve">n situations where a good but unenforced law </w:t>
      </w:r>
      <w:r w:rsidR="001D5C84">
        <w:rPr>
          <w:rFonts w:asciiTheme="minorHAnsi" w:hAnsiTheme="minorHAnsi"/>
          <w:sz w:val="22"/>
          <w:szCs w:val="22"/>
        </w:rPr>
        <w:t>is present</w:t>
      </w:r>
      <w:r w:rsidR="00EA7DB5">
        <w:rPr>
          <w:rFonts w:asciiTheme="minorHAnsi" w:hAnsiTheme="minorHAnsi"/>
          <w:sz w:val="22"/>
          <w:szCs w:val="22"/>
        </w:rPr>
        <w:t xml:space="preserve"> some individuals will obey the law while others will choose not to comply, </w:t>
      </w:r>
      <w:r w:rsidR="001D5C84">
        <w:rPr>
          <w:rFonts w:asciiTheme="minorHAnsi" w:hAnsiTheme="minorHAnsi"/>
          <w:sz w:val="22"/>
          <w:szCs w:val="22"/>
        </w:rPr>
        <w:t xml:space="preserve">this </w:t>
      </w:r>
      <w:r w:rsidR="00EA7DB5">
        <w:rPr>
          <w:rFonts w:asciiTheme="minorHAnsi" w:hAnsiTheme="minorHAnsi"/>
          <w:sz w:val="22"/>
          <w:szCs w:val="22"/>
        </w:rPr>
        <w:t>therefore creat</w:t>
      </w:r>
      <w:r w:rsidR="001D5C84">
        <w:rPr>
          <w:rFonts w:asciiTheme="minorHAnsi" w:hAnsiTheme="minorHAnsi"/>
          <w:sz w:val="22"/>
          <w:szCs w:val="22"/>
        </w:rPr>
        <w:t>es a</w:t>
      </w:r>
      <w:r w:rsidR="00EA7DB5">
        <w:rPr>
          <w:rFonts w:asciiTheme="minorHAnsi" w:hAnsiTheme="minorHAnsi"/>
          <w:sz w:val="22"/>
          <w:szCs w:val="22"/>
        </w:rPr>
        <w:t xml:space="preserve"> disequilibrium in behaviour. The cost to the law abiders will thus be greater when a law exists and is </w:t>
      </w:r>
      <w:r w:rsidR="001D5C84">
        <w:rPr>
          <w:rFonts w:asciiTheme="minorHAnsi" w:hAnsiTheme="minorHAnsi"/>
          <w:sz w:val="22"/>
          <w:szCs w:val="22"/>
        </w:rPr>
        <w:t xml:space="preserve">not </w:t>
      </w:r>
      <w:r w:rsidR="00EA7DB5">
        <w:rPr>
          <w:rFonts w:asciiTheme="minorHAnsi" w:hAnsiTheme="minorHAnsi"/>
          <w:sz w:val="22"/>
          <w:szCs w:val="22"/>
        </w:rPr>
        <w:t>enforced as to when no law exists at all. Where enforcement is improved then there is some empirical evidence to suggest that the propose</w:t>
      </w:r>
      <w:r w:rsidR="001D5C84">
        <w:rPr>
          <w:rFonts w:asciiTheme="minorHAnsi" w:hAnsiTheme="minorHAnsi"/>
          <w:sz w:val="22"/>
          <w:szCs w:val="22"/>
        </w:rPr>
        <w:t>d aim of regulation can be met. This is shown in</w:t>
      </w:r>
      <w:r w:rsidR="00EA7DB5">
        <w:rPr>
          <w:rFonts w:asciiTheme="minorHAnsi" w:hAnsiTheme="minorHAnsi"/>
          <w:sz w:val="22"/>
          <w:szCs w:val="22"/>
        </w:rPr>
        <w:t xml:space="preserve"> work which investigates insider trading behaviour around price sensitive disclosure events </w:t>
      </w:r>
      <w:r w:rsidR="00EA7DB5">
        <w:rPr>
          <w:rFonts w:asciiTheme="minorHAnsi" w:hAnsiTheme="minorHAnsi"/>
          <w:sz w:val="22"/>
          <w:szCs w:val="22"/>
        </w:rPr>
        <w:lastRenderedPageBreak/>
        <w:t>(</w:t>
      </w:r>
      <w:proofErr w:type="spellStart"/>
      <w:r w:rsidR="00EA7DB5">
        <w:rPr>
          <w:rFonts w:asciiTheme="minorHAnsi" w:hAnsiTheme="minorHAnsi"/>
          <w:sz w:val="22"/>
          <w:szCs w:val="22"/>
        </w:rPr>
        <w:t>Bettis</w:t>
      </w:r>
      <w:proofErr w:type="spellEnd"/>
      <w:r w:rsidR="00EA7DB5">
        <w:rPr>
          <w:rFonts w:asciiTheme="minorHAnsi" w:hAnsiTheme="minorHAnsi"/>
          <w:sz w:val="22"/>
          <w:szCs w:val="22"/>
        </w:rPr>
        <w:t xml:space="preserve">, Cole and Lemmon 2000, </w:t>
      </w:r>
      <w:proofErr w:type="spellStart"/>
      <w:r w:rsidR="00EA7DB5">
        <w:rPr>
          <w:rFonts w:asciiTheme="minorHAnsi" w:hAnsiTheme="minorHAnsi"/>
          <w:sz w:val="22"/>
          <w:szCs w:val="22"/>
        </w:rPr>
        <w:t>Roulstone</w:t>
      </w:r>
      <w:proofErr w:type="spellEnd"/>
      <w:r w:rsidR="00EA7DB5">
        <w:rPr>
          <w:rFonts w:asciiTheme="minorHAnsi" w:hAnsiTheme="minorHAnsi"/>
          <w:sz w:val="22"/>
          <w:szCs w:val="22"/>
        </w:rPr>
        <w:t xml:space="preserve"> 2003, </w:t>
      </w:r>
      <w:proofErr w:type="spellStart"/>
      <w:r w:rsidR="00EA7DB5">
        <w:rPr>
          <w:rFonts w:asciiTheme="minorHAnsi" w:hAnsiTheme="minorHAnsi"/>
          <w:sz w:val="22"/>
          <w:szCs w:val="22"/>
        </w:rPr>
        <w:t>Garfinkel</w:t>
      </w:r>
      <w:proofErr w:type="spellEnd"/>
      <w:r w:rsidR="00EA7DB5">
        <w:rPr>
          <w:rFonts w:asciiTheme="minorHAnsi" w:hAnsiTheme="minorHAnsi"/>
          <w:sz w:val="22"/>
          <w:szCs w:val="22"/>
        </w:rPr>
        <w:t xml:space="preserve"> 1997 and </w:t>
      </w:r>
      <w:proofErr w:type="spellStart"/>
      <w:r w:rsidR="00EA7DB5">
        <w:rPr>
          <w:rFonts w:asciiTheme="minorHAnsi" w:hAnsiTheme="minorHAnsi"/>
          <w:sz w:val="22"/>
          <w:szCs w:val="22"/>
        </w:rPr>
        <w:t>Jagonlinzer</w:t>
      </w:r>
      <w:proofErr w:type="spellEnd"/>
      <w:r w:rsidR="00EA7DB5">
        <w:rPr>
          <w:rFonts w:asciiTheme="minorHAnsi" w:hAnsiTheme="minorHAnsi"/>
          <w:sz w:val="22"/>
          <w:szCs w:val="22"/>
        </w:rPr>
        <w:t xml:space="preserve"> and </w:t>
      </w:r>
      <w:proofErr w:type="spellStart"/>
      <w:r w:rsidR="00EA7DB5">
        <w:rPr>
          <w:rFonts w:asciiTheme="minorHAnsi" w:hAnsiTheme="minorHAnsi"/>
          <w:sz w:val="22"/>
          <w:szCs w:val="22"/>
        </w:rPr>
        <w:t>Roulstone</w:t>
      </w:r>
      <w:proofErr w:type="spellEnd"/>
      <w:r w:rsidR="00EA7DB5">
        <w:rPr>
          <w:rFonts w:asciiTheme="minorHAnsi" w:hAnsiTheme="minorHAnsi"/>
          <w:sz w:val="22"/>
          <w:szCs w:val="22"/>
        </w:rPr>
        <w:t xml:space="preserve"> 2009)</w:t>
      </w:r>
      <w:r w:rsidR="001D5C84">
        <w:rPr>
          <w:rFonts w:asciiTheme="minorHAnsi" w:hAnsiTheme="minorHAnsi"/>
          <w:sz w:val="22"/>
          <w:szCs w:val="22"/>
        </w:rPr>
        <w:t>. The</w:t>
      </w:r>
      <w:r w:rsidR="00222875">
        <w:rPr>
          <w:rFonts w:asciiTheme="minorHAnsi" w:hAnsiTheme="minorHAnsi"/>
          <w:sz w:val="22"/>
          <w:szCs w:val="22"/>
        </w:rPr>
        <w:t>se</w:t>
      </w:r>
      <w:r w:rsidR="001D5C84">
        <w:rPr>
          <w:rFonts w:asciiTheme="minorHAnsi" w:hAnsiTheme="minorHAnsi"/>
          <w:sz w:val="22"/>
          <w:szCs w:val="22"/>
        </w:rPr>
        <w:t xml:space="preserve"> studies</w:t>
      </w:r>
      <w:r w:rsidR="00EA7DB5">
        <w:rPr>
          <w:rFonts w:asciiTheme="minorHAnsi" w:hAnsiTheme="minorHAnsi"/>
          <w:sz w:val="22"/>
          <w:szCs w:val="22"/>
        </w:rPr>
        <w:t xml:space="preserve"> concur that </w:t>
      </w:r>
      <w:r w:rsidR="001D5C84">
        <w:rPr>
          <w:rFonts w:asciiTheme="minorHAnsi" w:hAnsiTheme="minorHAnsi"/>
          <w:sz w:val="22"/>
          <w:szCs w:val="22"/>
        </w:rPr>
        <w:t xml:space="preserve">safeguarding practices encourage </w:t>
      </w:r>
      <w:r w:rsidR="00EA7DB5">
        <w:rPr>
          <w:rFonts w:asciiTheme="minorHAnsi" w:hAnsiTheme="minorHAnsi"/>
          <w:sz w:val="22"/>
          <w:szCs w:val="22"/>
        </w:rPr>
        <w:t xml:space="preserve">insiders </w:t>
      </w:r>
      <w:r w:rsidR="001D5C84">
        <w:rPr>
          <w:rFonts w:asciiTheme="minorHAnsi" w:hAnsiTheme="minorHAnsi"/>
          <w:sz w:val="22"/>
          <w:szCs w:val="22"/>
        </w:rPr>
        <w:t xml:space="preserve">to </w:t>
      </w:r>
      <w:r w:rsidR="00EA7DB5">
        <w:rPr>
          <w:rFonts w:asciiTheme="minorHAnsi" w:hAnsiTheme="minorHAnsi"/>
          <w:sz w:val="22"/>
          <w:szCs w:val="22"/>
        </w:rPr>
        <w:t xml:space="preserve">shift their trades </w:t>
      </w:r>
      <w:r w:rsidR="001D5C84">
        <w:rPr>
          <w:rFonts w:asciiTheme="minorHAnsi" w:hAnsiTheme="minorHAnsi"/>
          <w:sz w:val="22"/>
          <w:szCs w:val="22"/>
        </w:rPr>
        <w:t>to</w:t>
      </w:r>
      <w:r w:rsidR="00EA7DB5">
        <w:rPr>
          <w:rFonts w:asciiTheme="minorHAnsi" w:hAnsiTheme="minorHAnsi"/>
          <w:sz w:val="22"/>
          <w:szCs w:val="22"/>
        </w:rPr>
        <w:t xml:space="preserve"> periods after </w:t>
      </w:r>
      <w:r w:rsidR="001D5C84">
        <w:rPr>
          <w:rFonts w:asciiTheme="minorHAnsi" w:hAnsiTheme="minorHAnsi"/>
          <w:sz w:val="22"/>
          <w:szCs w:val="22"/>
        </w:rPr>
        <w:t xml:space="preserve">the </w:t>
      </w:r>
      <w:r w:rsidR="00EA7DB5">
        <w:rPr>
          <w:rFonts w:asciiTheme="minorHAnsi" w:hAnsiTheme="minorHAnsi"/>
          <w:sz w:val="22"/>
          <w:szCs w:val="22"/>
        </w:rPr>
        <w:t xml:space="preserve">event related earnings announcements. They go further in suggesting that this results in a fall in </w:t>
      </w:r>
      <w:r w:rsidR="001D5C84">
        <w:rPr>
          <w:rFonts w:asciiTheme="minorHAnsi" w:hAnsiTheme="minorHAnsi"/>
          <w:sz w:val="22"/>
          <w:szCs w:val="22"/>
        </w:rPr>
        <w:t xml:space="preserve">the </w:t>
      </w:r>
      <w:r w:rsidR="00EA7DB5">
        <w:rPr>
          <w:rFonts w:asciiTheme="minorHAnsi" w:hAnsiTheme="minorHAnsi"/>
          <w:sz w:val="22"/>
          <w:szCs w:val="22"/>
        </w:rPr>
        <w:t xml:space="preserve">abnormal returns which are gained through insider trading activity. </w:t>
      </w:r>
      <w:proofErr w:type="spellStart"/>
      <w:r w:rsidR="00DE674A">
        <w:rPr>
          <w:rFonts w:asciiTheme="minorHAnsi" w:hAnsiTheme="minorHAnsi"/>
          <w:sz w:val="22"/>
          <w:szCs w:val="22"/>
        </w:rPr>
        <w:t>Seyhun</w:t>
      </w:r>
      <w:proofErr w:type="spellEnd"/>
      <w:r w:rsidR="00DE674A">
        <w:rPr>
          <w:rFonts w:asciiTheme="minorHAnsi" w:hAnsiTheme="minorHAnsi"/>
          <w:sz w:val="22"/>
          <w:szCs w:val="22"/>
        </w:rPr>
        <w:t xml:space="preserve"> (1992) </w:t>
      </w:r>
      <w:r w:rsidR="001D5C84">
        <w:rPr>
          <w:rFonts w:asciiTheme="minorHAnsi" w:hAnsiTheme="minorHAnsi"/>
          <w:sz w:val="22"/>
          <w:szCs w:val="22"/>
        </w:rPr>
        <w:t>uncovers similar</w:t>
      </w:r>
      <w:r w:rsidR="00EA7DB5">
        <w:rPr>
          <w:rFonts w:asciiTheme="minorHAnsi" w:hAnsiTheme="minorHAnsi"/>
          <w:sz w:val="22"/>
          <w:szCs w:val="22"/>
        </w:rPr>
        <w:t xml:space="preserve"> displacement behaviour, </w:t>
      </w:r>
      <w:r w:rsidR="001D5C84">
        <w:rPr>
          <w:rFonts w:asciiTheme="minorHAnsi" w:hAnsiTheme="minorHAnsi"/>
          <w:sz w:val="22"/>
          <w:szCs w:val="22"/>
        </w:rPr>
        <w:t xml:space="preserve">but </w:t>
      </w:r>
      <w:r w:rsidR="00EA7DB5">
        <w:rPr>
          <w:rFonts w:asciiTheme="minorHAnsi" w:hAnsiTheme="minorHAnsi"/>
          <w:sz w:val="22"/>
          <w:szCs w:val="22"/>
        </w:rPr>
        <w:t>does not uncover a marked difference in the gains made by insiders once the trading pattern has shifte</w:t>
      </w:r>
      <w:r w:rsidR="00EA7DB5" w:rsidRPr="00BA6145">
        <w:rPr>
          <w:rFonts w:asciiTheme="minorHAnsi" w:hAnsiTheme="minorHAnsi"/>
          <w:sz w:val="22"/>
          <w:szCs w:val="22"/>
        </w:rPr>
        <w:t>d.</w:t>
      </w:r>
      <w:r w:rsidR="00E21C36" w:rsidRPr="00BA6145">
        <w:rPr>
          <w:rStyle w:val="FootnoteReference"/>
          <w:rFonts w:asciiTheme="minorHAnsi" w:hAnsiTheme="minorHAnsi"/>
          <w:sz w:val="22"/>
          <w:szCs w:val="22"/>
        </w:rPr>
        <w:footnoteReference w:id="1"/>
      </w:r>
    </w:p>
    <w:p w:rsidR="00EA7DB5" w:rsidRDefault="00EA7DB5" w:rsidP="00FF5EA7">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Gilbert et al (2007) support the idea that an introduction </w:t>
      </w:r>
      <w:r w:rsidR="003D7FB5">
        <w:rPr>
          <w:rFonts w:asciiTheme="minorHAnsi" w:hAnsiTheme="minorHAnsi"/>
          <w:sz w:val="22"/>
          <w:szCs w:val="22"/>
        </w:rPr>
        <w:t xml:space="preserve">of </w:t>
      </w:r>
      <w:r>
        <w:rPr>
          <w:rFonts w:asciiTheme="minorHAnsi" w:hAnsiTheme="minorHAnsi"/>
          <w:sz w:val="22"/>
          <w:szCs w:val="22"/>
        </w:rPr>
        <w:t xml:space="preserve">or improvement </w:t>
      </w:r>
      <w:r w:rsidR="003D7FB5">
        <w:rPr>
          <w:rFonts w:asciiTheme="minorHAnsi" w:hAnsiTheme="minorHAnsi"/>
          <w:sz w:val="22"/>
          <w:szCs w:val="22"/>
        </w:rPr>
        <w:t>to</w:t>
      </w:r>
      <w:r>
        <w:rPr>
          <w:rFonts w:asciiTheme="minorHAnsi" w:hAnsiTheme="minorHAnsi"/>
          <w:sz w:val="22"/>
          <w:szCs w:val="22"/>
        </w:rPr>
        <w:t xml:space="preserve"> the regulatory framework </w:t>
      </w:r>
      <w:r w:rsidR="003D7FB5">
        <w:rPr>
          <w:rFonts w:asciiTheme="minorHAnsi" w:hAnsiTheme="minorHAnsi"/>
          <w:sz w:val="22"/>
          <w:szCs w:val="22"/>
        </w:rPr>
        <w:t xml:space="preserve">which </w:t>
      </w:r>
      <w:r>
        <w:rPr>
          <w:rFonts w:asciiTheme="minorHAnsi" w:hAnsiTheme="minorHAnsi"/>
          <w:sz w:val="22"/>
          <w:szCs w:val="22"/>
        </w:rPr>
        <w:t>specifically relat</w:t>
      </w:r>
      <w:r w:rsidR="003D7FB5">
        <w:rPr>
          <w:rFonts w:asciiTheme="minorHAnsi" w:hAnsiTheme="minorHAnsi"/>
          <w:sz w:val="22"/>
          <w:szCs w:val="22"/>
        </w:rPr>
        <w:t>es</w:t>
      </w:r>
      <w:r>
        <w:rPr>
          <w:rFonts w:asciiTheme="minorHAnsi" w:hAnsiTheme="minorHAnsi"/>
          <w:sz w:val="22"/>
          <w:szCs w:val="22"/>
        </w:rPr>
        <w:t xml:space="preserve"> to enforcement can have a positive effect on markets. In their investigation of New Zealand stock market performance following the amendment of existing insider trading regulation, they f</w:t>
      </w:r>
      <w:r w:rsidR="003D7FB5">
        <w:rPr>
          <w:rFonts w:asciiTheme="minorHAnsi" w:hAnsiTheme="minorHAnsi"/>
          <w:sz w:val="22"/>
          <w:szCs w:val="22"/>
        </w:rPr>
        <w:t>ound</w:t>
      </w:r>
      <w:r>
        <w:rPr>
          <w:rFonts w:asciiTheme="minorHAnsi" w:hAnsiTheme="minorHAnsi"/>
          <w:sz w:val="22"/>
          <w:szCs w:val="22"/>
        </w:rPr>
        <w:t xml:space="preserve"> that an amendment to legislation create</w:t>
      </w:r>
      <w:r w:rsidR="003D7FB5">
        <w:rPr>
          <w:rFonts w:asciiTheme="minorHAnsi" w:hAnsiTheme="minorHAnsi"/>
          <w:sz w:val="22"/>
          <w:szCs w:val="22"/>
        </w:rPr>
        <w:t>d</w:t>
      </w:r>
      <w:r>
        <w:rPr>
          <w:rFonts w:asciiTheme="minorHAnsi" w:hAnsiTheme="minorHAnsi"/>
          <w:sz w:val="22"/>
          <w:szCs w:val="22"/>
        </w:rPr>
        <w:t xml:space="preserve"> a reduction in terms of the cost of capital and </w:t>
      </w:r>
      <w:r w:rsidR="003D7FB5">
        <w:rPr>
          <w:rFonts w:asciiTheme="minorHAnsi" w:hAnsiTheme="minorHAnsi"/>
          <w:sz w:val="22"/>
          <w:szCs w:val="22"/>
        </w:rPr>
        <w:t xml:space="preserve">price </w:t>
      </w:r>
      <w:r>
        <w:rPr>
          <w:rFonts w:asciiTheme="minorHAnsi" w:hAnsiTheme="minorHAnsi"/>
          <w:sz w:val="22"/>
          <w:szCs w:val="22"/>
        </w:rPr>
        <w:t xml:space="preserve">volatility; this is in addition to an increase in the liquidity of </w:t>
      </w:r>
      <w:r w:rsidR="003D7FB5">
        <w:rPr>
          <w:rFonts w:asciiTheme="minorHAnsi" w:hAnsiTheme="minorHAnsi"/>
          <w:sz w:val="22"/>
          <w:szCs w:val="22"/>
        </w:rPr>
        <w:t xml:space="preserve">the </w:t>
      </w:r>
      <w:r>
        <w:rPr>
          <w:rFonts w:asciiTheme="minorHAnsi" w:hAnsiTheme="minorHAnsi"/>
          <w:sz w:val="22"/>
          <w:szCs w:val="22"/>
        </w:rPr>
        <w:t xml:space="preserve">traded assets. </w:t>
      </w:r>
      <w:r w:rsidR="003D7FB5">
        <w:rPr>
          <w:rFonts w:asciiTheme="minorHAnsi" w:hAnsiTheme="minorHAnsi"/>
          <w:sz w:val="22"/>
          <w:szCs w:val="22"/>
        </w:rPr>
        <w:t>T</w:t>
      </w:r>
      <w:r>
        <w:rPr>
          <w:rFonts w:asciiTheme="minorHAnsi" w:hAnsiTheme="minorHAnsi"/>
          <w:sz w:val="22"/>
          <w:szCs w:val="22"/>
        </w:rPr>
        <w:t xml:space="preserve">hese changes result </w:t>
      </w:r>
      <w:r w:rsidR="003D7FB5">
        <w:rPr>
          <w:rFonts w:asciiTheme="minorHAnsi" w:hAnsiTheme="minorHAnsi"/>
          <w:sz w:val="22"/>
          <w:szCs w:val="22"/>
        </w:rPr>
        <w:t>from</w:t>
      </w:r>
      <w:r>
        <w:rPr>
          <w:rFonts w:asciiTheme="minorHAnsi" w:hAnsiTheme="minorHAnsi"/>
          <w:sz w:val="22"/>
          <w:szCs w:val="22"/>
        </w:rPr>
        <w:t xml:space="preserve"> increased investor confidence stemming from a belief that the new measure could facilitate </w:t>
      </w:r>
      <w:r w:rsidR="003D7FB5">
        <w:rPr>
          <w:rFonts w:asciiTheme="minorHAnsi" w:hAnsiTheme="minorHAnsi"/>
          <w:sz w:val="22"/>
          <w:szCs w:val="22"/>
        </w:rPr>
        <w:t xml:space="preserve">a </w:t>
      </w:r>
      <w:r>
        <w:rPr>
          <w:rFonts w:asciiTheme="minorHAnsi" w:hAnsiTheme="minorHAnsi"/>
          <w:sz w:val="22"/>
          <w:szCs w:val="22"/>
        </w:rPr>
        <w:t xml:space="preserve">greater success </w:t>
      </w:r>
      <w:r w:rsidR="003D7FB5">
        <w:rPr>
          <w:rFonts w:asciiTheme="minorHAnsi" w:hAnsiTheme="minorHAnsi"/>
          <w:sz w:val="22"/>
          <w:szCs w:val="22"/>
        </w:rPr>
        <w:t xml:space="preserve">rate </w:t>
      </w:r>
      <w:r>
        <w:rPr>
          <w:rFonts w:asciiTheme="minorHAnsi" w:hAnsiTheme="minorHAnsi"/>
          <w:sz w:val="22"/>
          <w:szCs w:val="22"/>
        </w:rPr>
        <w:t xml:space="preserve">in prosecution than that which had been previously achieved. Implicitly suggested here is that </w:t>
      </w:r>
      <w:r w:rsidR="003D7FB5">
        <w:rPr>
          <w:rFonts w:asciiTheme="minorHAnsi" w:hAnsiTheme="minorHAnsi"/>
          <w:sz w:val="22"/>
          <w:szCs w:val="22"/>
        </w:rPr>
        <w:t xml:space="preserve">we see the benefits of a regulatory regime </w:t>
      </w:r>
      <w:r>
        <w:rPr>
          <w:rFonts w:asciiTheme="minorHAnsi" w:hAnsiTheme="minorHAnsi"/>
          <w:sz w:val="22"/>
          <w:szCs w:val="22"/>
        </w:rPr>
        <w:t xml:space="preserve">when enforcement or </w:t>
      </w:r>
      <w:r w:rsidR="003D7FB5">
        <w:rPr>
          <w:rFonts w:asciiTheme="minorHAnsi" w:hAnsiTheme="minorHAnsi"/>
          <w:sz w:val="22"/>
          <w:szCs w:val="22"/>
        </w:rPr>
        <w:t>the</w:t>
      </w:r>
      <w:r>
        <w:rPr>
          <w:rFonts w:asciiTheme="minorHAnsi" w:hAnsiTheme="minorHAnsi"/>
          <w:sz w:val="22"/>
          <w:szCs w:val="22"/>
        </w:rPr>
        <w:t xml:space="preserve"> promise of successful prosecutions </w:t>
      </w:r>
      <w:r w:rsidR="003D7FB5">
        <w:rPr>
          <w:rFonts w:asciiTheme="minorHAnsi" w:hAnsiTheme="minorHAnsi"/>
          <w:sz w:val="22"/>
          <w:szCs w:val="22"/>
        </w:rPr>
        <w:t xml:space="preserve">appears. </w:t>
      </w:r>
      <w:r w:rsidR="00885AF7">
        <w:rPr>
          <w:rFonts w:asciiTheme="minorHAnsi" w:hAnsiTheme="minorHAnsi"/>
          <w:sz w:val="22"/>
          <w:szCs w:val="22"/>
        </w:rPr>
        <w:t xml:space="preserve">Anderson et al (2013) find that with regulatory intervention the instance of informed trading in the options market reduces dramatically. </w:t>
      </w:r>
      <w:commentRangeStart w:id="2"/>
      <w:r w:rsidR="009B76E3">
        <w:rPr>
          <w:rFonts w:asciiTheme="minorHAnsi" w:hAnsiTheme="minorHAnsi"/>
          <w:sz w:val="22"/>
          <w:szCs w:val="22"/>
        </w:rPr>
        <w:t>A</w:t>
      </w:r>
      <w:commentRangeEnd w:id="2"/>
      <w:r w:rsidR="0061497D">
        <w:rPr>
          <w:rStyle w:val="CommentReference"/>
          <w:rFonts w:asciiTheme="minorHAnsi" w:eastAsiaTheme="minorHAnsi" w:hAnsiTheme="minorHAnsi" w:cstheme="minorBidi"/>
          <w:kern w:val="0"/>
          <w:lang w:eastAsia="en-US" w:bidi="ar-SA"/>
        </w:rPr>
        <w:commentReference w:id="2"/>
      </w:r>
      <w:r w:rsidR="009B76E3">
        <w:rPr>
          <w:rFonts w:asciiTheme="minorHAnsi" w:hAnsiTheme="minorHAnsi"/>
          <w:sz w:val="22"/>
          <w:szCs w:val="22"/>
        </w:rPr>
        <w:t xml:space="preserve"> similar conclusion is reached in </w:t>
      </w:r>
      <w:proofErr w:type="spellStart"/>
      <w:r w:rsidR="009B76E3">
        <w:rPr>
          <w:rFonts w:asciiTheme="minorHAnsi" w:hAnsiTheme="minorHAnsi"/>
          <w:sz w:val="22"/>
          <w:szCs w:val="22"/>
        </w:rPr>
        <w:t>Beny</w:t>
      </w:r>
      <w:proofErr w:type="spellEnd"/>
      <w:r w:rsidR="009B76E3">
        <w:rPr>
          <w:rFonts w:asciiTheme="minorHAnsi" w:hAnsiTheme="minorHAnsi"/>
          <w:sz w:val="22"/>
          <w:szCs w:val="22"/>
        </w:rPr>
        <w:t xml:space="preserve"> (2005, 2007) where it is argued that more prohibitive legislation coupled with stringent enforcement </w:t>
      </w:r>
      <w:r w:rsidR="0061497D" w:rsidRPr="0061497D">
        <w:rPr>
          <w:rFonts w:asciiTheme="minorHAnsi" w:hAnsiTheme="minorHAnsi"/>
          <w:sz w:val="22"/>
          <w:szCs w:val="22"/>
        </w:rPr>
        <w:t xml:space="preserve">to a market’s capacity to exhibit </w:t>
      </w:r>
      <w:r w:rsidR="009B76E3">
        <w:rPr>
          <w:rFonts w:asciiTheme="minorHAnsi" w:hAnsiTheme="minorHAnsi"/>
          <w:sz w:val="22"/>
          <w:szCs w:val="22"/>
        </w:rPr>
        <w:t>more dispersed equity ownership, greater liquidity and more informative stock prices.</w:t>
      </w:r>
      <w:r w:rsidR="00BD2F4D">
        <w:rPr>
          <w:rFonts w:asciiTheme="minorHAnsi" w:hAnsiTheme="minorHAnsi"/>
          <w:sz w:val="22"/>
          <w:szCs w:val="22"/>
        </w:rPr>
        <w:t xml:space="preserve"> </w:t>
      </w:r>
      <w:commentRangeStart w:id="3"/>
      <w:r w:rsidR="00BD2F4D">
        <w:rPr>
          <w:rFonts w:asciiTheme="minorHAnsi" w:hAnsiTheme="minorHAnsi"/>
          <w:sz w:val="22"/>
          <w:szCs w:val="22"/>
        </w:rPr>
        <w:t>Cummings</w:t>
      </w:r>
      <w:commentRangeEnd w:id="3"/>
      <w:r w:rsidR="00E41FE3">
        <w:rPr>
          <w:rStyle w:val="CommentReference"/>
          <w:rFonts w:asciiTheme="minorHAnsi" w:eastAsiaTheme="minorHAnsi" w:hAnsiTheme="minorHAnsi" w:cstheme="minorBidi"/>
          <w:kern w:val="0"/>
          <w:lang w:eastAsia="en-US" w:bidi="ar-SA"/>
        </w:rPr>
        <w:commentReference w:id="3"/>
      </w:r>
      <w:r w:rsidR="00BD2F4D">
        <w:rPr>
          <w:rFonts w:asciiTheme="minorHAnsi" w:hAnsiTheme="minorHAnsi"/>
          <w:sz w:val="22"/>
          <w:szCs w:val="22"/>
        </w:rPr>
        <w:t xml:space="preserve"> et al 2013 argue that </w:t>
      </w:r>
      <w:r w:rsidR="00674083">
        <w:rPr>
          <w:rFonts w:asciiTheme="minorHAnsi" w:hAnsiTheme="minorHAnsi"/>
          <w:sz w:val="22"/>
          <w:szCs w:val="22"/>
        </w:rPr>
        <w:t xml:space="preserve">the </w:t>
      </w:r>
      <w:r w:rsidR="00BD2F4D">
        <w:rPr>
          <w:rFonts w:asciiTheme="minorHAnsi" w:hAnsiTheme="minorHAnsi"/>
          <w:sz w:val="22"/>
          <w:szCs w:val="22"/>
        </w:rPr>
        <w:t xml:space="preserve">increased </w:t>
      </w:r>
      <w:r w:rsidR="00674083">
        <w:rPr>
          <w:rFonts w:asciiTheme="minorHAnsi" w:hAnsiTheme="minorHAnsi"/>
          <w:sz w:val="22"/>
          <w:szCs w:val="22"/>
        </w:rPr>
        <w:t xml:space="preserve">presence of rules in an exchange whether or not they are specifically related to insider trading alongside increased surveillance </w:t>
      </w:r>
      <w:r w:rsidR="00BD2F4D">
        <w:rPr>
          <w:rFonts w:asciiTheme="minorHAnsi" w:hAnsiTheme="minorHAnsi"/>
          <w:sz w:val="22"/>
          <w:szCs w:val="22"/>
        </w:rPr>
        <w:t xml:space="preserve">will </w:t>
      </w:r>
      <w:r w:rsidR="00674083">
        <w:rPr>
          <w:rFonts w:asciiTheme="minorHAnsi" w:hAnsiTheme="minorHAnsi"/>
          <w:sz w:val="22"/>
          <w:szCs w:val="22"/>
        </w:rPr>
        <w:t xml:space="preserve">impact upon suspected levels of insider trading. </w:t>
      </w:r>
    </w:p>
    <w:p w:rsidR="00EA7DB5" w:rsidRDefault="00EA7DB5" w:rsidP="00EA7DB5">
      <w:pPr>
        <w:pStyle w:val="Heading3"/>
        <w:rPr>
          <w:rFonts w:asciiTheme="minorHAnsi" w:hAnsiTheme="minorHAnsi"/>
        </w:rPr>
      </w:pPr>
      <w:bookmarkStart w:id="4" w:name="_Toc330488000"/>
      <w:r>
        <w:t xml:space="preserve"> </w:t>
      </w:r>
      <w:r w:rsidRPr="00FF5EA7">
        <w:rPr>
          <w:color w:val="auto"/>
        </w:rPr>
        <w:t>UK regulation</w:t>
      </w:r>
      <w:bookmarkEnd w:id="4"/>
      <w:r w:rsidR="00B369C9" w:rsidRPr="00FF5EA7">
        <w:rPr>
          <w:color w:val="auto"/>
        </w:rPr>
        <w:t xml:space="preserve"> and sanctioning</w:t>
      </w:r>
    </w:p>
    <w:p w:rsidR="00EA7DB5" w:rsidRDefault="00EA7DB5" w:rsidP="00EA7DB5">
      <w:pPr>
        <w:pStyle w:val="Standard"/>
        <w:spacing w:line="480" w:lineRule="auto"/>
        <w:ind w:left="1560"/>
        <w:jc w:val="both"/>
        <w:rPr>
          <w:rFonts w:asciiTheme="minorHAnsi" w:hAnsiTheme="minorHAnsi"/>
          <w:b/>
          <w:sz w:val="22"/>
          <w:szCs w:val="22"/>
        </w:rPr>
      </w:pPr>
    </w:p>
    <w:p w:rsidR="00EA7DB5" w:rsidRDefault="00EA7DB5" w:rsidP="003A450C">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t xml:space="preserve">The introduction of the Financial Services and Markets Act (FMSA 2000) </w:t>
      </w:r>
      <w:r w:rsidR="005F2480">
        <w:rPr>
          <w:rFonts w:asciiTheme="minorHAnsi" w:hAnsiTheme="minorHAnsi"/>
          <w:sz w:val="22"/>
          <w:szCs w:val="22"/>
        </w:rPr>
        <w:t xml:space="preserve">gave </w:t>
      </w:r>
      <w:r>
        <w:rPr>
          <w:rFonts w:asciiTheme="minorHAnsi" w:hAnsiTheme="minorHAnsi"/>
          <w:sz w:val="22"/>
          <w:szCs w:val="22"/>
        </w:rPr>
        <w:t xml:space="preserve">greater powers of investigation and enforcement </w:t>
      </w:r>
      <w:r w:rsidR="005F2480">
        <w:rPr>
          <w:rFonts w:asciiTheme="minorHAnsi" w:hAnsiTheme="minorHAnsi"/>
          <w:sz w:val="22"/>
          <w:szCs w:val="22"/>
        </w:rPr>
        <w:t xml:space="preserve">to the organizing body, which at the time was the FSA, </w:t>
      </w:r>
      <w:r>
        <w:rPr>
          <w:rFonts w:asciiTheme="minorHAnsi" w:hAnsiTheme="minorHAnsi"/>
          <w:sz w:val="22"/>
          <w:szCs w:val="22"/>
        </w:rPr>
        <w:t xml:space="preserve">than that which it had previously held. The increased sanctioning powers, in addition to the ability to penalise failure to co-operate with investigations is perhaps one of the </w:t>
      </w:r>
      <w:r>
        <w:rPr>
          <w:rFonts w:asciiTheme="minorHAnsi" w:hAnsiTheme="minorHAnsi"/>
          <w:sz w:val="22"/>
          <w:szCs w:val="22"/>
        </w:rPr>
        <w:lastRenderedPageBreak/>
        <w:t xml:space="preserve">most important evolutionary changes in the market abuse regulation (Rider et al 2009). The Act permitted the </w:t>
      </w:r>
      <w:r w:rsidR="005F2480">
        <w:rPr>
          <w:rFonts w:asciiTheme="minorHAnsi" w:hAnsiTheme="minorHAnsi"/>
          <w:sz w:val="22"/>
          <w:szCs w:val="22"/>
        </w:rPr>
        <w:t xml:space="preserve">pursuit of </w:t>
      </w:r>
      <w:r>
        <w:rPr>
          <w:rFonts w:asciiTheme="minorHAnsi" w:hAnsiTheme="minorHAnsi"/>
          <w:sz w:val="22"/>
          <w:szCs w:val="22"/>
        </w:rPr>
        <w:t xml:space="preserve">individuals and companies through both the civil and criminal courts (Section 2(1) FMSA 2000). Sections 167 and 168 of the FMSA granted the </w:t>
      </w:r>
      <w:r w:rsidR="005F2480">
        <w:rPr>
          <w:rFonts w:asciiTheme="minorHAnsi" w:hAnsiTheme="minorHAnsi"/>
          <w:sz w:val="22"/>
          <w:szCs w:val="22"/>
        </w:rPr>
        <w:t xml:space="preserve">governing body the </w:t>
      </w:r>
      <w:r>
        <w:rPr>
          <w:rFonts w:asciiTheme="minorHAnsi" w:hAnsiTheme="minorHAnsi"/>
          <w:sz w:val="22"/>
          <w:szCs w:val="22"/>
        </w:rPr>
        <w:t xml:space="preserve">powers to conduct investigations on any individual suspected of being involved in market abuse. The terms of the legislation </w:t>
      </w:r>
      <w:r w:rsidR="005F2480">
        <w:rPr>
          <w:rFonts w:asciiTheme="minorHAnsi" w:hAnsiTheme="minorHAnsi"/>
          <w:sz w:val="22"/>
          <w:szCs w:val="22"/>
        </w:rPr>
        <w:t xml:space="preserve">cast the net wider </w:t>
      </w:r>
      <w:r>
        <w:rPr>
          <w:rFonts w:asciiTheme="minorHAnsi" w:hAnsiTheme="minorHAnsi"/>
          <w:sz w:val="22"/>
          <w:szCs w:val="22"/>
        </w:rPr>
        <w:t xml:space="preserve">to include those who </w:t>
      </w:r>
      <w:r w:rsidR="005F2480">
        <w:rPr>
          <w:rFonts w:asciiTheme="minorHAnsi" w:hAnsiTheme="minorHAnsi"/>
          <w:sz w:val="22"/>
          <w:szCs w:val="22"/>
        </w:rPr>
        <w:t>would</w:t>
      </w:r>
      <w:r>
        <w:rPr>
          <w:rFonts w:asciiTheme="minorHAnsi" w:hAnsiTheme="minorHAnsi"/>
          <w:sz w:val="22"/>
          <w:szCs w:val="22"/>
        </w:rPr>
        <w:t xml:space="preserve"> benefit from the dissemination of the information</w:t>
      </w:r>
      <w:r w:rsidR="005F2480">
        <w:rPr>
          <w:rFonts w:asciiTheme="minorHAnsi" w:hAnsiTheme="minorHAnsi"/>
          <w:sz w:val="22"/>
          <w:szCs w:val="22"/>
        </w:rPr>
        <w:t>, no matter whether they played a direct role in the firm or not</w:t>
      </w:r>
      <w:r>
        <w:rPr>
          <w:rFonts w:asciiTheme="minorHAnsi" w:hAnsiTheme="minorHAnsi"/>
          <w:sz w:val="22"/>
          <w:szCs w:val="22"/>
        </w:rPr>
        <w:t xml:space="preserve">. </w:t>
      </w:r>
      <w:r w:rsidR="005F2480">
        <w:rPr>
          <w:rFonts w:asciiTheme="minorHAnsi" w:hAnsiTheme="minorHAnsi"/>
          <w:sz w:val="22"/>
          <w:szCs w:val="22"/>
        </w:rPr>
        <w:t>Although the legislation allows for the investigation of any persons suspected of committing market abuse</w:t>
      </w:r>
      <w:r w:rsidR="00222875">
        <w:rPr>
          <w:rFonts w:asciiTheme="minorHAnsi" w:hAnsiTheme="minorHAnsi"/>
          <w:sz w:val="22"/>
          <w:szCs w:val="22"/>
        </w:rPr>
        <w:t>,</w:t>
      </w:r>
      <w:r>
        <w:rPr>
          <w:rFonts w:asciiTheme="minorHAnsi" w:hAnsiTheme="minorHAnsi"/>
          <w:sz w:val="22"/>
          <w:szCs w:val="22"/>
        </w:rPr>
        <w:t xml:space="preserve"> budgetary constraints mean that not every suspicious trade can be examined. An incident, if it is to warrant investigation, must meet a pre-designated set of criteria</w:t>
      </w:r>
      <w:r w:rsidR="005F2480">
        <w:rPr>
          <w:rFonts w:asciiTheme="minorHAnsi" w:hAnsiTheme="minorHAnsi"/>
          <w:sz w:val="22"/>
          <w:szCs w:val="22"/>
        </w:rPr>
        <w:t xml:space="preserve">, including </w:t>
      </w:r>
      <w:r>
        <w:rPr>
          <w:rFonts w:asciiTheme="minorHAnsi" w:hAnsiTheme="minorHAnsi"/>
          <w:sz w:val="22"/>
          <w:szCs w:val="22"/>
        </w:rPr>
        <w:t>material evidence of a breach of legislation, proo</w:t>
      </w:r>
      <w:r w:rsidR="005F2480">
        <w:rPr>
          <w:rFonts w:asciiTheme="minorHAnsi" w:hAnsiTheme="minorHAnsi"/>
          <w:sz w:val="22"/>
          <w:szCs w:val="22"/>
        </w:rPr>
        <w:t>f of shareholder loss/detriment and an</w:t>
      </w:r>
      <w:r>
        <w:rPr>
          <w:rFonts w:asciiTheme="minorHAnsi" w:hAnsiTheme="minorHAnsi"/>
          <w:sz w:val="22"/>
          <w:szCs w:val="22"/>
        </w:rPr>
        <w:t xml:space="preserve"> evident risk that the incident could damage investor confidence (Rider et al 2009). Furthermore, the </w:t>
      </w:r>
      <w:r w:rsidR="005F2480">
        <w:rPr>
          <w:rFonts w:asciiTheme="minorHAnsi" w:hAnsiTheme="minorHAnsi"/>
          <w:sz w:val="22"/>
          <w:szCs w:val="22"/>
        </w:rPr>
        <w:t xml:space="preserve">governing body reserves the right to exercise to retain discretion when </w:t>
      </w:r>
      <w:r w:rsidR="00CE6CF6">
        <w:rPr>
          <w:rFonts w:asciiTheme="minorHAnsi" w:hAnsiTheme="minorHAnsi"/>
          <w:sz w:val="22"/>
          <w:szCs w:val="22"/>
        </w:rPr>
        <w:t xml:space="preserve">choosing whether to take action </w:t>
      </w:r>
      <w:r>
        <w:rPr>
          <w:rFonts w:asciiTheme="minorHAnsi" w:hAnsiTheme="minorHAnsi"/>
          <w:sz w:val="22"/>
          <w:szCs w:val="22"/>
        </w:rPr>
        <w:t xml:space="preserve">in cases where a legal infraction has been identified. </w:t>
      </w:r>
      <w:r w:rsidR="00CE6CF6">
        <w:rPr>
          <w:rFonts w:asciiTheme="minorHAnsi" w:hAnsiTheme="minorHAnsi"/>
          <w:sz w:val="22"/>
          <w:szCs w:val="22"/>
        </w:rPr>
        <w:t xml:space="preserve">The flexibility allows it to discount instances of abuse that </w:t>
      </w:r>
      <w:r>
        <w:rPr>
          <w:rFonts w:asciiTheme="minorHAnsi" w:hAnsiTheme="minorHAnsi"/>
          <w:sz w:val="22"/>
          <w:szCs w:val="22"/>
        </w:rPr>
        <w:t xml:space="preserve">are not deemed to be particularly serious or to trades where the </w:t>
      </w:r>
      <w:r w:rsidR="00CE6CF6">
        <w:rPr>
          <w:rFonts w:asciiTheme="minorHAnsi" w:hAnsiTheme="minorHAnsi"/>
          <w:sz w:val="22"/>
          <w:szCs w:val="22"/>
        </w:rPr>
        <w:t>firm itself has taken steps to rectify the situation</w:t>
      </w:r>
      <w:r>
        <w:rPr>
          <w:rFonts w:asciiTheme="minorHAnsi" w:hAnsiTheme="minorHAnsi"/>
          <w:sz w:val="22"/>
          <w:szCs w:val="22"/>
        </w:rPr>
        <w:t xml:space="preserve">. </w:t>
      </w:r>
      <w:r w:rsidR="00CE6CF6">
        <w:rPr>
          <w:rFonts w:asciiTheme="minorHAnsi" w:hAnsiTheme="minorHAnsi"/>
          <w:sz w:val="22"/>
          <w:szCs w:val="22"/>
        </w:rPr>
        <w:t>This supports the idea that the governing body should</w:t>
      </w:r>
      <w:r>
        <w:rPr>
          <w:rFonts w:asciiTheme="minorHAnsi" w:hAnsiTheme="minorHAnsi"/>
          <w:sz w:val="22"/>
          <w:szCs w:val="22"/>
        </w:rPr>
        <w:t xml:space="preserve"> maintain a co-operative and open relationship with firms, especially those that demonstrate the initiative to assume responsibility for </w:t>
      </w:r>
      <w:r w:rsidR="00CE6CF6">
        <w:rPr>
          <w:rFonts w:asciiTheme="minorHAnsi" w:hAnsiTheme="minorHAnsi"/>
          <w:sz w:val="22"/>
          <w:szCs w:val="22"/>
        </w:rPr>
        <w:t>their</w:t>
      </w:r>
      <w:r>
        <w:rPr>
          <w:rFonts w:asciiTheme="minorHAnsi" w:hAnsiTheme="minorHAnsi"/>
          <w:sz w:val="22"/>
          <w:szCs w:val="22"/>
        </w:rPr>
        <w:t xml:space="preserve"> own regulatory infringements. </w:t>
      </w:r>
      <w:r w:rsidR="00CE6CF6">
        <w:rPr>
          <w:rFonts w:asciiTheme="minorHAnsi" w:hAnsiTheme="minorHAnsi"/>
          <w:sz w:val="22"/>
          <w:szCs w:val="22"/>
        </w:rPr>
        <w:t xml:space="preserve">However that is not to say that the use of discretion </w:t>
      </w:r>
      <w:r w:rsidR="003A450C">
        <w:rPr>
          <w:rFonts w:asciiTheme="minorHAnsi" w:hAnsiTheme="minorHAnsi"/>
          <w:sz w:val="22"/>
          <w:szCs w:val="22"/>
        </w:rPr>
        <w:t>signalled</w:t>
      </w:r>
      <w:r w:rsidR="00CE6CF6">
        <w:rPr>
          <w:rFonts w:asciiTheme="minorHAnsi" w:hAnsiTheme="minorHAnsi"/>
          <w:sz w:val="22"/>
          <w:szCs w:val="22"/>
        </w:rPr>
        <w:t xml:space="preserve"> that the governing body would be soft on offenders. </w:t>
      </w:r>
      <w:r w:rsidR="003A450C">
        <w:rPr>
          <w:rFonts w:asciiTheme="minorHAnsi" w:hAnsiTheme="minorHAnsi"/>
          <w:sz w:val="22"/>
          <w:szCs w:val="22"/>
        </w:rPr>
        <w:t>The governing body made it very clear that they would use all means available</w:t>
      </w:r>
      <w:r>
        <w:rPr>
          <w:rFonts w:asciiTheme="minorHAnsi" w:hAnsiTheme="minorHAnsi"/>
          <w:sz w:val="22"/>
          <w:szCs w:val="22"/>
        </w:rPr>
        <w:t xml:space="preserve"> in pursuing market abuse cases, so as to introduce ‘a change in the culture in the city’ (Cole </w:t>
      </w:r>
      <w:r w:rsidR="000A7744">
        <w:rPr>
          <w:rFonts w:asciiTheme="minorHAnsi" w:hAnsiTheme="minorHAnsi"/>
          <w:sz w:val="22"/>
          <w:szCs w:val="22"/>
        </w:rPr>
        <w:t>200</w:t>
      </w:r>
      <w:r>
        <w:rPr>
          <w:rFonts w:asciiTheme="minorHAnsi" w:hAnsiTheme="minorHAnsi"/>
          <w:sz w:val="22"/>
          <w:szCs w:val="22"/>
        </w:rPr>
        <w:t xml:space="preserve">8). The focus of this change was to pursue offenders through the criminal courts where a prosecution, if successful, could result in a prison sentence. </w:t>
      </w:r>
      <w:r w:rsidR="003A450C">
        <w:rPr>
          <w:rFonts w:asciiTheme="minorHAnsi" w:hAnsiTheme="minorHAnsi"/>
          <w:sz w:val="22"/>
          <w:szCs w:val="22"/>
        </w:rPr>
        <w:t>S</w:t>
      </w:r>
      <w:r>
        <w:rPr>
          <w:rFonts w:asciiTheme="minorHAnsi" w:hAnsiTheme="minorHAnsi"/>
          <w:sz w:val="22"/>
          <w:szCs w:val="22"/>
        </w:rPr>
        <w:t xml:space="preserve">tigmatising offenders with criminality would have a greater dissuasive effect than </w:t>
      </w:r>
      <w:r w:rsidR="00222875">
        <w:rPr>
          <w:rFonts w:asciiTheme="minorHAnsi" w:hAnsiTheme="minorHAnsi"/>
          <w:sz w:val="22"/>
          <w:szCs w:val="22"/>
        </w:rPr>
        <w:t xml:space="preserve">a </w:t>
      </w:r>
      <w:r>
        <w:rPr>
          <w:rFonts w:asciiTheme="minorHAnsi" w:hAnsiTheme="minorHAnsi"/>
          <w:sz w:val="22"/>
          <w:szCs w:val="22"/>
        </w:rPr>
        <w:t xml:space="preserve">simple imposition of civil sanctions (Symington 2008). The penalties which </w:t>
      </w:r>
      <w:r w:rsidR="003A450C">
        <w:rPr>
          <w:rFonts w:asciiTheme="minorHAnsi" w:hAnsiTheme="minorHAnsi"/>
          <w:sz w:val="22"/>
          <w:szCs w:val="22"/>
        </w:rPr>
        <w:t xml:space="preserve">could be imposed are wide ranging, from prison sentences to a less punitive ‘name and shame’ measure. </w:t>
      </w:r>
      <w:r>
        <w:rPr>
          <w:rFonts w:asciiTheme="minorHAnsi" w:hAnsiTheme="minorHAnsi"/>
          <w:sz w:val="22"/>
          <w:szCs w:val="22"/>
        </w:rPr>
        <w:t xml:space="preserve">Where remedial action has been </w:t>
      </w:r>
      <w:r w:rsidRPr="00B369C9">
        <w:rPr>
          <w:rFonts w:asciiTheme="minorHAnsi" w:hAnsiTheme="minorHAnsi"/>
          <w:sz w:val="22"/>
          <w:szCs w:val="22"/>
        </w:rPr>
        <w:lastRenderedPageBreak/>
        <w:t>undertaken by the</w:t>
      </w:r>
      <w:r w:rsidR="003A450C" w:rsidRPr="00B369C9">
        <w:rPr>
          <w:rFonts w:asciiTheme="minorHAnsi" w:hAnsiTheme="minorHAnsi"/>
          <w:sz w:val="22"/>
          <w:szCs w:val="22"/>
        </w:rPr>
        <w:t xml:space="preserve"> offender</w:t>
      </w:r>
      <w:r w:rsidR="00B933C7">
        <w:rPr>
          <w:rFonts w:asciiTheme="minorHAnsi" w:hAnsiTheme="minorHAnsi"/>
          <w:sz w:val="22"/>
          <w:szCs w:val="22"/>
        </w:rPr>
        <w:t>,</w:t>
      </w:r>
      <w:r w:rsidRPr="00B369C9">
        <w:rPr>
          <w:rFonts w:asciiTheme="minorHAnsi" w:hAnsiTheme="minorHAnsi"/>
          <w:sz w:val="22"/>
          <w:szCs w:val="22"/>
        </w:rPr>
        <w:t xml:space="preserve"> this </w:t>
      </w:r>
      <w:r w:rsidR="003A450C" w:rsidRPr="00B369C9">
        <w:rPr>
          <w:rFonts w:asciiTheme="minorHAnsi" w:hAnsiTheme="minorHAnsi"/>
          <w:sz w:val="22"/>
          <w:szCs w:val="22"/>
        </w:rPr>
        <w:t xml:space="preserve">latter option </w:t>
      </w:r>
      <w:r w:rsidRPr="00B369C9">
        <w:rPr>
          <w:rFonts w:asciiTheme="minorHAnsi" w:hAnsiTheme="minorHAnsi"/>
          <w:sz w:val="22"/>
          <w:szCs w:val="22"/>
        </w:rPr>
        <w:t xml:space="preserve">is often the preferred </w:t>
      </w:r>
      <w:r w:rsidR="003A450C" w:rsidRPr="00B369C9">
        <w:rPr>
          <w:rFonts w:asciiTheme="minorHAnsi" w:hAnsiTheme="minorHAnsi"/>
          <w:sz w:val="22"/>
          <w:szCs w:val="22"/>
        </w:rPr>
        <w:t>choice</w:t>
      </w:r>
      <w:r w:rsidRPr="00B369C9">
        <w:rPr>
          <w:rFonts w:asciiTheme="minorHAnsi" w:hAnsiTheme="minorHAnsi"/>
          <w:sz w:val="22"/>
          <w:szCs w:val="22"/>
        </w:rPr>
        <w:t>.</w:t>
      </w:r>
    </w:p>
    <w:p w:rsidR="00EA7DB5" w:rsidRDefault="00EA7DB5" w:rsidP="00FF5EA7">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It can also assist both parties involved to reach an agreed settlement, where it may consider the individual circumstances of the case and issue an appropriate penalty. In particularly serious cases it may take action to remove the companies’ business permits or in the case of individuals their ‘approved persons status’, (FSA enforcement guide chapters 8 and 9). The authority may also take out a court injunction against individuals or companies to compel these to take a proscribed course of action or prohibit them from further engagement in market abuse. This is a particularly powerful sanction as refusal to comply would result in the party in question being held in contempt of court. Financial penalties when applied are determined in accordance with the figure the offending party is thought to have gained as a result of the transaction. Under sections </w:t>
      </w:r>
      <w:r w:rsidR="00B369C9">
        <w:rPr>
          <w:rFonts w:asciiTheme="minorHAnsi" w:hAnsiTheme="minorHAnsi"/>
          <w:sz w:val="22"/>
          <w:szCs w:val="22"/>
        </w:rPr>
        <w:t>201 and 402 of FMSA 2000, the FC</w:t>
      </w:r>
      <w:r>
        <w:rPr>
          <w:rFonts w:asciiTheme="minorHAnsi" w:hAnsiTheme="minorHAnsi"/>
          <w:sz w:val="22"/>
          <w:szCs w:val="22"/>
        </w:rPr>
        <w:t>A has the power to prosecute the offence of misleading statements and practice. Further to this, it has also the power to prosecute insider dealing under part five of the 1993 Criminal Justice Act. In determining whether or not to pursue a case through the criminal courts, factors such as the seriousness of the offence and the impact this may have had on the markets are considered. Penalties liable to a person convicted of the offence of insider dealing are either a fine or imprisonment of up to seven years (FMSA 2000, Section 397(8) and the Criminal Justice act 1993 section 61). In cases deemed to be of particular severity the F</w:t>
      </w:r>
      <w:r w:rsidR="00D91F39">
        <w:rPr>
          <w:rFonts w:asciiTheme="minorHAnsi" w:hAnsiTheme="minorHAnsi"/>
          <w:sz w:val="22"/>
          <w:szCs w:val="22"/>
        </w:rPr>
        <w:t>C</w:t>
      </w:r>
      <w:r>
        <w:rPr>
          <w:rFonts w:asciiTheme="minorHAnsi" w:hAnsiTheme="minorHAnsi"/>
          <w:sz w:val="22"/>
          <w:szCs w:val="22"/>
        </w:rPr>
        <w:t xml:space="preserve">A may refer the matter to the Serious Fraud Office </w:t>
      </w:r>
      <w:r w:rsidR="00B369C9">
        <w:rPr>
          <w:rFonts w:asciiTheme="minorHAnsi" w:hAnsiTheme="minorHAnsi"/>
          <w:sz w:val="22"/>
          <w:szCs w:val="22"/>
        </w:rPr>
        <w:t>which has the power to</w:t>
      </w:r>
      <w:r>
        <w:rPr>
          <w:rFonts w:asciiTheme="minorHAnsi" w:hAnsiTheme="minorHAnsi"/>
          <w:sz w:val="22"/>
          <w:szCs w:val="22"/>
        </w:rPr>
        <w:t xml:space="preserve"> pursue a conviction under section 2 of the Criminal Justice Act 1987. Such referrals are made only in cases where the alleged fraud exceeds the value of £1 million or where the nature of the case requires the investigatory power of an organisation with a further reach than the F</w:t>
      </w:r>
      <w:r w:rsidR="000029DA">
        <w:rPr>
          <w:rFonts w:asciiTheme="minorHAnsi" w:hAnsiTheme="minorHAnsi"/>
          <w:sz w:val="22"/>
          <w:szCs w:val="22"/>
        </w:rPr>
        <w:t>C</w:t>
      </w:r>
      <w:r w:rsidR="00FF5EA7">
        <w:rPr>
          <w:rFonts w:asciiTheme="minorHAnsi" w:hAnsiTheme="minorHAnsi"/>
          <w:sz w:val="22"/>
          <w:szCs w:val="22"/>
        </w:rPr>
        <w:t>A (Rider et al 2009).</w:t>
      </w:r>
    </w:p>
    <w:p w:rsidR="00EA7DB5" w:rsidRPr="00FF5EA7" w:rsidRDefault="00EA7DB5" w:rsidP="00EA7DB5">
      <w:pPr>
        <w:pStyle w:val="Heading3"/>
        <w:rPr>
          <w:rFonts w:asciiTheme="minorHAnsi" w:hAnsiTheme="minorHAnsi"/>
          <w:color w:val="auto"/>
        </w:rPr>
      </w:pPr>
      <w:bookmarkStart w:id="5" w:name="_Toc330488001"/>
      <w:r w:rsidRPr="00FF5EA7">
        <w:rPr>
          <w:color w:val="auto"/>
        </w:rPr>
        <w:t>Disclosure</w:t>
      </w:r>
      <w:bookmarkEnd w:id="5"/>
    </w:p>
    <w:p w:rsidR="00EA7DB5" w:rsidRDefault="00EA7DB5" w:rsidP="00EA7DB5">
      <w:pPr>
        <w:pStyle w:val="Standard"/>
        <w:spacing w:line="480" w:lineRule="auto"/>
        <w:ind w:left="1560"/>
        <w:jc w:val="both"/>
        <w:rPr>
          <w:rFonts w:asciiTheme="minorHAnsi" w:hAnsiTheme="minorHAnsi"/>
          <w:b/>
          <w:sz w:val="22"/>
          <w:szCs w:val="22"/>
        </w:rPr>
      </w:pPr>
    </w:p>
    <w:p w:rsidR="00EA7DB5" w:rsidRDefault="00EA7DB5" w:rsidP="00FF5EA7">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Part VI of FMSA 2000 requires </w:t>
      </w:r>
      <w:r w:rsidR="00B369C9">
        <w:rPr>
          <w:rFonts w:asciiTheme="minorHAnsi" w:hAnsiTheme="minorHAnsi"/>
          <w:sz w:val="22"/>
          <w:szCs w:val="22"/>
        </w:rPr>
        <w:t>listed companies</w:t>
      </w:r>
      <w:r>
        <w:rPr>
          <w:rFonts w:asciiTheme="minorHAnsi" w:hAnsiTheme="minorHAnsi"/>
          <w:sz w:val="22"/>
          <w:szCs w:val="22"/>
        </w:rPr>
        <w:t xml:space="preserve"> to release information along the </w:t>
      </w:r>
      <w:r>
        <w:rPr>
          <w:rFonts w:asciiTheme="minorHAnsi" w:hAnsiTheme="minorHAnsi"/>
          <w:sz w:val="22"/>
          <w:szCs w:val="22"/>
        </w:rPr>
        <w:lastRenderedPageBreak/>
        <w:t xml:space="preserve">regulatory information service, which when publicised would lead to a considerable movement in the price of the underlying security. This is what is deemed in the legislation to constitute ‘price sensitive information’, (Rider et al 2009). Furthermore, the information is required to be disseminated as soon as possible after </w:t>
      </w:r>
      <w:r w:rsidR="001725A6">
        <w:rPr>
          <w:rFonts w:asciiTheme="minorHAnsi" w:hAnsiTheme="minorHAnsi"/>
          <w:sz w:val="22"/>
          <w:szCs w:val="22"/>
        </w:rPr>
        <w:t>it</w:t>
      </w:r>
      <w:r>
        <w:rPr>
          <w:rFonts w:asciiTheme="minorHAnsi" w:hAnsiTheme="minorHAnsi"/>
          <w:sz w:val="22"/>
          <w:szCs w:val="22"/>
        </w:rPr>
        <w:t xml:space="preserve"> comes to light internally. The stipulations are that reports of director’s dealings and transactions on the accounts of their spouses and children are offered in as timely a manner as possible. More explicitly, the director is obliged under the Model code</w:t>
      </w:r>
      <w:r w:rsidR="001725A6">
        <w:rPr>
          <w:rFonts w:asciiTheme="minorHAnsi" w:hAnsiTheme="minorHAnsi"/>
          <w:sz w:val="22"/>
          <w:szCs w:val="22"/>
        </w:rPr>
        <w:t>,</w:t>
      </w:r>
      <w:r>
        <w:rPr>
          <w:rFonts w:asciiTheme="minorHAnsi" w:hAnsiTheme="minorHAnsi"/>
          <w:sz w:val="22"/>
          <w:szCs w:val="22"/>
        </w:rPr>
        <w:t xml:space="preserve"> </w:t>
      </w:r>
      <w:r w:rsidR="001725A6">
        <w:rPr>
          <w:rFonts w:asciiTheme="minorHAnsi" w:hAnsiTheme="minorHAnsi"/>
          <w:sz w:val="22"/>
          <w:szCs w:val="22"/>
        </w:rPr>
        <w:t xml:space="preserve">which forms part of the listing rules for every firm, </w:t>
      </w:r>
      <w:r>
        <w:rPr>
          <w:rFonts w:asciiTheme="minorHAnsi" w:hAnsiTheme="minorHAnsi"/>
          <w:sz w:val="22"/>
          <w:szCs w:val="22"/>
        </w:rPr>
        <w:t>to inform their company of such activity no later than five working days following the trade. The firm is then obliged to report this information to the LSE no later than one working day after the transaction has occurred. The company must also ensure that data vendors are informed via the regulatory news service feeds. In addition to this, the firm must enter details of the trade in a publicly available register within three days of the event (</w:t>
      </w:r>
      <w:proofErr w:type="spellStart"/>
      <w:r>
        <w:rPr>
          <w:rFonts w:asciiTheme="minorHAnsi" w:hAnsiTheme="minorHAnsi"/>
          <w:sz w:val="22"/>
          <w:szCs w:val="22"/>
        </w:rPr>
        <w:t>Fidrmuc</w:t>
      </w:r>
      <w:proofErr w:type="spellEnd"/>
      <w:r>
        <w:rPr>
          <w:rFonts w:asciiTheme="minorHAnsi" w:hAnsiTheme="minorHAnsi"/>
          <w:sz w:val="22"/>
          <w:szCs w:val="22"/>
        </w:rPr>
        <w:t xml:space="preserve"> et al 2006). There is also a requirement, put upon the company issuing the underlying shares, to make available to the FSA a full list of persons who may have access to the information. Individuals closely connected to the deal such as senior management and directors are also obliged to disclose transactions of issuing company shares in their own accounts. The full rules surrounding disclosure are available in the disclosure and transparency rules (DTRs) for listed companies, which is contained in the FSA’s handbook. The statutory authority for these rules is lai</w:t>
      </w:r>
      <w:r w:rsidR="00FF5EA7">
        <w:rPr>
          <w:rFonts w:asciiTheme="minorHAnsi" w:hAnsiTheme="minorHAnsi"/>
          <w:sz w:val="22"/>
          <w:szCs w:val="22"/>
        </w:rPr>
        <w:t>d down in part VI of FMSA 2000.</w:t>
      </w:r>
    </w:p>
    <w:p w:rsidR="00EA7DB5" w:rsidRPr="00FF5EA7" w:rsidRDefault="00EA7DB5" w:rsidP="00EA7DB5">
      <w:pPr>
        <w:pStyle w:val="Heading3"/>
        <w:rPr>
          <w:rFonts w:asciiTheme="minorHAnsi" w:hAnsiTheme="minorHAnsi"/>
          <w:color w:val="auto"/>
        </w:rPr>
      </w:pPr>
      <w:bookmarkStart w:id="6" w:name="_Toc330488002"/>
      <w:r w:rsidRPr="00FF5EA7">
        <w:rPr>
          <w:color w:val="auto"/>
        </w:rPr>
        <w:t>Self-Regulation</w:t>
      </w:r>
      <w:bookmarkEnd w:id="6"/>
    </w:p>
    <w:p w:rsidR="00EA7DB5" w:rsidRDefault="00EA7DB5" w:rsidP="00EA7DB5">
      <w:pPr>
        <w:pStyle w:val="Standard"/>
        <w:spacing w:line="480" w:lineRule="auto"/>
        <w:ind w:left="1560"/>
        <w:jc w:val="both"/>
        <w:rPr>
          <w:rFonts w:asciiTheme="minorHAnsi" w:hAnsiTheme="minorHAnsi"/>
          <w:b/>
          <w:sz w:val="22"/>
          <w:szCs w:val="22"/>
        </w:rPr>
      </w:pPr>
    </w:p>
    <w:p w:rsidR="00EA7DB5" w:rsidRDefault="00EA7DB5" w:rsidP="00FF5EA7">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Takeover activity in particular draws substantial attention from regulators as</w:t>
      </w:r>
      <w:r w:rsidR="007F61D4">
        <w:rPr>
          <w:rFonts w:asciiTheme="minorHAnsi" w:hAnsiTheme="minorHAnsi"/>
          <w:sz w:val="22"/>
          <w:szCs w:val="22"/>
        </w:rPr>
        <w:t xml:space="preserve"> it is a noted</w:t>
      </w:r>
      <w:r>
        <w:rPr>
          <w:rFonts w:asciiTheme="minorHAnsi" w:hAnsiTheme="minorHAnsi"/>
          <w:sz w:val="22"/>
          <w:szCs w:val="22"/>
        </w:rPr>
        <w:t xml:space="preserve"> focus of insider activity. The aspect of the model code which is concerned with takeovers (the takeover code) is administered by the panel on takeovers and mergers. The code lays down general principles and practices which are to be followed by listed companies during times of corporate change. In general, the </w:t>
      </w:r>
      <w:r w:rsidR="007F61D4">
        <w:rPr>
          <w:rFonts w:asciiTheme="minorHAnsi" w:hAnsiTheme="minorHAnsi"/>
          <w:sz w:val="22"/>
          <w:szCs w:val="22"/>
        </w:rPr>
        <w:t xml:space="preserve">rationale behind </w:t>
      </w:r>
      <w:r>
        <w:rPr>
          <w:rFonts w:asciiTheme="minorHAnsi" w:hAnsiTheme="minorHAnsi"/>
          <w:sz w:val="22"/>
          <w:szCs w:val="22"/>
        </w:rPr>
        <w:t xml:space="preserve">setting these </w:t>
      </w:r>
      <w:r>
        <w:rPr>
          <w:rFonts w:asciiTheme="minorHAnsi" w:hAnsiTheme="minorHAnsi"/>
          <w:sz w:val="22"/>
          <w:szCs w:val="22"/>
        </w:rPr>
        <w:lastRenderedPageBreak/>
        <w:t>principles is to ensure that shareholders receive fair treatment, adequate information and to ensure that no abusive trading occurs ahead of a bid announcement. While the panel itself holds no regulatory or sanctioning powers its decis</w:t>
      </w:r>
      <w:r w:rsidR="007F61D4">
        <w:rPr>
          <w:rFonts w:asciiTheme="minorHAnsi" w:hAnsiTheme="minorHAnsi"/>
          <w:sz w:val="22"/>
          <w:szCs w:val="22"/>
        </w:rPr>
        <w:t>ions can be acted upon by the FC</w:t>
      </w:r>
      <w:r>
        <w:rPr>
          <w:rFonts w:asciiTheme="minorHAnsi" w:hAnsiTheme="minorHAnsi"/>
          <w:sz w:val="22"/>
          <w:szCs w:val="22"/>
        </w:rPr>
        <w:t xml:space="preserve">A. Therefore, a breach of code could result in disciplinary measures, which at the extreme might involve a delisting of the company concerned. Part of the code (Rule 2) requires that the bidding company must declare its interest in the target company should unusual price movements occur in the target’s share price or rumours surface relating to the possibility of a </w:t>
      </w:r>
      <w:r w:rsidR="007F61D4">
        <w:rPr>
          <w:rFonts w:asciiTheme="minorHAnsi" w:hAnsiTheme="minorHAnsi"/>
          <w:sz w:val="22"/>
          <w:szCs w:val="22"/>
        </w:rPr>
        <w:t xml:space="preserve">takeover. </w:t>
      </w:r>
      <w:r>
        <w:rPr>
          <w:rFonts w:asciiTheme="minorHAnsi" w:hAnsiTheme="minorHAnsi"/>
          <w:sz w:val="22"/>
          <w:szCs w:val="22"/>
        </w:rPr>
        <w:t>The code (Rule 2.1) also requires any third party who may have access to such price sensitive information to keep this priv</w:t>
      </w:r>
      <w:r w:rsidR="00FF5EA7">
        <w:rPr>
          <w:rFonts w:asciiTheme="minorHAnsi" w:hAnsiTheme="minorHAnsi"/>
          <w:sz w:val="22"/>
          <w:szCs w:val="22"/>
        </w:rPr>
        <w:t>ate.</w:t>
      </w:r>
    </w:p>
    <w:p w:rsidR="00EA7DB5" w:rsidRPr="00FF5EA7" w:rsidRDefault="00EA7DB5" w:rsidP="00EA7DB5">
      <w:pPr>
        <w:pStyle w:val="Heading3"/>
        <w:rPr>
          <w:rFonts w:asciiTheme="minorHAnsi" w:hAnsiTheme="minorHAnsi"/>
          <w:color w:val="auto"/>
        </w:rPr>
      </w:pPr>
      <w:bookmarkStart w:id="7" w:name="_Toc330488003"/>
      <w:r w:rsidRPr="00FF5EA7">
        <w:rPr>
          <w:color w:val="auto"/>
        </w:rPr>
        <w:t>Enforcement</w:t>
      </w:r>
      <w:bookmarkEnd w:id="7"/>
    </w:p>
    <w:p w:rsidR="00EA7DB5" w:rsidRDefault="00EA7DB5" w:rsidP="00EA7DB5">
      <w:pPr>
        <w:pStyle w:val="Standard"/>
        <w:spacing w:line="480" w:lineRule="auto"/>
        <w:ind w:left="1560"/>
        <w:jc w:val="both"/>
        <w:rPr>
          <w:rFonts w:asciiTheme="minorHAnsi" w:hAnsiTheme="minorHAnsi"/>
          <w:b/>
          <w:sz w:val="22"/>
          <w:szCs w:val="22"/>
        </w:rPr>
      </w:pPr>
    </w:p>
    <w:p w:rsidR="00EA7DB5" w:rsidRDefault="00EA7DB5" w:rsidP="00EA7DB5">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t>In the years before the FSA</w:t>
      </w:r>
      <w:r w:rsidR="002F572F">
        <w:rPr>
          <w:rFonts w:asciiTheme="minorHAnsi" w:hAnsiTheme="minorHAnsi"/>
          <w:sz w:val="22"/>
          <w:szCs w:val="22"/>
        </w:rPr>
        <w:t xml:space="preserve"> which is now the FCA</w:t>
      </w:r>
      <w:r>
        <w:rPr>
          <w:rFonts w:asciiTheme="minorHAnsi" w:hAnsiTheme="minorHAnsi"/>
          <w:sz w:val="22"/>
          <w:szCs w:val="22"/>
        </w:rPr>
        <w:t xml:space="preserve"> received the powers to police and prosecute the various forms of market abuse, responsibility for the task belonged to the Department of Trade and Industry (DTI). Throughout the 1980’s 21 acts of insider dealing were successfully prosecuted under the Companies Act (1980/1985). Of these, six were as a result of trading by a director or an associate, or were made upon information provided by a director. The remaining offences were committed by individuals who held close links with companies through either professional involvement or links to other insiders (Barnes 200</w:t>
      </w:r>
      <w:r w:rsidR="00ED159D">
        <w:rPr>
          <w:rFonts w:asciiTheme="minorHAnsi" w:hAnsiTheme="minorHAnsi"/>
          <w:sz w:val="22"/>
          <w:szCs w:val="22"/>
        </w:rPr>
        <w:t>0</w:t>
      </w:r>
      <w:r>
        <w:rPr>
          <w:rFonts w:asciiTheme="minorHAnsi" w:hAnsiTheme="minorHAnsi"/>
          <w:sz w:val="22"/>
          <w:szCs w:val="22"/>
        </w:rPr>
        <w:t xml:space="preserve">). The prosecution success rate represents 58% of all cases pursued. </w:t>
      </w:r>
    </w:p>
    <w:p w:rsidR="00EA7DB5" w:rsidRPr="00F265FC" w:rsidRDefault="00EA7DB5" w:rsidP="00F265FC">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Following the implementation of FMSA 2000 in January 2001, the FSA took over the role of policing market abuse from the DTI. With only two criminal convictions secured since 2001, </w:t>
      </w:r>
      <w:r w:rsidR="002F572F">
        <w:rPr>
          <w:rFonts w:asciiTheme="minorHAnsi" w:hAnsiTheme="minorHAnsi"/>
          <w:sz w:val="22"/>
          <w:szCs w:val="22"/>
        </w:rPr>
        <w:t xml:space="preserve">it is apparent that </w:t>
      </w:r>
      <w:r>
        <w:rPr>
          <w:rFonts w:asciiTheme="minorHAnsi" w:hAnsiTheme="minorHAnsi"/>
          <w:sz w:val="22"/>
          <w:szCs w:val="22"/>
        </w:rPr>
        <w:t xml:space="preserve">the civil route </w:t>
      </w:r>
      <w:r w:rsidR="002F572F">
        <w:rPr>
          <w:rFonts w:asciiTheme="minorHAnsi" w:hAnsiTheme="minorHAnsi"/>
          <w:sz w:val="22"/>
          <w:szCs w:val="22"/>
        </w:rPr>
        <w:t xml:space="preserve">is preferred </w:t>
      </w:r>
      <w:r>
        <w:rPr>
          <w:rFonts w:asciiTheme="minorHAnsi" w:hAnsiTheme="minorHAnsi"/>
          <w:sz w:val="22"/>
          <w:szCs w:val="22"/>
        </w:rPr>
        <w:t xml:space="preserve">when enforcing the regulations. </w:t>
      </w:r>
      <w:r w:rsidRPr="004A7DE3">
        <w:rPr>
          <w:rFonts w:asciiTheme="minorHAnsi" w:hAnsiTheme="minorHAnsi"/>
          <w:sz w:val="22"/>
          <w:szCs w:val="22"/>
        </w:rPr>
        <w:t>Since 2001, there have been 12 successful civil actions relating to market abuse, of these, eight involved insider trading.</w:t>
      </w:r>
      <w:r>
        <w:rPr>
          <w:rFonts w:asciiTheme="minorHAnsi" w:hAnsiTheme="minorHAnsi"/>
          <w:sz w:val="22"/>
          <w:szCs w:val="22"/>
        </w:rPr>
        <w:t xml:space="preserve"> In the two cases where criminal proceedings were initiated, the five individuals involved received prison sentences of up to two years and one individual received a community service order. In the civil cases</w:t>
      </w:r>
      <w:r w:rsidR="002F572F">
        <w:rPr>
          <w:rFonts w:asciiTheme="minorHAnsi" w:hAnsiTheme="minorHAnsi"/>
          <w:sz w:val="22"/>
          <w:szCs w:val="22"/>
        </w:rPr>
        <w:t>,</w:t>
      </w:r>
      <w:r>
        <w:rPr>
          <w:rFonts w:asciiTheme="minorHAnsi" w:hAnsiTheme="minorHAnsi"/>
          <w:sz w:val="22"/>
          <w:szCs w:val="22"/>
        </w:rPr>
        <w:t xml:space="preserve"> fines totalling £27,550,143 </w:t>
      </w:r>
      <w:r>
        <w:rPr>
          <w:rFonts w:asciiTheme="minorHAnsi" w:hAnsiTheme="minorHAnsi"/>
          <w:sz w:val="22"/>
          <w:szCs w:val="22"/>
        </w:rPr>
        <w:lastRenderedPageBreak/>
        <w:t>were imposed</w:t>
      </w:r>
      <w:r w:rsidR="002F572F">
        <w:rPr>
          <w:rFonts w:asciiTheme="minorHAnsi" w:hAnsiTheme="minorHAnsi"/>
          <w:sz w:val="22"/>
          <w:szCs w:val="22"/>
        </w:rPr>
        <w:t>.</w:t>
      </w:r>
      <w:r w:rsidR="00BA6145">
        <w:rPr>
          <w:rStyle w:val="FootnoteReference"/>
          <w:rFonts w:asciiTheme="minorHAnsi" w:hAnsiTheme="minorHAnsi"/>
          <w:sz w:val="22"/>
          <w:szCs w:val="22"/>
        </w:rPr>
        <w:footnoteReference w:id="2"/>
      </w:r>
      <w:r w:rsidR="002F572F">
        <w:rPr>
          <w:rFonts w:asciiTheme="minorHAnsi" w:hAnsiTheme="minorHAnsi"/>
          <w:sz w:val="22"/>
          <w:szCs w:val="22"/>
        </w:rPr>
        <w:t xml:space="preserve"> </w:t>
      </w:r>
      <w:r>
        <w:rPr>
          <w:rFonts w:asciiTheme="minorHAnsi" w:hAnsiTheme="minorHAnsi"/>
          <w:sz w:val="22"/>
          <w:szCs w:val="22"/>
        </w:rPr>
        <w:t>Despite th</w:t>
      </w:r>
      <w:r w:rsidR="002F572F">
        <w:rPr>
          <w:rFonts w:asciiTheme="minorHAnsi" w:hAnsiTheme="minorHAnsi"/>
          <w:sz w:val="22"/>
          <w:szCs w:val="22"/>
        </w:rPr>
        <w:t>is</w:t>
      </w:r>
      <w:r>
        <w:rPr>
          <w:rFonts w:asciiTheme="minorHAnsi" w:hAnsiTheme="minorHAnsi"/>
          <w:sz w:val="22"/>
          <w:szCs w:val="22"/>
        </w:rPr>
        <w:t xml:space="preserve">, </w:t>
      </w:r>
      <w:r w:rsidR="002F572F">
        <w:rPr>
          <w:rFonts w:asciiTheme="minorHAnsi" w:hAnsiTheme="minorHAnsi"/>
          <w:sz w:val="22"/>
          <w:szCs w:val="22"/>
        </w:rPr>
        <w:t>it is clear</w:t>
      </w:r>
      <w:r w:rsidR="00D37E41">
        <w:rPr>
          <w:rFonts w:asciiTheme="minorHAnsi" w:hAnsiTheme="minorHAnsi"/>
          <w:sz w:val="22"/>
          <w:szCs w:val="22"/>
        </w:rPr>
        <w:t xml:space="preserve"> that </w:t>
      </w:r>
      <w:r>
        <w:rPr>
          <w:rFonts w:asciiTheme="minorHAnsi" w:hAnsiTheme="minorHAnsi"/>
          <w:sz w:val="22"/>
          <w:szCs w:val="22"/>
        </w:rPr>
        <w:t xml:space="preserve">much </w:t>
      </w:r>
      <w:r w:rsidR="00D37E41">
        <w:rPr>
          <w:rFonts w:asciiTheme="minorHAnsi" w:hAnsiTheme="minorHAnsi"/>
          <w:sz w:val="22"/>
          <w:szCs w:val="22"/>
        </w:rPr>
        <w:t xml:space="preserve">more </w:t>
      </w:r>
      <w:r>
        <w:rPr>
          <w:rFonts w:asciiTheme="minorHAnsi" w:hAnsiTheme="minorHAnsi"/>
          <w:sz w:val="22"/>
          <w:szCs w:val="22"/>
        </w:rPr>
        <w:t xml:space="preserve">work </w:t>
      </w:r>
      <w:r w:rsidR="00D37E41">
        <w:rPr>
          <w:rFonts w:asciiTheme="minorHAnsi" w:hAnsiTheme="minorHAnsi"/>
          <w:sz w:val="22"/>
          <w:szCs w:val="22"/>
        </w:rPr>
        <w:t xml:space="preserve">has to be carried out </w:t>
      </w:r>
      <w:r>
        <w:rPr>
          <w:rFonts w:asciiTheme="minorHAnsi" w:hAnsiTheme="minorHAnsi"/>
          <w:sz w:val="22"/>
          <w:szCs w:val="22"/>
        </w:rPr>
        <w:t>to minimise the extent of insider trading in the UK market.</w:t>
      </w:r>
      <w:r w:rsidR="002F572F">
        <w:rPr>
          <w:rFonts w:asciiTheme="minorHAnsi" w:hAnsiTheme="minorHAnsi"/>
          <w:sz w:val="22"/>
          <w:szCs w:val="22"/>
        </w:rPr>
        <w:t xml:space="preserve"> </w:t>
      </w:r>
      <w:proofErr w:type="spellStart"/>
      <w:r w:rsidR="002F572F">
        <w:rPr>
          <w:rFonts w:asciiTheme="minorHAnsi" w:hAnsiTheme="minorHAnsi"/>
          <w:sz w:val="22"/>
          <w:szCs w:val="22"/>
        </w:rPr>
        <w:t>Dubow</w:t>
      </w:r>
      <w:proofErr w:type="spellEnd"/>
      <w:r w:rsidR="002F572F">
        <w:rPr>
          <w:rFonts w:asciiTheme="minorHAnsi" w:hAnsiTheme="minorHAnsi"/>
          <w:sz w:val="22"/>
          <w:szCs w:val="22"/>
        </w:rPr>
        <w:t xml:space="preserve"> and Monteiro (2006), examine </w:t>
      </w:r>
      <w:r>
        <w:rPr>
          <w:rFonts w:asciiTheme="minorHAnsi" w:hAnsiTheme="minorHAnsi"/>
          <w:sz w:val="22"/>
          <w:szCs w:val="22"/>
        </w:rPr>
        <w:t xml:space="preserve">769 merger announcements on </w:t>
      </w:r>
      <w:r w:rsidR="002F572F">
        <w:rPr>
          <w:rFonts w:asciiTheme="minorHAnsi" w:hAnsiTheme="minorHAnsi"/>
          <w:sz w:val="22"/>
          <w:szCs w:val="22"/>
        </w:rPr>
        <w:t xml:space="preserve">UK listed firms from 2000 to 2005 and found </w:t>
      </w:r>
      <w:r>
        <w:rPr>
          <w:rFonts w:asciiTheme="minorHAnsi" w:hAnsiTheme="minorHAnsi"/>
          <w:sz w:val="22"/>
          <w:szCs w:val="22"/>
        </w:rPr>
        <w:t>that in</w:t>
      </w:r>
      <w:r w:rsidR="00840783">
        <w:rPr>
          <w:rFonts w:asciiTheme="minorHAnsi" w:hAnsiTheme="minorHAnsi"/>
          <w:sz w:val="22"/>
          <w:szCs w:val="22"/>
        </w:rPr>
        <w:t>formed trading appears to occur in</w:t>
      </w:r>
      <w:r>
        <w:rPr>
          <w:rFonts w:asciiTheme="minorHAnsi" w:hAnsiTheme="minorHAnsi"/>
          <w:sz w:val="22"/>
          <w:szCs w:val="22"/>
        </w:rPr>
        <w:t xml:space="preserve"> 20% of the </w:t>
      </w:r>
      <w:r w:rsidR="00840783">
        <w:rPr>
          <w:rFonts w:asciiTheme="minorHAnsi" w:hAnsiTheme="minorHAnsi"/>
          <w:sz w:val="22"/>
          <w:szCs w:val="22"/>
        </w:rPr>
        <w:t>announced mergers</w:t>
      </w:r>
      <w:r>
        <w:rPr>
          <w:rFonts w:asciiTheme="minorHAnsi" w:hAnsiTheme="minorHAnsi"/>
          <w:sz w:val="22"/>
          <w:szCs w:val="22"/>
        </w:rPr>
        <w:t xml:space="preserve">. </w:t>
      </w:r>
      <w:r w:rsidR="00840783">
        <w:rPr>
          <w:rFonts w:asciiTheme="minorHAnsi" w:hAnsiTheme="minorHAnsi"/>
          <w:sz w:val="22"/>
          <w:szCs w:val="22"/>
        </w:rPr>
        <w:t xml:space="preserve">They use only a four day window around the announcement so arguably this estimation could be thought of as conservative. </w:t>
      </w:r>
    </w:p>
    <w:p w:rsidR="00EE2E6D" w:rsidRPr="00EE2E6D" w:rsidRDefault="007B0AA0" w:rsidP="00817AA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Despite the comprehensive legislation, </w:t>
      </w:r>
      <w:r w:rsidR="00840783">
        <w:rPr>
          <w:rFonts w:asciiTheme="minorHAnsi" w:hAnsiTheme="minorHAnsi"/>
          <w:sz w:val="22"/>
          <w:szCs w:val="22"/>
        </w:rPr>
        <w:t>securing</w:t>
      </w:r>
      <w:r w:rsidR="00EA7DB5">
        <w:rPr>
          <w:rFonts w:asciiTheme="minorHAnsi" w:hAnsiTheme="minorHAnsi"/>
          <w:sz w:val="22"/>
          <w:szCs w:val="22"/>
        </w:rPr>
        <w:t xml:space="preserve"> successful prosecutions is fraught with difficulty </w:t>
      </w:r>
      <w:r>
        <w:rPr>
          <w:rFonts w:asciiTheme="minorHAnsi" w:hAnsiTheme="minorHAnsi"/>
          <w:sz w:val="22"/>
          <w:szCs w:val="22"/>
        </w:rPr>
        <w:t xml:space="preserve">for the regulators, </w:t>
      </w:r>
      <w:r w:rsidR="00EA7DB5">
        <w:rPr>
          <w:rFonts w:asciiTheme="minorHAnsi" w:hAnsiTheme="minorHAnsi"/>
          <w:sz w:val="22"/>
          <w:szCs w:val="22"/>
        </w:rPr>
        <w:t xml:space="preserve">(Cole 2007). If changes are to occur, these are more likely to relate to a strategic rather than legislative change. Commentators have argued that the regulation should be based upon a set of principles rather than defined circumstances and should shift the focus towards compliance (Barnes 2009). This </w:t>
      </w:r>
      <w:r>
        <w:rPr>
          <w:rFonts w:asciiTheme="minorHAnsi" w:hAnsiTheme="minorHAnsi"/>
          <w:sz w:val="22"/>
          <w:szCs w:val="22"/>
        </w:rPr>
        <w:t>could be achieved</w:t>
      </w:r>
      <w:r w:rsidR="00EA7DB5">
        <w:rPr>
          <w:rFonts w:asciiTheme="minorHAnsi" w:hAnsiTheme="minorHAnsi"/>
          <w:sz w:val="22"/>
          <w:szCs w:val="22"/>
        </w:rPr>
        <w:t xml:space="preserve"> through directing attention to the compliance efforts of companies deemed likely to be involved in market abuse. </w:t>
      </w:r>
      <w:r>
        <w:rPr>
          <w:rFonts w:asciiTheme="minorHAnsi" w:hAnsiTheme="minorHAnsi"/>
          <w:sz w:val="22"/>
          <w:szCs w:val="22"/>
        </w:rPr>
        <w:t>Furthermore, t</w:t>
      </w:r>
      <w:r w:rsidR="00EA7DB5">
        <w:rPr>
          <w:rFonts w:asciiTheme="minorHAnsi" w:hAnsiTheme="minorHAnsi"/>
          <w:sz w:val="22"/>
          <w:szCs w:val="22"/>
        </w:rPr>
        <w:t xml:space="preserve">he introduction of </w:t>
      </w:r>
      <w:r>
        <w:rPr>
          <w:rFonts w:asciiTheme="minorHAnsi" w:hAnsiTheme="minorHAnsi"/>
          <w:sz w:val="22"/>
          <w:szCs w:val="22"/>
        </w:rPr>
        <w:t xml:space="preserve">processes to handle suspicious trades and </w:t>
      </w:r>
      <w:r w:rsidR="00EA7DB5">
        <w:rPr>
          <w:rFonts w:asciiTheme="minorHAnsi" w:hAnsiTheme="minorHAnsi"/>
          <w:sz w:val="22"/>
          <w:szCs w:val="22"/>
        </w:rPr>
        <w:t xml:space="preserve">the implementation of software systems which in real time identify notable changes in the share price and the volume of transactions for </w:t>
      </w:r>
      <w:r>
        <w:rPr>
          <w:rFonts w:asciiTheme="minorHAnsi" w:hAnsiTheme="minorHAnsi"/>
          <w:sz w:val="22"/>
          <w:szCs w:val="22"/>
        </w:rPr>
        <w:t>firms</w:t>
      </w:r>
      <w:r w:rsidR="00EA7DB5">
        <w:rPr>
          <w:rFonts w:asciiTheme="minorHAnsi" w:hAnsiTheme="minorHAnsi"/>
          <w:sz w:val="22"/>
          <w:szCs w:val="22"/>
        </w:rPr>
        <w:t xml:space="preserve"> are new measures, which </w:t>
      </w:r>
      <w:r w:rsidR="00F265FC">
        <w:rPr>
          <w:rFonts w:asciiTheme="minorHAnsi" w:hAnsiTheme="minorHAnsi"/>
          <w:sz w:val="22"/>
          <w:szCs w:val="22"/>
        </w:rPr>
        <w:t>should</w:t>
      </w:r>
      <w:r w:rsidR="00EA7DB5">
        <w:rPr>
          <w:rFonts w:asciiTheme="minorHAnsi" w:hAnsiTheme="minorHAnsi"/>
          <w:sz w:val="22"/>
          <w:szCs w:val="22"/>
        </w:rPr>
        <w:t xml:space="preserve"> increase the monitoring capacity and effectiveness of the authority.</w:t>
      </w:r>
      <w:r w:rsidR="00BE23E9">
        <w:rPr>
          <w:rFonts w:asciiTheme="minorHAnsi" w:hAnsiTheme="minorHAnsi"/>
          <w:sz w:val="22"/>
          <w:szCs w:val="22"/>
        </w:rPr>
        <w:t xml:space="preserve"> In a survey of enforcement practices in mature markets,</w:t>
      </w:r>
      <w:r w:rsidR="00DB4173">
        <w:rPr>
          <w:rFonts w:asciiTheme="minorHAnsi" w:hAnsiTheme="minorHAnsi"/>
          <w:sz w:val="22"/>
          <w:szCs w:val="22"/>
        </w:rPr>
        <w:t xml:space="preserve"> Austin (2015)</w:t>
      </w:r>
      <w:r w:rsidR="00BE23E9">
        <w:rPr>
          <w:rFonts w:asciiTheme="minorHAnsi" w:hAnsiTheme="minorHAnsi"/>
          <w:sz w:val="22"/>
          <w:szCs w:val="22"/>
        </w:rPr>
        <w:t>,</w:t>
      </w:r>
      <w:r w:rsidR="00DB4173">
        <w:rPr>
          <w:rFonts w:asciiTheme="minorHAnsi" w:hAnsiTheme="minorHAnsi"/>
          <w:sz w:val="22"/>
          <w:szCs w:val="22"/>
        </w:rPr>
        <w:t xml:space="preserve"> reports that the FCA has begun to use tips provided by members of the public or company</w:t>
      </w:r>
      <w:r w:rsidR="00BE23E9">
        <w:rPr>
          <w:rFonts w:asciiTheme="minorHAnsi" w:hAnsiTheme="minorHAnsi"/>
          <w:sz w:val="22"/>
          <w:szCs w:val="22"/>
        </w:rPr>
        <w:t xml:space="preserve"> </w:t>
      </w:r>
      <w:proofErr w:type="spellStart"/>
      <w:r w:rsidR="00BE23E9">
        <w:rPr>
          <w:rFonts w:asciiTheme="minorHAnsi" w:hAnsiTheme="minorHAnsi"/>
          <w:sz w:val="22"/>
          <w:szCs w:val="22"/>
        </w:rPr>
        <w:t>whistleblowers</w:t>
      </w:r>
      <w:proofErr w:type="spellEnd"/>
      <w:r w:rsidR="00DB4173">
        <w:rPr>
          <w:rFonts w:asciiTheme="minorHAnsi" w:hAnsiTheme="minorHAnsi"/>
          <w:sz w:val="22"/>
          <w:szCs w:val="22"/>
        </w:rPr>
        <w:t xml:space="preserve"> to </w:t>
      </w:r>
      <w:r w:rsidR="00BE23E9">
        <w:rPr>
          <w:rFonts w:asciiTheme="minorHAnsi" w:hAnsiTheme="minorHAnsi"/>
          <w:sz w:val="22"/>
          <w:szCs w:val="22"/>
        </w:rPr>
        <w:t>detect</w:t>
      </w:r>
      <w:r w:rsidR="00DB4173">
        <w:rPr>
          <w:rFonts w:asciiTheme="minorHAnsi" w:hAnsiTheme="minorHAnsi"/>
          <w:sz w:val="22"/>
          <w:szCs w:val="22"/>
        </w:rPr>
        <w:t xml:space="preserve"> </w:t>
      </w:r>
      <w:r w:rsidR="00BE23E9">
        <w:rPr>
          <w:rFonts w:asciiTheme="minorHAnsi" w:hAnsiTheme="minorHAnsi"/>
          <w:sz w:val="22"/>
          <w:szCs w:val="22"/>
        </w:rPr>
        <w:t xml:space="preserve">instances of </w:t>
      </w:r>
      <w:r w:rsidR="00DB4173">
        <w:rPr>
          <w:rFonts w:asciiTheme="minorHAnsi" w:hAnsiTheme="minorHAnsi"/>
          <w:sz w:val="22"/>
          <w:szCs w:val="22"/>
        </w:rPr>
        <w:t>market abuse</w:t>
      </w:r>
      <w:r w:rsidR="00BE23E9">
        <w:rPr>
          <w:rFonts w:asciiTheme="minorHAnsi" w:hAnsiTheme="minorHAnsi"/>
          <w:sz w:val="22"/>
          <w:szCs w:val="22"/>
        </w:rPr>
        <w:t>. This, alongside the aforementioned suspicious transaction reports and detection software indicates that surveillance is the main method in the UK by which market abuse is detected.</w:t>
      </w:r>
    </w:p>
    <w:p w:rsidR="008600D8" w:rsidRPr="00FF5EA7" w:rsidRDefault="008600D8" w:rsidP="008600D8">
      <w:pPr>
        <w:pStyle w:val="Heading3"/>
        <w:rPr>
          <w:color w:val="auto"/>
        </w:rPr>
      </w:pPr>
      <w:r w:rsidRPr="00FF5EA7">
        <w:rPr>
          <w:color w:val="auto"/>
        </w:rPr>
        <w:t>Data</w:t>
      </w:r>
    </w:p>
    <w:p w:rsidR="008600D8" w:rsidRDefault="008600D8" w:rsidP="008600D8">
      <w:pPr>
        <w:pStyle w:val="Standard"/>
        <w:spacing w:line="480" w:lineRule="auto"/>
        <w:ind w:left="1560"/>
        <w:jc w:val="both"/>
        <w:rPr>
          <w:rFonts w:asciiTheme="minorHAnsi" w:hAnsiTheme="minorHAnsi"/>
          <w:b/>
          <w:sz w:val="22"/>
          <w:szCs w:val="22"/>
        </w:rPr>
      </w:pPr>
    </w:p>
    <w:p w:rsidR="008600D8" w:rsidRDefault="008600D8" w:rsidP="008600D8">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The market for corporate control incorporates a number of restructuring processes that fall beneath the umbrella term ‘takeover’. In the literature this can refer to mergers, acquisitions, proxy contests or tender offers. With mergers, acquisitions and tender offers the bidding firm proposes to buy shares in the target firm for a price that is higher than the target firm’s value. This is thought to be reflective of future income generated from the </w:t>
      </w:r>
      <w:r>
        <w:rPr>
          <w:rFonts w:asciiTheme="minorHAnsi" w:hAnsiTheme="minorHAnsi"/>
          <w:sz w:val="22"/>
          <w:szCs w:val="22"/>
        </w:rPr>
        <w:lastRenderedPageBreak/>
        <w:t>target’s assets following the deal. In the case of mergers and acquisitions</w:t>
      </w:r>
      <w:r w:rsidR="00317FBD">
        <w:rPr>
          <w:rFonts w:asciiTheme="minorHAnsi" w:hAnsiTheme="minorHAnsi"/>
          <w:sz w:val="22"/>
          <w:szCs w:val="22"/>
        </w:rPr>
        <w:t>,</w:t>
      </w:r>
      <w:r>
        <w:rPr>
          <w:rFonts w:asciiTheme="minorHAnsi" w:hAnsiTheme="minorHAnsi"/>
          <w:sz w:val="22"/>
          <w:szCs w:val="22"/>
        </w:rPr>
        <w:t xml:space="preserve"> the management of the target company is approached about the deal, in order to go </w:t>
      </w:r>
      <w:proofErr w:type="gramStart"/>
      <w:r>
        <w:rPr>
          <w:rFonts w:asciiTheme="minorHAnsi" w:hAnsiTheme="minorHAnsi"/>
          <w:sz w:val="22"/>
          <w:szCs w:val="22"/>
        </w:rPr>
        <w:t>ahead,</w:t>
      </w:r>
      <w:proofErr w:type="gramEnd"/>
      <w:r>
        <w:rPr>
          <w:rFonts w:asciiTheme="minorHAnsi" w:hAnsiTheme="minorHAnsi"/>
          <w:sz w:val="22"/>
          <w:szCs w:val="22"/>
        </w:rPr>
        <w:t xml:space="preserve"> approval is required from the target company’s board of directors. For tender offers, the bidding company approaches the shareholders directly to buy the shares. The proxy contest is an attempt to win seats on the Board of Directors usually as a result of an activist group emanating from within the shareho</w:t>
      </w:r>
      <w:r w:rsidR="00343BD7">
        <w:rPr>
          <w:rFonts w:asciiTheme="minorHAnsi" w:hAnsiTheme="minorHAnsi"/>
          <w:sz w:val="22"/>
          <w:szCs w:val="22"/>
        </w:rPr>
        <w:t>lder or management groups (Jense</w:t>
      </w:r>
      <w:r>
        <w:rPr>
          <w:rFonts w:asciiTheme="minorHAnsi" w:hAnsiTheme="minorHAnsi"/>
          <w:sz w:val="22"/>
          <w:szCs w:val="22"/>
        </w:rPr>
        <w:t xml:space="preserve">n and </w:t>
      </w:r>
      <w:proofErr w:type="spellStart"/>
      <w:r>
        <w:rPr>
          <w:rFonts w:asciiTheme="minorHAnsi" w:hAnsiTheme="minorHAnsi"/>
          <w:sz w:val="22"/>
          <w:szCs w:val="22"/>
        </w:rPr>
        <w:t>Ruback</w:t>
      </w:r>
      <w:proofErr w:type="spellEnd"/>
      <w:r>
        <w:rPr>
          <w:rFonts w:asciiTheme="minorHAnsi" w:hAnsiTheme="minorHAnsi"/>
          <w:sz w:val="22"/>
          <w:szCs w:val="22"/>
        </w:rPr>
        <w:t xml:space="preserve"> 1983).</w:t>
      </w:r>
    </w:p>
    <w:p w:rsidR="00FF5EA7" w:rsidRDefault="008600D8" w:rsidP="0003235E">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For the purpose of the investigation, both tender offers and proxy contests are excluded from the sample. This is because a higher degree of legitimate leakage is possible to larger groups of people thereby blurring the line between what is considered to be public and private information. Restricting the sample to mergers and acquisitions, the deals identified </w:t>
      </w:r>
      <w:r w:rsidR="00F265FC">
        <w:rPr>
          <w:rFonts w:asciiTheme="minorHAnsi" w:hAnsiTheme="minorHAnsi"/>
          <w:sz w:val="22"/>
          <w:szCs w:val="22"/>
        </w:rPr>
        <w:t>comprise of</w:t>
      </w:r>
      <w:r>
        <w:rPr>
          <w:rFonts w:asciiTheme="minorHAnsi" w:hAnsiTheme="minorHAnsi"/>
          <w:sz w:val="22"/>
          <w:szCs w:val="22"/>
        </w:rPr>
        <w:t xml:space="preserve"> 207 target companies which are listed on the London Stock Exchange. All deals were completed and carried out in the UK between March 2001 and January 2011. Details of each deal were acquired through the Zephyr database. Figure 1 illustrates the breakdown of mergers and acquisitions as they occurred in each year of the sample. The most intense period in takeover activity occurs in 2006 and 2009; these years could be seen as marking the high and low points of economic activity within the decade respectively. The number of takeovers in the latter year far exceeds those which occurred in the previous year indicating that the motivations underpinning these decisions could have been value rather than growth based. All offers are in the form of cash or equity with the exception of one which was financed through the issuing of corporate bonds. </w:t>
      </w:r>
    </w:p>
    <w:p w:rsidR="00FF5EA7" w:rsidRDefault="00FF5EA7" w:rsidP="008600D8">
      <w:pPr>
        <w:pStyle w:val="Standard"/>
        <w:spacing w:line="480" w:lineRule="auto"/>
        <w:ind w:left="851" w:firstLine="589"/>
        <w:jc w:val="center"/>
        <w:rPr>
          <w:rFonts w:asciiTheme="minorHAnsi" w:hAnsiTheme="minorHAnsi"/>
          <w:sz w:val="22"/>
          <w:szCs w:val="22"/>
        </w:rPr>
      </w:pPr>
    </w:p>
    <w:p w:rsidR="00FF5EA7" w:rsidRDefault="0003235E" w:rsidP="00FF5EA7">
      <w:pPr>
        <w:pStyle w:val="Standard"/>
        <w:spacing w:line="480" w:lineRule="auto"/>
        <w:ind w:left="851" w:firstLine="589"/>
        <w:jc w:val="center"/>
        <w:rPr>
          <w:rFonts w:asciiTheme="minorHAnsi" w:hAnsiTheme="minorHAnsi"/>
          <w:sz w:val="22"/>
          <w:szCs w:val="22"/>
        </w:rPr>
      </w:pPr>
      <w:r>
        <w:rPr>
          <w:rFonts w:asciiTheme="minorHAnsi" w:hAnsiTheme="minorHAnsi"/>
          <w:sz w:val="22"/>
          <w:szCs w:val="22"/>
        </w:rPr>
        <w:t>[Insert Figure 1 about here]</w:t>
      </w:r>
    </w:p>
    <w:p w:rsidR="00FF5EA7" w:rsidRDefault="00FF5EA7" w:rsidP="00FF5EA7">
      <w:pPr>
        <w:pStyle w:val="Standard"/>
        <w:spacing w:line="480" w:lineRule="auto"/>
        <w:ind w:left="851" w:firstLine="589"/>
        <w:jc w:val="center"/>
        <w:rPr>
          <w:rFonts w:asciiTheme="minorHAnsi" w:hAnsiTheme="minorHAnsi"/>
          <w:sz w:val="22"/>
          <w:szCs w:val="22"/>
        </w:rPr>
      </w:pPr>
    </w:p>
    <w:p w:rsidR="008600D8" w:rsidRDefault="00F265FC" w:rsidP="008600D8">
      <w:pPr>
        <w:pStyle w:val="Standard"/>
        <w:spacing w:line="480" w:lineRule="auto"/>
        <w:ind w:left="851"/>
        <w:jc w:val="both"/>
        <w:rPr>
          <w:rFonts w:asciiTheme="minorHAnsi" w:hAnsiTheme="minorHAnsi"/>
          <w:sz w:val="22"/>
          <w:szCs w:val="22"/>
        </w:rPr>
      </w:pPr>
      <w:r>
        <w:rPr>
          <w:rFonts w:asciiTheme="minorHAnsi" w:hAnsiTheme="minorHAnsi"/>
          <w:sz w:val="22"/>
          <w:szCs w:val="22"/>
        </w:rPr>
        <w:t>We</w:t>
      </w:r>
      <w:r w:rsidR="008600D8">
        <w:rPr>
          <w:rFonts w:asciiTheme="minorHAnsi" w:hAnsiTheme="minorHAnsi"/>
          <w:sz w:val="22"/>
          <w:szCs w:val="22"/>
        </w:rPr>
        <w:t xml:space="preserve"> estimate abnormal returns surrounding two specific events for each of the deals. The announcement date is often used in the literature to mark the date on which the information becomes public. The definition for this is the day upon which either a formal </w:t>
      </w:r>
      <w:r w:rsidR="008600D8">
        <w:rPr>
          <w:rFonts w:asciiTheme="minorHAnsi" w:hAnsiTheme="minorHAnsi"/>
          <w:sz w:val="22"/>
          <w:szCs w:val="22"/>
        </w:rPr>
        <w:lastRenderedPageBreak/>
        <w:t>offer has been made to merge with or to acquire the target company or when one of the parties involved has confirmed that the deal is to go ahead.</w:t>
      </w:r>
    </w:p>
    <w:p w:rsidR="008600D8" w:rsidRDefault="008600D8" w:rsidP="008600D8">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Measuring the anticipatory effect created for a reason other than public disclosure can only be achieved with any degree of accuracy if we factor in the possibility that news of the impending change could itself be viewed as the event. If the markets are </w:t>
      </w:r>
      <w:proofErr w:type="spellStart"/>
      <w:r>
        <w:rPr>
          <w:rFonts w:asciiTheme="minorHAnsi" w:hAnsiTheme="minorHAnsi"/>
          <w:sz w:val="22"/>
          <w:szCs w:val="22"/>
        </w:rPr>
        <w:t>informationally</w:t>
      </w:r>
      <w:proofErr w:type="spellEnd"/>
      <w:r>
        <w:rPr>
          <w:rFonts w:asciiTheme="minorHAnsi" w:hAnsiTheme="minorHAnsi"/>
          <w:sz w:val="22"/>
          <w:szCs w:val="22"/>
        </w:rPr>
        <w:t xml:space="preserve"> efficient then the first day in which the possibility of a merger or takeover is openly discussed could </w:t>
      </w:r>
      <w:r w:rsidR="00F265FC">
        <w:rPr>
          <w:rFonts w:asciiTheme="minorHAnsi" w:hAnsiTheme="minorHAnsi"/>
          <w:sz w:val="22"/>
          <w:szCs w:val="22"/>
        </w:rPr>
        <w:t>induce movement in</w:t>
      </w:r>
      <w:r>
        <w:rPr>
          <w:rFonts w:asciiTheme="minorHAnsi" w:hAnsiTheme="minorHAnsi"/>
          <w:sz w:val="22"/>
          <w:szCs w:val="22"/>
        </w:rPr>
        <w:t xml:space="preserve"> the target’s share price. As a consequence, for each deal in the sample we examine the date on which a rumour first appeared in addition to the announcement date. This date is defined as that day on which the possibility of a forthcoming deal is first mentioned. This may be the first time it is reported in the media, or issued as a company press release. The announcement date doubles as the rumour date in instances where the first indication of the possibility of a move is the day upon which the deal is announced. From our entire sample, 39 of the 207 deals have a rumour date that is different from the day in which the deal is announced</w:t>
      </w:r>
      <w:r w:rsidR="00721E12" w:rsidRPr="00F15DCD">
        <w:rPr>
          <w:rFonts w:asciiTheme="minorHAnsi" w:hAnsiTheme="minorHAnsi"/>
          <w:sz w:val="22"/>
          <w:szCs w:val="22"/>
        </w:rPr>
        <w:t>. All rumour dates are linked to deals which have been completed</w:t>
      </w:r>
      <w:r w:rsidRPr="00F15DCD">
        <w:rPr>
          <w:rFonts w:asciiTheme="minorHAnsi" w:hAnsiTheme="minorHAnsi"/>
          <w:sz w:val="22"/>
          <w:szCs w:val="22"/>
        </w:rPr>
        <w:t>.</w:t>
      </w:r>
      <w:r>
        <w:rPr>
          <w:rFonts w:asciiTheme="minorHAnsi" w:hAnsiTheme="minorHAnsi"/>
          <w:sz w:val="22"/>
          <w:szCs w:val="22"/>
        </w:rPr>
        <w:t xml:space="preserve"> The mean average length between the dates is 231 trading days, although this reduces to 118 when outliers are removed. With such a large discrepancy in trading days, there is a distinct possibility that more informed trading could occur prior to a rumour when the possibility of the trade being linked with the announcement is less. The solution is to test both events independently of one another to ascertain whether abnormal returns are evident. </w:t>
      </w:r>
    </w:p>
    <w:p w:rsidR="008600D8" w:rsidRDefault="00B13D5F" w:rsidP="0003235E">
      <w:pPr>
        <w:pStyle w:val="Standard"/>
        <w:spacing w:line="480" w:lineRule="auto"/>
        <w:ind w:left="851" w:firstLine="589"/>
        <w:jc w:val="both"/>
        <w:rPr>
          <w:rFonts w:asciiTheme="minorHAnsi" w:hAnsiTheme="minorHAnsi"/>
          <w:sz w:val="22"/>
          <w:szCs w:val="22"/>
        </w:rPr>
      </w:pPr>
      <w:r w:rsidRPr="00B13D5F">
        <w:rPr>
          <w:rFonts w:asciiTheme="minorHAnsi" w:hAnsiTheme="minorHAnsi"/>
          <w:sz w:val="22"/>
          <w:szCs w:val="22"/>
        </w:rPr>
        <w:t>Table I</w:t>
      </w:r>
      <w:r w:rsidR="008600D8">
        <w:rPr>
          <w:rFonts w:asciiTheme="minorHAnsi" w:hAnsiTheme="minorHAnsi"/>
          <w:sz w:val="22"/>
          <w:szCs w:val="22"/>
        </w:rPr>
        <w:t xml:space="preserve"> provides a breakdown of both samples in terms of size, and indicates the range and degree of variation around these figures. Although the number of observations in the samples differ</w:t>
      </w:r>
      <w:r w:rsidR="000029DA">
        <w:rPr>
          <w:rFonts w:asciiTheme="minorHAnsi" w:hAnsiTheme="minorHAnsi"/>
          <w:sz w:val="22"/>
          <w:szCs w:val="22"/>
        </w:rPr>
        <w:t>s</w:t>
      </w:r>
      <w:r w:rsidR="008600D8">
        <w:rPr>
          <w:rFonts w:asciiTheme="minorHAnsi" w:hAnsiTheme="minorHAnsi"/>
          <w:sz w:val="22"/>
          <w:szCs w:val="22"/>
        </w:rPr>
        <w:t>, the average size of the deal expressed as both the arithmetic mean and the median remain</w:t>
      </w:r>
      <w:r w:rsidR="000029DA">
        <w:rPr>
          <w:rFonts w:asciiTheme="minorHAnsi" w:hAnsiTheme="minorHAnsi"/>
          <w:sz w:val="22"/>
          <w:szCs w:val="22"/>
        </w:rPr>
        <w:t>s</w:t>
      </w:r>
      <w:r w:rsidR="0003235E">
        <w:rPr>
          <w:rFonts w:asciiTheme="minorHAnsi" w:hAnsiTheme="minorHAnsi"/>
          <w:sz w:val="22"/>
          <w:szCs w:val="22"/>
        </w:rPr>
        <w:t xml:space="preserve"> similar. </w:t>
      </w:r>
      <w:r w:rsidR="008600D8">
        <w:rPr>
          <w:rFonts w:asciiTheme="minorHAnsi" w:hAnsiTheme="minorHAnsi"/>
          <w:sz w:val="22"/>
          <w:szCs w:val="22"/>
        </w:rPr>
        <w:t xml:space="preserve">Prices used to generate returns for each company in the sample were obtained from </w:t>
      </w:r>
      <w:r w:rsidR="00F265FC">
        <w:rPr>
          <w:rFonts w:asciiTheme="minorHAnsi" w:hAnsiTheme="minorHAnsi"/>
          <w:sz w:val="22"/>
          <w:szCs w:val="22"/>
        </w:rPr>
        <w:t>DataStream</w:t>
      </w:r>
      <w:r w:rsidR="008600D8">
        <w:rPr>
          <w:rFonts w:asciiTheme="minorHAnsi" w:hAnsiTheme="minorHAnsi"/>
          <w:sz w:val="22"/>
          <w:szCs w:val="22"/>
        </w:rPr>
        <w:t xml:space="preserve">. Once missing observations are removed as a consequence of the pre–event estimation period stretching beyond the date of the firm’s </w:t>
      </w:r>
      <w:r w:rsidR="008600D8">
        <w:rPr>
          <w:rFonts w:asciiTheme="minorHAnsi" w:hAnsiTheme="minorHAnsi"/>
          <w:sz w:val="22"/>
          <w:szCs w:val="22"/>
        </w:rPr>
        <w:lastRenderedPageBreak/>
        <w:t xml:space="preserve">establishment, the sizes for the announced and rumoured event samples are 207 and 193 firms respectively. </w:t>
      </w:r>
    </w:p>
    <w:p w:rsidR="008600D8" w:rsidRDefault="008600D8" w:rsidP="008600D8">
      <w:pPr>
        <w:spacing w:after="0" w:line="480" w:lineRule="auto"/>
        <w:rPr>
          <w:rFonts w:eastAsia="Lucida Sans Unicode" w:cs="Mangal"/>
          <w:kern w:val="3"/>
          <w:lang w:eastAsia="zh-CN" w:bidi="hi-IN"/>
        </w:rPr>
      </w:pPr>
    </w:p>
    <w:p w:rsidR="008A5201" w:rsidRDefault="00607DF7" w:rsidP="000C561C">
      <w:pPr>
        <w:spacing w:after="0" w:line="480" w:lineRule="auto"/>
        <w:jc w:val="center"/>
        <w:rPr>
          <w:rFonts w:eastAsia="Lucida Sans Unicode" w:cs="Mangal"/>
          <w:kern w:val="3"/>
          <w:lang w:eastAsia="zh-CN" w:bidi="hi-IN"/>
        </w:rPr>
      </w:pPr>
      <w:r>
        <w:rPr>
          <w:rFonts w:eastAsia="Lucida Sans Unicode" w:cs="Mangal"/>
          <w:kern w:val="3"/>
          <w:lang w:eastAsia="zh-CN" w:bidi="hi-IN"/>
        </w:rPr>
        <w:t>[Insert Table I</w:t>
      </w:r>
      <w:r w:rsidR="008A5201">
        <w:rPr>
          <w:rFonts w:eastAsia="Lucida Sans Unicode" w:cs="Mangal"/>
          <w:kern w:val="3"/>
          <w:lang w:eastAsia="zh-CN" w:bidi="hi-IN"/>
        </w:rPr>
        <w:t xml:space="preserve"> ab</w:t>
      </w:r>
      <w:r w:rsidR="000C561C">
        <w:rPr>
          <w:rFonts w:eastAsia="Lucida Sans Unicode" w:cs="Mangal"/>
          <w:kern w:val="3"/>
          <w:lang w:eastAsia="zh-CN" w:bidi="hi-IN"/>
        </w:rPr>
        <w:t>out here]</w:t>
      </w:r>
    </w:p>
    <w:p w:rsidR="008A5201" w:rsidRDefault="008A5201" w:rsidP="008600D8">
      <w:pPr>
        <w:spacing w:after="0" w:line="480" w:lineRule="auto"/>
        <w:rPr>
          <w:rFonts w:eastAsia="Lucida Sans Unicode" w:cs="Mangal"/>
          <w:kern w:val="3"/>
          <w:lang w:eastAsia="zh-CN" w:bidi="hi-IN"/>
        </w:rPr>
      </w:pPr>
    </w:p>
    <w:p w:rsidR="008A5201" w:rsidRPr="0003235E" w:rsidRDefault="006A78B0" w:rsidP="008A5201">
      <w:pPr>
        <w:pStyle w:val="Heading3"/>
        <w:rPr>
          <w:rFonts w:asciiTheme="minorHAnsi" w:hAnsiTheme="minorHAnsi"/>
          <w:color w:val="auto"/>
        </w:rPr>
      </w:pPr>
      <w:r>
        <w:rPr>
          <w:color w:val="auto"/>
        </w:rPr>
        <w:t>Results</w:t>
      </w:r>
    </w:p>
    <w:p w:rsidR="008A5201" w:rsidRDefault="008A5201" w:rsidP="008A5201">
      <w:pPr>
        <w:rPr>
          <w:lang w:val="en-US"/>
        </w:rPr>
      </w:pPr>
    </w:p>
    <w:p w:rsidR="008A5201" w:rsidRPr="00A064E3" w:rsidRDefault="008A5201" w:rsidP="00A064E3">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In order to analyse the firm returns prior to the dates when takeovers become imminent an event study is employed following the process set out in </w:t>
      </w:r>
      <w:proofErr w:type="spellStart"/>
      <w:r>
        <w:rPr>
          <w:rFonts w:asciiTheme="minorHAnsi" w:hAnsiTheme="minorHAnsi"/>
          <w:sz w:val="22"/>
          <w:szCs w:val="22"/>
        </w:rPr>
        <w:t>McKinlay</w:t>
      </w:r>
      <w:proofErr w:type="spellEnd"/>
      <w:r>
        <w:rPr>
          <w:rFonts w:asciiTheme="minorHAnsi" w:hAnsiTheme="minorHAnsi"/>
          <w:sz w:val="22"/>
          <w:szCs w:val="22"/>
        </w:rPr>
        <w:t xml:space="preserve"> (1997). The method allows for </w:t>
      </w:r>
      <w:r w:rsidR="00317FBD">
        <w:rPr>
          <w:rFonts w:asciiTheme="minorHAnsi" w:hAnsiTheme="minorHAnsi"/>
          <w:sz w:val="22"/>
          <w:szCs w:val="22"/>
        </w:rPr>
        <w:t xml:space="preserve">the </w:t>
      </w:r>
      <w:r>
        <w:rPr>
          <w:rFonts w:asciiTheme="minorHAnsi" w:hAnsiTheme="minorHAnsi"/>
          <w:sz w:val="22"/>
          <w:szCs w:val="22"/>
        </w:rPr>
        <w:t xml:space="preserve">detection of abnormal returns surrounding the day the news is made public either through formal announcement or when a rumour surfaces in the press. Abnormal returns are calculated according to the benchmarks recommended by Brown and Warner (1985). These are the market and the constant mean return model. Both models use a separate estimation period which does not overlap with the event window period. This begins at day </w:t>
      </w:r>
      <m:oMath>
        <m:r>
          <w:rPr>
            <w:rFonts w:ascii="Cambria Math" w:hAnsi="Cambria Math"/>
            <w:sz w:val="22"/>
            <w:szCs w:val="22"/>
          </w:rPr>
          <m:t>t-160</m:t>
        </m:r>
      </m:oMath>
      <w:r w:rsidR="00A064E3">
        <w:rPr>
          <w:rFonts w:asciiTheme="minorHAnsi" w:hAnsiTheme="minorHAnsi"/>
          <w:sz w:val="22"/>
          <w:szCs w:val="22"/>
        </w:rPr>
        <w:t xml:space="preserve"> </w:t>
      </w:r>
      <w:r>
        <w:rPr>
          <w:rFonts w:asciiTheme="minorHAnsi" w:hAnsiTheme="minorHAnsi"/>
          <w:sz w:val="22"/>
          <w:szCs w:val="22"/>
        </w:rPr>
        <w:t xml:space="preserve">and finishes at </w:t>
      </w:r>
      <w:r w:rsidR="00A064E3">
        <w:rPr>
          <w:rFonts w:asciiTheme="minorHAnsi" w:hAnsiTheme="minorHAnsi"/>
          <w:sz w:val="22"/>
          <w:szCs w:val="22"/>
        </w:rPr>
        <w:t>day</w:t>
      </w:r>
      <m:oMath>
        <m:r>
          <w:rPr>
            <w:rFonts w:ascii="Cambria Math" w:hAnsi="Cambria Math"/>
            <w:sz w:val="22"/>
            <w:szCs w:val="22"/>
          </w:rPr>
          <m:t xml:space="preserve"> t-61</m:t>
        </m:r>
      </m:oMath>
      <w:r>
        <w:rPr>
          <w:rFonts w:asciiTheme="minorHAnsi" w:hAnsiTheme="minorHAnsi"/>
          <w:sz w:val="22"/>
          <w:szCs w:val="22"/>
        </w:rPr>
        <w:t xml:space="preserve">. The event windows span from day </w:t>
      </w:r>
      <m:oMath>
        <m:r>
          <w:rPr>
            <w:rFonts w:ascii="Cambria Math" w:hAnsi="Cambria Math"/>
            <w:sz w:val="22"/>
            <w:szCs w:val="22"/>
          </w:rPr>
          <m:t>t-60</m:t>
        </m:r>
      </m:oMath>
      <w:r w:rsidR="00A064E3">
        <w:rPr>
          <w:rFonts w:asciiTheme="minorHAnsi" w:hAnsiTheme="minorHAnsi"/>
          <w:sz w:val="22"/>
          <w:szCs w:val="22"/>
        </w:rPr>
        <w:t xml:space="preserve"> up to day</w:t>
      </w:r>
      <m:oMath>
        <m:r>
          <w:rPr>
            <w:rFonts w:ascii="Cambria Math" w:hAnsi="Cambria Math"/>
            <w:sz w:val="22"/>
            <w:szCs w:val="22"/>
          </w:rPr>
          <m:t xml:space="preserve"> t+10</m:t>
        </m:r>
      </m:oMath>
      <w:r w:rsidR="00A064E3">
        <w:rPr>
          <w:rFonts w:asciiTheme="minorHAnsi" w:hAnsiTheme="minorHAnsi"/>
          <w:sz w:val="22"/>
          <w:szCs w:val="22"/>
        </w:rPr>
        <w:t>, where the event occurs at day</w:t>
      </w:r>
      <m:oMath>
        <m:r>
          <w:rPr>
            <w:rFonts w:ascii="Cambria Math" w:hAnsi="Cambria Math"/>
            <w:sz w:val="22"/>
            <w:szCs w:val="22"/>
          </w:rPr>
          <m:t xml:space="preserve"> t = 0</m:t>
        </m:r>
      </m:oMath>
      <w:r>
        <w:rPr>
          <w:rFonts w:asciiTheme="minorHAnsi" w:hAnsiTheme="minorHAnsi"/>
          <w:sz w:val="22"/>
          <w:szCs w:val="22"/>
        </w:rPr>
        <w:t>.</w:t>
      </w:r>
    </w:p>
    <w:p w:rsidR="008A5201" w:rsidRDefault="008A5201" w:rsidP="008A5201">
      <w:pPr>
        <w:pStyle w:val="Standard"/>
        <w:spacing w:line="480" w:lineRule="auto"/>
        <w:ind w:left="851"/>
        <w:jc w:val="both"/>
        <w:rPr>
          <w:rFonts w:asciiTheme="minorHAnsi" w:hAnsiTheme="minorHAnsi"/>
          <w:sz w:val="22"/>
          <w:szCs w:val="22"/>
        </w:rPr>
      </w:pPr>
      <w:r>
        <w:rPr>
          <w:rFonts w:asciiTheme="minorHAnsi" w:hAnsiTheme="minorHAnsi"/>
          <w:sz w:val="22"/>
          <w:szCs w:val="22"/>
        </w:rPr>
        <w:t>The market model benchmark assumes that security returns are estimable using a single factor market model as follows;</w:t>
      </w:r>
    </w:p>
    <w:p w:rsidR="008A5201" w:rsidRDefault="00161060" w:rsidP="008A5201">
      <w:pPr>
        <w:pStyle w:val="Standard"/>
        <w:spacing w:line="480" w:lineRule="auto"/>
        <w:ind w:left="851"/>
        <w:jc w:val="both"/>
        <w:rPr>
          <w:rFonts w:asciiTheme="minorHAnsi" w:hAnsiTheme="minorHAns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i</m:t>
              </m:r>
            </m:sub>
          </m:sSub>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mt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e</m:t>
              </m:r>
            </m:e>
            <m:sub>
              <m:r>
                <w:rPr>
                  <w:rFonts w:ascii="Cambria Math" w:hAnsi="Cambria Math"/>
                  <w:sz w:val="22"/>
                  <w:szCs w:val="22"/>
                </w:rPr>
                <m:t>it</m:t>
              </m:r>
            </m:sub>
          </m:sSub>
        </m:oMath>
      </m:oMathPara>
    </w:p>
    <w:p w:rsidR="008A5201" w:rsidRDefault="008A5201" w:rsidP="008A5201">
      <w:pPr>
        <w:pStyle w:val="Standard"/>
        <w:spacing w:line="480" w:lineRule="auto"/>
        <w:ind w:left="851"/>
        <w:jc w:val="center"/>
        <w:rPr>
          <w:rFonts w:asciiTheme="minorHAnsi" w:hAnsiTheme="minorHAnsi"/>
          <w:sz w:val="22"/>
          <w:szCs w:val="22"/>
        </w:rPr>
      </w:pPr>
    </w:p>
    <w:p w:rsidR="008A5201" w:rsidRDefault="008A5201" w:rsidP="008A5201">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Where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it</m:t>
            </m:r>
          </m:sub>
        </m:sSub>
        <m:r>
          <w:rPr>
            <w:rFonts w:ascii="Cambria Math" w:hAnsi="Cambria Math"/>
            <w:sz w:val="22"/>
            <w:szCs w:val="22"/>
          </w:rPr>
          <m:t xml:space="preserve"> </m:t>
        </m:r>
      </m:oMath>
      <w:r>
        <w:rPr>
          <w:rFonts w:asciiTheme="minorHAnsi" w:hAnsiTheme="minorHAnsi"/>
          <w:sz w:val="22"/>
          <w:szCs w:val="22"/>
        </w:rPr>
        <w:t xml:space="preserve">is the rate of return of the common stock of target </w:t>
      </w:r>
      <m:oMath>
        <m:r>
          <w:rPr>
            <w:rFonts w:ascii="Cambria Math" w:hAnsi="Cambria Math"/>
            <w:sz w:val="22"/>
            <w:szCs w:val="22"/>
          </w:rPr>
          <m:t>i</m:t>
        </m:r>
      </m:oMath>
      <w:r>
        <w:rPr>
          <w:rFonts w:asciiTheme="minorHAnsi" w:hAnsiTheme="minorHAnsi"/>
          <w:i/>
          <w:sz w:val="22"/>
          <w:szCs w:val="22"/>
        </w:rPr>
        <w:t xml:space="preserve"> </w:t>
      </w:r>
      <w:r>
        <w:rPr>
          <w:rFonts w:asciiTheme="minorHAnsi" w:hAnsiTheme="minorHAnsi"/>
          <w:sz w:val="22"/>
          <w:szCs w:val="22"/>
        </w:rPr>
        <w:t xml:space="preserve">on day </w:t>
      </w:r>
      <w:r>
        <w:rPr>
          <w:rFonts w:asciiTheme="minorHAnsi" w:hAnsiTheme="minorHAnsi"/>
          <w:i/>
          <w:sz w:val="22"/>
          <w:szCs w:val="22"/>
        </w:rPr>
        <w:t>t</w:t>
      </w:r>
      <w:r>
        <w:rPr>
          <w:rFonts w:asciiTheme="minorHAnsi" w:hAnsiTheme="minorHAnsi"/>
          <w:sz w:val="22"/>
          <w:szCs w:val="22"/>
        </w:rPr>
        <w:t xml:space="preserve"> and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mt</m:t>
            </m:r>
          </m:sub>
        </m:sSub>
      </m:oMath>
      <w:r>
        <w:rPr>
          <w:rFonts w:asciiTheme="minorHAnsi" w:hAnsiTheme="minorHAnsi"/>
          <w:sz w:val="22"/>
          <w:szCs w:val="22"/>
        </w:rPr>
        <w:t xml:space="preserve"> equates to the return on the FTSE All Share Market index w</w:t>
      </w:r>
      <w:r w:rsidR="00317FBD">
        <w:rPr>
          <w:rFonts w:asciiTheme="minorHAnsi" w:hAnsiTheme="minorHAnsi"/>
          <w:sz w:val="22"/>
          <w:szCs w:val="22"/>
        </w:rPr>
        <w:t>hich is sourced from DataStream,</w:t>
      </w:r>
      <w:r>
        <w:rPr>
          <w:rFonts w:asciiTheme="minorHAnsi" w:hAnsiTheme="minorHAnsi"/>
          <w:sz w:val="22"/>
          <w:szCs w:val="22"/>
        </w:rPr>
        <w:t xml:space="preserve"> </w:t>
      </w:r>
      <m:oMath>
        <m:sSub>
          <m:sSubPr>
            <m:ctrlPr>
              <w:rPr>
                <w:rFonts w:ascii="Cambria Math" w:hAnsi="Cambria Math"/>
                <w:i/>
                <w:sz w:val="22"/>
                <w:szCs w:val="22"/>
              </w:rPr>
            </m:ctrlPr>
          </m:sSubPr>
          <m:e>
            <m:r>
              <w:rPr>
                <w:rFonts w:ascii="Cambria Math" w:hAnsi="Cambria Math"/>
                <w:sz w:val="22"/>
                <w:szCs w:val="22"/>
              </w:rPr>
              <m:t>e</m:t>
            </m:r>
          </m:e>
          <m:sub>
            <m:r>
              <w:rPr>
                <w:rFonts w:ascii="Cambria Math" w:hAnsi="Cambria Math"/>
                <w:sz w:val="22"/>
                <w:szCs w:val="22"/>
              </w:rPr>
              <m:t>it</m:t>
            </m:r>
          </m:sub>
        </m:sSub>
        <m:r>
          <w:rPr>
            <w:rFonts w:ascii="Cambria Math" w:hAnsi="Cambria Math"/>
            <w:sz w:val="22"/>
            <w:szCs w:val="22"/>
          </w:rPr>
          <m:t xml:space="preserve"> </m:t>
        </m:r>
      </m:oMath>
      <w:r>
        <w:rPr>
          <w:rFonts w:asciiTheme="minorHAnsi" w:hAnsiTheme="minorHAnsi"/>
          <w:sz w:val="22"/>
          <w:szCs w:val="22"/>
        </w:rPr>
        <w:t xml:space="preserve">is the random error term which is assumed to have an expected value of zero and is uncorrelated both with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mt</m:t>
            </m:r>
          </m:sub>
        </m:sSub>
      </m:oMath>
      <w:r>
        <w:rPr>
          <w:rFonts w:asciiTheme="minorHAnsi" w:hAnsiTheme="minorHAnsi"/>
          <w:sz w:val="22"/>
          <w:szCs w:val="22"/>
        </w:rPr>
        <w:t xml:space="preserve"> and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it</m:t>
            </m:r>
          </m:sub>
        </m:sSub>
        <m:r>
          <w:rPr>
            <w:rFonts w:ascii="Cambria Math" w:hAnsi="Cambria Math"/>
            <w:sz w:val="22"/>
            <w:szCs w:val="22"/>
          </w:rPr>
          <m:t xml:space="preserve"> </m:t>
        </m:r>
      </m:oMath>
      <w:r>
        <w:rPr>
          <w:rFonts w:asciiTheme="minorHAnsi" w:hAnsiTheme="minorHAnsi"/>
          <w:sz w:val="22"/>
          <w:szCs w:val="22"/>
        </w:rPr>
        <w:t xml:space="preserve"> over the estimation period. The error term is also assumed not to be auto-correlated and to be </w:t>
      </w:r>
      <w:r w:rsidR="00317FBD">
        <w:rPr>
          <w:rFonts w:asciiTheme="minorHAnsi" w:hAnsiTheme="minorHAnsi"/>
          <w:sz w:val="22"/>
          <w:szCs w:val="22"/>
        </w:rPr>
        <w:t>homoscedastic</w:t>
      </w:r>
      <w:r>
        <w:rPr>
          <w:rFonts w:asciiTheme="minorHAnsi" w:hAnsiTheme="minorHAnsi"/>
          <w:sz w:val="22"/>
          <w:szCs w:val="22"/>
        </w:rPr>
        <w:t xml:space="preserve">.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i</m:t>
            </m:r>
          </m:sub>
        </m:sSub>
      </m:oMath>
      <w:r>
        <w:rPr>
          <w:rFonts w:asciiTheme="minorHAnsi" w:hAnsiTheme="minorHAnsi"/>
          <w:noProof/>
          <w:sz w:val="22"/>
          <w:szCs w:val="22"/>
          <w:lang w:eastAsia="en-GB" w:bidi="ar-SA"/>
        </w:rPr>
        <w:t xml:space="preserve"> </w:t>
      </w:r>
      <w:r>
        <w:rPr>
          <w:rFonts w:asciiTheme="minorHAnsi" w:hAnsiTheme="minorHAnsi"/>
          <w:sz w:val="22"/>
          <w:szCs w:val="22"/>
        </w:rPr>
        <w:t xml:space="preserve">represents the slope parameter taken from the OLS regression between returns of stock </w:t>
      </w:r>
      <m:oMath>
        <m:r>
          <w:rPr>
            <w:rFonts w:ascii="Cambria Math" w:hAnsi="Cambria Math"/>
            <w:sz w:val="22"/>
            <w:szCs w:val="22"/>
          </w:rPr>
          <m:t>i</m:t>
        </m:r>
      </m:oMath>
      <w:r>
        <w:rPr>
          <w:rFonts w:asciiTheme="minorHAnsi" w:hAnsiTheme="minorHAnsi"/>
          <w:sz w:val="22"/>
          <w:szCs w:val="22"/>
        </w:rPr>
        <w:t xml:space="preserve"> and with returns on the market over the </w:t>
      </w:r>
      <w:r>
        <w:rPr>
          <w:rFonts w:asciiTheme="minorHAnsi" w:hAnsiTheme="minorHAnsi"/>
          <w:sz w:val="22"/>
          <w:szCs w:val="22"/>
        </w:rPr>
        <w:lastRenderedPageBreak/>
        <w:t>estimation period. Beta is thus a measure of the sensitivity of the returns on the stock to the market index returns.</w:t>
      </w:r>
    </w:p>
    <w:p w:rsidR="008A5201" w:rsidRDefault="008A5201" w:rsidP="008A5201">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Abnormal returns, according to this model, are assumed to be realised as follows;</w:t>
      </w:r>
    </w:p>
    <w:p w:rsidR="008A5201" w:rsidRDefault="00161060" w:rsidP="008A5201">
      <w:pPr>
        <w:pStyle w:val="Standard"/>
        <w:spacing w:line="480" w:lineRule="auto"/>
        <w:ind w:left="851" w:firstLine="589"/>
        <w:jc w:val="both"/>
        <w:rPr>
          <w:rFonts w:asciiTheme="minorHAnsi" w:hAnsiTheme="minorHAnsi"/>
          <w:sz w:val="22"/>
          <w:szCs w:val="22"/>
        </w:rPr>
      </w:pPr>
      <m:oMathPara>
        <m:oMath>
          <m:sSub>
            <m:sSubPr>
              <m:ctrlPr>
                <w:rPr>
                  <w:rFonts w:ascii="Cambria Math" w:hAnsi="Cambria Math"/>
                  <w:i/>
                  <w:sz w:val="22"/>
                  <w:szCs w:val="22"/>
                </w:rPr>
              </m:ctrlPr>
            </m:sSubPr>
            <m:e>
              <m:r>
                <w:rPr>
                  <w:rFonts w:ascii="Cambria Math" w:hAnsi="Cambria Math"/>
                  <w:sz w:val="22"/>
                  <w:szCs w:val="22"/>
                </w:rPr>
                <m:t>AR</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i</m:t>
              </m:r>
            </m:sub>
          </m:sSub>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mt</m:t>
              </m:r>
            </m:sub>
          </m:sSub>
          <m:r>
            <w:rPr>
              <w:rFonts w:ascii="Cambria Math" w:hAnsi="Cambria Math"/>
              <w:sz w:val="22"/>
              <w:szCs w:val="22"/>
            </w:rPr>
            <m:t>)</m:t>
          </m:r>
        </m:oMath>
      </m:oMathPara>
    </w:p>
    <w:p w:rsidR="008A5201" w:rsidRDefault="008A5201" w:rsidP="008A5201">
      <w:pPr>
        <w:pStyle w:val="Standard"/>
        <w:spacing w:line="480" w:lineRule="auto"/>
        <w:ind w:left="851"/>
        <w:jc w:val="center"/>
        <w:rPr>
          <w:rFonts w:asciiTheme="minorHAnsi" w:hAnsiTheme="minorHAnsi"/>
          <w:sz w:val="22"/>
          <w:szCs w:val="22"/>
        </w:rPr>
      </w:pPr>
    </w:p>
    <w:p w:rsidR="008A5201" w:rsidRDefault="008A5201" w:rsidP="008A5201">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The coefficients </w:t>
      </w:r>
      <m:oMath>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i</m:t>
            </m:r>
          </m:sub>
        </m:sSub>
      </m:oMath>
      <w:r>
        <w:rPr>
          <w:rFonts w:asciiTheme="minorHAnsi" w:hAnsiTheme="minorHAnsi"/>
          <w:noProof/>
          <w:sz w:val="22"/>
          <w:szCs w:val="22"/>
          <w:lang w:eastAsia="en-GB" w:bidi="ar-SA"/>
        </w:rPr>
        <w:t xml:space="preserve"> </w:t>
      </w:r>
      <w:r>
        <w:rPr>
          <w:rFonts w:asciiTheme="minorHAnsi" w:hAnsiTheme="minorHAnsi"/>
          <w:sz w:val="22"/>
          <w:szCs w:val="22"/>
        </w:rPr>
        <w:t xml:space="preserve">and </w:t>
      </w:r>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i</m:t>
            </m:r>
          </m:sub>
        </m:sSub>
      </m:oMath>
      <w:r>
        <w:rPr>
          <w:rFonts w:asciiTheme="minorHAnsi" w:hAnsiTheme="minorHAnsi"/>
          <w:noProof/>
          <w:sz w:val="22"/>
          <w:szCs w:val="22"/>
          <w:lang w:eastAsia="en-GB" w:bidi="ar-SA"/>
        </w:rPr>
        <w:t xml:space="preserve"> </w:t>
      </w:r>
      <w:r>
        <w:rPr>
          <w:rFonts w:asciiTheme="minorHAnsi" w:hAnsiTheme="minorHAnsi"/>
          <w:sz w:val="22"/>
          <w:szCs w:val="22"/>
        </w:rPr>
        <w:t>are estimates and are the products of an OLS regression between the returns of stock</w:t>
      </w:r>
      <m:oMath>
        <m:r>
          <w:rPr>
            <w:rFonts w:ascii="Cambria Math" w:hAnsi="Cambria Math"/>
            <w:sz w:val="22"/>
            <w:szCs w:val="22"/>
          </w:rPr>
          <m:t xml:space="preserve"> i</m:t>
        </m:r>
      </m:oMath>
      <w:r>
        <w:rPr>
          <w:rFonts w:asciiTheme="minorHAnsi" w:hAnsiTheme="minorHAnsi"/>
          <w:i/>
          <w:sz w:val="22"/>
          <w:szCs w:val="22"/>
        </w:rPr>
        <w:t xml:space="preserve"> </w:t>
      </w:r>
      <w:r>
        <w:rPr>
          <w:rFonts w:asciiTheme="minorHAnsi" w:hAnsiTheme="minorHAnsi"/>
          <w:sz w:val="22"/>
          <w:szCs w:val="22"/>
        </w:rPr>
        <w:t>and the market over the designated estimation period. Abnormal returns are then averaged across the entire sample of target company securities to obtain a sample mean.</w:t>
      </w:r>
    </w:p>
    <w:p w:rsidR="008A5201" w:rsidRDefault="00161060" w:rsidP="008A5201">
      <w:pPr>
        <w:pStyle w:val="Standard"/>
        <w:spacing w:line="480" w:lineRule="auto"/>
        <w:ind w:left="851"/>
        <w:jc w:val="both"/>
        <w:rPr>
          <w:rFonts w:asciiTheme="minorHAnsi" w:hAnsiTheme="minorHAnsi"/>
          <w:sz w:val="22"/>
          <w:szCs w:val="22"/>
        </w:rPr>
      </w:pPr>
      <m:oMathPara>
        <m:oMath>
          <m:sSub>
            <m:sSubPr>
              <m:ctrlPr>
                <w:rPr>
                  <w:rFonts w:ascii="Cambria Math" w:hAnsi="Cambria Math"/>
                  <w:i/>
                  <w:sz w:val="22"/>
                  <w:szCs w:val="22"/>
                </w:rPr>
              </m:ctrlPr>
            </m:sSubPr>
            <m:e>
              <m:r>
                <w:rPr>
                  <w:rFonts w:ascii="Cambria Math" w:hAnsi="Cambria Math"/>
                  <w:sz w:val="22"/>
                  <w:szCs w:val="22"/>
                </w:rPr>
                <m:t>AAR</m:t>
              </m:r>
            </m:e>
            <m:sub>
              <m:r>
                <w:rPr>
                  <w:rFonts w:ascii="Cambria Math" w:hAnsi="Cambria Math"/>
                  <w:sz w:val="22"/>
                  <w:szCs w:val="22"/>
                </w:rPr>
                <m:t>t</m:t>
              </m:r>
            </m:sub>
          </m:sSub>
          <m:r>
            <w:rPr>
              <w:rFonts w:ascii="Cambria Math" w:hAnsi="Cambria Math"/>
              <w:sz w:val="22"/>
              <w:szCs w:val="22"/>
            </w:rPr>
            <m:t>=</m:t>
          </m:r>
          <m:f>
            <m:fPr>
              <m:ctrlPr>
                <w:rPr>
                  <w:rFonts w:ascii="Cambria Math" w:hAnsi="Cambria Math"/>
                  <w:i/>
                  <w:sz w:val="22"/>
                  <w:szCs w:val="22"/>
                </w:rPr>
              </m:ctrlPr>
            </m:fPr>
            <m:num>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AR</m:t>
                      </m:r>
                    </m:e>
                    <m:sub>
                      <m:r>
                        <w:rPr>
                          <w:rFonts w:ascii="Cambria Math" w:hAnsi="Cambria Math"/>
                          <w:sz w:val="22"/>
                          <w:szCs w:val="22"/>
                        </w:rPr>
                        <m:t>it</m:t>
                      </m:r>
                    </m:sub>
                  </m:sSub>
                </m:e>
              </m:nary>
            </m:num>
            <m:den>
              <m:r>
                <w:rPr>
                  <w:rFonts w:ascii="Cambria Math" w:hAnsi="Cambria Math"/>
                  <w:sz w:val="22"/>
                  <w:szCs w:val="22"/>
                </w:rPr>
                <m:t>N</m:t>
              </m:r>
            </m:den>
          </m:f>
        </m:oMath>
      </m:oMathPara>
    </w:p>
    <w:p w:rsidR="008A5201" w:rsidRDefault="008A5201" w:rsidP="008A5201">
      <w:pPr>
        <w:pStyle w:val="Standard"/>
        <w:spacing w:line="480" w:lineRule="auto"/>
        <w:ind w:left="851"/>
        <w:jc w:val="center"/>
        <w:rPr>
          <w:rFonts w:asciiTheme="minorHAnsi" w:hAnsiTheme="minorHAnsi"/>
          <w:sz w:val="22"/>
          <w:szCs w:val="22"/>
        </w:rPr>
      </w:pPr>
    </w:p>
    <w:p w:rsidR="008A5201" w:rsidRDefault="008A5201" w:rsidP="008A5201">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Where </w:t>
      </w:r>
      <m:oMath>
        <m:r>
          <w:rPr>
            <w:rFonts w:ascii="Cambria Math" w:hAnsi="Cambria Math"/>
            <w:sz w:val="22"/>
            <w:szCs w:val="22"/>
          </w:rPr>
          <m:t>N</m:t>
        </m:r>
      </m:oMath>
      <w:r>
        <w:rPr>
          <w:rFonts w:asciiTheme="minorHAnsi" w:hAnsiTheme="minorHAnsi"/>
          <w:sz w:val="22"/>
          <w:szCs w:val="22"/>
        </w:rPr>
        <w:t xml:space="preserve"> refers to the number of firms in the sample and </w:t>
      </w:r>
      <m:oMath>
        <m:r>
          <w:rPr>
            <w:rFonts w:ascii="Cambria Math" w:hAnsi="Cambria Math"/>
            <w:sz w:val="22"/>
            <w:szCs w:val="22"/>
          </w:rPr>
          <m:t>t</m:t>
        </m:r>
      </m:oMath>
      <w:r>
        <w:rPr>
          <w:rFonts w:asciiTheme="minorHAnsi" w:hAnsiTheme="minorHAnsi"/>
          <w:sz w:val="22"/>
          <w:szCs w:val="22"/>
        </w:rPr>
        <w:t xml:space="preserve"> represents the trading day within the event window period. The Cumulative Average Abnormal Return (CAAR) is then computed for the desired number of days within the event window period as follows;</w:t>
      </w:r>
    </w:p>
    <w:p w:rsidR="008A5201" w:rsidRDefault="008A5201" w:rsidP="008A5201">
      <w:pPr>
        <w:pStyle w:val="Standard"/>
        <w:spacing w:line="480" w:lineRule="auto"/>
        <w:ind w:left="851"/>
        <w:jc w:val="both"/>
        <w:rPr>
          <w:rFonts w:asciiTheme="minorHAnsi" w:hAnsiTheme="minorHAnsi"/>
          <w:sz w:val="22"/>
          <w:szCs w:val="22"/>
        </w:rPr>
      </w:pPr>
    </w:p>
    <w:p w:rsidR="008A5201" w:rsidRDefault="00161060" w:rsidP="008A5201">
      <w:pPr>
        <w:pStyle w:val="Standard"/>
        <w:spacing w:line="480" w:lineRule="auto"/>
        <w:ind w:left="851"/>
        <w:jc w:val="center"/>
        <w:rPr>
          <w:rFonts w:asciiTheme="minorHAnsi" w:hAnsiTheme="minorHAnsi"/>
          <w:noProof/>
          <w:sz w:val="22"/>
          <w:szCs w:val="22"/>
          <w:lang w:eastAsia="en-GB" w:bidi="ar-SA"/>
        </w:rPr>
      </w:pPr>
      <m:oMathPara>
        <m:oMath>
          <m:sSub>
            <m:sSubPr>
              <m:ctrlPr>
                <w:rPr>
                  <w:rFonts w:ascii="Cambria Math" w:hAnsi="Cambria Math"/>
                  <w:i/>
                  <w:noProof/>
                  <w:sz w:val="22"/>
                  <w:szCs w:val="22"/>
                </w:rPr>
              </m:ctrlPr>
            </m:sSubPr>
            <m:e>
              <m:r>
                <w:rPr>
                  <w:rFonts w:ascii="Cambria Math" w:hAnsi="Cambria Math"/>
                  <w:noProof/>
                  <w:sz w:val="22"/>
                  <w:szCs w:val="22"/>
                  <w:lang w:eastAsia="en-GB" w:bidi="ar-SA"/>
                </w:rPr>
                <m:t>CAAR</m:t>
              </m:r>
            </m:e>
            <m:sub>
              <m:sSub>
                <m:sSubPr>
                  <m:ctrlPr>
                    <w:rPr>
                      <w:rFonts w:ascii="Cambria Math" w:hAnsi="Cambria Math"/>
                      <w:i/>
                      <w:noProof/>
                      <w:sz w:val="22"/>
                      <w:szCs w:val="22"/>
                    </w:rPr>
                  </m:ctrlPr>
                </m:sSubPr>
                <m:e>
                  <m:sSub>
                    <m:sSubPr>
                      <m:ctrlPr>
                        <w:rPr>
                          <w:rFonts w:ascii="Cambria Math" w:hAnsi="Cambria Math"/>
                          <w:i/>
                          <w:noProof/>
                          <w:sz w:val="22"/>
                          <w:szCs w:val="22"/>
                        </w:rPr>
                      </m:ctrlPr>
                    </m:sSubPr>
                    <m:e>
                      <m:r>
                        <w:rPr>
                          <w:rFonts w:ascii="Cambria Math" w:hAnsi="Cambria Math"/>
                          <w:noProof/>
                          <w:sz w:val="22"/>
                          <w:szCs w:val="22"/>
                          <w:lang w:eastAsia="en-GB" w:bidi="ar-SA"/>
                        </w:rPr>
                        <m:t>T</m:t>
                      </m:r>
                    </m:e>
                    <m:sub>
                      <m:r>
                        <w:rPr>
                          <w:rFonts w:ascii="Cambria Math" w:hAnsi="Cambria Math"/>
                          <w:noProof/>
                          <w:sz w:val="22"/>
                          <w:szCs w:val="22"/>
                          <w:lang w:eastAsia="en-GB" w:bidi="ar-SA"/>
                        </w:rPr>
                        <m:t>2</m:t>
                      </m:r>
                    </m:sub>
                  </m:sSub>
                  <m:r>
                    <w:rPr>
                      <w:rFonts w:ascii="Cambria Math" w:hAnsi="Cambria Math"/>
                      <w:noProof/>
                      <w:sz w:val="22"/>
                      <w:szCs w:val="22"/>
                      <w:lang w:eastAsia="en-GB" w:bidi="ar-SA"/>
                    </w:rPr>
                    <m:t>T</m:t>
                  </m:r>
                </m:e>
                <m:sub>
                  <m:r>
                    <w:rPr>
                      <w:rFonts w:ascii="Cambria Math" w:hAnsi="Cambria Math"/>
                      <w:noProof/>
                      <w:sz w:val="22"/>
                      <w:szCs w:val="22"/>
                      <w:lang w:eastAsia="en-GB" w:bidi="ar-SA"/>
                    </w:rPr>
                    <m:t>1</m:t>
                  </m:r>
                </m:sub>
              </m:sSub>
            </m:sub>
          </m:sSub>
          <m:r>
            <w:rPr>
              <w:rFonts w:ascii="Cambria Math" w:hAnsi="Cambria Math"/>
              <w:noProof/>
              <w:sz w:val="22"/>
              <w:szCs w:val="22"/>
              <w:lang w:eastAsia="en-GB" w:bidi="ar-SA"/>
            </w:rPr>
            <m:t>=</m:t>
          </m:r>
          <m:f>
            <m:fPr>
              <m:ctrlPr>
                <w:rPr>
                  <w:rFonts w:ascii="Cambria Math" w:hAnsi="Cambria Math"/>
                  <w:i/>
                  <w:noProof/>
                  <w:sz w:val="22"/>
                  <w:szCs w:val="22"/>
                </w:rPr>
              </m:ctrlPr>
            </m:fPr>
            <m:num>
              <m:r>
                <w:rPr>
                  <w:rFonts w:ascii="Cambria Math" w:hAnsi="Cambria Math"/>
                  <w:noProof/>
                  <w:sz w:val="22"/>
                  <w:szCs w:val="22"/>
                  <w:lang w:eastAsia="en-GB" w:bidi="ar-SA"/>
                </w:rPr>
                <m:t>1</m:t>
              </m:r>
            </m:num>
            <m:den>
              <m:r>
                <w:rPr>
                  <w:rFonts w:ascii="Cambria Math" w:hAnsi="Cambria Math"/>
                  <w:noProof/>
                  <w:sz w:val="22"/>
                  <w:szCs w:val="22"/>
                  <w:lang w:eastAsia="en-GB" w:bidi="ar-SA"/>
                </w:rPr>
                <m:t>N</m:t>
              </m:r>
            </m:den>
          </m:f>
          <m:nary>
            <m:naryPr>
              <m:chr m:val="∑"/>
              <m:limLoc m:val="undOvr"/>
              <m:ctrlPr>
                <w:rPr>
                  <w:rFonts w:ascii="Cambria Math" w:hAnsi="Cambria Math"/>
                  <w:i/>
                  <w:noProof/>
                  <w:sz w:val="22"/>
                  <w:szCs w:val="22"/>
                </w:rPr>
              </m:ctrlPr>
            </m:naryPr>
            <m:sub>
              <m:r>
                <w:rPr>
                  <w:rFonts w:ascii="Cambria Math" w:hAnsi="Cambria Math"/>
                  <w:noProof/>
                  <w:sz w:val="22"/>
                  <w:szCs w:val="22"/>
                  <w:lang w:eastAsia="en-GB" w:bidi="ar-SA"/>
                </w:rPr>
                <m:t>i=1</m:t>
              </m:r>
            </m:sub>
            <m:sup>
              <m:r>
                <w:rPr>
                  <w:rFonts w:ascii="Cambria Math" w:hAnsi="Cambria Math"/>
                  <w:noProof/>
                  <w:sz w:val="22"/>
                  <w:szCs w:val="22"/>
                  <w:lang w:eastAsia="en-GB" w:bidi="ar-SA"/>
                </w:rPr>
                <m:t>N</m:t>
              </m:r>
            </m:sup>
            <m:e>
              <m:nary>
                <m:naryPr>
                  <m:chr m:val="∑"/>
                  <m:limLoc m:val="undOvr"/>
                  <m:ctrlPr>
                    <w:rPr>
                      <w:rFonts w:ascii="Cambria Math" w:hAnsi="Cambria Math"/>
                      <w:i/>
                      <w:noProof/>
                      <w:sz w:val="22"/>
                      <w:szCs w:val="22"/>
                    </w:rPr>
                  </m:ctrlPr>
                </m:naryPr>
                <m:sub>
                  <m:r>
                    <w:rPr>
                      <w:rFonts w:ascii="Cambria Math" w:hAnsi="Cambria Math"/>
                      <w:noProof/>
                      <w:sz w:val="22"/>
                      <w:szCs w:val="22"/>
                      <w:lang w:eastAsia="en-GB" w:bidi="ar-SA"/>
                    </w:rPr>
                    <m:t>t=</m:t>
                  </m:r>
                  <m:sSub>
                    <m:sSubPr>
                      <m:ctrlPr>
                        <w:rPr>
                          <w:rFonts w:ascii="Cambria Math" w:hAnsi="Cambria Math"/>
                          <w:i/>
                          <w:noProof/>
                          <w:sz w:val="22"/>
                          <w:szCs w:val="22"/>
                        </w:rPr>
                      </m:ctrlPr>
                    </m:sSubPr>
                    <m:e>
                      <m:r>
                        <w:rPr>
                          <w:rFonts w:ascii="Cambria Math" w:hAnsi="Cambria Math"/>
                          <w:noProof/>
                          <w:sz w:val="22"/>
                          <w:szCs w:val="22"/>
                          <w:lang w:eastAsia="en-GB" w:bidi="ar-SA"/>
                        </w:rPr>
                        <m:t>T</m:t>
                      </m:r>
                    </m:e>
                    <m:sub>
                      <m:r>
                        <w:rPr>
                          <w:rFonts w:ascii="Cambria Math" w:hAnsi="Cambria Math"/>
                          <w:noProof/>
                          <w:sz w:val="22"/>
                          <w:szCs w:val="22"/>
                          <w:lang w:eastAsia="en-GB" w:bidi="ar-SA"/>
                        </w:rPr>
                        <m:t>1</m:t>
                      </m:r>
                    </m:sub>
                  </m:sSub>
                </m:sub>
                <m:sup>
                  <m:sSub>
                    <m:sSubPr>
                      <m:ctrlPr>
                        <w:rPr>
                          <w:rFonts w:ascii="Cambria Math" w:hAnsi="Cambria Math"/>
                          <w:i/>
                          <w:noProof/>
                          <w:sz w:val="22"/>
                          <w:szCs w:val="22"/>
                        </w:rPr>
                      </m:ctrlPr>
                    </m:sSubPr>
                    <m:e>
                      <m:r>
                        <w:rPr>
                          <w:rFonts w:ascii="Cambria Math" w:hAnsi="Cambria Math"/>
                          <w:noProof/>
                          <w:sz w:val="22"/>
                          <w:szCs w:val="22"/>
                          <w:lang w:eastAsia="en-GB" w:bidi="ar-SA"/>
                        </w:rPr>
                        <m:t>T</m:t>
                      </m:r>
                    </m:e>
                    <m:sub>
                      <m:r>
                        <w:rPr>
                          <w:rFonts w:ascii="Cambria Math" w:hAnsi="Cambria Math"/>
                          <w:noProof/>
                          <w:sz w:val="22"/>
                          <w:szCs w:val="22"/>
                          <w:lang w:eastAsia="en-GB" w:bidi="ar-SA"/>
                        </w:rPr>
                        <m:t>2</m:t>
                      </m:r>
                    </m:sub>
                  </m:sSub>
                </m:sup>
                <m:e>
                  <m:sSub>
                    <m:sSubPr>
                      <m:ctrlPr>
                        <w:rPr>
                          <w:rFonts w:ascii="Cambria Math" w:hAnsi="Cambria Math"/>
                          <w:i/>
                          <w:noProof/>
                          <w:sz w:val="22"/>
                          <w:szCs w:val="22"/>
                        </w:rPr>
                      </m:ctrlPr>
                    </m:sSubPr>
                    <m:e>
                      <m:r>
                        <w:rPr>
                          <w:rFonts w:ascii="Cambria Math" w:hAnsi="Cambria Math"/>
                          <w:noProof/>
                          <w:sz w:val="22"/>
                          <w:szCs w:val="22"/>
                          <w:lang w:eastAsia="en-GB" w:bidi="ar-SA"/>
                        </w:rPr>
                        <m:t>AR</m:t>
                      </m:r>
                    </m:e>
                    <m:sub>
                      <m:r>
                        <w:rPr>
                          <w:rFonts w:ascii="Cambria Math" w:hAnsi="Cambria Math"/>
                          <w:noProof/>
                          <w:sz w:val="22"/>
                          <w:szCs w:val="22"/>
                          <w:lang w:eastAsia="en-GB" w:bidi="ar-SA"/>
                        </w:rPr>
                        <m:t>it</m:t>
                      </m:r>
                    </m:sub>
                  </m:sSub>
                </m:e>
              </m:nary>
            </m:e>
          </m:nary>
          <m:r>
            <w:rPr>
              <w:rFonts w:ascii="Cambria Math" w:hAnsi="Cambria Math"/>
              <w:noProof/>
              <w:sz w:val="22"/>
              <w:szCs w:val="22"/>
              <w:lang w:eastAsia="en-GB" w:bidi="ar-SA"/>
            </w:rPr>
            <m:t>=</m:t>
          </m:r>
          <m:nary>
            <m:naryPr>
              <m:chr m:val="∑"/>
              <m:limLoc m:val="undOvr"/>
              <m:ctrlPr>
                <w:rPr>
                  <w:rFonts w:ascii="Cambria Math" w:hAnsi="Cambria Math"/>
                  <w:i/>
                  <w:noProof/>
                  <w:sz w:val="22"/>
                  <w:szCs w:val="22"/>
                </w:rPr>
              </m:ctrlPr>
            </m:naryPr>
            <m:sub>
              <m:r>
                <w:rPr>
                  <w:rFonts w:ascii="Cambria Math" w:hAnsi="Cambria Math"/>
                  <w:noProof/>
                  <w:sz w:val="22"/>
                  <w:szCs w:val="22"/>
                  <w:lang w:eastAsia="en-GB" w:bidi="ar-SA"/>
                </w:rPr>
                <m:t>t=</m:t>
              </m:r>
              <m:sSub>
                <m:sSubPr>
                  <m:ctrlPr>
                    <w:rPr>
                      <w:rFonts w:ascii="Cambria Math" w:hAnsi="Cambria Math"/>
                      <w:i/>
                      <w:noProof/>
                      <w:sz w:val="22"/>
                      <w:szCs w:val="22"/>
                    </w:rPr>
                  </m:ctrlPr>
                </m:sSubPr>
                <m:e>
                  <m:r>
                    <w:rPr>
                      <w:rFonts w:ascii="Cambria Math" w:hAnsi="Cambria Math"/>
                      <w:noProof/>
                      <w:sz w:val="22"/>
                      <w:szCs w:val="22"/>
                      <w:lang w:eastAsia="en-GB" w:bidi="ar-SA"/>
                    </w:rPr>
                    <m:t>T</m:t>
                  </m:r>
                </m:e>
                <m:sub>
                  <m:r>
                    <w:rPr>
                      <w:rFonts w:ascii="Cambria Math" w:hAnsi="Cambria Math"/>
                      <w:noProof/>
                      <w:sz w:val="22"/>
                      <w:szCs w:val="22"/>
                      <w:lang w:eastAsia="en-GB" w:bidi="ar-SA"/>
                    </w:rPr>
                    <m:t>1</m:t>
                  </m:r>
                </m:sub>
              </m:sSub>
            </m:sub>
            <m:sup>
              <m:sSub>
                <m:sSubPr>
                  <m:ctrlPr>
                    <w:rPr>
                      <w:rFonts w:ascii="Cambria Math" w:hAnsi="Cambria Math"/>
                      <w:i/>
                      <w:noProof/>
                      <w:sz w:val="22"/>
                      <w:szCs w:val="22"/>
                    </w:rPr>
                  </m:ctrlPr>
                </m:sSubPr>
                <m:e>
                  <m:r>
                    <w:rPr>
                      <w:rFonts w:ascii="Cambria Math" w:hAnsi="Cambria Math"/>
                      <w:noProof/>
                      <w:sz w:val="22"/>
                      <w:szCs w:val="22"/>
                      <w:lang w:eastAsia="en-GB" w:bidi="ar-SA"/>
                    </w:rPr>
                    <m:t>T</m:t>
                  </m:r>
                </m:e>
                <m:sub>
                  <m:r>
                    <w:rPr>
                      <w:rFonts w:ascii="Cambria Math" w:hAnsi="Cambria Math"/>
                      <w:noProof/>
                      <w:sz w:val="22"/>
                      <w:szCs w:val="22"/>
                      <w:lang w:eastAsia="en-GB" w:bidi="ar-SA"/>
                    </w:rPr>
                    <m:t>2</m:t>
                  </m:r>
                </m:sub>
              </m:sSub>
            </m:sup>
            <m:e>
              <m:sSub>
                <m:sSubPr>
                  <m:ctrlPr>
                    <w:rPr>
                      <w:rFonts w:ascii="Cambria Math" w:hAnsi="Cambria Math"/>
                      <w:i/>
                      <w:noProof/>
                      <w:sz w:val="22"/>
                      <w:szCs w:val="22"/>
                    </w:rPr>
                  </m:ctrlPr>
                </m:sSubPr>
                <m:e>
                  <m:r>
                    <w:rPr>
                      <w:rFonts w:ascii="Cambria Math" w:hAnsi="Cambria Math"/>
                      <w:noProof/>
                      <w:sz w:val="22"/>
                      <w:szCs w:val="22"/>
                      <w:lang w:eastAsia="en-GB" w:bidi="ar-SA"/>
                    </w:rPr>
                    <m:t>AAR</m:t>
                  </m:r>
                </m:e>
                <m:sub>
                  <m:r>
                    <w:rPr>
                      <w:rFonts w:ascii="Cambria Math" w:hAnsi="Cambria Math"/>
                      <w:noProof/>
                      <w:sz w:val="22"/>
                      <w:szCs w:val="22"/>
                      <w:lang w:eastAsia="en-GB" w:bidi="ar-SA"/>
                    </w:rPr>
                    <m:t>t</m:t>
                  </m:r>
                </m:sub>
              </m:sSub>
            </m:e>
          </m:nary>
        </m:oMath>
      </m:oMathPara>
    </w:p>
    <w:p w:rsidR="008A5201" w:rsidRDefault="008A5201" w:rsidP="008A5201">
      <w:pPr>
        <w:pStyle w:val="Standard"/>
        <w:spacing w:line="480" w:lineRule="auto"/>
        <w:ind w:left="851"/>
        <w:jc w:val="center"/>
        <w:rPr>
          <w:rFonts w:asciiTheme="minorHAnsi" w:hAnsiTheme="minorHAnsi"/>
          <w:sz w:val="22"/>
          <w:szCs w:val="22"/>
        </w:rPr>
      </w:pPr>
    </w:p>
    <w:p w:rsidR="008A5201" w:rsidRDefault="008A5201" w:rsidP="008A5201">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Where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1</m:t>
            </m:r>
          </m:sub>
        </m:sSub>
      </m:oMath>
      <w:r>
        <w:rPr>
          <w:rFonts w:asciiTheme="minorHAnsi" w:hAnsiTheme="minorHAnsi"/>
          <w:sz w:val="22"/>
          <w:szCs w:val="22"/>
        </w:rPr>
        <w:t xml:space="preserve">represents the first trading day and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1</m:t>
            </m:r>
          </m:sub>
        </m:sSub>
      </m:oMath>
      <w:r>
        <w:rPr>
          <w:rFonts w:asciiTheme="minorHAnsi" w:hAnsiTheme="minorHAnsi"/>
          <w:sz w:val="22"/>
          <w:szCs w:val="22"/>
        </w:rPr>
        <w:t xml:space="preserve"> is the final trading day within the abnormal return series. The constant mean adjusted model is computed through finding the arithmetic mean return for the firm stock </w:t>
      </w:r>
      <m:oMath>
        <m:r>
          <w:rPr>
            <w:rFonts w:ascii="Cambria Math" w:hAnsi="Cambria Math"/>
            <w:sz w:val="22"/>
            <w:szCs w:val="22"/>
          </w:rPr>
          <m:t>i</m:t>
        </m:r>
        <m:r>
          <w:rPr>
            <w:rFonts w:ascii="Cambria Math" w:hAnsiTheme="minorHAnsi"/>
            <w:sz w:val="22"/>
            <w:szCs w:val="22"/>
          </w:rPr>
          <m:t xml:space="preserve"> </m:t>
        </m:r>
      </m:oMath>
      <w:r>
        <w:rPr>
          <w:rFonts w:asciiTheme="minorHAnsi" w:hAnsiTheme="minorHAnsi"/>
          <w:sz w:val="22"/>
          <w:szCs w:val="22"/>
        </w:rPr>
        <w:t>over the estimation period similar to that previously described. The average return figure is then subtracted from the return on each trading day in the event window period.</w:t>
      </w:r>
    </w:p>
    <w:p w:rsidR="008A5201" w:rsidRDefault="00161060" w:rsidP="008A5201">
      <w:pPr>
        <w:pStyle w:val="Standard"/>
        <w:spacing w:line="480" w:lineRule="auto"/>
        <w:ind w:left="851"/>
        <w:jc w:val="both"/>
        <w:rPr>
          <w:rFonts w:asciiTheme="minorHAnsi" w:hAnsiTheme="minorHAnsi"/>
          <w:sz w:val="22"/>
          <w:szCs w:val="22"/>
        </w:rPr>
      </w:pPr>
      <m:oMathPara>
        <m:oMath>
          <m:sSub>
            <m:sSubPr>
              <m:ctrlPr>
                <w:rPr>
                  <w:rFonts w:ascii="Cambria Math" w:hAnsi="Cambria Math"/>
                  <w:i/>
                  <w:sz w:val="22"/>
                  <w:szCs w:val="22"/>
                </w:rPr>
              </m:ctrlPr>
            </m:sSubPr>
            <m:e>
              <m:r>
                <w:rPr>
                  <w:rFonts w:ascii="Cambria Math" w:hAnsi="Cambria Math"/>
                  <w:sz w:val="22"/>
                  <w:szCs w:val="22"/>
                </w:rPr>
                <m:t>AR</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sz w:val="22"/>
                  <w:szCs w:val="22"/>
                </w:rPr>
              </m:ctrlPr>
            </m:sSubPr>
            <m:e>
              <m:acc>
                <m:accPr>
                  <m:chr m:val="̅"/>
                  <m:ctrlPr>
                    <w:rPr>
                      <w:rFonts w:ascii="Cambria Math" w:hAnsi="Cambria Math"/>
                      <w:i/>
                      <w:sz w:val="22"/>
                      <w:szCs w:val="22"/>
                    </w:rPr>
                  </m:ctrlPr>
                </m:accPr>
                <m:e>
                  <m:r>
                    <w:rPr>
                      <w:rFonts w:ascii="Cambria Math" w:hAnsi="Cambria Math"/>
                      <w:sz w:val="22"/>
                      <w:szCs w:val="22"/>
                    </w:rPr>
                    <m:t>R</m:t>
                  </m:r>
                </m:e>
              </m:acc>
            </m:e>
            <m:sub>
              <m:r>
                <w:rPr>
                  <w:rFonts w:ascii="Cambria Math" w:hAnsi="Cambria Math"/>
                  <w:sz w:val="22"/>
                  <w:szCs w:val="22"/>
                </w:rPr>
                <m:t>i</m:t>
              </m:r>
            </m:sub>
          </m:sSub>
        </m:oMath>
      </m:oMathPara>
    </w:p>
    <w:p w:rsidR="008A5201" w:rsidRDefault="008A5201" w:rsidP="008A5201">
      <w:pPr>
        <w:pStyle w:val="Standard"/>
        <w:spacing w:line="480" w:lineRule="auto"/>
        <w:ind w:left="851"/>
        <w:rPr>
          <w:rFonts w:asciiTheme="minorHAnsi" w:hAnsiTheme="minorHAnsi"/>
          <w:sz w:val="22"/>
          <w:szCs w:val="22"/>
        </w:rPr>
      </w:pPr>
      <w:r>
        <w:rPr>
          <w:rFonts w:asciiTheme="minorHAnsi" w:hAnsiTheme="minorHAnsi"/>
          <w:sz w:val="22"/>
          <w:szCs w:val="22"/>
        </w:rPr>
        <w:t xml:space="preserve">The procedures for arriving at </w:t>
      </w:r>
      <m:oMath>
        <m:sSub>
          <m:sSubPr>
            <m:ctrlPr>
              <w:rPr>
                <w:rFonts w:ascii="Cambria Math" w:hAnsi="Cambria Math"/>
                <w:i/>
                <w:noProof/>
                <w:sz w:val="22"/>
                <w:szCs w:val="22"/>
              </w:rPr>
            </m:ctrlPr>
          </m:sSubPr>
          <m:e>
            <m:r>
              <w:rPr>
                <w:rFonts w:ascii="Cambria Math" w:hAnsi="Cambria Math"/>
                <w:noProof/>
                <w:sz w:val="22"/>
                <w:szCs w:val="22"/>
                <w:lang w:eastAsia="en-GB" w:bidi="ar-SA"/>
              </w:rPr>
              <m:t>AAR</m:t>
            </m:r>
          </m:e>
          <m:sub>
            <m:r>
              <w:rPr>
                <w:rFonts w:ascii="Cambria Math" w:hAnsi="Cambria Math"/>
                <w:noProof/>
                <w:sz w:val="22"/>
                <w:szCs w:val="22"/>
                <w:lang w:eastAsia="en-GB" w:bidi="ar-SA"/>
              </w:rPr>
              <m:t>t</m:t>
            </m:r>
          </m:sub>
        </m:sSub>
      </m:oMath>
      <w:r>
        <w:rPr>
          <w:rFonts w:asciiTheme="minorHAnsi" w:hAnsiTheme="minorHAnsi"/>
          <w:sz w:val="22"/>
          <w:szCs w:val="22"/>
        </w:rPr>
        <w:t xml:space="preserve"> and </w:t>
      </w:r>
      <m:oMath>
        <m:sSub>
          <m:sSubPr>
            <m:ctrlPr>
              <w:rPr>
                <w:rFonts w:ascii="Cambria Math" w:hAnsi="Cambria Math"/>
                <w:i/>
                <w:noProof/>
                <w:sz w:val="22"/>
                <w:szCs w:val="22"/>
              </w:rPr>
            </m:ctrlPr>
          </m:sSubPr>
          <m:e>
            <m:r>
              <w:rPr>
                <w:rFonts w:ascii="Cambria Math" w:hAnsi="Cambria Math"/>
                <w:noProof/>
                <w:sz w:val="22"/>
                <w:szCs w:val="22"/>
                <w:lang w:eastAsia="en-GB" w:bidi="ar-SA"/>
              </w:rPr>
              <m:t>CAAR</m:t>
            </m:r>
          </m:e>
          <m:sub>
            <m:sSub>
              <m:sSubPr>
                <m:ctrlPr>
                  <w:rPr>
                    <w:rFonts w:ascii="Cambria Math" w:hAnsi="Cambria Math"/>
                    <w:i/>
                    <w:noProof/>
                    <w:sz w:val="22"/>
                    <w:szCs w:val="22"/>
                  </w:rPr>
                </m:ctrlPr>
              </m:sSubPr>
              <m:e>
                <m:sSub>
                  <m:sSubPr>
                    <m:ctrlPr>
                      <w:rPr>
                        <w:rFonts w:ascii="Cambria Math" w:hAnsi="Cambria Math"/>
                        <w:i/>
                        <w:noProof/>
                        <w:sz w:val="22"/>
                        <w:szCs w:val="22"/>
                      </w:rPr>
                    </m:ctrlPr>
                  </m:sSubPr>
                  <m:e>
                    <m:r>
                      <w:rPr>
                        <w:rFonts w:ascii="Cambria Math" w:hAnsi="Cambria Math"/>
                        <w:noProof/>
                        <w:sz w:val="22"/>
                        <w:szCs w:val="22"/>
                        <w:lang w:eastAsia="en-GB" w:bidi="ar-SA"/>
                      </w:rPr>
                      <m:t>T</m:t>
                    </m:r>
                  </m:e>
                  <m:sub>
                    <m:r>
                      <w:rPr>
                        <w:rFonts w:ascii="Cambria Math" w:hAnsi="Cambria Math"/>
                        <w:noProof/>
                        <w:sz w:val="22"/>
                        <w:szCs w:val="22"/>
                        <w:lang w:eastAsia="en-GB" w:bidi="ar-SA"/>
                      </w:rPr>
                      <m:t>2</m:t>
                    </m:r>
                  </m:sub>
                </m:sSub>
                <m:r>
                  <w:rPr>
                    <w:rFonts w:ascii="Cambria Math" w:hAnsi="Cambria Math"/>
                    <w:noProof/>
                    <w:sz w:val="22"/>
                    <w:szCs w:val="22"/>
                    <w:lang w:eastAsia="en-GB" w:bidi="ar-SA"/>
                  </w:rPr>
                  <m:t>T</m:t>
                </m:r>
              </m:e>
              <m:sub>
                <m:r>
                  <w:rPr>
                    <w:rFonts w:ascii="Cambria Math" w:hAnsi="Cambria Math"/>
                    <w:noProof/>
                    <w:sz w:val="22"/>
                    <w:szCs w:val="22"/>
                    <w:lang w:eastAsia="en-GB" w:bidi="ar-SA"/>
                  </w:rPr>
                  <m:t>1</m:t>
                </m:r>
              </m:sub>
            </m:sSub>
          </m:sub>
        </m:sSub>
        <m:r>
          <w:rPr>
            <w:rFonts w:ascii="Cambria Math" w:hAnsiTheme="minorHAnsi"/>
            <w:sz w:val="22"/>
            <w:szCs w:val="22"/>
          </w:rPr>
          <m:t xml:space="preserve"> </m:t>
        </m:r>
      </m:oMath>
      <w:r>
        <w:rPr>
          <w:rFonts w:asciiTheme="minorHAnsi" w:hAnsiTheme="minorHAnsi"/>
          <w:sz w:val="22"/>
          <w:szCs w:val="22"/>
        </w:rPr>
        <w:t>are similar to those described for the market model.</w:t>
      </w:r>
    </w:p>
    <w:p w:rsidR="008A5201" w:rsidRDefault="008A5201" w:rsidP="008A5201">
      <w:pPr>
        <w:pStyle w:val="Standard"/>
        <w:spacing w:line="480" w:lineRule="auto"/>
        <w:ind w:left="851"/>
        <w:jc w:val="both"/>
        <w:rPr>
          <w:rFonts w:asciiTheme="minorHAnsi" w:hAnsiTheme="minorHAnsi"/>
          <w:sz w:val="22"/>
          <w:szCs w:val="22"/>
        </w:rPr>
      </w:pPr>
      <w:r>
        <w:rPr>
          <w:rFonts w:asciiTheme="minorHAnsi" w:hAnsiTheme="minorHAnsi"/>
          <w:sz w:val="22"/>
          <w:szCs w:val="22"/>
        </w:rPr>
        <w:lastRenderedPageBreak/>
        <w:t xml:space="preserve">The degree of statistical significance following parametric assumptions is ascertained using a t-test similar to that employed in </w:t>
      </w:r>
      <w:proofErr w:type="spellStart"/>
      <w:r w:rsidRPr="00474322">
        <w:rPr>
          <w:rFonts w:asciiTheme="minorHAnsi" w:hAnsiTheme="minorHAnsi"/>
          <w:sz w:val="22"/>
          <w:szCs w:val="22"/>
        </w:rPr>
        <w:t>Bialkowski</w:t>
      </w:r>
      <w:proofErr w:type="spellEnd"/>
      <w:r w:rsidRPr="00474322">
        <w:rPr>
          <w:rFonts w:asciiTheme="minorHAnsi" w:hAnsiTheme="minorHAnsi"/>
          <w:sz w:val="22"/>
          <w:szCs w:val="22"/>
        </w:rPr>
        <w:t xml:space="preserve"> et al (20</w:t>
      </w:r>
      <w:r w:rsidR="00474322" w:rsidRPr="00474322">
        <w:rPr>
          <w:rFonts w:asciiTheme="minorHAnsi" w:hAnsiTheme="minorHAnsi"/>
          <w:sz w:val="22"/>
          <w:szCs w:val="22"/>
        </w:rPr>
        <w:t>08</w:t>
      </w:r>
      <w:r w:rsidRPr="00474322">
        <w:rPr>
          <w:rFonts w:asciiTheme="minorHAnsi" w:hAnsiTheme="minorHAnsi"/>
          <w:sz w:val="22"/>
          <w:szCs w:val="22"/>
        </w:rPr>
        <w:t>). This</w:t>
      </w:r>
      <w:r>
        <w:rPr>
          <w:rFonts w:asciiTheme="minorHAnsi" w:hAnsiTheme="minorHAnsi"/>
          <w:sz w:val="22"/>
          <w:szCs w:val="22"/>
        </w:rPr>
        <w:t xml:space="preserve"> approach enables volatility stemming from the event to be incorporated into the test through retaining the estimation within the event window period.</w:t>
      </w:r>
    </w:p>
    <w:p w:rsidR="008A5201" w:rsidRDefault="00161060" w:rsidP="008A5201">
      <w:pPr>
        <w:pStyle w:val="Standard"/>
        <w:spacing w:line="480" w:lineRule="auto"/>
        <w:ind w:left="851"/>
        <w:jc w:val="both"/>
        <w:rPr>
          <w:rFonts w:asciiTheme="minorHAnsi" w:hAnsiTheme="minorHAnsi"/>
          <w:sz w:val="22"/>
          <w:szCs w:val="22"/>
        </w:rPr>
      </w:pPr>
      <m:oMathPara>
        <m:oMath>
          <m:sSub>
            <m:sSubPr>
              <m:ctrlPr>
                <w:rPr>
                  <w:rFonts w:ascii="Cambria Math" w:hAnsi="Cambria Math"/>
                  <w:i/>
                  <w:sz w:val="22"/>
                  <w:szCs w:val="22"/>
                </w:rPr>
              </m:ctrlPr>
            </m:sSubPr>
            <m:e>
              <m:r>
                <w:rPr>
                  <w:rFonts w:ascii="Cambria Math" w:hAnsi="Cambria Math"/>
                  <w:sz w:val="22"/>
                  <w:szCs w:val="22"/>
                </w:rPr>
                <m:t>t(CAAR(n</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2</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CAAR(n</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2</m:t>
                  </m:r>
                </m:sub>
              </m:sSub>
              <m:r>
                <w:rPr>
                  <w:rFonts w:ascii="Cambria Math" w:hAnsi="Cambria Math"/>
                  <w:sz w:val="22"/>
                  <w:szCs w:val="22"/>
                </w:rPr>
                <m:t>)</m:t>
              </m:r>
            </m:num>
            <m:den>
              <m:r>
                <w:rPr>
                  <w:rFonts w:ascii="Cambria Math" w:hAnsi="Cambria Math"/>
                  <w:sz w:val="22"/>
                  <w:szCs w:val="22"/>
                </w:rPr>
                <m:t>σ</m:t>
              </m:r>
              <m:d>
                <m:dPr>
                  <m:ctrlPr>
                    <w:rPr>
                      <w:rFonts w:ascii="Cambria Math" w:hAnsi="Cambria Math"/>
                      <w:i/>
                      <w:sz w:val="22"/>
                      <w:szCs w:val="22"/>
                    </w:rPr>
                  </m:ctrlPr>
                </m:dPr>
                <m:e>
                  <m:r>
                    <w:rPr>
                      <w:rFonts w:ascii="Cambria Math" w:hAnsi="Cambria Math"/>
                      <w:sz w:val="22"/>
                      <w:szCs w:val="22"/>
                    </w:rPr>
                    <m:t>AAR</m:t>
                  </m:r>
                </m:e>
              </m:d>
              <m:r>
                <w:rPr>
                  <w:rFonts w:ascii="Cambria Math" w:hAnsi="Cambria Math"/>
                  <w:sz w:val="22"/>
                  <w:szCs w:val="22"/>
                </w:rPr>
                <m:t>*</m:t>
              </m:r>
              <m:rad>
                <m:radPr>
                  <m:degHide m:val="1"/>
                  <m:ctrlPr>
                    <w:rPr>
                      <w:rFonts w:ascii="Cambria Math" w:hAnsi="Cambria Math"/>
                      <w:i/>
                      <w:sz w:val="22"/>
                      <w:szCs w:val="22"/>
                    </w:rPr>
                  </m:ctrlPr>
                </m:radPr>
                <m:deg/>
                <m:e>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2</m:t>
                      </m:r>
                    </m:sub>
                  </m:sSub>
                  <m:r>
                    <w:rPr>
                      <w:rFonts w:ascii="Cambria Math" w:hAnsi="Cambria Math"/>
                      <w:sz w:val="22"/>
                      <w:szCs w:val="22"/>
                    </w:rPr>
                    <m:t>+1</m:t>
                  </m:r>
                </m:e>
              </m:rad>
            </m:den>
          </m:f>
        </m:oMath>
      </m:oMathPara>
    </w:p>
    <w:p w:rsidR="008A5201" w:rsidRDefault="008A5201" w:rsidP="008A5201">
      <w:pPr>
        <w:pStyle w:val="Standard"/>
        <w:spacing w:line="480" w:lineRule="auto"/>
        <w:ind w:left="851"/>
        <w:jc w:val="center"/>
        <w:rPr>
          <w:rFonts w:asciiTheme="minorHAnsi" w:hAnsiTheme="minorHAnsi"/>
          <w:sz w:val="22"/>
          <w:szCs w:val="22"/>
        </w:rPr>
      </w:pPr>
    </w:p>
    <w:p w:rsidR="008A5201" w:rsidRDefault="008A5201" w:rsidP="00845B19">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Where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1</m:t>
            </m:r>
          </m:sub>
        </m:sSub>
      </m:oMath>
      <w:r>
        <w:rPr>
          <w:rFonts w:asciiTheme="minorHAnsi" w:hAnsiTheme="minorHAnsi"/>
          <w:sz w:val="22"/>
          <w:szCs w:val="22"/>
        </w:rPr>
        <w:t xml:space="preserve"> and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2</m:t>
            </m:r>
          </m:sub>
        </m:sSub>
      </m:oMath>
      <w:r>
        <w:rPr>
          <w:rFonts w:asciiTheme="minorHAnsi" w:hAnsiTheme="minorHAnsi"/>
          <w:sz w:val="22"/>
          <w:szCs w:val="22"/>
        </w:rPr>
        <w:t xml:space="preserve">represent the start and finish dates of the event window and </w:t>
      </w:r>
      <m:oMath>
        <m:r>
          <w:rPr>
            <w:rFonts w:ascii="Cambria Math" w:hAnsi="Cambria Math"/>
            <w:sz w:val="22"/>
            <w:szCs w:val="22"/>
          </w:rPr>
          <m:t>σ(AAR)</m:t>
        </m:r>
      </m:oMath>
      <w:r>
        <w:rPr>
          <w:rFonts w:asciiTheme="minorHAnsi" w:hAnsiTheme="minorHAnsi"/>
          <w:noProof/>
          <w:sz w:val="22"/>
          <w:szCs w:val="22"/>
          <w:lang w:eastAsia="en-GB" w:bidi="ar-SA"/>
        </w:rPr>
        <w:t xml:space="preserve"> </w:t>
      </w:r>
      <w:r>
        <w:rPr>
          <w:rFonts w:asciiTheme="minorHAnsi" w:hAnsiTheme="minorHAnsi"/>
          <w:sz w:val="22"/>
          <w:szCs w:val="22"/>
        </w:rPr>
        <w:t>is the standard deviation from the mean of abnormal returns which is calculated from daily observations over the period over which the event is measured.</w:t>
      </w:r>
    </w:p>
    <w:p w:rsidR="008A5201" w:rsidRDefault="008A5201" w:rsidP="008A5201">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A further test for significance is carried out when the parametric assumptions are relaxed. This investigates whether the proportion of positive CARs can differ from 0.5. (This test is defined in </w:t>
      </w:r>
      <w:proofErr w:type="spellStart"/>
      <w:r w:rsidRPr="00474322">
        <w:rPr>
          <w:rFonts w:asciiTheme="minorHAnsi" w:hAnsiTheme="minorHAnsi"/>
          <w:sz w:val="22"/>
          <w:szCs w:val="22"/>
        </w:rPr>
        <w:t>Białkowski</w:t>
      </w:r>
      <w:proofErr w:type="spellEnd"/>
      <w:r w:rsidRPr="00474322">
        <w:rPr>
          <w:rFonts w:asciiTheme="minorHAnsi" w:hAnsiTheme="minorHAnsi"/>
          <w:sz w:val="22"/>
          <w:szCs w:val="22"/>
        </w:rPr>
        <w:t xml:space="preserve"> et al 2008). It</w:t>
      </w:r>
      <w:r>
        <w:rPr>
          <w:rFonts w:asciiTheme="minorHAnsi" w:hAnsiTheme="minorHAnsi"/>
          <w:sz w:val="22"/>
          <w:szCs w:val="22"/>
        </w:rPr>
        <w:t xml:space="preserve"> is computed as follows:</w:t>
      </w:r>
    </w:p>
    <w:p w:rsidR="008A5201" w:rsidRDefault="008A5201" w:rsidP="00EE2E6D">
      <w:pPr>
        <w:pStyle w:val="Standard"/>
        <w:spacing w:line="480" w:lineRule="auto"/>
        <w:ind w:left="851"/>
        <w:jc w:val="both"/>
        <w:rPr>
          <w:rFonts w:asciiTheme="minorHAnsi" w:hAnsiTheme="minorHAnsi"/>
          <w:sz w:val="22"/>
          <w:szCs w:val="22"/>
        </w:rPr>
      </w:pPr>
      <m:oMathPara>
        <m:oMath>
          <m:r>
            <w:rPr>
              <w:rFonts w:ascii="Cambria Math" w:hAnsi="Cambria Math"/>
              <w:sz w:val="22"/>
              <w:szCs w:val="22"/>
            </w:rPr>
            <m:t>z=</m:t>
          </m:r>
          <m:f>
            <m:fPr>
              <m:ctrlPr>
                <w:rPr>
                  <w:rFonts w:ascii="Cambria Math" w:hAnsi="Cambria Math"/>
                  <w:i/>
                  <w:sz w:val="22"/>
                  <w:szCs w:val="22"/>
                </w:rPr>
              </m:ctrlPr>
            </m:fPr>
            <m:num>
              <m:r>
                <w:rPr>
                  <w:rFonts w:ascii="Cambria Math" w:hAnsi="Cambria Math"/>
                  <w:sz w:val="22"/>
                  <w:szCs w:val="22"/>
                </w:rPr>
                <m:t>p-0.5</m:t>
              </m:r>
            </m:num>
            <m:den>
              <m:rad>
                <m:radPr>
                  <m:degHide m:val="1"/>
                  <m:ctrlPr>
                    <w:rPr>
                      <w:rFonts w:ascii="Cambria Math" w:hAnsi="Cambria Math"/>
                      <w:i/>
                      <w:sz w:val="22"/>
                      <w:szCs w:val="22"/>
                    </w:rPr>
                  </m:ctrlPr>
                </m:radPr>
                <m:deg/>
                <m:e>
                  <m:r>
                    <w:rPr>
                      <w:rFonts w:ascii="Cambria Math" w:hAnsi="Cambria Math"/>
                      <w:sz w:val="22"/>
                      <w:szCs w:val="22"/>
                    </w:rPr>
                    <m:t>p(1-p)/N</m:t>
                  </m:r>
                </m:e>
              </m:rad>
            </m:den>
          </m:f>
        </m:oMath>
      </m:oMathPara>
    </w:p>
    <w:p w:rsidR="008A5201" w:rsidRDefault="008A5201" w:rsidP="008A5201">
      <w:pPr>
        <w:pStyle w:val="Standard"/>
        <w:spacing w:line="480" w:lineRule="auto"/>
        <w:ind w:left="851"/>
        <w:jc w:val="both"/>
        <w:rPr>
          <w:rFonts w:asciiTheme="minorHAnsi" w:hAnsiTheme="minorHAnsi"/>
          <w:sz w:val="22"/>
          <w:szCs w:val="22"/>
        </w:rPr>
      </w:pPr>
      <w:r>
        <w:rPr>
          <w:rFonts w:asciiTheme="minorHAnsi" w:hAnsiTheme="minorHAnsi"/>
          <w:sz w:val="22"/>
          <w:szCs w:val="22"/>
        </w:rPr>
        <w:t>Where p is the observed proportion of CARs which are positive and N refers to the size of the sample.</w:t>
      </w:r>
    </w:p>
    <w:p w:rsidR="0003235E" w:rsidRPr="0003235E" w:rsidRDefault="0003235E" w:rsidP="0003235E"/>
    <w:p w:rsidR="008A5201" w:rsidRDefault="008A5201" w:rsidP="008A5201">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The Cumulative Average Abnormal Return (CAAR) for the announcement sample is </w:t>
      </w:r>
      <w:r w:rsidRPr="004A7DE3">
        <w:rPr>
          <w:rFonts w:asciiTheme="minorHAnsi" w:hAnsiTheme="minorHAnsi"/>
          <w:sz w:val="22"/>
          <w:szCs w:val="22"/>
        </w:rPr>
        <w:t xml:space="preserve">given in Table </w:t>
      </w:r>
      <w:r w:rsidR="004A7DE3" w:rsidRPr="004A7DE3">
        <w:rPr>
          <w:rFonts w:asciiTheme="minorHAnsi" w:hAnsiTheme="minorHAnsi"/>
          <w:sz w:val="22"/>
          <w:szCs w:val="22"/>
        </w:rPr>
        <w:t>I</w:t>
      </w:r>
      <w:r w:rsidR="00607DF7" w:rsidRPr="004A7DE3">
        <w:rPr>
          <w:rFonts w:asciiTheme="minorHAnsi" w:hAnsiTheme="minorHAnsi"/>
          <w:sz w:val="22"/>
          <w:szCs w:val="22"/>
        </w:rPr>
        <w:t>I</w:t>
      </w:r>
      <w:r w:rsidRPr="004A7DE3">
        <w:rPr>
          <w:rFonts w:asciiTheme="minorHAnsi" w:hAnsiTheme="minorHAnsi"/>
          <w:sz w:val="22"/>
          <w:szCs w:val="22"/>
        </w:rPr>
        <w:t xml:space="preserve"> and Figure 2</w:t>
      </w:r>
      <w:r w:rsidR="00607DF7" w:rsidRPr="004A7DE3">
        <w:rPr>
          <w:rFonts w:asciiTheme="minorHAnsi" w:hAnsiTheme="minorHAnsi"/>
          <w:sz w:val="22"/>
          <w:szCs w:val="22"/>
        </w:rPr>
        <w:t>.</w:t>
      </w:r>
      <w:r w:rsidR="00607DF7">
        <w:rPr>
          <w:rFonts w:asciiTheme="minorHAnsi" w:hAnsiTheme="minorHAnsi"/>
          <w:sz w:val="22"/>
          <w:szCs w:val="22"/>
        </w:rPr>
        <w:t xml:space="preserve"> </w:t>
      </w:r>
      <w:r>
        <w:rPr>
          <w:rFonts w:asciiTheme="minorHAnsi" w:hAnsiTheme="minorHAnsi"/>
          <w:sz w:val="22"/>
          <w:szCs w:val="22"/>
        </w:rPr>
        <w:t xml:space="preserve">The results demonstrate that there is evidence to support the hypothesis that statistically significant abnormal returns are realisable before the event date. The findings are conclusive when both the market model and constant mean return benchmarks are used. For both these benchmarks, CAARS remain consistently positive and maintain this sign from early in the event window period at 55 days prior to the event. Similarly, when the daily average abnormal returns (AAR) are considered, in the sixty days prior to the announcement date AAR is positive for 43 days for the constant mean return model while the figure is 41 days for the market model. For both models there is a drop in </w:t>
      </w:r>
      <w:r>
        <w:rPr>
          <w:rFonts w:asciiTheme="minorHAnsi" w:hAnsiTheme="minorHAnsi"/>
          <w:sz w:val="22"/>
          <w:szCs w:val="22"/>
        </w:rPr>
        <w:lastRenderedPageBreak/>
        <w:t>CAARs on the day of the announcement, which is not consistent with much of the literature. It suggests that information pertaining to the event has for the most part been assimilated into the price prior to the announcement being made. Interestingly, in the five days before the event date AAR is consistently negative, if insider trading is behind the abnormal returns, then there is a decided absence of activity immediately preceding the announcement. This could signal that in order to exercise caution insiders shy away from conspicuously flouting the rules. Furthermore, the absence of a surge of immediate pre-event positive AARs fails to strengthen the idea that the takeovers in question are publicly discernible.</w:t>
      </w:r>
    </w:p>
    <w:p w:rsidR="008A5201" w:rsidRDefault="008A5201" w:rsidP="008A5201">
      <w:pPr>
        <w:spacing w:after="0" w:line="480" w:lineRule="auto"/>
        <w:rPr>
          <w:rFonts w:eastAsia="Lucida Sans Unicode" w:cs="Mangal"/>
          <w:kern w:val="3"/>
          <w:lang w:eastAsia="zh-CN" w:bidi="hi-IN"/>
        </w:rPr>
      </w:pPr>
    </w:p>
    <w:p w:rsidR="00845B19" w:rsidRDefault="00845B19" w:rsidP="00845B19">
      <w:pPr>
        <w:spacing w:after="0" w:line="480" w:lineRule="auto"/>
        <w:jc w:val="center"/>
        <w:rPr>
          <w:rFonts w:eastAsia="Lucida Sans Unicode" w:cs="Mangal"/>
          <w:kern w:val="3"/>
          <w:lang w:eastAsia="zh-CN" w:bidi="hi-IN"/>
        </w:rPr>
      </w:pPr>
      <w:r>
        <w:rPr>
          <w:rFonts w:eastAsia="Lucida Sans Unicode" w:cs="Mangal"/>
          <w:kern w:val="3"/>
          <w:lang w:eastAsia="zh-CN" w:bidi="hi-IN"/>
        </w:rPr>
        <w:t xml:space="preserve">[Insert Table </w:t>
      </w:r>
      <w:r w:rsidR="00F95478">
        <w:rPr>
          <w:rFonts w:eastAsia="Lucida Sans Unicode" w:cs="Mangal"/>
          <w:kern w:val="3"/>
          <w:lang w:eastAsia="zh-CN" w:bidi="hi-IN"/>
        </w:rPr>
        <w:t>II</w:t>
      </w:r>
      <w:r>
        <w:rPr>
          <w:rFonts w:eastAsia="Lucida Sans Unicode" w:cs="Mangal"/>
          <w:kern w:val="3"/>
          <w:lang w:eastAsia="zh-CN" w:bidi="hi-IN"/>
        </w:rPr>
        <w:t xml:space="preserve"> about here]</w:t>
      </w:r>
    </w:p>
    <w:p w:rsidR="00845B19" w:rsidRDefault="00845B19" w:rsidP="00845B19">
      <w:pPr>
        <w:spacing w:after="0" w:line="480" w:lineRule="auto"/>
        <w:jc w:val="center"/>
        <w:rPr>
          <w:rFonts w:eastAsia="Lucida Sans Unicode" w:cs="Mangal"/>
          <w:kern w:val="3"/>
          <w:lang w:eastAsia="zh-CN" w:bidi="hi-IN"/>
        </w:rPr>
      </w:pPr>
    </w:p>
    <w:p w:rsidR="00845B19" w:rsidRDefault="00845B19" w:rsidP="00845B19">
      <w:pPr>
        <w:spacing w:after="0" w:line="480" w:lineRule="auto"/>
        <w:jc w:val="center"/>
        <w:rPr>
          <w:rFonts w:eastAsia="Lucida Sans Unicode" w:cs="Mangal"/>
          <w:kern w:val="3"/>
          <w:lang w:eastAsia="zh-CN" w:bidi="hi-IN"/>
        </w:rPr>
      </w:pPr>
      <w:r>
        <w:rPr>
          <w:rFonts w:eastAsia="Lucida Sans Unicode" w:cs="Mangal"/>
          <w:kern w:val="3"/>
          <w:lang w:eastAsia="zh-CN" w:bidi="hi-IN"/>
        </w:rPr>
        <w:t>[Insert Figure 2 about here]</w:t>
      </w:r>
    </w:p>
    <w:p w:rsidR="00845B19" w:rsidRDefault="00845B19" w:rsidP="00845B19">
      <w:pPr>
        <w:spacing w:after="0" w:line="480" w:lineRule="auto"/>
        <w:jc w:val="center"/>
        <w:rPr>
          <w:rFonts w:eastAsia="Lucida Sans Unicode" w:cs="Mangal"/>
          <w:kern w:val="3"/>
          <w:lang w:eastAsia="zh-CN" w:bidi="hi-IN"/>
        </w:rPr>
      </w:pPr>
    </w:p>
    <w:p w:rsidR="00845B19" w:rsidRDefault="00845B19" w:rsidP="00845B19">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As targets are held to consistently deliver positive </w:t>
      </w:r>
      <w:proofErr w:type="spellStart"/>
      <w:r>
        <w:rPr>
          <w:rFonts w:asciiTheme="minorHAnsi" w:hAnsiTheme="minorHAnsi"/>
          <w:sz w:val="22"/>
          <w:szCs w:val="22"/>
        </w:rPr>
        <w:t>premia</w:t>
      </w:r>
      <w:proofErr w:type="spellEnd"/>
      <w:r>
        <w:rPr>
          <w:rFonts w:asciiTheme="minorHAnsi" w:hAnsiTheme="minorHAnsi"/>
          <w:sz w:val="22"/>
          <w:szCs w:val="22"/>
        </w:rPr>
        <w:t xml:space="preserve"> as a result of announcement of a proposed deal, cumulative abnormal returns from the day of the announcement up to the tenth day after the event are examined separately. These findings show that with respect to announcements, the market meets a proportion of the deals proposed with genuine surprise. In the sample prior to the announcement the presence of positive CARs is suggestive of the possibility that private information drives trading on a number of target company’s shares.</w:t>
      </w:r>
    </w:p>
    <w:p w:rsidR="00845B19" w:rsidRDefault="00845B19" w:rsidP="00845B19">
      <w:pPr>
        <w:pStyle w:val="Standard"/>
        <w:spacing w:line="480" w:lineRule="auto"/>
        <w:ind w:left="851"/>
        <w:jc w:val="both"/>
        <w:rPr>
          <w:rFonts w:asciiTheme="minorHAnsi" w:hAnsiTheme="minorHAnsi"/>
          <w:sz w:val="22"/>
          <w:szCs w:val="22"/>
        </w:rPr>
      </w:pPr>
      <w:r w:rsidRPr="00845B19">
        <w:rPr>
          <w:rFonts w:asciiTheme="minorHAnsi" w:hAnsiTheme="minorHAnsi"/>
          <w:sz w:val="22"/>
          <w:szCs w:val="22"/>
        </w:rPr>
        <w:t xml:space="preserve">Turning now to the investigation using the first date at which news of the impending deal appears in the public domain, it can be seen from </w:t>
      </w:r>
      <w:r w:rsidRPr="0096767D">
        <w:rPr>
          <w:rFonts w:asciiTheme="minorHAnsi" w:hAnsiTheme="minorHAnsi"/>
          <w:sz w:val="22"/>
          <w:szCs w:val="22"/>
        </w:rPr>
        <w:t xml:space="preserve">Table </w:t>
      </w:r>
      <w:r w:rsidR="004A7DE3">
        <w:rPr>
          <w:rFonts w:asciiTheme="minorHAnsi" w:hAnsiTheme="minorHAnsi"/>
          <w:sz w:val="22"/>
          <w:szCs w:val="22"/>
        </w:rPr>
        <w:t>III</w:t>
      </w:r>
      <w:r w:rsidRPr="0096767D">
        <w:rPr>
          <w:rFonts w:asciiTheme="minorHAnsi" w:hAnsiTheme="minorHAnsi"/>
          <w:sz w:val="22"/>
          <w:szCs w:val="22"/>
        </w:rPr>
        <w:t xml:space="preserve"> and</w:t>
      </w:r>
      <w:r w:rsidRPr="00845B19">
        <w:rPr>
          <w:rFonts w:asciiTheme="minorHAnsi" w:hAnsiTheme="minorHAnsi"/>
          <w:sz w:val="22"/>
          <w:szCs w:val="22"/>
        </w:rPr>
        <w:t xml:space="preserve"> </w:t>
      </w:r>
      <w:r w:rsidRPr="0096767D">
        <w:rPr>
          <w:rFonts w:asciiTheme="minorHAnsi" w:hAnsiTheme="minorHAnsi"/>
          <w:sz w:val="22"/>
          <w:szCs w:val="22"/>
        </w:rPr>
        <w:t>Figure 3 that</w:t>
      </w:r>
      <w:r w:rsidRPr="00845B19">
        <w:rPr>
          <w:rFonts w:asciiTheme="minorHAnsi" w:hAnsiTheme="minorHAnsi"/>
          <w:sz w:val="22"/>
          <w:szCs w:val="22"/>
        </w:rPr>
        <w:t xml:space="preserve"> both benchmarks demonstrate that positive CARs of a slightly greater magnitude are attained through the rumoured sample. The sizes could be explained by the similarities </w:t>
      </w:r>
      <w:r w:rsidR="00C44871">
        <w:rPr>
          <w:rFonts w:asciiTheme="minorHAnsi" w:hAnsiTheme="minorHAnsi"/>
          <w:sz w:val="22"/>
          <w:szCs w:val="22"/>
        </w:rPr>
        <w:t>between</w:t>
      </w:r>
      <w:r w:rsidRPr="00845B19">
        <w:rPr>
          <w:rFonts w:asciiTheme="minorHAnsi" w:hAnsiTheme="minorHAnsi"/>
          <w:sz w:val="22"/>
          <w:szCs w:val="22"/>
        </w:rPr>
        <w:t xml:space="preserve"> the two </w:t>
      </w:r>
      <w:r w:rsidRPr="00C44871">
        <w:rPr>
          <w:rFonts w:asciiTheme="minorHAnsi" w:hAnsiTheme="minorHAnsi"/>
          <w:sz w:val="22"/>
          <w:szCs w:val="22"/>
        </w:rPr>
        <w:t>samples</w:t>
      </w:r>
      <w:r w:rsidR="00C44871">
        <w:rPr>
          <w:rFonts w:asciiTheme="minorHAnsi" w:hAnsiTheme="minorHAnsi"/>
          <w:sz w:val="22"/>
          <w:szCs w:val="22"/>
        </w:rPr>
        <w:t>,</w:t>
      </w:r>
      <w:r w:rsidRPr="00C44871">
        <w:rPr>
          <w:rFonts w:asciiTheme="minorHAnsi" w:hAnsiTheme="minorHAnsi"/>
          <w:sz w:val="22"/>
          <w:szCs w:val="22"/>
        </w:rPr>
        <w:t xml:space="preserve"> 39 of the 193 firms examined display a rumour date that is separate from the</w:t>
      </w:r>
      <w:r w:rsidRPr="00845B19">
        <w:rPr>
          <w:rFonts w:asciiTheme="minorHAnsi" w:hAnsiTheme="minorHAnsi"/>
          <w:sz w:val="22"/>
          <w:szCs w:val="22"/>
        </w:rPr>
        <w:t xml:space="preserve"> </w:t>
      </w:r>
      <w:r w:rsidRPr="00845B19">
        <w:rPr>
          <w:rFonts w:asciiTheme="minorHAnsi" w:hAnsiTheme="minorHAnsi"/>
          <w:sz w:val="22"/>
          <w:szCs w:val="22"/>
        </w:rPr>
        <w:lastRenderedPageBreak/>
        <w:t xml:space="preserve">announcement date. The difference that does exist however may suggest that insider trading could be more likely to occur prior to a rumoured rather than the announcement date as the possibility of detection would perhaps be less likely. However, this assertion is undermined by the proportion of deals displaying positive </w:t>
      </w:r>
      <w:proofErr w:type="gramStart"/>
      <w:r w:rsidRPr="00845B19">
        <w:rPr>
          <w:rFonts w:asciiTheme="minorHAnsi" w:hAnsiTheme="minorHAnsi"/>
          <w:sz w:val="22"/>
          <w:szCs w:val="22"/>
        </w:rPr>
        <w:t>CAARs,</w:t>
      </w:r>
      <w:proofErr w:type="gramEnd"/>
      <w:r w:rsidRPr="00845B19">
        <w:rPr>
          <w:rFonts w:asciiTheme="minorHAnsi" w:hAnsiTheme="minorHAnsi"/>
          <w:sz w:val="22"/>
          <w:szCs w:val="22"/>
        </w:rPr>
        <w:t xml:space="preserve"> this is only slightly greater for the sample that investigates the announcements. A further notable point is that in the 11 days following the event date the CAARs drop in magnitude to the tune of 0.4% for the constant mean return model and 0.69% for the market model, as buying pressure eases following the release of the </w:t>
      </w:r>
      <w:r w:rsidRPr="0096767D">
        <w:rPr>
          <w:rFonts w:asciiTheme="minorHAnsi" w:hAnsiTheme="minorHAnsi"/>
          <w:sz w:val="22"/>
          <w:szCs w:val="22"/>
        </w:rPr>
        <w:t xml:space="preserve">information (See Table </w:t>
      </w:r>
      <w:r w:rsidR="00607DF7" w:rsidRPr="0096767D">
        <w:rPr>
          <w:rFonts w:asciiTheme="minorHAnsi" w:hAnsiTheme="minorHAnsi"/>
          <w:sz w:val="22"/>
          <w:szCs w:val="22"/>
        </w:rPr>
        <w:t>I</w:t>
      </w:r>
      <w:r w:rsidR="004A7DE3">
        <w:rPr>
          <w:rFonts w:asciiTheme="minorHAnsi" w:hAnsiTheme="minorHAnsi"/>
          <w:sz w:val="22"/>
          <w:szCs w:val="22"/>
        </w:rPr>
        <w:t>II</w:t>
      </w:r>
      <w:r w:rsidRPr="0096767D">
        <w:rPr>
          <w:rFonts w:asciiTheme="minorHAnsi" w:hAnsiTheme="minorHAnsi"/>
          <w:sz w:val="22"/>
          <w:szCs w:val="22"/>
        </w:rPr>
        <w:t>).</w:t>
      </w:r>
      <w:r w:rsidR="00161060">
        <w:rPr>
          <w:rFonts w:asciiTheme="minorHAnsi" w:hAnsiTheme="minorHAnsi"/>
          <w:sz w:val="22"/>
          <w:szCs w:val="22"/>
        </w:rPr>
        <w:t xml:space="preserve"> </w:t>
      </w:r>
      <w:r w:rsidR="00161060" w:rsidRPr="00161060">
        <w:rPr>
          <w:rFonts w:asciiTheme="minorHAnsi" w:hAnsiTheme="minorHAnsi"/>
          <w:sz w:val="22"/>
          <w:szCs w:val="22"/>
        </w:rPr>
        <w:t>The rationale behind choosing rumour dates attached only to completed deals is to negate the possibility of using unfounded rumours which can come from any source. Insiders presumably would act only upon information which they themselves deem to be reliable. This would discount the need to include rumours generated outside the firm where the deal is unsuccessful. When rumours arise from within the firm but relate to deals which are not completed then it is still possible that insiders may trade upon these as it is likely that they would deem these to be reliable. While this study does not capture the effect with the target firms of non-completed proposed deals, there is no reason to assume that the effect would be any different to what has been recorded here. With deals for which insiders would have no a priori doubts about the feasibility of the takeover we could reasonably assume that these would display the same pattern in pricing change as we witness here with the firms used in the sample</w:t>
      </w:r>
    </w:p>
    <w:p w:rsidR="0096767D" w:rsidRDefault="0096767D" w:rsidP="00845B19">
      <w:pPr>
        <w:pStyle w:val="Standard"/>
        <w:spacing w:line="480" w:lineRule="auto"/>
        <w:ind w:left="851"/>
        <w:jc w:val="both"/>
        <w:rPr>
          <w:rFonts w:asciiTheme="minorHAnsi" w:hAnsiTheme="minorHAnsi"/>
          <w:sz w:val="22"/>
          <w:szCs w:val="22"/>
        </w:rPr>
      </w:pPr>
    </w:p>
    <w:p w:rsidR="00845B19" w:rsidRDefault="00601203" w:rsidP="00601203">
      <w:pPr>
        <w:pStyle w:val="Standard"/>
        <w:spacing w:line="480" w:lineRule="auto"/>
        <w:ind w:left="851"/>
        <w:jc w:val="center"/>
        <w:rPr>
          <w:rFonts w:asciiTheme="minorHAnsi" w:hAnsiTheme="minorHAnsi"/>
          <w:sz w:val="22"/>
          <w:szCs w:val="22"/>
        </w:rPr>
      </w:pPr>
      <w:r>
        <w:rPr>
          <w:rFonts w:asciiTheme="minorHAnsi" w:hAnsiTheme="minorHAnsi"/>
          <w:sz w:val="22"/>
          <w:szCs w:val="22"/>
        </w:rPr>
        <w:t xml:space="preserve">[Insert Table </w:t>
      </w:r>
      <w:r w:rsidR="00607DF7">
        <w:rPr>
          <w:rFonts w:asciiTheme="minorHAnsi" w:hAnsiTheme="minorHAnsi"/>
          <w:sz w:val="22"/>
          <w:szCs w:val="22"/>
        </w:rPr>
        <w:t>I</w:t>
      </w:r>
      <w:r w:rsidR="00F95478">
        <w:rPr>
          <w:rFonts w:asciiTheme="minorHAnsi" w:hAnsiTheme="minorHAnsi"/>
          <w:sz w:val="22"/>
          <w:szCs w:val="22"/>
        </w:rPr>
        <w:t>II</w:t>
      </w:r>
      <w:r>
        <w:rPr>
          <w:rFonts w:asciiTheme="minorHAnsi" w:hAnsiTheme="minorHAnsi"/>
          <w:sz w:val="22"/>
          <w:szCs w:val="22"/>
        </w:rPr>
        <w:t xml:space="preserve"> about here]</w:t>
      </w:r>
    </w:p>
    <w:p w:rsidR="00601203" w:rsidRDefault="00601203" w:rsidP="00601203">
      <w:pPr>
        <w:pStyle w:val="Standard"/>
        <w:spacing w:line="480" w:lineRule="auto"/>
        <w:ind w:left="851"/>
        <w:jc w:val="center"/>
        <w:rPr>
          <w:rFonts w:asciiTheme="minorHAnsi" w:hAnsiTheme="minorHAnsi"/>
          <w:sz w:val="22"/>
          <w:szCs w:val="22"/>
        </w:rPr>
      </w:pPr>
      <w:r>
        <w:rPr>
          <w:rFonts w:asciiTheme="minorHAnsi" w:hAnsiTheme="minorHAnsi"/>
          <w:sz w:val="22"/>
          <w:szCs w:val="22"/>
        </w:rPr>
        <w:t>[Insert Figure 3 about here]</w:t>
      </w:r>
    </w:p>
    <w:p w:rsidR="00845B19" w:rsidRDefault="00845B19" w:rsidP="00845B19">
      <w:pPr>
        <w:pStyle w:val="Standard"/>
        <w:spacing w:line="480" w:lineRule="auto"/>
        <w:ind w:left="851"/>
        <w:jc w:val="both"/>
        <w:rPr>
          <w:rFonts w:asciiTheme="minorHAnsi" w:hAnsiTheme="minorHAnsi"/>
          <w:sz w:val="22"/>
          <w:szCs w:val="22"/>
        </w:rPr>
      </w:pPr>
    </w:p>
    <w:p w:rsidR="00601203" w:rsidRDefault="00601203" w:rsidP="00601203">
      <w:pPr>
        <w:pStyle w:val="Standard"/>
        <w:spacing w:line="480" w:lineRule="auto"/>
        <w:ind w:left="851"/>
        <w:jc w:val="both"/>
        <w:rPr>
          <w:rFonts w:asciiTheme="minorHAnsi" w:hAnsiTheme="minorHAnsi"/>
          <w:sz w:val="22"/>
          <w:szCs w:val="22"/>
        </w:rPr>
      </w:pPr>
      <w:r>
        <w:rPr>
          <w:rFonts w:asciiTheme="minorHAnsi" w:hAnsiTheme="minorHAnsi"/>
          <w:sz w:val="22"/>
          <w:szCs w:val="22"/>
        </w:rPr>
        <w:t xml:space="preserve">It would appear that for both the announcement and rumour samples statistically significant cumulative abnormal returns are present before the occurrence with each date. </w:t>
      </w:r>
      <w:r>
        <w:rPr>
          <w:rFonts w:asciiTheme="minorHAnsi" w:hAnsiTheme="minorHAnsi"/>
          <w:sz w:val="22"/>
          <w:szCs w:val="22"/>
        </w:rPr>
        <w:lastRenderedPageBreak/>
        <w:t xml:space="preserve">This is consistent with the hypothesis that informed trading is taking place prior to the public dissemination of the information. The magnitude of the run-up is similar to results produced by Jarrell and </w:t>
      </w:r>
      <w:proofErr w:type="spellStart"/>
      <w:r>
        <w:rPr>
          <w:rFonts w:asciiTheme="minorHAnsi" w:hAnsiTheme="minorHAnsi"/>
          <w:sz w:val="22"/>
          <w:szCs w:val="22"/>
        </w:rPr>
        <w:t>Poulsen</w:t>
      </w:r>
      <w:proofErr w:type="spellEnd"/>
      <w:r>
        <w:rPr>
          <w:rFonts w:asciiTheme="minorHAnsi" w:hAnsiTheme="minorHAnsi"/>
          <w:sz w:val="22"/>
          <w:szCs w:val="22"/>
        </w:rPr>
        <w:t xml:space="preserve"> (1989) who record abnormal returns of 11% on a similarly sized sample where the event date employed equates to the day on which the news is publicly disseminated.</w:t>
      </w:r>
    </w:p>
    <w:p w:rsidR="00186D95" w:rsidRPr="0003235E" w:rsidRDefault="00186D95" w:rsidP="00186D95">
      <w:pPr>
        <w:pStyle w:val="Heading3"/>
        <w:rPr>
          <w:color w:val="auto"/>
        </w:rPr>
      </w:pPr>
      <w:bookmarkStart w:id="8" w:name="_Toc330488014"/>
      <w:r w:rsidRPr="0003235E">
        <w:rPr>
          <w:color w:val="auto"/>
        </w:rPr>
        <w:t>Conclusions</w:t>
      </w:r>
      <w:bookmarkEnd w:id="8"/>
    </w:p>
    <w:p w:rsidR="00186D95" w:rsidRDefault="00186D95" w:rsidP="00186D95">
      <w:pPr>
        <w:rPr>
          <w:lang w:val="en-US"/>
        </w:rPr>
      </w:pPr>
    </w:p>
    <w:p w:rsidR="00186D95" w:rsidRDefault="00186D95" w:rsidP="00D20F1C">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This study investigated the pricing behaviour of successfully completed takeover target firm stocks in the period surrounding the first announcement or appearance of a rumour pertaining to the impending event. To the best knowledge of the author, this study is the first to specifically examine pricing behaviour around both announcement and rumour dates </w:t>
      </w:r>
      <w:r w:rsidR="00D20F1C">
        <w:rPr>
          <w:rFonts w:asciiTheme="minorHAnsi" w:hAnsiTheme="minorHAnsi"/>
          <w:sz w:val="22"/>
          <w:szCs w:val="22"/>
        </w:rPr>
        <w:t xml:space="preserve">that </w:t>
      </w:r>
      <w:r>
        <w:rPr>
          <w:rFonts w:asciiTheme="minorHAnsi" w:hAnsiTheme="minorHAnsi"/>
          <w:sz w:val="22"/>
          <w:szCs w:val="22"/>
        </w:rPr>
        <w:t>specifically relat</w:t>
      </w:r>
      <w:r w:rsidR="00473166">
        <w:rPr>
          <w:rFonts w:asciiTheme="minorHAnsi" w:hAnsiTheme="minorHAnsi"/>
          <w:sz w:val="22"/>
          <w:szCs w:val="22"/>
        </w:rPr>
        <w:t>e</w:t>
      </w:r>
      <w:r>
        <w:rPr>
          <w:rFonts w:asciiTheme="minorHAnsi" w:hAnsiTheme="minorHAnsi"/>
          <w:sz w:val="22"/>
          <w:szCs w:val="22"/>
        </w:rPr>
        <w:t xml:space="preserve"> to mergers and acquisitions in the ten year period since FMSA (2000). It goes further than previous studies of its kind in that it assesses the effectiveness of regulation and enforcement initiatives through employing a wider event window</w:t>
      </w:r>
      <w:r w:rsidR="00D20F1C">
        <w:rPr>
          <w:rFonts w:asciiTheme="minorHAnsi" w:hAnsiTheme="minorHAnsi"/>
          <w:sz w:val="22"/>
          <w:szCs w:val="22"/>
        </w:rPr>
        <w:t xml:space="preserve"> that catches earlier movements in price</w:t>
      </w:r>
      <w:r>
        <w:rPr>
          <w:rFonts w:asciiTheme="minorHAnsi" w:hAnsiTheme="minorHAnsi"/>
          <w:sz w:val="22"/>
          <w:szCs w:val="22"/>
        </w:rPr>
        <w:t xml:space="preserve">. </w:t>
      </w:r>
    </w:p>
    <w:p w:rsidR="00186D95" w:rsidRDefault="00186D95" w:rsidP="00186D9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In both samples the results indicate that there appears to be activity that suggests informed trading occurs prior to the public release of the information. The appearance of </w:t>
      </w:r>
      <w:r w:rsidR="00D20F1C">
        <w:rPr>
          <w:rFonts w:asciiTheme="minorHAnsi" w:hAnsiTheme="minorHAnsi"/>
          <w:sz w:val="22"/>
          <w:szCs w:val="22"/>
        </w:rPr>
        <w:t xml:space="preserve">abnormal returns </w:t>
      </w:r>
      <w:r>
        <w:rPr>
          <w:rFonts w:asciiTheme="minorHAnsi" w:hAnsiTheme="minorHAnsi"/>
          <w:sz w:val="22"/>
          <w:szCs w:val="22"/>
        </w:rPr>
        <w:t>forerunning announcements is something which has been well documented in the l</w:t>
      </w:r>
      <w:r w:rsidR="007E5E3D">
        <w:rPr>
          <w:rFonts w:asciiTheme="minorHAnsi" w:hAnsiTheme="minorHAnsi"/>
          <w:sz w:val="22"/>
          <w:szCs w:val="22"/>
        </w:rPr>
        <w:t>iterature (</w:t>
      </w:r>
      <w:proofErr w:type="spellStart"/>
      <w:r w:rsidR="007E5E3D">
        <w:rPr>
          <w:rFonts w:asciiTheme="minorHAnsi" w:hAnsiTheme="minorHAnsi"/>
          <w:sz w:val="22"/>
          <w:szCs w:val="22"/>
        </w:rPr>
        <w:t>Seyhun</w:t>
      </w:r>
      <w:proofErr w:type="spellEnd"/>
      <w:r w:rsidR="007E5E3D">
        <w:rPr>
          <w:rFonts w:asciiTheme="minorHAnsi" w:hAnsiTheme="minorHAnsi"/>
          <w:sz w:val="22"/>
          <w:szCs w:val="22"/>
        </w:rPr>
        <w:t xml:space="preserve"> 1992, </w:t>
      </w:r>
      <w:proofErr w:type="spellStart"/>
      <w:r w:rsidR="007E5E3D">
        <w:rPr>
          <w:rFonts w:asciiTheme="minorHAnsi" w:hAnsiTheme="minorHAnsi"/>
          <w:sz w:val="22"/>
          <w:szCs w:val="22"/>
        </w:rPr>
        <w:t>Meulbroe</w:t>
      </w:r>
      <w:r>
        <w:rPr>
          <w:rFonts w:asciiTheme="minorHAnsi" w:hAnsiTheme="minorHAnsi"/>
          <w:sz w:val="22"/>
          <w:szCs w:val="22"/>
        </w:rPr>
        <w:t>k</w:t>
      </w:r>
      <w:proofErr w:type="spellEnd"/>
      <w:r>
        <w:rPr>
          <w:rFonts w:asciiTheme="minorHAnsi" w:hAnsiTheme="minorHAnsi"/>
          <w:sz w:val="22"/>
          <w:szCs w:val="22"/>
        </w:rPr>
        <w:t xml:space="preserve"> 1992, Jarrell and </w:t>
      </w:r>
      <w:proofErr w:type="spellStart"/>
      <w:r>
        <w:rPr>
          <w:rFonts w:asciiTheme="minorHAnsi" w:hAnsiTheme="minorHAnsi"/>
          <w:sz w:val="22"/>
          <w:szCs w:val="22"/>
        </w:rPr>
        <w:t>Poulsen</w:t>
      </w:r>
      <w:proofErr w:type="spellEnd"/>
      <w:r>
        <w:rPr>
          <w:rFonts w:asciiTheme="minorHAnsi" w:hAnsiTheme="minorHAnsi"/>
          <w:sz w:val="22"/>
          <w:szCs w:val="22"/>
        </w:rPr>
        <w:t xml:space="preserve"> 1989, </w:t>
      </w:r>
      <w:proofErr w:type="spellStart"/>
      <w:r w:rsidR="00D20F1C">
        <w:rPr>
          <w:rFonts w:asciiTheme="minorHAnsi" w:hAnsiTheme="minorHAnsi"/>
          <w:sz w:val="22"/>
          <w:szCs w:val="22"/>
        </w:rPr>
        <w:t>Dubow</w:t>
      </w:r>
      <w:proofErr w:type="spellEnd"/>
      <w:r w:rsidR="00D20F1C">
        <w:rPr>
          <w:rFonts w:asciiTheme="minorHAnsi" w:hAnsiTheme="minorHAnsi"/>
          <w:sz w:val="22"/>
          <w:szCs w:val="22"/>
        </w:rPr>
        <w:t xml:space="preserve"> and Monteiro 2006, </w:t>
      </w:r>
      <w:proofErr w:type="spellStart"/>
      <w:r>
        <w:rPr>
          <w:rFonts w:asciiTheme="minorHAnsi" w:hAnsiTheme="minorHAnsi"/>
          <w:sz w:val="22"/>
          <w:szCs w:val="22"/>
        </w:rPr>
        <w:t>Korczak</w:t>
      </w:r>
      <w:proofErr w:type="spellEnd"/>
      <w:r>
        <w:rPr>
          <w:rFonts w:asciiTheme="minorHAnsi" w:hAnsiTheme="minorHAnsi"/>
          <w:sz w:val="22"/>
          <w:szCs w:val="22"/>
        </w:rPr>
        <w:t xml:space="preserve"> et al 2010, among others). </w:t>
      </w:r>
    </w:p>
    <w:p w:rsidR="00186D95" w:rsidRDefault="00186D95" w:rsidP="00186D95">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The influence of the media rumours on </w:t>
      </w:r>
      <w:r w:rsidR="00D20F1C">
        <w:rPr>
          <w:rFonts w:asciiTheme="minorHAnsi" w:hAnsiTheme="minorHAnsi"/>
          <w:sz w:val="22"/>
          <w:szCs w:val="22"/>
        </w:rPr>
        <w:t xml:space="preserve">residuals </w:t>
      </w:r>
      <w:r>
        <w:rPr>
          <w:rFonts w:asciiTheme="minorHAnsi" w:hAnsiTheme="minorHAnsi"/>
          <w:sz w:val="22"/>
          <w:szCs w:val="22"/>
        </w:rPr>
        <w:t xml:space="preserve">can be ruled out when a sample is constructed consisting of rumour dates and announcement dates for which no previous indication of an impending bid exists. The presence of a run-up prior to a rumour date is something which has been confirmed by Pound and </w:t>
      </w:r>
      <w:proofErr w:type="spellStart"/>
      <w:r>
        <w:rPr>
          <w:rFonts w:asciiTheme="minorHAnsi" w:hAnsiTheme="minorHAnsi"/>
          <w:sz w:val="22"/>
          <w:szCs w:val="22"/>
        </w:rPr>
        <w:t>Zeckhauser</w:t>
      </w:r>
      <w:proofErr w:type="spellEnd"/>
      <w:r>
        <w:rPr>
          <w:rFonts w:asciiTheme="minorHAnsi" w:hAnsiTheme="minorHAnsi"/>
          <w:sz w:val="22"/>
          <w:szCs w:val="22"/>
        </w:rPr>
        <w:t xml:space="preserve"> (1990</w:t>
      </w:r>
      <w:r w:rsidRPr="00F15DCD">
        <w:rPr>
          <w:rFonts w:asciiTheme="minorHAnsi" w:hAnsiTheme="minorHAnsi"/>
          <w:sz w:val="22"/>
          <w:szCs w:val="22"/>
        </w:rPr>
        <w:t xml:space="preserve">). However, as </w:t>
      </w:r>
      <w:r w:rsidR="00D20F1C" w:rsidRPr="00F15DCD">
        <w:rPr>
          <w:rFonts w:asciiTheme="minorHAnsi" w:hAnsiTheme="minorHAnsi"/>
          <w:sz w:val="22"/>
          <w:szCs w:val="22"/>
        </w:rPr>
        <w:t>abnormal returns</w:t>
      </w:r>
      <w:r w:rsidRPr="00F15DCD">
        <w:rPr>
          <w:rFonts w:asciiTheme="minorHAnsi" w:hAnsiTheme="minorHAnsi"/>
          <w:sz w:val="22"/>
          <w:szCs w:val="22"/>
        </w:rPr>
        <w:t xml:space="preserve"> are similar for both samples this </w:t>
      </w:r>
      <w:r w:rsidR="00F15DCD">
        <w:rPr>
          <w:rFonts w:asciiTheme="minorHAnsi" w:hAnsiTheme="minorHAnsi"/>
          <w:sz w:val="22"/>
          <w:szCs w:val="22"/>
        </w:rPr>
        <w:t>implies</w:t>
      </w:r>
      <w:r w:rsidRPr="00F15DCD">
        <w:rPr>
          <w:rFonts w:asciiTheme="minorHAnsi" w:hAnsiTheme="minorHAnsi"/>
          <w:sz w:val="22"/>
          <w:szCs w:val="22"/>
        </w:rPr>
        <w:t xml:space="preserve"> that the run-up is </w:t>
      </w:r>
      <w:r w:rsidR="00F15DCD">
        <w:rPr>
          <w:rFonts w:asciiTheme="minorHAnsi" w:hAnsiTheme="minorHAnsi"/>
          <w:sz w:val="22"/>
          <w:szCs w:val="22"/>
        </w:rPr>
        <w:t xml:space="preserve">less likely to be attributable to media generated rumour. </w:t>
      </w:r>
      <w:r w:rsidRPr="00F15DCD">
        <w:rPr>
          <w:rFonts w:asciiTheme="minorHAnsi" w:hAnsiTheme="minorHAnsi"/>
          <w:sz w:val="22"/>
          <w:szCs w:val="22"/>
        </w:rPr>
        <w:t>The</w:t>
      </w:r>
      <w:r>
        <w:rPr>
          <w:rFonts w:asciiTheme="minorHAnsi" w:hAnsiTheme="minorHAnsi"/>
          <w:sz w:val="22"/>
          <w:szCs w:val="22"/>
        </w:rPr>
        <w:t xml:space="preserve"> similarity in </w:t>
      </w:r>
      <w:r w:rsidR="00D20F1C">
        <w:rPr>
          <w:rFonts w:asciiTheme="minorHAnsi" w:hAnsiTheme="minorHAnsi"/>
          <w:sz w:val="22"/>
          <w:szCs w:val="22"/>
        </w:rPr>
        <w:t>residuals are</w:t>
      </w:r>
      <w:r>
        <w:rPr>
          <w:rFonts w:asciiTheme="minorHAnsi" w:hAnsiTheme="minorHAnsi"/>
          <w:sz w:val="22"/>
          <w:szCs w:val="22"/>
        </w:rPr>
        <w:t xml:space="preserve"> explained by the </w:t>
      </w:r>
      <w:r>
        <w:rPr>
          <w:rFonts w:asciiTheme="minorHAnsi" w:hAnsiTheme="minorHAnsi"/>
          <w:sz w:val="22"/>
          <w:szCs w:val="22"/>
        </w:rPr>
        <w:lastRenderedPageBreak/>
        <w:t xml:space="preserve">fact that in both samples the majority of event dates are the same, and that in all firms the takeovers are eventually completed. Insider activity is more plausible ahead of a rumour date because rumours are generated by market watchers who notice unusual activity in firms stocks (Pound and </w:t>
      </w:r>
      <w:proofErr w:type="spellStart"/>
      <w:r>
        <w:rPr>
          <w:rFonts w:asciiTheme="minorHAnsi" w:hAnsiTheme="minorHAnsi"/>
          <w:sz w:val="22"/>
          <w:szCs w:val="22"/>
        </w:rPr>
        <w:t>Zeckhauser</w:t>
      </w:r>
      <w:proofErr w:type="spellEnd"/>
      <w:r>
        <w:rPr>
          <w:rFonts w:asciiTheme="minorHAnsi" w:hAnsiTheme="minorHAnsi"/>
          <w:sz w:val="22"/>
          <w:szCs w:val="22"/>
        </w:rPr>
        <w:t xml:space="preserve"> 1990). In the instances where rumours turned out to be true, the driving force behind the change could have been informed.</w:t>
      </w:r>
    </w:p>
    <w:p w:rsidR="000C561C" w:rsidRDefault="00186D95" w:rsidP="000C561C">
      <w:pPr>
        <w:pStyle w:val="Standard"/>
        <w:spacing w:line="480" w:lineRule="auto"/>
        <w:ind w:left="851" w:firstLine="589"/>
        <w:jc w:val="both"/>
        <w:rPr>
          <w:rFonts w:asciiTheme="minorHAnsi" w:hAnsiTheme="minorHAnsi"/>
          <w:sz w:val="22"/>
          <w:szCs w:val="22"/>
        </w:rPr>
      </w:pPr>
      <w:r>
        <w:rPr>
          <w:rFonts w:asciiTheme="minorHAnsi" w:hAnsiTheme="minorHAnsi"/>
          <w:sz w:val="22"/>
          <w:szCs w:val="22"/>
        </w:rPr>
        <w:t xml:space="preserve">As the presence of rumours in the media does not appear to influence abnormal returns the temptation is to ascribe the price behaviour to unidentified insider trades. </w:t>
      </w:r>
      <w:r w:rsidR="000C561C">
        <w:rPr>
          <w:rFonts w:asciiTheme="minorHAnsi" w:hAnsiTheme="minorHAnsi"/>
          <w:sz w:val="22"/>
          <w:szCs w:val="22"/>
        </w:rPr>
        <w:t xml:space="preserve">Our basis for assuming this is that </w:t>
      </w:r>
      <w:r>
        <w:rPr>
          <w:rFonts w:asciiTheme="minorHAnsi" w:hAnsiTheme="minorHAnsi"/>
          <w:sz w:val="22"/>
          <w:szCs w:val="22"/>
        </w:rPr>
        <w:t xml:space="preserve">in the UK, a number of successful prosecutions have been </w:t>
      </w:r>
      <w:r w:rsidR="000C561C">
        <w:rPr>
          <w:rFonts w:asciiTheme="minorHAnsi" w:hAnsiTheme="minorHAnsi"/>
          <w:sz w:val="22"/>
          <w:szCs w:val="22"/>
        </w:rPr>
        <w:t xml:space="preserve">already been </w:t>
      </w:r>
      <w:r>
        <w:rPr>
          <w:rFonts w:asciiTheme="minorHAnsi" w:hAnsiTheme="minorHAnsi"/>
          <w:sz w:val="22"/>
          <w:szCs w:val="22"/>
        </w:rPr>
        <w:t>brought against individuals who have received tip offs that a takeover may occur, or who have had access to this knowledge while acting as an intermediary. Furthermore, the opportunities to disseminate the information to individuals to act on the behalf of the senior people within a company who are compelled to disclose trading activities still remain. Although the legislation is designed to take these conditions into consideration, following up on every suspicious trade and tracing the information on which this was based back to its source would be an almost impossible task.</w:t>
      </w:r>
    </w:p>
    <w:p w:rsidR="00186D95" w:rsidRDefault="00186D95" w:rsidP="000C561C">
      <w:pPr>
        <w:spacing w:after="0" w:line="480" w:lineRule="auto"/>
        <w:ind w:left="851" w:firstLine="589"/>
        <w:rPr>
          <w:rFonts w:eastAsia="Lucida Sans Unicode" w:cs="Mangal"/>
          <w:kern w:val="3"/>
          <w:lang w:eastAsia="zh-CN" w:bidi="hi-IN"/>
        </w:rPr>
      </w:pPr>
      <w:r>
        <w:rPr>
          <w:rFonts w:eastAsia="Lucida Sans Unicode" w:cs="Mangal"/>
          <w:kern w:val="3"/>
          <w:lang w:eastAsia="zh-CN" w:bidi="hi-IN"/>
        </w:rPr>
        <w:t>T</w:t>
      </w:r>
      <w:r w:rsidRPr="00186D95">
        <w:rPr>
          <w:rFonts w:eastAsia="Lucida Sans Unicode" w:cs="Mangal"/>
          <w:kern w:val="3"/>
          <w:lang w:eastAsia="zh-CN" w:bidi="hi-IN"/>
        </w:rPr>
        <w:t xml:space="preserve">his study demonstrates that despite enhanced legislation and powers of enforcement, insider trading ahead of mergers and acquisitions may still occur in the UK. In light of this, the efficacy of the current system for preserving market integrity must </w:t>
      </w:r>
      <w:r w:rsidR="00B82DA9">
        <w:rPr>
          <w:rFonts w:eastAsia="Lucida Sans Unicode" w:cs="Mangal"/>
          <w:kern w:val="3"/>
          <w:lang w:eastAsia="zh-CN" w:bidi="hi-IN"/>
        </w:rPr>
        <w:t>be brought</w:t>
      </w:r>
      <w:r w:rsidRPr="00186D95">
        <w:rPr>
          <w:rFonts w:eastAsia="Lucida Sans Unicode" w:cs="Mangal"/>
          <w:kern w:val="3"/>
          <w:lang w:eastAsia="zh-CN" w:bidi="hi-IN"/>
        </w:rPr>
        <w:t xml:space="preserve"> under scrutiny. The question policymakers are left with is: ‘If market abuse legislation proves ineffective, should the response be to strengthen legislation and/or to endow the F</w:t>
      </w:r>
      <w:r w:rsidR="00B82DA9">
        <w:rPr>
          <w:rFonts w:eastAsia="Lucida Sans Unicode" w:cs="Mangal"/>
          <w:kern w:val="3"/>
          <w:lang w:eastAsia="zh-CN" w:bidi="hi-IN"/>
        </w:rPr>
        <w:t>C</w:t>
      </w:r>
      <w:r w:rsidRPr="00186D95">
        <w:rPr>
          <w:rFonts w:eastAsia="Lucida Sans Unicode" w:cs="Mangal"/>
          <w:kern w:val="3"/>
          <w:lang w:eastAsia="zh-CN" w:bidi="hi-IN"/>
        </w:rPr>
        <w:t xml:space="preserve">A with greater powers?’ Certainly a situation where unequal access to information between investors </w:t>
      </w:r>
      <w:r>
        <w:rPr>
          <w:rFonts w:eastAsia="Lucida Sans Unicode" w:cs="Mangal"/>
          <w:kern w:val="3"/>
          <w:lang w:eastAsia="zh-CN" w:bidi="hi-IN"/>
        </w:rPr>
        <w:t xml:space="preserve">becomes the basis for a </w:t>
      </w:r>
      <w:r w:rsidR="00B82DA9">
        <w:rPr>
          <w:rFonts w:eastAsia="Lucida Sans Unicode" w:cs="Mangal"/>
          <w:kern w:val="3"/>
          <w:lang w:eastAsia="zh-CN" w:bidi="hi-IN"/>
        </w:rPr>
        <w:t>trading strategy for one party,</w:t>
      </w:r>
      <w:r w:rsidRPr="00186D95">
        <w:rPr>
          <w:rFonts w:eastAsia="Lucida Sans Unicode" w:cs="Mangal"/>
          <w:kern w:val="3"/>
          <w:lang w:eastAsia="zh-CN" w:bidi="hi-IN"/>
        </w:rPr>
        <w:t xml:space="preserve"> will serve only to increase the cost of equity for all market participants.</w:t>
      </w:r>
    </w:p>
    <w:p w:rsidR="00ED159D" w:rsidRDefault="00C61E2F" w:rsidP="00C61E2F">
      <w:pPr>
        <w:rPr>
          <w:rFonts w:eastAsia="Lucida Sans Unicode" w:cs="Mangal"/>
          <w:b/>
          <w:kern w:val="3"/>
          <w:u w:val="single"/>
          <w:lang w:eastAsia="zh-CN" w:bidi="hi-IN"/>
        </w:rPr>
      </w:pPr>
      <w:r>
        <w:rPr>
          <w:rFonts w:eastAsia="Lucida Sans Unicode" w:cs="Mangal"/>
          <w:b/>
          <w:kern w:val="3"/>
          <w:u w:val="single"/>
          <w:lang w:eastAsia="zh-CN" w:bidi="hi-IN"/>
        </w:rPr>
        <w:br w:type="page"/>
      </w:r>
    </w:p>
    <w:p w:rsidR="00ED159D" w:rsidRDefault="00ED159D" w:rsidP="0003235E">
      <w:pPr>
        <w:pStyle w:val="Heading3"/>
        <w:rPr>
          <w:color w:val="auto"/>
        </w:rPr>
      </w:pPr>
      <w:r w:rsidRPr="0003235E">
        <w:rPr>
          <w:color w:val="auto"/>
        </w:rPr>
        <w:lastRenderedPageBreak/>
        <w:t>References</w:t>
      </w:r>
    </w:p>
    <w:p w:rsidR="0003235E" w:rsidRPr="0003235E" w:rsidRDefault="0003235E" w:rsidP="0003235E"/>
    <w:p w:rsidR="00885AF7" w:rsidRDefault="00885AF7" w:rsidP="00885AF7">
      <w:pPr>
        <w:spacing w:after="120" w:line="480" w:lineRule="auto"/>
        <w:ind w:left="720"/>
        <w:jc w:val="both"/>
      </w:pPr>
      <w:r w:rsidRPr="00885AF7">
        <w:t xml:space="preserve">Anderson, R. </w:t>
      </w:r>
      <w:proofErr w:type="spellStart"/>
      <w:r w:rsidRPr="00885AF7">
        <w:t>Reeb</w:t>
      </w:r>
      <w:proofErr w:type="spellEnd"/>
      <w:r w:rsidRPr="00885AF7">
        <w:t xml:space="preserve">, D. Zhang, Y. and Zhao, W. (2013) </w:t>
      </w:r>
      <w:proofErr w:type="gramStart"/>
      <w:r w:rsidRPr="00885AF7">
        <w:t>The</w:t>
      </w:r>
      <w:proofErr w:type="gramEnd"/>
      <w:r w:rsidRPr="00885AF7">
        <w:t xml:space="preserve"> efficacy of regulatory intervention: Evidence from the distribution of informed option trading. </w:t>
      </w:r>
      <w:proofErr w:type="gramStart"/>
      <w:r w:rsidRPr="00885AF7">
        <w:t>The Journal of Banking and Finance.</w:t>
      </w:r>
      <w:proofErr w:type="gramEnd"/>
      <w:r w:rsidRPr="00885AF7">
        <w:t xml:space="preserve"> Vol. 31, No. 11, pp. 4337-4352.</w:t>
      </w:r>
    </w:p>
    <w:p w:rsidR="00ED159D" w:rsidRDefault="00ED159D" w:rsidP="00ED159D">
      <w:pPr>
        <w:spacing w:line="480" w:lineRule="auto"/>
        <w:ind w:left="720"/>
        <w:jc w:val="both"/>
      </w:pPr>
      <w:r>
        <w:t>Agrawal, A. and Nasser, T., (2012) Insider Trading in Takeover Targets, Journal of Corporate Finance. Vol. 18, No. 3, pp. 598-625.</w:t>
      </w:r>
    </w:p>
    <w:p w:rsidR="00ED159D" w:rsidRDefault="00ED159D" w:rsidP="00ED159D">
      <w:pPr>
        <w:spacing w:line="480" w:lineRule="auto"/>
        <w:ind w:left="720"/>
        <w:jc w:val="both"/>
      </w:pPr>
      <w:r w:rsidRPr="00ED159D">
        <w:t xml:space="preserve">Asquith, P. (1983) Merger bids, uncertainty, and stockholder returns. </w:t>
      </w:r>
      <w:proofErr w:type="gramStart"/>
      <w:r w:rsidRPr="00ED159D">
        <w:t>Journal of Financial Economics.</w:t>
      </w:r>
      <w:proofErr w:type="gramEnd"/>
      <w:r w:rsidRPr="00ED159D">
        <w:t xml:space="preserve"> Vol. 11, No. 1-4, pages 51-83.</w:t>
      </w:r>
    </w:p>
    <w:p w:rsidR="00302F86" w:rsidRDefault="00302F86" w:rsidP="00302F86">
      <w:pPr>
        <w:spacing w:line="480" w:lineRule="auto"/>
        <w:ind w:left="720"/>
        <w:jc w:val="both"/>
      </w:pPr>
      <w:r>
        <w:t xml:space="preserve">Austin, J. (2015) </w:t>
      </w:r>
      <w:r w:rsidRPr="00302F86">
        <w:t xml:space="preserve">Unusual Trade or Market Manipulation? How Market Abuse is </w:t>
      </w:r>
      <w:proofErr w:type="gramStart"/>
      <w:r w:rsidRPr="00302F86">
        <w:t>Detected</w:t>
      </w:r>
      <w:proofErr w:type="gramEnd"/>
      <w:r w:rsidRPr="00302F86">
        <w:t xml:space="preserve"> by Securities Regulators, Trading Venues and Self-Regulatory Organizations</w:t>
      </w:r>
      <w:r>
        <w:t xml:space="preserve">. Journal of Financial Regulation, </w:t>
      </w:r>
      <w:r w:rsidRPr="00302F86">
        <w:t xml:space="preserve">0, </w:t>
      </w:r>
      <w:r>
        <w:t xml:space="preserve">pp. </w:t>
      </w:r>
      <w:r w:rsidRPr="00302F86">
        <w:t>1–</w:t>
      </w:r>
      <w:r>
        <w:t xml:space="preserve">21. </w:t>
      </w:r>
      <w:proofErr w:type="spellStart"/>
      <w:r w:rsidRPr="00302F86">
        <w:t>doi</w:t>
      </w:r>
      <w:proofErr w:type="spellEnd"/>
      <w:r w:rsidRPr="00302F86">
        <w:t>: 10.1093/</w:t>
      </w:r>
      <w:proofErr w:type="spellStart"/>
      <w:r w:rsidRPr="00302F86">
        <w:t>jfr</w:t>
      </w:r>
      <w:proofErr w:type="spellEnd"/>
      <w:r w:rsidRPr="00302F86">
        <w:t>/fjv003</w:t>
      </w:r>
      <w:bookmarkStart w:id="9" w:name="_GoBack"/>
      <w:bookmarkEnd w:id="9"/>
    </w:p>
    <w:p w:rsidR="00ED159D" w:rsidRPr="00ED159D" w:rsidRDefault="00ED159D" w:rsidP="00ED159D">
      <w:pPr>
        <w:spacing w:line="480" w:lineRule="auto"/>
        <w:ind w:left="720"/>
        <w:jc w:val="both"/>
      </w:pPr>
      <w:r w:rsidRPr="00ED159D">
        <w:t xml:space="preserve">Barnes, P. (1999) Predicting UK Takeover Targets: some Methodological Issues and an Empirical Study. </w:t>
      </w:r>
      <w:proofErr w:type="gramStart"/>
      <w:r w:rsidRPr="00ED159D">
        <w:t>Review of Quantitative Finance and Accounting.</w:t>
      </w:r>
      <w:proofErr w:type="gramEnd"/>
      <w:r w:rsidRPr="00ED159D">
        <w:t xml:space="preserve"> Vol. 12, No. 3, pp. 283–301.</w:t>
      </w:r>
    </w:p>
    <w:p w:rsidR="00ED159D" w:rsidRPr="00ED159D" w:rsidRDefault="00ED159D" w:rsidP="00ED159D">
      <w:pPr>
        <w:spacing w:line="480" w:lineRule="auto"/>
        <w:ind w:left="720"/>
        <w:jc w:val="both"/>
      </w:pPr>
      <w:r w:rsidRPr="00ED159D">
        <w:t xml:space="preserve">Barnes, P. (2000) The Identification of UK Takeover Targets using Published Historical Cost Accounting Data: Some Empirical Evidence comparing Logit with Linear Discriminant Analysis and Raw Financial Ratios with Industry-relative Ratios. </w:t>
      </w:r>
      <w:proofErr w:type="gramStart"/>
      <w:r w:rsidRPr="00ED159D">
        <w:t>International Review of Financial Analysis.</w:t>
      </w:r>
      <w:proofErr w:type="gramEnd"/>
      <w:r w:rsidRPr="00ED159D">
        <w:t xml:space="preserve"> Vol. 9, No. 2, pp. 147–62.</w:t>
      </w:r>
    </w:p>
    <w:p w:rsidR="00ED159D" w:rsidRDefault="00ED159D" w:rsidP="00ED159D">
      <w:pPr>
        <w:spacing w:line="480" w:lineRule="auto"/>
        <w:ind w:left="720"/>
        <w:jc w:val="both"/>
      </w:pPr>
      <w:r w:rsidRPr="00ED159D">
        <w:t xml:space="preserve">Becker, G. S. (1993) Nobel Lecture: The Economic Way of Looking at Behaviour. </w:t>
      </w:r>
      <w:proofErr w:type="gramStart"/>
      <w:r w:rsidRPr="00ED159D">
        <w:t>The Journal of Political Economy.</w:t>
      </w:r>
      <w:proofErr w:type="gramEnd"/>
      <w:r w:rsidRPr="00ED159D">
        <w:t xml:space="preserve"> Vol. 101, No. 3, pp. 385-409.</w:t>
      </w:r>
    </w:p>
    <w:p w:rsidR="0061497D" w:rsidRPr="0061497D" w:rsidRDefault="0061497D" w:rsidP="0061497D">
      <w:pPr>
        <w:spacing w:after="0" w:line="480" w:lineRule="auto"/>
        <w:ind w:left="720"/>
        <w:jc w:val="both"/>
      </w:pPr>
      <w:proofErr w:type="spellStart"/>
      <w:proofErr w:type="gramStart"/>
      <w:r w:rsidRPr="00593EFB">
        <w:t>Beny</w:t>
      </w:r>
      <w:proofErr w:type="spellEnd"/>
      <w:r w:rsidRPr="0061497D">
        <w:t>, L.N., 2005.</w:t>
      </w:r>
      <w:proofErr w:type="gramEnd"/>
      <w:r w:rsidRPr="0061497D">
        <w:t xml:space="preserve"> Do insider trading laws matter? </w:t>
      </w:r>
      <w:proofErr w:type="gramStart"/>
      <w:r w:rsidRPr="0061497D">
        <w:t>Some preliminary comparative evidence.</w:t>
      </w:r>
      <w:proofErr w:type="gramEnd"/>
    </w:p>
    <w:p w:rsidR="0061497D" w:rsidRPr="0061497D" w:rsidRDefault="0061497D" w:rsidP="0061497D">
      <w:pPr>
        <w:spacing w:after="0" w:line="480" w:lineRule="auto"/>
        <w:ind w:left="720"/>
        <w:jc w:val="both"/>
      </w:pPr>
      <w:proofErr w:type="gramStart"/>
      <w:r w:rsidRPr="0061497D">
        <w:t>American Law and Economics Review</w:t>
      </w:r>
      <w:r w:rsidRPr="0061497D">
        <w:t>.</w:t>
      </w:r>
      <w:proofErr w:type="gramEnd"/>
      <w:r w:rsidRPr="0061497D">
        <w:t xml:space="preserve"> </w:t>
      </w:r>
      <w:r w:rsidRPr="0061497D">
        <w:t xml:space="preserve">Vol. </w:t>
      </w:r>
      <w:r w:rsidRPr="0061497D">
        <w:t xml:space="preserve">7, </w:t>
      </w:r>
      <w:r w:rsidRPr="0061497D">
        <w:t xml:space="preserve">pp. </w:t>
      </w:r>
      <w:r w:rsidRPr="0061497D">
        <w:t>144-183.</w:t>
      </w:r>
    </w:p>
    <w:p w:rsidR="0061497D" w:rsidRDefault="0061497D" w:rsidP="0061497D">
      <w:pPr>
        <w:autoSpaceDE w:val="0"/>
        <w:autoSpaceDN w:val="0"/>
        <w:adjustRightInd w:val="0"/>
        <w:spacing w:after="0" w:line="240" w:lineRule="auto"/>
        <w:rPr>
          <w:rFonts w:ascii="TimesNewRomanPSMT" w:hAnsi="TimesNewRomanPSMT" w:cs="TimesNewRomanPSMT"/>
          <w:sz w:val="24"/>
          <w:szCs w:val="24"/>
        </w:rPr>
      </w:pPr>
    </w:p>
    <w:p w:rsidR="0061497D" w:rsidRPr="0061497D" w:rsidRDefault="00593EFB" w:rsidP="0061497D">
      <w:pPr>
        <w:spacing w:after="0" w:line="480" w:lineRule="auto"/>
        <w:ind w:left="720"/>
        <w:jc w:val="both"/>
      </w:pPr>
      <w:proofErr w:type="spellStart"/>
      <w:proofErr w:type="gramStart"/>
      <w:r w:rsidRPr="00593EFB">
        <w:t>B</w:t>
      </w:r>
      <w:r w:rsidR="0061497D" w:rsidRPr="0061497D">
        <w:t>eny</w:t>
      </w:r>
      <w:proofErr w:type="spellEnd"/>
      <w:r w:rsidR="0061497D" w:rsidRPr="0061497D">
        <w:t>, L.N., 2007.</w:t>
      </w:r>
      <w:proofErr w:type="gramEnd"/>
      <w:r w:rsidR="0061497D" w:rsidRPr="0061497D">
        <w:t xml:space="preserve"> Insider trading laws and stock markets around the world: an empirical</w:t>
      </w:r>
    </w:p>
    <w:p w:rsidR="00AD0414" w:rsidRDefault="0061497D" w:rsidP="00593EFB">
      <w:pPr>
        <w:spacing w:after="100" w:afterAutospacing="1" w:line="480" w:lineRule="auto"/>
        <w:ind w:left="720"/>
        <w:jc w:val="both"/>
      </w:pPr>
      <w:proofErr w:type="gramStart"/>
      <w:r w:rsidRPr="0061497D">
        <w:t>contribution</w:t>
      </w:r>
      <w:proofErr w:type="gramEnd"/>
      <w:r w:rsidRPr="0061497D">
        <w:t xml:space="preserve"> to the theoretical law and economics deb</w:t>
      </w:r>
      <w:r w:rsidR="00AD0414">
        <w:t xml:space="preserve">ate. </w:t>
      </w:r>
      <w:proofErr w:type="gramStart"/>
      <w:r w:rsidR="00AD0414">
        <w:t>Journal of Corporation Law.</w:t>
      </w:r>
      <w:proofErr w:type="gramEnd"/>
      <w:r w:rsidR="00AD0414">
        <w:t xml:space="preserve"> Vol</w:t>
      </w:r>
      <w:r w:rsidR="00593EFB">
        <w:t>.</w:t>
      </w:r>
      <w:r w:rsidR="00AD0414">
        <w:t xml:space="preserve"> 32, pp. </w:t>
      </w:r>
      <w:r w:rsidRPr="0061497D">
        <w:t>237-300.</w:t>
      </w:r>
    </w:p>
    <w:p w:rsidR="00ED159D" w:rsidRDefault="00ED159D" w:rsidP="00AD0414">
      <w:pPr>
        <w:spacing w:after="100" w:afterAutospacing="1" w:line="480" w:lineRule="auto"/>
        <w:ind w:left="720"/>
        <w:jc w:val="both"/>
      </w:pPr>
      <w:proofErr w:type="spellStart"/>
      <w:r w:rsidRPr="00ED159D">
        <w:t>Bettis</w:t>
      </w:r>
      <w:proofErr w:type="spellEnd"/>
      <w:r w:rsidRPr="00ED159D">
        <w:t>, J. C. Coles, J.L. and Lemmon, M.L. (2000) Corporate Policies Restricting Trading by Insiders, Journal of Financial Economics, Vol.57, No.2, pp. 191-220.</w:t>
      </w:r>
    </w:p>
    <w:p w:rsidR="00474322" w:rsidRDefault="00161060" w:rsidP="00474322">
      <w:pPr>
        <w:spacing w:line="480" w:lineRule="auto"/>
        <w:ind w:left="720"/>
        <w:jc w:val="both"/>
      </w:pPr>
      <w:hyperlink r:id="rId10" w:anchor="bbib1" w:history="1">
        <w:r w:rsidR="00474322" w:rsidRPr="00014BE4">
          <w:t>Bhattacharya</w:t>
        </w:r>
      </w:hyperlink>
      <w:hyperlink r:id="rId11" w:anchor="bbib1" w:history="1">
        <w:r w:rsidR="00474322" w:rsidRPr="00014BE4">
          <w:t xml:space="preserve">, U. and </w:t>
        </w:r>
        <w:proofErr w:type="spellStart"/>
        <w:r w:rsidR="00474322" w:rsidRPr="00014BE4">
          <w:t>Daouk</w:t>
        </w:r>
        <w:proofErr w:type="spellEnd"/>
        <w:r w:rsidR="00474322" w:rsidRPr="00014BE4">
          <w:t xml:space="preserve">, H. (2002) The World Price of Insider Trading. </w:t>
        </w:r>
      </w:hyperlink>
      <w:hyperlink r:id="rId12" w:anchor="bbib1" w:history="1">
        <w:r w:rsidR="00474322" w:rsidRPr="00474322">
          <w:t>The Journal of Finance,</w:t>
        </w:r>
      </w:hyperlink>
      <w:r w:rsidR="00474322" w:rsidRPr="00014BE4">
        <w:t xml:space="preserve"> </w:t>
      </w:r>
      <w:hyperlink r:id="rId13" w:anchor="bbib1" w:history="1">
        <w:r w:rsidR="00474322" w:rsidRPr="00014BE4">
          <w:t>Vol. 57, No. 1, pp. 75–108</w:t>
        </w:r>
      </w:hyperlink>
      <w:r w:rsidR="00474322" w:rsidRPr="00014BE4">
        <w:t>.</w:t>
      </w:r>
    </w:p>
    <w:p w:rsidR="00474322" w:rsidRPr="00ED159D" w:rsidRDefault="00161060" w:rsidP="00474322">
      <w:pPr>
        <w:spacing w:line="480" w:lineRule="auto"/>
        <w:ind w:left="720"/>
        <w:jc w:val="both"/>
      </w:pPr>
      <w:hyperlink r:id="rId14" w:history="1">
        <w:proofErr w:type="spellStart"/>
        <w:proofErr w:type="gramStart"/>
        <w:r w:rsidR="00474322" w:rsidRPr="00014BE4">
          <w:t>Bialkowski</w:t>
        </w:r>
        <w:proofErr w:type="spellEnd"/>
        <w:r w:rsidR="00474322" w:rsidRPr="00014BE4">
          <w:t>, J, Gottschalk, K and Wisniewski, T. (2008) Stock Market Volatility around National Elections.</w:t>
        </w:r>
        <w:proofErr w:type="gramEnd"/>
        <w:r w:rsidR="00474322" w:rsidRPr="00014BE4">
          <w:t xml:space="preserve"> </w:t>
        </w:r>
      </w:hyperlink>
      <w:hyperlink r:id="rId15" w:history="1">
        <w:proofErr w:type="gramStart"/>
        <w:r w:rsidR="00474322" w:rsidRPr="00474322">
          <w:t>Journal of Banking &amp; Finance</w:t>
        </w:r>
      </w:hyperlink>
      <w:hyperlink r:id="rId16" w:history="1">
        <w:r w:rsidR="00474322" w:rsidRPr="00014BE4">
          <w:t>.</w:t>
        </w:r>
        <w:proofErr w:type="gramEnd"/>
        <w:r w:rsidR="00474322" w:rsidRPr="00014BE4">
          <w:t xml:space="preserve"> Vol. 32, No. 9, pp. 1941-1953</w:t>
        </w:r>
      </w:hyperlink>
      <w:r w:rsidR="00474322" w:rsidRPr="00014BE4">
        <w:t>.</w:t>
      </w:r>
    </w:p>
    <w:p w:rsidR="00ED159D" w:rsidRPr="00ED159D" w:rsidRDefault="00ED159D" w:rsidP="00ED159D">
      <w:pPr>
        <w:spacing w:line="480" w:lineRule="auto"/>
        <w:ind w:left="720"/>
        <w:jc w:val="both"/>
      </w:pPr>
      <w:proofErr w:type="gramStart"/>
      <w:r w:rsidRPr="00ED159D">
        <w:t xml:space="preserve">Bradley, M. (1980) </w:t>
      </w:r>
      <w:proofErr w:type="spellStart"/>
      <w:r w:rsidRPr="00ED159D">
        <w:t>Interfirm</w:t>
      </w:r>
      <w:proofErr w:type="spellEnd"/>
      <w:r w:rsidRPr="00ED159D">
        <w:t xml:space="preserve"> Tender Offers and the Market for Corporate Control.</w:t>
      </w:r>
      <w:proofErr w:type="gramEnd"/>
      <w:r w:rsidRPr="00ED159D">
        <w:t xml:space="preserve"> </w:t>
      </w:r>
      <w:proofErr w:type="gramStart"/>
      <w:r w:rsidRPr="00ED159D">
        <w:t>Journal of Business.</w:t>
      </w:r>
      <w:proofErr w:type="gramEnd"/>
      <w:r w:rsidRPr="00ED159D">
        <w:t xml:space="preserve"> Vol. 53, No. 4, pp. 345.</w:t>
      </w:r>
    </w:p>
    <w:p w:rsidR="00ED159D" w:rsidRDefault="00ED159D" w:rsidP="00ED159D">
      <w:pPr>
        <w:spacing w:line="480" w:lineRule="auto"/>
        <w:ind w:left="720"/>
        <w:jc w:val="both"/>
      </w:pPr>
      <w:r w:rsidRPr="00ED159D">
        <w:lastRenderedPageBreak/>
        <w:t xml:space="preserve">Bris, A. (2005) Do Insider Trading Laws Work? </w:t>
      </w:r>
      <w:proofErr w:type="gramStart"/>
      <w:r w:rsidRPr="00ED159D">
        <w:t>European Financial Management.</w:t>
      </w:r>
      <w:proofErr w:type="gramEnd"/>
      <w:r w:rsidRPr="00ED159D">
        <w:t xml:space="preserve"> Vol. 11, No. 3, pp. 267–312.</w:t>
      </w:r>
    </w:p>
    <w:p w:rsidR="00CD50BB" w:rsidRPr="00ED159D" w:rsidRDefault="00CD50BB" w:rsidP="00420C66">
      <w:pPr>
        <w:spacing w:after="100" w:afterAutospacing="1" w:line="480" w:lineRule="auto"/>
        <w:ind w:left="720"/>
        <w:jc w:val="both"/>
      </w:pPr>
      <w:r w:rsidRPr="00CD50BB">
        <w:t>Cummings, D. Zhan, F. and Aitken, M. (2013) Exchange Trading Rules, Surveillance and Insider Trading, Available at SSRN: http://ssrn.com/abstract=2101826 or http://dx.doi.org/10.2139/ssrn.2101826</w:t>
      </w:r>
    </w:p>
    <w:p w:rsidR="00ED159D" w:rsidRPr="00ED159D" w:rsidRDefault="00ED159D" w:rsidP="00ED159D">
      <w:pPr>
        <w:spacing w:line="480" w:lineRule="auto"/>
        <w:ind w:left="720"/>
        <w:jc w:val="both"/>
      </w:pPr>
      <w:proofErr w:type="gramStart"/>
      <w:r w:rsidRPr="00ED159D">
        <w:t>Cole, M. (2008) Speech given at Cambridge symposium on economic crime.</w:t>
      </w:r>
      <w:proofErr w:type="gramEnd"/>
      <w:r w:rsidRPr="00ED159D">
        <w:t xml:space="preserve"> </w:t>
      </w:r>
      <w:proofErr w:type="gramStart"/>
      <w:r w:rsidRPr="00ED159D">
        <w:t>1st  September</w:t>
      </w:r>
      <w:proofErr w:type="gramEnd"/>
      <w:r w:rsidRPr="00ED159D">
        <w:t xml:space="preserve"> 2008.</w:t>
      </w:r>
    </w:p>
    <w:p w:rsidR="00474322" w:rsidRPr="00ED159D" w:rsidRDefault="00474322" w:rsidP="00474322">
      <w:pPr>
        <w:spacing w:line="480" w:lineRule="auto"/>
        <w:ind w:left="720"/>
        <w:jc w:val="both"/>
      </w:pPr>
      <w:proofErr w:type="spellStart"/>
      <w:r w:rsidRPr="00014BE4">
        <w:t>Dubow</w:t>
      </w:r>
      <w:proofErr w:type="spellEnd"/>
      <w:r w:rsidRPr="00014BE4">
        <w:t xml:space="preserve">, B. and Monteiro, N. (2006) Measuring Market Cleanliness, FSA Occasional Paper. </w:t>
      </w:r>
      <w:proofErr w:type="gramStart"/>
      <w:r w:rsidRPr="00014BE4">
        <w:t>March</w:t>
      </w:r>
      <w:r>
        <w:t>.</w:t>
      </w:r>
      <w:proofErr w:type="gramEnd"/>
    </w:p>
    <w:p w:rsidR="00ED159D" w:rsidRPr="00ED159D" w:rsidRDefault="00ED159D" w:rsidP="00ED159D">
      <w:pPr>
        <w:spacing w:line="480" w:lineRule="auto"/>
        <w:ind w:left="720"/>
        <w:jc w:val="both"/>
      </w:pPr>
      <w:proofErr w:type="spellStart"/>
      <w:r w:rsidRPr="00ED159D">
        <w:t>Durnev</w:t>
      </w:r>
      <w:proofErr w:type="spellEnd"/>
      <w:r w:rsidRPr="00ED159D">
        <w:t>, A. A. and Nain, A.S. (2007) Does Insider Trading Regulation Deter Private Information Trading? International Evidence, Pacific-Basin Finance Journal. Vol. 15, No. 5, pp. 409-433.</w:t>
      </w:r>
    </w:p>
    <w:p w:rsidR="00ED159D" w:rsidRPr="00ED159D" w:rsidRDefault="00ED159D" w:rsidP="00ED159D">
      <w:pPr>
        <w:spacing w:line="480" w:lineRule="auto"/>
        <w:ind w:left="720"/>
        <w:jc w:val="both"/>
      </w:pPr>
      <w:r w:rsidRPr="00ED159D">
        <w:t xml:space="preserve">Financial Services and Markets Act 2000, London: HMSO. </w:t>
      </w:r>
      <w:proofErr w:type="gramStart"/>
      <w:r w:rsidRPr="00ED159D">
        <w:t>Available at http://www.legislation.gov.uk/ukpga/2000/8/contents.</w:t>
      </w:r>
      <w:proofErr w:type="gramEnd"/>
      <w:r w:rsidRPr="00ED159D">
        <w:t xml:space="preserve"> Accessed </w:t>
      </w:r>
      <w:proofErr w:type="gramStart"/>
      <w:r w:rsidRPr="00ED159D">
        <w:t>20th  October</w:t>
      </w:r>
      <w:proofErr w:type="gramEnd"/>
      <w:r w:rsidRPr="00ED159D">
        <w:t xml:space="preserve"> 2010.</w:t>
      </w:r>
    </w:p>
    <w:p w:rsidR="00ED159D" w:rsidRPr="00ED159D" w:rsidRDefault="00ED159D" w:rsidP="00ED159D">
      <w:pPr>
        <w:spacing w:line="480" w:lineRule="auto"/>
        <w:ind w:left="720"/>
        <w:jc w:val="both"/>
      </w:pPr>
      <w:proofErr w:type="spellStart"/>
      <w:r w:rsidRPr="00ED159D">
        <w:t>Garfinkel</w:t>
      </w:r>
      <w:proofErr w:type="spellEnd"/>
      <w:r w:rsidRPr="00ED159D">
        <w:t>, J. (1997) New Evidence on the Effects of Federal Regulations on Insider Trading: The Insider Trading and Securities Fraud Enforcement Act (ITSFEA), Journal of Corporate Finance, Vol. 3, No. 2, pp. 89-111.</w:t>
      </w:r>
    </w:p>
    <w:p w:rsidR="00ED159D" w:rsidRDefault="00ED159D" w:rsidP="00ED159D">
      <w:pPr>
        <w:spacing w:line="480" w:lineRule="auto"/>
        <w:ind w:left="720"/>
        <w:jc w:val="both"/>
      </w:pPr>
      <w:r w:rsidRPr="00ED159D">
        <w:t xml:space="preserve">Gilbert, A. </w:t>
      </w:r>
      <w:proofErr w:type="spellStart"/>
      <w:r w:rsidRPr="00ED159D">
        <w:t>Tourani</w:t>
      </w:r>
      <w:proofErr w:type="spellEnd"/>
      <w:r w:rsidRPr="00ED159D">
        <w:t>-Rad, A. and Wisniewski, T.P</w:t>
      </w:r>
      <w:proofErr w:type="gramStart"/>
      <w:r w:rsidRPr="00ED159D">
        <w:t>.(</w:t>
      </w:r>
      <w:proofErr w:type="gramEnd"/>
      <w:r w:rsidRPr="00ED159D">
        <w:t>2007) The Impact of Regulatory Change on Insider Trading, Management International Review, Vol. 27, No. 5, pp. 745-765.</w:t>
      </w:r>
    </w:p>
    <w:p w:rsidR="006654E7" w:rsidRPr="006654E7" w:rsidRDefault="006654E7" w:rsidP="006654E7">
      <w:pPr>
        <w:spacing w:line="480" w:lineRule="auto"/>
        <w:ind w:left="720"/>
        <w:jc w:val="both"/>
      </w:pPr>
      <w:proofErr w:type="spellStart"/>
      <w:r w:rsidRPr="006654E7">
        <w:t>Jagonlinzer</w:t>
      </w:r>
      <w:proofErr w:type="spellEnd"/>
      <w:r w:rsidRPr="006654E7">
        <w:t xml:space="preserve">, A.D. and </w:t>
      </w:r>
      <w:proofErr w:type="spellStart"/>
      <w:r w:rsidRPr="006654E7">
        <w:t>Roulstone</w:t>
      </w:r>
      <w:proofErr w:type="spellEnd"/>
      <w:r w:rsidRPr="006654E7">
        <w:t xml:space="preserve">, D.T. (2009) The Effects of Insider Trading Regulation on Trade Timing, Litigation Risk, and Profitability. </w:t>
      </w:r>
      <w:proofErr w:type="gramStart"/>
      <w:r w:rsidRPr="006654E7">
        <w:t>Unpublished working paper.</w:t>
      </w:r>
      <w:proofErr w:type="gramEnd"/>
      <w:r w:rsidRPr="006654E7">
        <w:t xml:space="preserve"> </w:t>
      </w:r>
      <w:proofErr w:type="gramStart"/>
      <w:r w:rsidRPr="006654E7">
        <w:t>Stanford University.</w:t>
      </w:r>
      <w:proofErr w:type="gramEnd"/>
    </w:p>
    <w:p w:rsidR="006654E7" w:rsidRPr="006654E7" w:rsidRDefault="006654E7" w:rsidP="006654E7">
      <w:pPr>
        <w:spacing w:line="480" w:lineRule="auto"/>
        <w:ind w:left="720"/>
        <w:jc w:val="both"/>
      </w:pPr>
      <w:r w:rsidRPr="006654E7">
        <w:t xml:space="preserve">Jarrell, G. </w:t>
      </w:r>
      <w:proofErr w:type="spellStart"/>
      <w:r w:rsidRPr="006654E7">
        <w:t>Brickley</w:t>
      </w:r>
      <w:proofErr w:type="spellEnd"/>
      <w:r w:rsidRPr="006654E7">
        <w:t xml:space="preserve">, J. and Netter, J. (1988) </w:t>
      </w:r>
      <w:proofErr w:type="gramStart"/>
      <w:r w:rsidRPr="006654E7">
        <w:t>The</w:t>
      </w:r>
      <w:proofErr w:type="gramEnd"/>
      <w:r w:rsidRPr="006654E7">
        <w:t xml:space="preserve"> Market for Corporate Control: The Empirical Evidence Since 1980, Journal of Economic Perspectives. Vol. 2, No. 1, pp. 49-68.</w:t>
      </w:r>
    </w:p>
    <w:p w:rsidR="006654E7" w:rsidRPr="006654E7" w:rsidRDefault="006654E7" w:rsidP="006654E7">
      <w:pPr>
        <w:spacing w:line="480" w:lineRule="auto"/>
        <w:ind w:left="720"/>
        <w:jc w:val="both"/>
      </w:pPr>
      <w:r w:rsidRPr="006654E7">
        <w:lastRenderedPageBreak/>
        <w:t xml:space="preserve">Jarrell, G. A. and </w:t>
      </w:r>
      <w:proofErr w:type="spellStart"/>
      <w:r w:rsidRPr="006654E7">
        <w:t>Poulsen</w:t>
      </w:r>
      <w:proofErr w:type="spellEnd"/>
      <w:r w:rsidRPr="006654E7">
        <w:t xml:space="preserve">, A. B. (1989) Stock trading before the announcement of tender offers: insider trading or market anticipation? </w:t>
      </w:r>
      <w:proofErr w:type="gramStart"/>
      <w:r w:rsidRPr="006654E7">
        <w:t>Journal of Law, Economics and Organization.</w:t>
      </w:r>
      <w:proofErr w:type="gramEnd"/>
      <w:r w:rsidRPr="006654E7">
        <w:t xml:space="preserve"> Vol. 5, No. 2, pp. 225-48.</w:t>
      </w:r>
    </w:p>
    <w:p w:rsidR="006654E7" w:rsidRPr="006654E7" w:rsidRDefault="006654E7" w:rsidP="006654E7">
      <w:pPr>
        <w:spacing w:line="480" w:lineRule="auto"/>
        <w:ind w:left="720"/>
        <w:jc w:val="both"/>
      </w:pPr>
      <w:r w:rsidRPr="006654E7">
        <w:t xml:space="preserve">Jensen, M.C. and </w:t>
      </w:r>
      <w:proofErr w:type="spellStart"/>
      <w:r w:rsidRPr="006654E7">
        <w:t>Ruback</w:t>
      </w:r>
      <w:proofErr w:type="spellEnd"/>
      <w:r w:rsidRPr="006654E7">
        <w:t xml:space="preserve">, R. S. (1983) </w:t>
      </w:r>
      <w:proofErr w:type="gramStart"/>
      <w:r w:rsidRPr="006654E7">
        <w:t>The</w:t>
      </w:r>
      <w:proofErr w:type="gramEnd"/>
      <w:r w:rsidRPr="006654E7">
        <w:t xml:space="preserve"> Market for Corporate Control: The Scientific Evidence, Journal of Financial Economics. Vol. 11, No. 1-4, pp 5-50.</w:t>
      </w:r>
    </w:p>
    <w:p w:rsidR="006654E7" w:rsidRPr="006654E7" w:rsidRDefault="006654E7" w:rsidP="006654E7">
      <w:pPr>
        <w:spacing w:line="480" w:lineRule="auto"/>
        <w:ind w:left="720"/>
        <w:jc w:val="both"/>
      </w:pPr>
      <w:r w:rsidRPr="006654E7">
        <w:t xml:space="preserve">Keown, A.J. and Pinkerton, J. M. (1981) Merger Announcements and Insider Trading Activity: An Empirical Investigation, </w:t>
      </w:r>
      <w:proofErr w:type="gramStart"/>
      <w:r w:rsidRPr="006654E7">
        <w:t>The</w:t>
      </w:r>
      <w:proofErr w:type="gramEnd"/>
      <w:r w:rsidRPr="006654E7">
        <w:t xml:space="preserve"> Journal of Finance. Vol. 36, No. 4, pp. 855-869.</w:t>
      </w:r>
    </w:p>
    <w:p w:rsidR="006654E7" w:rsidRDefault="006654E7" w:rsidP="006654E7">
      <w:pPr>
        <w:spacing w:line="480" w:lineRule="auto"/>
        <w:ind w:left="720"/>
        <w:jc w:val="both"/>
      </w:pPr>
      <w:proofErr w:type="spellStart"/>
      <w:proofErr w:type="gramStart"/>
      <w:r w:rsidRPr="006654E7">
        <w:t>Korczak</w:t>
      </w:r>
      <w:proofErr w:type="spellEnd"/>
      <w:r w:rsidRPr="006654E7">
        <w:t xml:space="preserve">, A. </w:t>
      </w:r>
      <w:proofErr w:type="spellStart"/>
      <w:r w:rsidRPr="006654E7">
        <w:t>Korczak</w:t>
      </w:r>
      <w:proofErr w:type="spellEnd"/>
      <w:r w:rsidRPr="006654E7">
        <w:t xml:space="preserve">, P. and </w:t>
      </w:r>
      <w:proofErr w:type="spellStart"/>
      <w:r w:rsidRPr="006654E7">
        <w:t>Lasfer</w:t>
      </w:r>
      <w:proofErr w:type="spellEnd"/>
      <w:r w:rsidRPr="006654E7">
        <w:t>, M. (2010).</w:t>
      </w:r>
      <w:proofErr w:type="gramEnd"/>
      <w:r w:rsidRPr="006654E7">
        <w:t xml:space="preserve"> To Trade or Not to Trade: The Strategic Trading of Insiders around News Announcements, Journal of Business Finance and Accounting, Vol. 37, No 3-4, pp. 369-407.</w:t>
      </w:r>
    </w:p>
    <w:p w:rsidR="00EF1DC5" w:rsidRPr="006654E7" w:rsidRDefault="00EF1DC5" w:rsidP="00EF1DC5">
      <w:pPr>
        <w:spacing w:line="480" w:lineRule="auto"/>
        <w:ind w:left="720"/>
        <w:jc w:val="both"/>
      </w:pPr>
      <w:proofErr w:type="spellStart"/>
      <w:proofErr w:type="gramStart"/>
      <w:r w:rsidRPr="00014BE4">
        <w:t>MacKinlay</w:t>
      </w:r>
      <w:proofErr w:type="spellEnd"/>
      <w:r w:rsidRPr="00014BE4">
        <w:t>, C. A. (1997) Event Studies in Economics and Finance.</w:t>
      </w:r>
      <w:proofErr w:type="gramEnd"/>
      <w:r w:rsidRPr="00014BE4">
        <w:t xml:space="preserve"> </w:t>
      </w:r>
      <w:r w:rsidRPr="00EF1DC5">
        <w:t>Journal of Economic Literature</w:t>
      </w:r>
      <w:r w:rsidRPr="00014BE4">
        <w:t>, Vol. 35, No.1, pp. 13-39.</w:t>
      </w:r>
    </w:p>
    <w:p w:rsidR="006654E7" w:rsidRPr="006654E7" w:rsidRDefault="006654E7" w:rsidP="006654E7">
      <w:pPr>
        <w:spacing w:line="480" w:lineRule="auto"/>
        <w:ind w:left="720"/>
        <w:jc w:val="both"/>
      </w:pPr>
      <w:proofErr w:type="spellStart"/>
      <w:proofErr w:type="gramStart"/>
      <w:r w:rsidRPr="006654E7">
        <w:t>Meulbroek</w:t>
      </w:r>
      <w:proofErr w:type="spellEnd"/>
      <w:r w:rsidRPr="006654E7">
        <w:t>, L. (1992) An Empirical Analysis of Illegal Insider Trading, The Journal of Finance.</w:t>
      </w:r>
      <w:proofErr w:type="gramEnd"/>
      <w:r w:rsidRPr="006654E7">
        <w:t xml:space="preserve"> Vol. 47, No. 5, pp. 1661-1669.</w:t>
      </w:r>
    </w:p>
    <w:p w:rsidR="006654E7" w:rsidRPr="006654E7" w:rsidRDefault="006654E7" w:rsidP="006654E7">
      <w:pPr>
        <w:spacing w:line="480" w:lineRule="auto"/>
        <w:ind w:left="720"/>
        <w:jc w:val="both"/>
      </w:pPr>
      <w:proofErr w:type="spellStart"/>
      <w:proofErr w:type="gramStart"/>
      <w:r w:rsidRPr="006654E7">
        <w:t>Meulbroek</w:t>
      </w:r>
      <w:proofErr w:type="spellEnd"/>
      <w:r w:rsidRPr="006654E7">
        <w:t xml:space="preserve">, L. and Hart, C., (1997) The Effect of Illegal Insider Trading on Takeover </w:t>
      </w:r>
      <w:proofErr w:type="spellStart"/>
      <w:r w:rsidRPr="006654E7">
        <w:t>Premia</w:t>
      </w:r>
      <w:proofErr w:type="spellEnd"/>
      <w:r w:rsidRPr="006654E7">
        <w:t>, European Finance Review.</w:t>
      </w:r>
      <w:proofErr w:type="gramEnd"/>
      <w:r w:rsidRPr="006654E7">
        <w:t xml:space="preserve"> </w:t>
      </w:r>
      <w:proofErr w:type="gramStart"/>
      <w:r w:rsidRPr="006654E7">
        <w:t>Vol. 1, No. 1, pp.51-80.</w:t>
      </w:r>
      <w:proofErr w:type="gramEnd"/>
    </w:p>
    <w:p w:rsidR="006654E7" w:rsidRPr="006654E7" w:rsidRDefault="006654E7" w:rsidP="006654E7">
      <w:pPr>
        <w:spacing w:line="480" w:lineRule="auto"/>
        <w:ind w:left="720"/>
        <w:jc w:val="both"/>
      </w:pPr>
      <w:r w:rsidRPr="006654E7">
        <w:t>Neely, W. P. (1987) Banking Acquisitions: Acquirer and Target Shareholder Returns. Financial Management, Vol. 16, No. 4, pp. 66-74.</w:t>
      </w:r>
    </w:p>
    <w:p w:rsidR="00814CDD" w:rsidRDefault="00814CDD" w:rsidP="00814CDD">
      <w:pPr>
        <w:spacing w:line="480" w:lineRule="auto"/>
        <w:ind w:left="720"/>
        <w:jc w:val="both"/>
      </w:pPr>
      <w:r w:rsidRPr="00014BE4">
        <w:t xml:space="preserve">Pound, J. </w:t>
      </w:r>
      <w:proofErr w:type="spellStart"/>
      <w:r w:rsidRPr="00014BE4">
        <w:t>Zeckhauser</w:t>
      </w:r>
      <w:proofErr w:type="spellEnd"/>
      <w:r w:rsidRPr="00014BE4">
        <w:t xml:space="preserve">, R. (1990) Clearly Heard on the Street. </w:t>
      </w:r>
      <w:r w:rsidRPr="00814CDD">
        <w:t>The Journal of Business,</w:t>
      </w:r>
      <w:r w:rsidRPr="00014BE4">
        <w:t xml:space="preserve"> Vol. 63, No. 3, pp. 291-308.</w:t>
      </w:r>
    </w:p>
    <w:p w:rsidR="004025A5" w:rsidRPr="004025A5" w:rsidRDefault="004025A5" w:rsidP="004025A5">
      <w:pPr>
        <w:spacing w:line="480" w:lineRule="auto"/>
        <w:ind w:left="720"/>
        <w:jc w:val="both"/>
      </w:pPr>
      <w:proofErr w:type="gramStart"/>
      <w:r w:rsidRPr="004025A5">
        <w:t xml:space="preserve">Rider B, Alexander, K, Linklater, L. and </w:t>
      </w:r>
      <w:proofErr w:type="spellStart"/>
      <w:r w:rsidRPr="004025A5">
        <w:t>Bazely</w:t>
      </w:r>
      <w:proofErr w:type="spellEnd"/>
      <w:r w:rsidRPr="004025A5">
        <w:t>, S. (2009) Market abuse and insider dealing.</w:t>
      </w:r>
      <w:proofErr w:type="gramEnd"/>
      <w:r w:rsidRPr="004025A5">
        <w:t xml:space="preserve"> </w:t>
      </w:r>
      <w:proofErr w:type="gramStart"/>
      <w:r w:rsidRPr="004025A5">
        <w:t xml:space="preserve">London; </w:t>
      </w:r>
      <w:proofErr w:type="spellStart"/>
      <w:r w:rsidRPr="004025A5">
        <w:t>Tottel</w:t>
      </w:r>
      <w:proofErr w:type="spellEnd"/>
      <w:r w:rsidRPr="004025A5">
        <w:t xml:space="preserve"> publishing.</w:t>
      </w:r>
      <w:proofErr w:type="gramEnd"/>
    </w:p>
    <w:p w:rsidR="004025A5" w:rsidRPr="004025A5" w:rsidRDefault="004025A5" w:rsidP="004025A5">
      <w:pPr>
        <w:spacing w:line="480" w:lineRule="auto"/>
        <w:ind w:left="720"/>
        <w:jc w:val="both"/>
      </w:pPr>
      <w:proofErr w:type="spellStart"/>
      <w:r w:rsidRPr="004025A5">
        <w:lastRenderedPageBreak/>
        <w:t>Roulstone</w:t>
      </w:r>
      <w:proofErr w:type="spellEnd"/>
      <w:r w:rsidRPr="004025A5">
        <w:t>, D. T. (2003) The Relation between Insider-Trading Restrictions and Executive Compensation, Journal of Accounting Research, Vol. 41, No. 3, pp.525-552.</w:t>
      </w:r>
    </w:p>
    <w:p w:rsidR="004025A5" w:rsidRPr="004025A5" w:rsidRDefault="004025A5" w:rsidP="004025A5">
      <w:pPr>
        <w:spacing w:line="480" w:lineRule="auto"/>
        <w:ind w:left="720"/>
        <w:jc w:val="both"/>
      </w:pPr>
      <w:proofErr w:type="spellStart"/>
      <w:r w:rsidRPr="004025A5">
        <w:t>Seyhun</w:t>
      </w:r>
      <w:proofErr w:type="spellEnd"/>
      <w:r w:rsidRPr="004025A5">
        <w:t xml:space="preserve">, N. (1992) </w:t>
      </w:r>
      <w:proofErr w:type="gramStart"/>
      <w:r w:rsidRPr="004025A5">
        <w:t>The</w:t>
      </w:r>
      <w:proofErr w:type="gramEnd"/>
      <w:r w:rsidRPr="004025A5">
        <w:t xml:space="preserve"> Effectiveness of Insider-Trading Sanctions. </w:t>
      </w:r>
      <w:proofErr w:type="gramStart"/>
      <w:r w:rsidRPr="004025A5">
        <w:t>Journal of Law and Economics.</w:t>
      </w:r>
      <w:proofErr w:type="gramEnd"/>
      <w:r w:rsidRPr="004025A5">
        <w:t xml:space="preserve"> Vol. 35, pp. 149–182.</w:t>
      </w:r>
    </w:p>
    <w:p w:rsidR="004025A5" w:rsidRPr="004025A5" w:rsidRDefault="004025A5" w:rsidP="004025A5">
      <w:pPr>
        <w:spacing w:line="480" w:lineRule="auto"/>
        <w:ind w:left="720"/>
        <w:jc w:val="both"/>
      </w:pPr>
      <w:proofErr w:type="spellStart"/>
      <w:proofErr w:type="gramStart"/>
      <w:r w:rsidRPr="004025A5">
        <w:t>Seyhun</w:t>
      </w:r>
      <w:proofErr w:type="spellEnd"/>
      <w:r w:rsidRPr="004025A5">
        <w:t>, N. (2000) Investment intelligence from insider trading.</w:t>
      </w:r>
      <w:proofErr w:type="gramEnd"/>
      <w:r w:rsidRPr="004025A5">
        <w:t xml:space="preserve"> </w:t>
      </w:r>
      <w:proofErr w:type="gramStart"/>
      <w:r w:rsidRPr="004025A5">
        <w:t>MIT Press.</w:t>
      </w:r>
      <w:proofErr w:type="gramEnd"/>
      <w:r w:rsidRPr="004025A5">
        <w:t xml:space="preserve"> MA.</w:t>
      </w:r>
    </w:p>
    <w:p w:rsidR="001941F9" w:rsidRDefault="001941F9" w:rsidP="001941F9">
      <w:pPr>
        <w:spacing w:line="480" w:lineRule="auto"/>
        <w:ind w:left="720"/>
        <w:jc w:val="both"/>
      </w:pPr>
      <w:r w:rsidRPr="001941F9">
        <w:t xml:space="preserve">Symington, J. (2008) The FSA and enforcing the market abuse regime. </w:t>
      </w:r>
      <w:proofErr w:type="gramStart"/>
      <w:r w:rsidRPr="001941F9">
        <w:t>Speech given at City and Financial Market Abuse Conference.</w:t>
      </w:r>
      <w:proofErr w:type="gramEnd"/>
      <w:r w:rsidRPr="001941F9">
        <w:t xml:space="preserve"> 6 November 2008. London.  </w:t>
      </w:r>
    </w:p>
    <w:p w:rsidR="001941F9" w:rsidRPr="001941F9" w:rsidRDefault="001941F9" w:rsidP="001941F9">
      <w:pPr>
        <w:spacing w:line="480" w:lineRule="auto"/>
        <w:ind w:left="720"/>
        <w:jc w:val="both"/>
        <w:rPr>
          <w:rFonts w:eastAsia="Lucida Sans Unicode" w:cs="Mangal"/>
          <w:kern w:val="3"/>
          <w:lang w:eastAsia="zh-CN" w:bidi="hi-IN"/>
        </w:rPr>
      </w:pPr>
      <w:proofErr w:type="gramStart"/>
      <w:r w:rsidRPr="001941F9">
        <w:rPr>
          <w:rFonts w:eastAsia="Lucida Sans Unicode" w:cs="Mangal"/>
          <w:kern w:val="3"/>
          <w:lang w:eastAsia="zh-CN" w:bidi="hi-IN"/>
        </w:rPr>
        <w:t xml:space="preserve">The Takeover Code, </w:t>
      </w:r>
      <w:r>
        <w:rPr>
          <w:rFonts w:eastAsia="Lucida Sans Unicode" w:cs="Mangal"/>
          <w:kern w:val="3"/>
          <w:lang w:eastAsia="zh-CN" w:bidi="hi-IN"/>
        </w:rPr>
        <w:t>(</w:t>
      </w:r>
      <w:r w:rsidRPr="001941F9">
        <w:rPr>
          <w:rFonts w:eastAsia="Lucida Sans Unicode" w:cs="Mangal"/>
          <w:kern w:val="3"/>
          <w:lang w:eastAsia="zh-CN" w:bidi="hi-IN"/>
        </w:rPr>
        <w:t>2013</w:t>
      </w:r>
      <w:r>
        <w:rPr>
          <w:rFonts w:eastAsia="Lucida Sans Unicode" w:cs="Mangal"/>
          <w:kern w:val="3"/>
          <w:lang w:eastAsia="zh-CN" w:bidi="hi-IN"/>
        </w:rPr>
        <w:t>)</w:t>
      </w:r>
      <w:r w:rsidRPr="001941F9">
        <w:rPr>
          <w:rFonts w:eastAsia="Lucida Sans Unicode" w:cs="Mangal"/>
          <w:kern w:val="3"/>
          <w:lang w:eastAsia="zh-CN" w:bidi="hi-IN"/>
        </w:rPr>
        <w:t xml:space="preserve"> The Panel on Takeovers and Mergers, 11</w:t>
      </w:r>
      <w:r w:rsidRPr="001941F9">
        <w:rPr>
          <w:rFonts w:eastAsia="Lucida Sans Unicode" w:cs="Mangal"/>
          <w:kern w:val="3"/>
          <w:vertAlign w:val="superscript"/>
          <w:lang w:eastAsia="zh-CN" w:bidi="hi-IN"/>
        </w:rPr>
        <w:t>th</w:t>
      </w:r>
      <w:r w:rsidRPr="001941F9">
        <w:rPr>
          <w:rFonts w:eastAsia="Lucida Sans Unicode" w:cs="Mangal"/>
          <w:kern w:val="3"/>
          <w:lang w:eastAsia="zh-CN" w:bidi="hi-IN"/>
        </w:rPr>
        <w:t xml:space="preserve"> edition.</w:t>
      </w:r>
      <w:proofErr w:type="gramEnd"/>
      <w:r w:rsidRPr="001941F9">
        <w:rPr>
          <w:rFonts w:eastAsia="Lucida Sans Unicode" w:cs="Mangal"/>
          <w:kern w:val="3"/>
          <w:lang w:eastAsia="zh-CN" w:bidi="hi-IN"/>
        </w:rPr>
        <w:t xml:space="preserve"> Available at </w:t>
      </w:r>
      <w:hyperlink r:id="rId17" w:history="1">
        <w:r w:rsidRPr="001941F9">
          <w:rPr>
            <w:lang w:eastAsia="zh-CN" w:bidi="hi-IN"/>
          </w:rPr>
          <w:t>http://www.mms.co.uk/web/FILES/Hosted_Docs/TakeoverCode.pdf</w:t>
        </w:r>
      </w:hyperlink>
      <w:r w:rsidRPr="001941F9">
        <w:rPr>
          <w:rFonts w:eastAsia="Lucida Sans Unicode" w:cs="Mangal"/>
          <w:kern w:val="3"/>
          <w:lang w:eastAsia="zh-CN" w:bidi="hi-IN"/>
        </w:rPr>
        <w:t xml:space="preserve"> Accessed 30/04/2015</w:t>
      </w:r>
    </w:p>
    <w:p w:rsidR="005F4A36" w:rsidRDefault="001941F9" w:rsidP="005F4A36">
      <w:pPr>
        <w:spacing w:line="480" w:lineRule="auto"/>
        <w:ind w:left="720"/>
        <w:jc w:val="both"/>
      </w:pPr>
      <w:proofErr w:type="spellStart"/>
      <w:r w:rsidRPr="001941F9">
        <w:t>Zevitt</w:t>
      </w:r>
      <w:proofErr w:type="spellEnd"/>
      <w:r w:rsidRPr="001941F9">
        <w:t xml:space="preserve">, A. (1998) Speech given in ‘SEC speaks conference’ on 27th Feb. 1998 Washington. </w:t>
      </w:r>
      <w:proofErr w:type="gramStart"/>
      <w:r w:rsidRPr="001941F9">
        <w:t>Accessed 21 October 2010.</w:t>
      </w:r>
      <w:proofErr w:type="gramEnd"/>
    </w:p>
    <w:p w:rsidR="00F77FED" w:rsidRPr="005F4A36" w:rsidRDefault="00F77FED" w:rsidP="005F4A36">
      <w:pPr>
        <w:sectPr w:rsidR="00F77FED" w:rsidRPr="005F4A36" w:rsidSect="005F4A36">
          <w:pgSz w:w="11906" w:h="16838"/>
          <w:pgMar w:top="1440" w:right="1440" w:bottom="1440" w:left="1440" w:header="709" w:footer="709" w:gutter="0"/>
          <w:cols w:space="720"/>
          <w:docGrid w:linePitch="299"/>
        </w:sectPr>
      </w:pPr>
    </w:p>
    <w:p w:rsidR="005F4A36" w:rsidRPr="005F4A36" w:rsidRDefault="005F4A36" w:rsidP="005F4A36">
      <w:pPr>
        <w:keepNext/>
        <w:suppressLineNumbers/>
        <w:suppressAutoHyphens/>
        <w:autoSpaceDN w:val="0"/>
        <w:spacing w:before="120" w:after="120"/>
        <w:jc w:val="center"/>
        <w:textAlignment w:val="baseline"/>
        <w:rPr>
          <w:rFonts w:ascii="Calibri" w:eastAsia="Times New Roman" w:hAnsi="Calibri" w:cs="Mangal"/>
          <w:b/>
          <w:iCs/>
          <w:kern w:val="3"/>
          <w:lang w:eastAsia="zh-CN"/>
        </w:rPr>
      </w:pPr>
      <w:bookmarkStart w:id="10" w:name="_Toc329610244"/>
      <w:r w:rsidRPr="005F4A36">
        <w:rPr>
          <w:rFonts w:ascii="Calibri" w:eastAsia="Times New Roman" w:hAnsi="Calibri" w:cs="Mangal"/>
          <w:b/>
          <w:iCs/>
          <w:kern w:val="3"/>
          <w:lang w:eastAsia="zh-CN"/>
        </w:rPr>
        <w:lastRenderedPageBreak/>
        <w:t xml:space="preserve">Figure </w:t>
      </w:r>
      <w:r>
        <w:rPr>
          <w:rFonts w:ascii="Calibri" w:eastAsia="Times New Roman" w:hAnsi="Calibri" w:cs="Mangal"/>
          <w:b/>
          <w:iCs/>
          <w:kern w:val="3"/>
          <w:lang w:eastAsia="zh-CN"/>
        </w:rPr>
        <w:t>1</w:t>
      </w:r>
      <w:r w:rsidRPr="005F4A36">
        <w:rPr>
          <w:rFonts w:ascii="Calibri" w:eastAsia="Times New Roman" w:hAnsi="Calibri" w:cs="Mangal"/>
          <w:b/>
          <w:iCs/>
          <w:kern w:val="3"/>
          <w:lang w:eastAsia="zh-CN"/>
        </w:rPr>
        <w:t xml:space="preserve">: Number of takeovers per year </w:t>
      </w:r>
      <w:r>
        <w:rPr>
          <w:rFonts w:ascii="Calibri" w:eastAsia="Times New Roman" w:hAnsi="Calibri" w:cs="Mangal"/>
          <w:b/>
          <w:iCs/>
          <w:kern w:val="3"/>
          <w:lang w:eastAsia="zh-CN"/>
        </w:rPr>
        <w:t>in</w:t>
      </w:r>
      <w:r w:rsidRPr="005F4A36">
        <w:rPr>
          <w:rFonts w:ascii="Calibri" w:eastAsia="Times New Roman" w:hAnsi="Calibri" w:cs="Mangal"/>
          <w:b/>
          <w:iCs/>
          <w:kern w:val="3"/>
          <w:lang w:eastAsia="zh-CN"/>
        </w:rPr>
        <w:t xml:space="preserve"> the sample</w:t>
      </w:r>
      <w:bookmarkEnd w:id="10"/>
    </w:p>
    <w:p w:rsidR="005F4A36" w:rsidRPr="005F4A36" w:rsidRDefault="005F4A36" w:rsidP="005F4A36">
      <w:pPr>
        <w:widowControl w:val="0"/>
        <w:suppressAutoHyphens/>
        <w:autoSpaceDN w:val="0"/>
        <w:spacing w:after="0" w:line="240" w:lineRule="auto"/>
        <w:jc w:val="center"/>
        <w:textAlignment w:val="baseline"/>
        <w:rPr>
          <w:rFonts w:ascii="Calibri" w:eastAsia="Lucida Sans Unicode" w:hAnsi="Calibri" w:cs="Mangal"/>
          <w:b/>
          <w:kern w:val="3"/>
          <w:sz w:val="24"/>
          <w:szCs w:val="24"/>
          <w:lang w:eastAsia="zh-CN" w:bidi="hi-IN"/>
        </w:rPr>
      </w:pPr>
    </w:p>
    <w:p w:rsidR="005F4A36" w:rsidRPr="005F4A36" w:rsidRDefault="005F4A36" w:rsidP="005F4A36">
      <w:pPr>
        <w:widowControl w:val="0"/>
        <w:suppressAutoHyphens/>
        <w:autoSpaceDN w:val="0"/>
        <w:spacing w:after="0" w:line="480" w:lineRule="auto"/>
        <w:ind w:left="851" w:firstLine="589"/>
        <w:jc w:val="both"/>
        <w:textAlignment w:val="baseline"/>
        <w:rPr>
          <w:rFonts w:ascii="Calibri" w:eastAsia="Lucida Sans Unicode" w:hAnsi="Calibri" w:cs="Mangal"/>
          <w:kern w:val="3"/>
          <w:sz w:val="24"/>
          <w:szCs w:val="24"/>
          <w:lang w:eastAsia="zh-CN" w:bidi="hi-IN"/>
        </w:rPr>
      </w:pPr>
    </w:p>
    <w:p w:rsidR="008039A4" w:rsidRDefault="005F4A36" w:rsidP="005F4A36">
      <w:pPr>
        <w:widowControl w:val="0"/>
        <w:suppressAutoHyphens/>
        <w:autoSpaceDN w:val="0"/>
        <w:spacing w:after="0" w:line="480" w:lineRule="auto"/>
        <w:ind w:left="851"/>
        <w:jc w:val="both"/>
        <w:textAlignment w:val="baseline"/>
        <w:rPr>
          <w:rFonts w:ascii="Calibri" w:eastAsia="Lucida Sans Unicode" w:hAnsi="Calibri" w:cs="Mangal"/>
          <w:kern w:val="3"/>
          <w:lang w:eastAsia="zh-CN" w:bidi="hi-IN"/>
        </w:rPr>
        <w:sectPr w:rsidR="008039A4" w:rsidSect="0003235E">
          <w:pgSz w:w="16838" w:h="11906" w:orient="landscape"/>
          <w:pgMar w:top="1440" w:right="1440" w:bottom="1440" w:left="1440" w:header="709" w:footer="709" w:gutter="0"/>
          <w:cols w:space="708"/>
          <w:docGrid w:linePitch="360"/>
        </w:sectPr>
      </w:pPr>
      <w:r w:rsidRPr="005F4A36">
        <w:rPr>
          <w:rFonts w:ascii="Calibri" w:eastAsia="Lucida Sans Unicode" w:hAnsi="Calibri" w:cs="Mangal"/>
          <w:noProof/>
          <w:kern w:val="3"/>
          <w:sz w:val="24"/>
          <w:szCs w:val="24"/>
          <w:lang w:eastAsia="en-GB"/>
        </w:rPr>
        <w:drawing>
          <wp:inline distT="0" distB="0" distL="0" distR="0" wp14:anchorId="4AFC2463" wp14:editId="460CD7A9">
            <wp:extent cx="8005313" cy="3968151"/>
            <wp:effectExtent l="19050" t="0" r="0" b="0"/>
            <wp:docPr id="1" name="Chart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blip>
                    <a:srcRect/>
                    <a:stretch>
                      <a:fillRect/>
                    </a:stretch>
                  </pic:blipFill>
                  <pic:spPr>
                    <a:xfrm>
                      <a:off x="0" y="0"/>
                      <a:ext cx="8006297" cy="3968639"/>
                    </a:xfrm>
                    <a:prstGeom prst="rect">
                      <a:avLst/>
                    </a:prstGeom>
                    <a:ln>
                      <a:noFill/>
                      <a:prstDash/>
                    </a:ln>
                  </pic:spPr>
                </pic:pic>
              </a:graphicData>
            </a:graphic>
          </wp:inline>
        </w:drawing>
      </w:r>
    </w:p>
    <w:p w:rsidR="008039A4" w:rsidRPr="008039A4" w:rsidRDefault="008039A4" w:rsidP="008039A4">
      <w:pPr>
        <w:suppressLineNumbers/>
        <w:suppressAutoHyphens/>
        <w:autoSpaceDN w:val="0"/>
        <w:spacing w:before="120" w:after="120"/>
        <w:jc w:val="center"/>
        <w:textAlignment w:val="baseline"/>
        <w:rPr>
          <w:rFonts w:ascii="Calibri" w:eastAsia="Times New Roman" w:hAnsi="Calibri" w:cs="Mangal"/>
          <w:b/>
          <w:iCs/>
          <w:kern w:val="3"/>
          <w:lang w:eastAsia="zh-CN"/>
        </w:rPr>
      </w:pPr>
      <w:bookmarkStart w:id="11" w:name="_Toc367210388"/>
      <w:r w:rsidRPr="008039A4">
        <w:rPr>
          <w:rFonts w:ascii="Calibri" w:eastAsia="Times New Roman" w:hAnsi="Calibri" w:cs="Mangal"/>
          <w:b/>
          <w:iCs/>
          <w:kern w:val="3"/>
          <w:lang w:eastAsia="zh-CN"/>
        </w:rPr>
        <w:lastRenderedPageBreak/>
        <w:t xml:space="preserve">Table </w:t>
      </w:r>
      <w:r w:rsidRPr="008039A4">
        <w:rPr>
          <w:rFonts w:ascii="Calibri" w:eastAsia="Times New Roman" w:hAnsi="Calibri" w:cs="Mangal"/>
          <w:b/>
          <w:iCs/>
          <w:kern w:val="3"/>
          <w:lang w:eastAsia="zh-CN"/>
        </w:rPr>
        <w:fldChar w:fldCharType="begin"/>
      </w:r>
      <w:r w:rsidRPr="008039A4">
        <w:rPr>
          <w:rFonts w:ascii="Calibri" w:eastAsia="Times New Roman" w:hAnsi="Calibri" w:cs="Mangal"/>
          <w:b/>
          <w:iCs/>
          <w:kern w:val="3"/>
          <w:lang w:eastAsia="zh-CN"/>
        </w:rPr>
        <w:instrText xml:space="preserve"> SEQ Table \* ROMAN </w:instrText>
      </w:r>
      <w:r w:rsidRPr="008039A4">
        <w:rPr>
          <w:rFonts w:ascii="Calibri" w:eastAsia="Times New Roman" w:hAnsi="Calibri" w:cs="Mangal"/>
          <w:b/>
          <w:iCs/>
          <w:kern w:val="3"/>
          <w:lang w:eastAsia="zh-CN"/>
        </w:rPr>
        <w:fldChar w:fldCharType="separate"/>
      </w:r>
      <w:r w:rsidRPr="008039A4">
        <w:rPr>
          <w:rFonts w:ascii="Calibri" w:eastAsia="Times New Roman" w:hAnsi="Calibri" w:cs="Mangal"/>
          <w:b/>
          <w:iCs/>
          <w:noProof/>
          <w:kern w:val="3"/>
          <w:lang w:eastAsia="zh-CN"/>
        </w:rPr>
        <w:t>I</w:t>
      </w:r>
      <w:r w:rsidRPr="008039A4">
        <w:rPr>
          <w:rFonts w:ascii="Calibri" w:eastAsia="Times New Roman" w:hAnsi="Calibri" w:cs="Mangal"/>
          <w:b/>
          <w:iCs/>
          <w:kern w:val="3"/>
          <w:lang w:eastAsia="zh-CN"/>
        </w:rPr>
        <w:fldChar w:fldCharType="end"/>
      </w:r>
      <w:r w:rsidRPr="008039A4">
        <w:rPr>
          <w:rFonts w:ascii="Calibri" w:eastAsia="Times New Roman" w:hAnsi="Calibri" w:cs="Mangal"/>
          <w:b/>
          <w:iCs/>
          <w:kern w:val="3"/>
          <w:lang w:eastAsia="zh-CN"/>
        </w:rPr>
        <w:t xml:space="preserve"> Deal Sizes</w:t>
      </w:r>
      <w:bookmarkEnd w:id="11"/>
    </w:p>
    <w:p w:rsidR="008039A4" w:rsidRPr="008039A4" w:rsidRDefault="008039A4" w:rsidP="008039A4">
      <w:pPr>
        <w:widowControl w:val="0"/>
        <w:suppressAutoHyphens/>
        <w:autoSpaceDN w:val="0"/>
        <w:spacing w:after="0" w:line="240" w:lineRule="auto"/>
        <w:jc w:val="center"/>
        <w:textAlignment w:val="baseline"/>
        <w:rPr>
          <w:rFonts w:ascii="Calibri" w:eastAsia="Lucida Sans Unicode" w:hAnsi="Calibri" w:cs="Mangal"/>
          <w:kern w:val="3"/>
          <w:lang w:eastAsia="zh-CN" w:bidi="hi-IN"/>
        </w:rPr>
      </w:pPr>
    </w:p>
    <w:p w:rsidR="008039A4" w:rsidRPr="008039A4" w:rsidRDefault="008039A4" w:rsidP="008039A4">
      <w:pPr>
        <w:widowControl w:val="0"/>
        <w:suppressAutoHyphens/>
        <w:autoSpaceDN w:val="0"/>
        <w:spacing w:after="0" w:line="240" w:lineRule="auto"/>
        <w:jc w:val="center"/>
        <w:textAlignment w:val="baseline"/>
        <w:rPr>
          <w:rFonts w:ascii="Calibri" w:eastAsia="Lucida Sans Unicode" w:hAnsi="Calibri" w:cs="Mangal"/>
          <w:kern w:val="3"/>
          <w:lang w:eastAsia="zh-CN" w:bidi="hi-IN"/>
        </w:rPr>
      </w:pPr>
      <w:r w:rsidRPr="008039A4">
        <w:rPr>
          <w:rFonts w:ascii="Calibri" w:eastAsia="Lucida Sans Unicode" w:hAnsi="Calibri" w:cs="Mangal"/>
          <w:kern w:val="3"/>
          <w:lang w:eastAsia="zh-CN" w:bidi="hi-IN"/>
        </w:rPr>
        <w:t>Presented below are the deal sizes for the target firms analysed in both samples statistics relating to size are given in £ (thousands).</w:t>
      </w:r>
    </w:p>
    <w:p w:rsidR="008039A4" w:rsidRPr="008039A4" w:rsidRDefault="008039A4" w:rsidP="008039A4">
      <w:pPr>
        <w:widowControl w:val="0"/>
        <w:suppressAutoHyphens/>
        <w:autoSpaceDN w:val="0"/>
        <w:spacing w:after="0" w:line="240" w:lineRule="auto"/>
        <w:jc w:val="center"/>
        <w:textAlignment w:val="baseline"/>
        <w:rPr>
          <w:rFonts w:ascii="Calibri" w:eastAsia="Lucida Sans Unicode" w:hAnsi="Calibri" w:cs="Mangal"/>
          <w:b/>
          <w:kern w:val="3"/>
          <w:sz w:val="18"/>
          <w:szCs w:val="18"/>
          <w:lang w:eastAsia="zh-CN" w:bidi="hi-IN"/>
        </w:rPr>
      </w:pPr>
    </w:p>
    <w:p w:rsidR="008039A4" w:rsidRPr="008039A4" w:rsidRDefault="008039A4" w:rsidP="008039A4">
      <w:pPr>
        <w:widowControl w:val="0"/>
        <w:suppressAutoHyphens/>
        <w:autoSpaceDN w:val="0"/>
        <w:spacing w:after="0" w:line="240" w:lineRule="auto"/>
        <w:jc w:val="center"/>
        <w:textAlignment w:val="baseline"/>
        <w:rPr>
          <w:rFonts w:ascii="Calibri" w:eastAsia="Lucida Sans Unicode" w:hAnsi="Calibri" w:cs="Mangal"/>
          <w:kern w:val="3"/>
          <w:sz w:val="24"/>
          <w:szCs w:val="24"/>
          <w:lang w:eastAsia="zh-CN" w:bidi="hi-IN"/>
        </w:rPr>
      </w:pPr>
    </w:p>
    <w:tbl>
      <w:tblPr>
        <w:tblW w:w="9776" w:type="dxa"/>
        <w:jc w:val="center"/>
        <w:tblInd w:w="1815" w:type="dxa"/>
        <w:tblLayout w:type="fixed"/>
        <w:tblCellMar>
          <w:left w:w="10" w:type="dxa"/>
          <w:right w:w="10" w:type="dxa"/>
        </w:tblCellMar>
        <w:tblLook w:val="0000" w:firstRow="0" w:lastRow="0" w:firstColumn="0" w:lastColumn="0" w:noHBand="0" w:noVBand="0"/>
      </w:tblPr>
      <w:tblGrid>
        <w:gridCol w:w="1937"/>
        <w:gridCol w:w="1168"/>
        <w:gridCol w:w="1326"/>
        <w:gridCol w:w="1311"/>
        <w:gridCol w:w="1326"/>
        <w:gridCol w:w="1339"/>
        <w:gridCol w:w="1369"/>
      </w:tblGrid>
      <w:tr w:rsidR="008039A4" w:rsidRPr="008039A4" w:rsidTr="0003235E">
        <w:trPr>
          <w:jc w:val="center"/>
        </w:trPr>
        <w:tc>
          <w:tcPr>
            <w:tcW w:w="1937" w:type="dxa"/>
            <w:tcBorders>
              <w:top w:val="single" w:sz="4" w:space="0" w:color="000000"/>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120" w:line="240" w:lineRule="auto"/>
              <w:jc w:val="center"/>
              <w:textAlignment w:val="baseline"/>
              <w:rPr>
                <w:rFonts w:ascii="Calibri" w:eastAsia="Lucida Sans Unicode" w:hAnsi="Calibri" w:cs="Mangal"/>
                <w:b/>
                <w:kern w:val="3"/>
                <w:sz w:val="18"/>
                <w:szCs w:val="18"/>
                <w:lang w:eastAsia="zh-CN" w:bidi="hi-IN"/>
              </w:rPr>
            </w:pPr>
            <w:r w:rsidRPr="008039A4">
              <w:rPr>
                <w:rFonts w:ascii="Calibri" w:eastAsia="Lucida Sans Unicode" w:hAnsi="Calibri" w:cs="Mangal"/>
                <w:b/>
                <w:kern w:val="3"/>
                <w:sz w:val="18"/>
                <w:szCs w:val="18"/>
                <w:lang w:eastAsia="zh-CN" w:bidi="hi-IN"/>
              </w:rPr>
              <w:t>Sample</w:t>
            </w:r>
          </w:p>
        </w:tc>
        <w:tc>
          <w:tcPr>
            <w:tcW w:w="1168" w:type="dxa"/>
            <w:tcBorders>
              <w:top w:val="single" w:sz="4" w:space="0" w:color="000000"/>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120" w:line="240" w:lineRule="auto"/>
              <w:jc w:val="center"/>
              <w:textAlignment w:val="baseline"/>
              <w:rPr>
                <w:rFonts w:ascii="Calibri" w:eastAsia="Lucida Sans Unicode" w:hAnsi="Calibri" w:cs="Mangal"/>
                <w:b/>
                <w:kern w:val="3"/>
                <w:sz w:val="18"/>
                <w:szCs w:val="18"/>
                <w:lang w:eastAsia="zh-CN" w:bidi="hi-IN"/>
              </w:rPr>
            </w:pPr>
            <w:r w:rsidRPr="008039A4">
              <w:rPr>
                <w:rFonts w:ascii="Calibri" w:eastAsia="Lucida Sans Unicode" w:hAnsi="Calibri" w:cs="Mangal"/>
                <w:b/>
                <w:kern w:val="3"/>
                <w:sz w:val="18"/>
                <w:szCs w:val="18"/>
                <w:lang w:eastAsia="zh-CN" w:bidi="hi-IN"/>
              </w:rPr>
              <w:t>Obs.</w:t>
            </w:r>
          </w:p>
        </w:tc>
        <w:tc>
          <w:tcPr>
            <w:tcW w:w="1326" w:type="dxa"/>
            <w:tcBorders>
              <w:top w:val="single" w:sz="4" w:space="0" w:color="000000"/>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120" w:line="240" w:lineRule="auto"/>
              <w:jc w:val="center"/>
              <w:textAlignment w:val="baseline"/>
              <w:rPr>
                <w:rFonts w:ascii="Calibri" w:eastAsia="Lucida Sans Unicode" w:hAnsi="Calibri" w:cs="Mangal"/>
                <w:b/>
                <w:kern w:val="3"/>
                <w:sz w:val="18"/>
                <w:szCs w:val="18"/>
                <w:lang w:eastAsia="zh-CN" w:bidi="hi-IN"/>
              </w:rPr>
            </w:pPr>
            <w:r w:rsidRPr="008039A4">
              <w:rPr>
                <w:rFonts w:ascii="Calibri" w:eastAsia="Lucida Sans Unicode" w:hAnsi="Calibri" w:cs="Mangal"/>
                <w:b/>
                <w:kern w:val="3"/>
                <w:sz w:val="18"/>
                <w:szCs w:val="18"/>
                <w:lang w:eastAsia="zh-CN" w:bidi="hi-IN"/>
              </w:rPr>
              <w:t>Mean</w:t>
            </w:r>
          </w:p>
        </w:tc>
        <w:tc>
          <w:tcPr>
            <w:tcW w:w="1311" w:type="dxa"/>
            <w:tcBorders>
              <w:top w:val="single" w:sz="4" w:space="0" w:color="000000"/>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120" w:line="240" w:lineRule="auto"/>
              <w:jc w:val="center"/>
              <w:textAlignment w:val="baseline"/>
              <w:rPr>
                <w:rFonts w:ascii="Calibri" w:eastAsia="Lucida Sans Unicode" w:hAnsi="Calibri" w:cs="Mangal"/>
                <w:b/>
                <w:kern w:val="3"/>
                <w:sz w:val="18"/>
                <w:szCs w:val="18"/>
                <w:lang w:eastAsia="zh-CN" w:bidi="hi-IN"/>
              </w:rPr>
            </w:pPr>
            <w:r w:rsidRPr="008039A4">
              <w:rPr>
                <w:rFonts w:ascii="Calibri" w:eastAsia="Lucida Sans Unicode" w:hAnsi="Calibri" w:cs="Mangal"/>
                <w:b/>
                <w:kern w:val="3"/>
                <w:sz w:val="18"/>
                <w:szCs w:val="18"/>
                <w:lang w:eastAsia="zh-CN" w:bidi="hi-IN"/>
              </w:rPr>
              <w:t>SD</w:t>
            </w:r>
          </w:p>
        </w:tc>
        <w:tc>
          <w:tcPr>
            <w:tcW w:w="1326" w:type="dxa"/>
            <w:tcBorders>
              <w:top w:val="single" w:sz="4" w:space="0" w:color="000000"/>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120" w:line="240" w:lineRule="auto"/>
              <w:jc w:val="center"/>
              <w:textAlignment w:val="baseline"/>
              <w:rPr>
                <w:rFonts w:ascii="Calibri" w:eastAsia="Lucida Sans Unicode" w:hAnsi="Calibri" w:cs="Mangal"/>
                <w:b/>
                <w:kern w:val="3"/>
                <w:sz w:val="18"/>
                <w:szCs w:val="18"/>
                <w:lang w:eastAsia="zh-CN" w:bidi="hi-IN"/>
              </w:rPr>
            </w:pPr>
            <w:r w:rsidRPr="008039A4">
              <w:rPr>
                <w:rFonts w:ascii="Calibri" w:eastAsia="Lucida Sans Unicode" w:hAnsi="Calibri" w:cs="Mangal"/>
                <w:b/>
                <w:kern w:val="3"/>
                <w:sz w:val="18"/>
                <w:szCs w:val="18"/>
                <w:lang w:eastAsia="zh-CN" w:bidi="hi-IN"/>
              </w:rPr>
              <w:t>Median</w:t>
            </w:r>
          </w:p>
        </w:tc>
        <w:tc>
          <w:tcPr>
            <w:tcW w:w="1339" w:type="dxa"/>
            <w:tcBorders>
              <w:top w:val="single" w:sz="4" w:space="0" w:color="000000"/>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120" w:line="240" w:lineRule="auto"/>
              <w:jc w:val="center"/>
              <w:textAlignment w:val="baseline"/>
              <w:rPr>
                <w:rFonts w:ascii="Calibri" w:eastAsia="Lucida Sans Unicode" w:hAnsi="Calibri" w:cs="Mangal"/>
                <w:kern w:val="3"/>
                <w:sz w:val="24"/>
                <w:szCs w:val="24"/>
                <w:lang w:eastAsia="zh-CN" w:bidi="hi-IN"/>
              </w:rPr>
            </w:pPr>
            <w:r w:rsidRPr="008039A4">
              <w:rPr>
                <w:rFonts w:ascii="Calibri" w:eastAsia="Lucida Sans Unicode" w:hAnsi="Calibri" w:cs="Mangal"/>
                <w:b/>
                <w:kern w:val="3"/>
                <w:sz w:val="18"/>
                <w:szCs w:val="18"/>
                <w:lang w:eastAsia="zh-CN" w:bidi="hi-IN"/>
              </w:rPr>
              <w:t>25</w:t>
            </w:r>
            <w:r w:rsidRPr="008039A4">
              <w:rPr>
                <w:rFonts w:ascii="Calibri" w:eastAsia="Lucida Sans Unicode" w:hAnsi="Calibri" w:cs="Mangal"/>
                <w:b/>
                <w:kern w:val="3"/>
                <w:sz w:val="18"/>
                <w:szCs w:val="18"/>
                <w:vertAlign w:val="superscript"/>
                <w:lang w:eastAsia="zh-CN" w:bidi="hi-IN"/>
              </w:rPr>
              <w:t>th</w:t>
            </w:r>
            <w:r w:rsidRPr="008039A4">
              <w:rPr>
                <w:rFonts w:ascii="Calibri" w:eastAsia="Lucida Sans Unicode" w:hAnsi="Calibri" w:cs="Mangal"/>
                <w:b/>
                <w:kern w:val="3"/>
                <w:sz w:val="18"/>
                <w:szCs w:val="18"/>
                <w:lang w:eastAsia="zh-CN" w:bidi="hi-IN"/>
              </w:rPr>
              <w:t xml:space="preserve"> Percentile</w:t>
            </w:r>
          </w:p>
        </w:tc>
        <w:tc>
          <w:tcPr>
            <w:tcW w:w="1369" w:type="dxa"/>
            <w:tcBorders>
              <w:top w:val="single" w:sz="4" w:space="0" w:color="000000"/>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120" w:line="240" w:lineRule="auto"/>
              <w:jc w:val="center"/>
              <w:textAlignment w:val="baseline"/>
              <w:rPr>
                <w:rFonts w:ascii="Calibri" w:eastAsia="Lucida Sans Unicode" w:hAnsi="Calibri" w:cs="Mangal"/>
                <w:kern w:val="3"/>
                <w:sz w:val="24"/>
                <w:szCs w:val="24"/>
                <w:lang w:eastAsia="zh-CN" w:bidi="hi-IN"/>
              </w:rPr>
            </w:pPr>
            <w:r w:rsidRPr="008039A4">
              <w:rPr>
                <w:rFonts w:ascii="Calibri" w:eastAsia="Lucida Sans Unicode" w:hAnsi="Calibri" w:cs="Mangal"/>
                <w:b/>
                <w:kern w:val="3"/>
                <w:sz w:val="18"/>
                <w:szCs w:val="18"/>
                <w:lang w:eastAsia="zh-CN" w:bidi="hi-IN"/>
              </w:rPr>
              <w:t>75</w:t>
            </w:r>
            <w:r w:rsidRPr="008039A4">
              <w:rPr>
                <w:rFonts w:ascii="Calibri" w:eastAsia="Lucida Sans Unicode" w:hAnsi="Calibri" w:cs="Mangal"/>
                <w:b/>
                <w:kern w:val="3"/>
                <w:sz w:val="18"/>
                <w:szCs w:val="18"/>
                <w:vertAlign w:val="superscript"/>
                <w:lang w:eastAsia="zh-CN" w:bidi="hi-IN"/>
              </w:rPr>
              <w:t xml:space="preserve">th </w:t>
            </w:r>
            <w:r w:rsidRPr="008039A4">
              <w:rPr>
                <w:rFonts w:ascii="Calibri" w:eastAsia="Lucida Sans Unicode" w:hAnsi="Calibri" w:cs="Mangal"/>
                <w:b/>
                <w:kern w:val="3"/>
                <w:sz w:val="18"/>
                <w:szCs w:val="18"/>
                <w:lang w:eastAsia="zh-CN" w:bidi="hi-IN"/>
              </w:rPr>
              <w:t>Percentile</w:t>
            </w:r>
          </w:p>
        </w:tc>
      </w:tr>
      <w:tr w:rsidR="008039A4" w:rsidRPr="008039A4" w:rsidTr="0003235E">
        <w:trPr>
          <w:jc w:val="center"/>
        </w:trPr>
        <w:tc>
          <w:tcPr>
            <w:tcW w:w="1937" w:type="dxa"/>
            <w:tcBorders>
              <w:top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Announced</w:t>
            </w:r>
          </w:p>
        </w:tc>
        <w:tc>
          <w:tcPr>
            <w:tcW w:w="1168" w:type="dxa"/>
            <w:tcBorders>
              <w:top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0" w:line="240" w:lineRule="auto"/>
              <w:jc w:val="center"/>
              <w:textAlignment w:val="baseline"/>
              <w:rPr>
                <w:rFonts w:ascii="Calibri" w:eastAsia="Lucida Sans Unicode" w:hAnsi="Calibri" w:cs="Mangal"/>
                <w:kern w:val="3"/>
                <w:sz w:val="24"/>
                <w:szCs w:val="24"/>
                <w:lang w:eastAsia="zh-CN" w:bidi="hi-IN"/>
              </w:rPr>
            </w:pPr>
            <w:r w:rsidRPr="008039A4">
              <w:rPr>
                <w:rFonts w:ascii="Calibri" w:eastAsia="Lucida Sans Unicode" w:hAnsi="Calibri" w:cs="Mangal"/>
                <w:kern w:val="3"/>
                <w:sz w:val="18"/>
                <w:szCs w:val="18"/>
                <w:lang w:eastAsia="zh-CN" w:bidi="hi-IN"/>
              </w:rPr>
              <w:t>207</w:t>
            </w:r>
          </w:p>
        </w:tc>
        <w:tc>
          <w:tcPr>
            <w:tcW w:w="1326" w:type="dxa"/>
            <w:tcBorders>
              <w:top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261088.7789</w:t>
            </w:r>
          </w:p>
          <w:p w:rsidR="008039A4" w:rsidRPr="008039A4" w:rsidRDefault="008039A4" w:rsidP="008039A4">
            <w:pPr>
              <w:widowControl w:val="0"/>
              <w:suppressAutoHyphens/>
              <w:autoSpaceDN w:val="0"/>
              <w:spacing w:before="120" w:after="0" w:line="240" w:lineRule="auto"/>
              <w:jc w:val="center"/>
              <w:textAlignment w:val="baseline"/>
              <w:rPr>
                <w:rFonts w:ascii="Calibri" w:eastAsia="Lucida Sans Unicode" w:hAnsi="Calibri" w:cs="Mangal"/>
                <w:kern w:val="3"/>
                <w:sz w:val="18"/>
                <w:szCs w:val="18"/>
                <w:lang w:eastAsia="zh-CN" w:bidi="hi-IN"/>
              </w:rPr>
            </w:pPr>
          </w:p>
        </w:tc>
        <w:tc>
          <w:tcPr>
            <w:tcW w:w="1311" w:type="dxa"/>
            <w:tcBorders>
              <w:top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0" w:line="240" w:lineRule="auto"/>
              <w:jc w:val="center"/>
              <w:textAlignment w:val="baseline"/>
              <w:rPr>
                <w:rFonts w:ascii="Calibri" w:eastAsia="Lucida Sans Unicode" w:hAnsi="Calibri" w:cs="Mangal"/>
                <w:kern w:val="3"/>
                <w:sz w:val="24"/>
                <w:szCs w:val="24"/>
                <w:lang w:eastAsia="zh-CN" w:bidi="hi-IN"/>
              </w:rPr>
            </w:pPr>
            <w:r w:rsidRPr="008039A4">
              <w:rPr>
                <w:rFonts w:ascii="Calibri" w:eastAsia="Lucida Sans Unicode" w:hAnsi="Calibri" w:cs="Mangal"/>
                <w:kern w:val="3"/>
                <w:sz w:val="18"/>
                <w:szCs w:val="18"/>
                <w:lang w:eastAsia="zh-CN" w:bidi="hi-IN"/>
              </w:rPr>
              <w:t>1365518.8714</w:t>
            </w:r>
          </w:p>
          <w:p w:rsidR="008039A4" w:rsidRPr="008039A4" w:rsidRDefault="008039A4" w:rsidP="008039A4">
            <w:pPr>
              <w:widowControl w:val="0"/>
              <w:suppressAutoHyphens/>
              <w:autoSpaceDN w:val="0"/>
              <w:spacing w:before="120" w:after="0" w:line="240" w:lineRule="auto"/>
              <w:jc w:val="center"/>
              <w:textAlignment w:val="baseline"/>
              <w:rPr>
                <w:rFonts w:ascii="Calibri" w:eastAsia="Lucida Sans Unicode" w:hAnsi="Calibri" w:cs="Mangal"/>
                <w:kern w:val="3"/>
                <w:sz w:val="18"/>
                <w:szCs w:val="18"/>
                <w:lang w:eastAsia="zh-CN" w:bidi="hi-IN"/>
              </w:rPr>
            </w:pPr>
          </w:p>
        </w:tc>
        <w:tc>
          <w:tcPr>
            <w:tcW w:w="1326" w:type="dxa"/>
            <w:tcBorders>
              <w:top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0" w:line="240" w:lineRule="auto"/>
              <w:jc w:val="center"/>
              <w:textAlignment w:val="baseline"/>
              <w:rPr>
                <w:rFonts w:ascii="Calibri" w:eastAsia="Lucida Sans Unicode" w:hAnsi="Calibri" w:cs="Mangal"/>
                <w:kern w:val="3"/>
                <w:sz w:val="24"/>
                <w:szCs w:val="24"/>
                <w:lang w:eastAsia="zh-CN" w:bidi="hi-IN"/>
              </w:rPr>
            </w:pPr>
            <w:r w:rsidRPr="008039A4">
              <w:rPr>
                <w:rFonts w:ascii="Calibri" w:eastAsia="Lucida Sans Unicode" w:hAnsi="Calibri" w:cs="Mangal"/>
                <w:kern w:val="3"/>
                <w:sz w:val="18"/>
                <w:szCs w:val="18"/>
                <w:lang w:eastAsia="zh-CN" w:bidi="hi-IN"/>
              </w:rPr>
              <w:t>9885.4950</w:t>
            </w:r>
          </w:p>
          <w:p w:rsidR="008039A4" w:rsidRPr="008039A4" w:rsidRDefault="008039A4" w:rsidP="008039A4">
            <w:pPr>
              <w:widowControl w:val="0"/>
              <w:suppressAutoHyphens/>
              <w:autoSpaceDN w:val="0"/>
              <w:spacing w:before="120" w:after="0" w:line="240" w:lineRule="auto"/>
              <w:jc w:val="center"/>
              <w:textAlignment w:val="baseline"/>
              <w:rPr>
                <w:rFonts w:ascii="Calibri" w:eastAsia="Lucida Sans Unicode" w:hAnsi="Calibri" w:cs="Mangal"/>
                <w:kern w:val="3"/>
                <w:sz w:val="18"/>
                <w:szCs w:val="18"/>
                <w:lang w:eastAsia="zh-CN" w:bidi="hi-IN"/>
              </w:rPr>
            </w:pPr>
          </w:p>
        </w:tc>
        <w:tc>
          <w:tcPr>
            <w:tcW w:w="1339" w:type="dxa"/>
            <w:tcBorders>
              <w:top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2554.4300</w:t>
            </w:r>
          </w:p>
          <w:p w:rsidR="008039A4" w:rsidRPr="008039A4" w:rsidRDefault="008039A4" w:rsidP="008039A4">
            <w:pPr>
              <w:widowControl w:val="0"/>
              <w:suppressAutoHyphens/>
              <w:autoSpaceDN w:val="0"/>
              <w:spacing w:before="120" w:after="0" w:line="240" w:lineRule="auto"/>
              <w:jc w:val="center"/>
              <w:textAlignment w:val="baseline"/>
              <w:rPr>
                <w:rFonts w:ascii="Calibri" w:eastAsia="Lucida Sans Unicode" w:hAnsi="Calibri" w:cs="Mangal"/>
                <w:kern w:val="3"/>
                <w:sz w:val="18"/>
                <w:szCs w:val="18"/>
                <w:lang w:eastAsia="zh-CN" w:bidi="hi-IN"/>
              </w:rPr>
            </w:pPr>
          </w:p>
        </w:tc>
        <w:tc>
          <w:tcPr>
            <w:tcW w:w="1369" w:type="dxa"/>
            <w:tcBorders>
              <w:top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before="120"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62598.5950</w:t>
            </w:r>
          </w:p>
          <w:p w:rsidR="008039A4" w:rsidRPr="008039A4" w:rsidRDefault="008039A4" w:rsidP="008039A4">
            <w:pPr>
              <w:widowControl w:val="0"/>
              <w:suppressAutoHyphens/>
              <w:autoSpaceDN w:val="0"/>
              <w:spacing w:before="120" w:after="0" w:line="240" w:lineRule="auto"/>
              <w:jc w:val="center"/>
              <w:textAlignment w:val="baseline"/>
              <w:rPr>
                <w:rFonts w:ascii="Calibri" w:eastAsia="Lucida Sans Unicode" w:hAnsi="Calibri" w:cs="Mangal"/>
                <w:kern w:val="3"/>
                <w:sz w:val="18"/>
                <w:szCs w:val="18"/>
                <w:lang w:eastAsia="zh-CN" w:bidi="hi-IN"/>
              </w:rPr>
            </w:pPr>
          </w:p>
        </w:tc>
      </w:tr>
      <w:tr w:rsidR="008039A4" w:rsidRPr="008039A4" w:rsidTr="0003235E">
        <w:trPr>
          <w:jc w:val="center"/>
        </w:trPr>
        <w:tc>
          <w:tcPr>
            <w:tcW w:w="1937" w:type="dxa"/>
            <w:tcBorders>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Rumoured</w:t>
            </w:r>
          </w:p>
        </w:tc>
        <w:tc>
          <w:tcPr>
            <w:tcW w:w="1168" w:type="dxa"/>
            <w:tcBorders>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193</w:t>
            </w:r>
          </w:p>
        </w:tc>
        <w:tc>
          <w:tcPr>
            <w:tcW w:w="1326" w:type="dxa"/>
            <w:tcBorders>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286384.0979</w:t>
            </w:r>
          </w:p>
        </w:tc>
        <w:tc>
          <w:tcPr>
            <w:tcW w:w="1311" w:type="dxa"/>
            <w:tcBorders>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8039A4">
              <w:rPr>
                <w:rFonts w:ascii="Calibri" w:eastAsia="Lucida Sans Unicode" w:hAnsi="Calibri" w:cs="Mangal"/>
                <w:kern w:val="3"/>
                <w:sz w:val="18"/>
                <w:szCs w:val="18"/>
                <w:lang w:eastAsia="zh-CN" w:bidi="hi-IN"/>
              </w:rPr>
              <w:t>1412209.7042</w:t>
            </w:r>
          </w:p>
        </w:tc>
        <w:tc>
          <w:tcPr>
            <w:tcW w:w="1326" w:type="dxa"/>
            <w:tcBorders>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8039A4">
              <w:rPr>
                <w:rFonts w:ascii="Calibri" w:eastAsia="Lucida Sans Unicode" w:hAnsi="Calibri" w:cs="Mangal"/>
                <w:kern w:val="3"/>
                <w:sz w:val="18"/>
                <w:szCs w:val="18"/>
                <w:lang w:eastAsia="zh-CN" w:bidi="hi-IN"/>
              </w:rPr>
              <w:t>9527.8800</w:t>
            </w:r>
          </w:p>
          <w:p w:rsidR="008039A4" w:rsidRPr="008039A4" w:rsidRDefault="008039A4" w:rsidP="008039A4">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339" w:type="dxa"/>
            <w:tcBorders>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2979.6600</w:t>
            </w:r>
          </w:p>
        </w:tc>
        <w:tc>
          <w:tcPr>
            <w:tcW w:w="1369" w:type="dxa"/>
            <w:tcBorders>
              <w:bottom w:val="single" w:sz="4" w:space="0" w:color="000000"/>
            </w:tcBorders>
            <w:tcMar>
              <w:top w:w="0" w:type="dxa"/>
              <w:left w:w="108" w:type="dxa"/>
              <w:bottom w:w="0" w:type="dxa"/>
              <w:right w:w="108" w:type="dxa"/>
            </w:tcMar>
          </w:tcPr>
          <w:p w:rsidR="008039A4" w:rsidRPr="008039A4" w:rsidRDefault="008039A4" w:rsidP="008039A4">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8039A4">
              <w:rPr>
                <w:rFonts w:ascii="Calibri" w:eastAsia="Lucida Sans Unicode" w:hAnsi="Calibri" w:cs="Mangal"/>
                <w:kern w:val="3"/>
                <w:sz w:val="18"/>
                <w:szCs w:val="18"/>
                <w:lang w:eastAsia="zh-CN" w:bidi="hi-IN"/>
              </w:rPr>
              <w:t>71253.9600</w:t>
            </w:r>
          </w:p>
        </w:tc>
      </w:tr>
    </w:tbl>
    <w:p w:rsidR="008039A4" w:rsidRDefault="008039A4" w:rsidP="008039A4">
      <w:pPr>
        <w:widowControl w:val="0"/>
        <w:suppressAutoHyphens/>
        <w:autoSpaceDN w:val="0"/>
        <w:spacing w:after="0" w:line="480" w:lineRule="auto"/>
        <w:jc w:val="both"/>
        <w:textAlignment w:val="baseline"/>
        <w:rPr>
          <w:rFonts w:ascii="Calibri" w:eastAsia="Lucida Sans Unicode" w:hAnsi="Calibri" w:cs="Times New Roman"/>
          <w:kern w:val="3"/>
          <w:sz w:val="24"/>
          <w:szCs w:val="24"/>
          <w:lang w:eastAsia="zh-CN" w:bidi="hi-IN"/>
        </w:rPr>
        <w:sectPr w:rsidR="008039A4" w:rsidSect="0003235E">
          <w:pgSz w:w="16838" w:h="11906" w:orient="landscape"/>
          <w:pgMar w:top="1440" w:right="1440" w:bottom="1440" w:left="1440" w:header="709" w:footer="709" w:gutter="0"/>
          <w:cols w:space="708"/>
          <w:docGrid w:linePitch="360"/>
        </w:sectPr>
      </w:pPr>
    </w:p>
    <w:p w:rsidR="00B36042" w:rsidRPr="00B36042" w:rsidRDefault="00B36042" w:rsidP="00B36042">
      <w:pPr>
        <w:suppressLineNumbers/>
        <w:suppressAutoHyphens/>
        <w:autoSpaceDN w:val="0"/>
        <w:spacing w:before="120" w:after="120"/>
        <w:jc w:val="center"/>
        <w:textAlignment w:val="baseline"/>
        <w:rPr>
          <w:rFonts w:ascii="Calibri" w:eastAsia="Times New Roman" w:hAnsi="Calibri" w:cs="Mangal"/>
          <w:b/>
          <w:iCs/>
          <w:kern w:val="3"/>
          <w:lang w:eastAsia="zh-CN"/>
        </w:rPr>
      </w:pPr>
      <w:bookmarkStart w:id="12" w:name="_Toc367210390"/>
      <w:r w:rsidRPr="00B36042">
        <w:rPr>
          <w:rFonts w:ascii="Calibri" w:eastAsia="Times New Roman" w:hAnsi="Calibri" w:cs="Mangal"/>
          <w:b/>
          <w:iCs/>
          <w:kern w:val="3"/>
          <w:lang w:eastAsia="zh-CN"/>
        </w:rPr>
        <w:lastRenderedPageBreak/>
        <w:t xml:space="preserve">Table </w:t>
      </w:r>
      <w:r w:rsidR="00F95478">
        <w:rPr>
          <w:rFonts w:ascii="Calibri" w:eastAsia="Times New Roman" w:hAnsi="Calibri" w:cs="Mangal"/>
          <w:b/>
          <w:iCs/>
          <w:kern w:val="3"/>
          <w:lang w:eastAsia="zh-CN"/>
        </w:rPr>
        <w:t>II</w:t>
      </w:r>
      <w:r w:rsidRPr="00B36042">
        <w:rPr>
          <w:rFonts w:ascii="Calibri" w:eastAsia="Times New Roman" w:hAnsi="Calibri" w:cs="Mangal"/>
          <w:b/>
          <w:iCs/>
          <w:kern w:val="3"/>
          <w:lang w:eastAsia="zh-CN"/>
        </w:rPr>
        <w:t xml:space="preserve"> Cumulative Average Abnormal Returns surrounding Announcement date</w:t>
      </w:r>
      <w:bookmarkEnd w:id="12"/>
    </w:p>
    <w:p w:rsidR="00B36042" w:rsidRPr="00B36042" w:rsidRDefault="00B36042" w:rsidP="00B36042">
      <w:pPr>
        <w:widowControl w:val="0"/>
        <w:suppressAutoHyphens/>
        <w:autoSpaceDN w:val="0"/>
        <w:spacing w:after="0" w:line="240" w:lineRule="auto"/>
        <w:ind w:left="-284" w:right="350"/>
        <w:jc w:val="both"/>
        <w:textAlignment w:val="baseline"/>
        <w:rPr>
          <w:rFonts w:ascii="Calibri" w:eastAsia="Lucida Sans Unicode" w:hAnsi="Calibri" w:cs="Mangal"/>
          <w:kern w:val="3"/>
          <w:lang w:eastAsia="zh-CN" w:bidi="hi-IN"/>
        </w:rPr>
      </w:pPr>
      <w:r w:rsidRPr="00B36042">
        <w:rPr>
          <w:rFonts w:ascii="Calibri" w:eastAsia="Lucida Sans Unicode" w:hAnsi="Calibri" w:cs="Mangal"/>
          <w:kern w:val="3"/>
          <w:lang w:eastAsia="zh-CN" w:bidi="hi-IN"/>
        </w:rPr>
        <w:t xml:space="preserve">Reported in the table below are the cumulative abnormal returns for the event windows surrounding the announcement of forthcoming Mergers or Acquisitions which have since been completed. The cumulative </w:t>
      </w:r>
      <w:proofErr w:type="gramStart"/>
      <w:r w:rsidRPr="00B36042">
        <w:rPr>
          <w:rFonts w:ascii="Calibri" w:eastAsia="Lucida Sans Unicode" w:hAnsi="Calibri" w:cs="Mangal"/>
          <w:kern w:val="3"/>
          <w:lang w:eastAsia="zh-CN" w:bidi="hi-IN"/>
        </w:rPr>
        <w:t>average abnormal returns are calculated from prices denominated in UK sterling and are</w:t>
      </w:r>
      <w:proofErr w:type="gramEnd"/>
      <w:r w:rsidRPr="00B36042">
        <w:rPr>
          <w:rFonts w:ascii="Calibri" w:eastAsia="Lucida Sans Unicode" w:hAnsi="Calibri" w:cs="Mangal"/>
          <w:kern w:val="3"/>
          <w:lang w:eastAsia="zh-CN" w:bidi="hi-IN"/>
        </w:rPr>
        <w:t xml:space="preserve"> expressed in percentage terms. The sample in total consists of 207 Companies. Panel A contains CAARs defined over event windows of various sizes for which abnormal returns are calculated using the constant mean return model providing an expected return. This is generated using the estimated average of returns in each company 100 trading days immediately prior to the first day of each event window. In Panel B CAARs are calculated from returns generated using the market model, which estimates returns from coefficients taken from an OLS regression using a estimation period similar to that of the previous model. Listed in the third and fourth column of each panel are the t-statistics and p-values for the sample of CARs, which test the hypothesis that as a collective, the mean of the Cumulative Abnormal Returns is equal to zero. The final three columns in each panel of the table below report the results of a </w:t>
      </w:r>
      <w:proofErr w:type="spellStart"/>
      <w:r w:rsidRPr="00B36042">
        <w:rPr>
          <w:rFonts w:ascii="Calibri" w:eastAsia="Lucida Sans Unicode" w:hAnsi="Calibri" w:cs="Mangal"/>
          <w:kern w:val="3"/>
          <w:lang w:eastAsia="zh-CN" w:bidi="hi-IN"/>
        </w:rPr>
        <w:t>non parametric</w:t>
      </w:r>
      <w:proofErr w:type="spellEnd"/>
      <w:r w:rsidRPr="00B36042">
        <w:rPr>
          <w:rFonts w:ascii="Calibri" w:eastAsia="Lucida Sans Unicode" w:hAnsi="Calibri" w:cs="Mangal"/>
          <w:kern w:val="3"/>
          <w:lang w:eastAsia="zh-CN" w:bidi="hi-IN"/>
        </w:rPr>
        <w:t xml:space="preserve"> investigation that bases its tests on the hypothesis that cumulative abnormal returns are equal to zero when the assumption that returns are normally distributed is removed. The null hypothesis states that the proportion of negative and positive CARs are equal.</w:t>
      </w:r>
    </w:p>
    <w:p w:rsidR="00B36042" w:rsidRPr="00B36042" w:rsidRDefault="00B36042" w:rsidP="00B36042">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tbl>
      <w:tblPr>
        <w:tblW w:w="13844" w:type="dxa"/>
        <w:tblInd w:w="-108" w:type="dxa"/>
        <w:tblLayout w:type="fixed"/>
        <w:tblCellMar>
          <w:left w:w="10" w:type="dxa"/>
          <w:right w:w="10" w:type="dxa"/>
        </w:tblCellMar>
        <w:tblLook w:val="0000" w:firstRow="0" w:lastRow="0" w:firstColumn="0" w:lastColumn="0" w:noHBand="0" w:noVBand="0"/>
      </w:tblPr>
      <w:tblGrid>
        <w:gridCol w:w="1976"/>
        <w:gridCol w:w="1978"/>
        <w:gridCol w:w="1978"/>
        <w:gridCol w:w="1978"/>
        <w:gridCol w:w="1978"/>
        <w:gridCol w:w="1978"/>
        <w:gridCol w:w="1978"/>
      </w:tblGrid>
      <w:tr w:rsidR="00B36042" w:rsidRPr="00B36042" w:rsidTr="0003235E">
        <w:trPr>
          <w:trHeight w:val="296"/>
        </w:trPr>
        <w:tc>
          <w:tcPr>
            <w:tcW w:w="13844" w:type="dxa"/>
            <w:gridSpan w:val="7"/>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Panel A: Constant Mean Return Model</w:t>
            </w:r>
          </w:p>
        </w:tc>
      </w:tr>
      <w:tr w:rsidR="00B36042" w:rsidRPr="00B36042" w:rsidTr="0003235E">
        <w:trPr>
          <w:trHeight w:val="296"/>
        </w:trPr>
        <w:tc>
          <w:tcPr>
            <w:tcW w:w="1976"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Event</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Window</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CAAR</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t-stat</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p-value</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Proportion of positive CARs</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z-stat</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p-value</w:t>
            </w:r>
          </w:p>
        </w:tc>
      </w:tr>
      <w:tr w:rsidR="00B36042" w:rsidRPr="00B36042" w:rsidTr="0003235E">
        <w:trPr>
          <w:trHeight w:val="296"/>
        </w:trPr>
        <w:tc>
          <w:tcPr>
            <w:tcW w:w="1976"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(-60, -1)</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10.5822%</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3.4615</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0.0010</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0.5604</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1.7504</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0.0400</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r w:rsidR="00B36042" w:rsidRPr="00B36042" w:rsidTr="0003235E">
        <w:trPr>
          <w:trHeight w:val="296"/>
        </w:trPr>
        <w:tc>
          <w:tcPr>
            <w:tcW w:w="1976"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(-60, 10)</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10.7616%</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2.9539</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0.0043</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0.5362</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1.0453</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0.1479</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r w:rsidR="00B36042" w:rsidRPr="00B36042" w:rsidTr="0003235E">
        <w:trPr>
          <w:trHeight w:val="296"/>
        </w:trPr>
        <w:tc>
          <w:tcPr>
            <w:tcW w:w="1976"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(0, 10)</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0.1794%</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0.0954</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0.9956</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0.4638</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-1.0453</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0.8521</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r w:rsidR="00B36042" w:rsidRPr="00B36042" w:rsidTr="0003235E">
        <w:trPr>
          <w:trHeight w:val="296"/>
        </w:trPr>
        <w:tc>
          <w:tcPr>
            <w:tcW w:w="13844" w:type="dxa"/>
            <w:gridSpan w:val="7"/>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120" w:after="120" w:line="240" w:lineRule="auto"/>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Panel B: Market Model</w:t>
            </w:r>
          </w:p>
        </w:tc>
      </w:tr>
      <w:tr w:rsidR="00B36042" w:rsidRPr="00B36042" w:rsidTr="0003235E">
        <w:trPr>
          <w:trHeight w:val="296"/>
        </w:trPr>
        <w:tc>
          <w:tcPr>
            <w:tcW w:w="1976"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Event</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Window</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CAAR</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t-stat</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p-value</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Proportion of positive CARs</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z-stat</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p-value</w:t>
            </w:r>
          </w:p>
        </w:tc>
      </w:tr>
      <w:tr w:rsidR="00B36042" w:rsidRPr="00B36042" w:rsidTr="0003235E">
        <w:trPr>
          <w:trHeight w:val="282"/>
        </w:trPr>
        <w:tc>
          <w:tcPr>
            <w:tcW w:w="1976"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(-60, -1)</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9.0314%</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2.8735</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0.0056</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0.5550</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1.6007</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0.0547</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r w:rsidR="00B36042" w:rsidRPr="00B36042" w:rsidTr="0003235E">
        <w:trPr>
          <w:trHeight w:val="282"/>
        </w:trPr>
        <w:tc>
          <w:tcPr>
            <w:tcW w:w="1976"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(-60, 10)</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8.9455%</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2.4165</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0.0182</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0.5407</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1.1798</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0.1190</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r w:rsidR="00B36042" w:rsidRPr="00B36042" w:rsidTr="0003235E">
        <w:trPr>
          <w:trHeight w:val="282"/>
        </w:trPr>
        <w:tc>
          <w:tcPr>
            <w:tcW w:w="1976"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(0, 10)</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-0.0859%</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-0.0434</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0.9662</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0.4641</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-1.0403</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0.8509</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bl>
    <w:p w:rsidR="005F4A36" w:rsidRDefault="005F4A36" w:rsidP="005F4A36">
      <w:pPr>
        <w:widowControl w:val="0"/>
        <w:suppressAutoHyphens/>
        <w:autoSpaceDN w:val="0"/>
        <w:spacing w:after="0" w:line="480" w:lineRule="auto"/>
        <w:ind w:left="851"/>
        <w:jc w:val="both"/>
        <w:textAlignment w:val="baseline"/>
        <w:rPr>
          <w:rFonts w:ascii="Calibri" w:eastAsia="Lucida Sans Unicode" w:hAnsi="Calibri" w:cs="Mangal"/>
          <w:kern w:val="3"/>
          <w:lang w:eastAsia="zh-CN" w:bidi="hi-IN"/>
        </w:rPr>
        <w:sectPr w:rsidR="005F4A36" w:rsidSect="0003235E">
          <w:pgSz w:w="16838" w:h="11906" w:orient="landscape"/>
          <w:pgMar w:top="1440" w:right="1440" w:bottom="1440" w:left="1440" w:header="709" w:footer="709" w:gutter="0"/>
          <w:cols w:space="708"/>
          <w:docGrid w:linePitch="360"/>
        </w:sectPr>
      </w:pPr>
    </w:p>
    <w:p w:rsidR="00B36042" w:rsidRPr="00B36042" w:rsidRDefault="00B36042" w:rsidP="00B36042">
      <w:pPr>
        <w:suppressLineNumbers/>
        <w:suppressAutoHyphens/>
        <w:autoSpaceDN w:val="0"/>
        <w:spacing w:before="120" w:after="120"/>
        <w:jc w:val="center"/>
        <w:textAlignment w:val="baseline"/>
        <w:rPr>
          <w:rFonts w:ascii="Calibri" w:eastAsia="Times New Roman" w:hAnsi="Calibri" w:cs="Mangal"/>
          <w:b/>
          <w:iCs/>
          <w:kern w:val="3"/>
          <w:lang w:eastAsia="zh-CN"/>
        </w:rPr>
      </w:pPr>
      <w:r w:rsidRPr="00B36042">
        <w:rPr>
          <w:rFonts w:ascii="Calibri" w:eastAsia="Times New Roman" w:hAnsi="Calibri" w:cs="Mangal"/>
          <w:b/>
          <w:iCs/>
          <w:kern w:val="3"/>
          <w:lang w:eastAsia="zh-CN"/>
        </w:rPr>
        <w:lastRenderedPageBreak/>
        <w:t xml:space="preserve">Figure </w:t>
      </w:r>
      <w:r>
        <w:rPr>
          <w:rFonts w:ascii="Calibri" w:eastAsia="Times New Roman" w:hAnsi="Calibri" w:cs="Mangal"/>
          <w:b/>
          <w:iCs/>
          <w:kern w:val="3"/>
          <w:lang w:eastAsia="zh-CN"/>
        </w:rPr>
        <w:t>2</w:t>
      </w:r>
      <w:r w:rsidRPr="00B36042">
        <w:rPr>
          <w:rFonts w:ascii="Calibri" w:eastAsia="Times New Roman" w:hAnsi="Calibri" w:cs="Mangal"/>
          <w:b/>
          <w:iCs/>
          <w:kern w:val="3"/>
          <w:lang w:eastAsia="zh-CN"/>
        </w:rPr>
        <w:t>: Cumulative average abnormal returns to sample of target companies surrounding announcement date of takeover</w:t>
      </w:r>
    </w:p>
    <w:p w:rsidR="00B36042" w:rsidRPr="00B36042" w:rsidRDefault="00B36042" w:rsidP="00B36042">
      <w:pPr>
        <w:suppressLineNumbers/>
        <w:suppressAutoHyphens/>
        <w:autoSpaceDN w:val="0"/>
        <w:spacing w:before="120" w:after="120"/>
        <w:textAlignment w:val="baseline"/>
        <w:rPr>
          <w:rFonts w:ascii="Calibri" w:eastAsia="Times New Roman" w:hAnsi="Calibri" w:cs="Mangal"/>
          <w:b/>
          <w:i/>
          <w:iCs/>
          <w:kern w:val="3"/>
          <w:lang w:eastAsia="zh-CN"/>
        </w:rPr>
      </w:pPr>
    </w:p>
    <w:p w:rsidR="00B36042" w:rsidRPr="00B36042" w:rsidRDefault="00B36042" w:rsidP="00B36042">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24"/>
          <w:szCs w:val="24"/>
          <w:lang w:eastAsia="zh-CN" w:bidi="hi-IN"/>
        </w:rPr>
        <w:t>Panel A: Constant-Mean Return Model</w:t>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t>Panel B: Market Model</w:t>
      </w:r>
    </w:p>
    <w:tbl>
      <w:tblPr>
        <w:tblW w:w="14184" w:type="dxa"/>
        <w:tblInd w:w="-113" w:type="dxa"/>
        <w:tblLayout w:type="fixed"/>
        <w:tblCellMar>
          <w:left w:w="10" w:type="dxa"/>
          <w:right w:w="10" w:type="dxa"/>
        </w:tblCellMar>
        <w:tblLook w:val="0000" w:firstRow="0" w:lastRow="0" w:firstColumn="0" w:lastColumn="0" w:noHBand="0" w:noVBand="0"/>
      </w:tblPr>
      <w:tblGrid>
        <w:gridCol w:w="7087"/>
        <w:gridCol w:w="7097"/>
      </w:tblGrid>
      <w:tr w:rsidR="00B36042" w:rsidRPr="00B36042" w:rsidTr="0003235E">
        <w:tc>
          <w:tcPr>
            <w:tcW w:w="7087" w:type="dxa"/>
            <w:tcBorders>
              <w:top w:val="single" w:sz="4" w:space="0" w:color="000000"/>
              <w:left w:val="single" w:sz="4" w:space="0" w:color="000000"/>
              <w:bottom w:val="single" w:sz="4" w:space="0" w:color="000000"/>
            </w:tcBorders>
            <w:tcMar>
              <w:top w:w="0" w:type="dxa"/>
              <w:left w:w="108" w:type="dxa"/>
              <w:bottom w:w="0" w:type="dxa"/>
              <w:right w:w="108" w:type="dxa"/>
            </w:tcMar>
          </w:tcPr>
          <w:p w:rsidR="00B36042" w:rsidRPr="00B36042" w:rsidRDefault="00D9119A"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object w:dxaOrig="720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15pt;height:206.8pt" o:ole="">
                  <v:imagedata r:id="rId19" o:title=""/>
                </v:shape>
                <o:OLEObject Type="Embed" ProgID="PBrush" ShapeID="_x0000_i1025" DrawAspect="Content" ObjectID="_1504341825" r:id="rId20"/>
              </w:object>
            </w:r>
          </w:p>
        </w:tc>
        <w:tc>
          <w:tcPr>
            <w:tcW w:w="7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042" w:rsidRPr="00B36042" w:rsidRDefault="00D9119A"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object w:dxaOrig="7215" w:dyaOrig="4365">
                <v:shape id="_x0000_i1026" type="#_x0000_t75" style="width:343.15pt;height:207.55pt" o:ole="">
                  <v:imagedata r:id="rId21" o:title=""/>
                </v:shape>
                <o:OLEObject Type="Embed" ProgID="PBrush" ShapeID="_x0000_i1026" DrawAspect="Content" ObjectID="_1504341826" r:id="rId22"/>
              </w:object>
            </w:r>
          </w:p>
        </w:tc>
      </w:tr>
    </w:tbl>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6"/>
          <w:szCs w:val="16"/>
          <w:lang w:eastAsia="zh-CN" w:bidi="hi-IN"/>
        </w:rPr>
      </w:pPr>
    </w:p>
    <w:p w:rsidR="005F4A36" w:rsidRDefault="00B36042" w:rsidP="00B36042">
      <w:pPr>
        <w:widowControl w:val="0"/>
        <w:suppressAutoHyphens/>
        <w:autoSpaceDN w:val="0"/>
        <w:spacing w:after="0" w:line="480" w:lineRule="auto"/>
        <w:jc w:val="both"/>
        <w:textAlignment w:val="baseline"/>
        <w:rPr>
          <w:rFonts w:ascii="Calibri" w:eastAsia="Lucida Sans Unicode" w:hAnsi="Calibri" w:cs="Mangal"/>
          <w:kern w:val="3"/>
          <w:lang w:eastAsia="zh-CN" w:bidi="hi-IN"/>
        </w:rPr>
      </w:pPr>
      <w:r w:rsidRPr="00B36042">
        <w:rPr>
          <w:rFonts w:ascii="Calibri" w:eastAsia="Times New Roman" w:hAnsi="Calibri" w:cs="Times New Roman"/>
          <w:sz w:val="16"/>
          <w:szCs w:val="16"/>
          <w:lang w:eastAsia="en-GB"/>
        </w:rPr>
        <w:t>Note: Above are graphs illustrating the cumulative average abnormal returns in an event window for companies 60 trading days preceding and 10 days following an announcement of a merger or acquisition, the sample employed investigates 207 events in the UK markets over a period of 119 months from March 2001 to January 2011</w:t>
      </w:r>
    </w:p>
    <w:p w:rsidR="008039A4" w:rsidRDefault="008039A4" w:rsidP="005F4A36">
      <w:pPr>
        <w:widowControl w:val="0"/>
        <w:suppressAutoHyphens/>
        <w:autoSpaceDN w:val="0"/>
        <w:spacing w:after="0" w:line="480" w:lineRule="auto"/>
        <w:ind w:left="851"/>
        <w:jc w:val="both"/>
        <w:textAlignment w:val="baseline"/>
        <w:rPr>
          <w:rFonts w:ascii="Calibri" w:eastAsia="Lucida Sans Unicode" w:hAnsi="Calibri" w:cs="Mangal"/>
          <w:kern w:val="3"/>
          <w:lang w:eastAsia="zh-CN" w:bidi="hi-IN"/>
        </w:rPr>
      </w:pPr>
    </w:p>
    <w:p w:rsidR="008039A4" w:rsidRPr="005F4A36" w:rsidRDefault="008039A4" w:rsidP="005F4A36">
      <w:pPr>
        <w:widowControl w:val="0"/>
        <w:suppressAutoHyphens/>
        <w:autoSpaceDN w:val="0"/>
        <w:spacing w:after="0" w:line="480" w:lineRule="auto"/>
        <w:ind w:left="851"/>
        <w:jc w:val="both"/>
        <w:textAlignment w:val="baseline"/>
        <w:rPr>
          <w:rFonts w:ascii="Calibri" w:eastAsia="Lucida Sans Unicode" w:hAnsi="Calibri" w:cs="Mangal"/>
          <w:kern w:val="3"/>
          <w:lang w:eastAsia="zh-CN" w:bidi="hi-IN"/>
        </w:rPr>
        <w:sectPr w:rsidR="008039A4" w:rsidRPr="005F4A36" w:rsidSect="0003235E">
          <w:pgSz w:w="16838" w:h="11906" w:orient="landscape"/>
          <w:pgMar w:top="1440" w:right="1440" w:bottom="1440" w:left="1440" w:header="709" w:footer="709" w:gutter="0"/>
          <w:cols w:space="708"/>
          <w:docGrid w:linePitch="360"/>
        </w:sectPr>
      </w:pPr>
    </w:p>
    <w:p w:rsidR="00B36042" w:rsidRPr="00B36042" w:rsidRDefault="00B36042" w:rsidP="00B36042">
      <w:pPr>
        <w:suppressLineNumbers/>
        <w:suppressAutoHyphens/>
        <w:autoSpaceDN w:val="0"/>
        <w:spacing w:before="120" w:after="120"/>
        <w:jc w:val="center"/>
        <w:textAlignment w:val="baseline"/>
        <w:rPr>
          <w:rFonts w:ascii="Calibri" w:eastAsia="Times New Roman" w:hAnsi="Calibri" w:cs="Mangal"/>
          <w:b/>
          <w:iCs/>
          <w:kern w:val="3"/>
          <w:lang w:eastAsia="zh-CN"/>
        </w:rPr>
      </w:pPr>
      <w:bookmarkStart w:id="13" w:name="_Toc367210391"/>
      <w:r w:rsidRPr="00B36042">
        <w:rPr>
          <w:rFonts w:ascii="Calibri" w:eastAsia="Times New Roman" w:hAnsi="Calibri" w:cs="Mangal"/>
          <w:b/>
          <w:iCs/>
          <w:kern w:val="3"/>
          <w:lang w:eastAsia="zh-CN"/>
        </w:rPr>
        <w:lastRenderedPageBreak/>
        <w:t xml:space="preserve">Table </w:t>
      </w:r>
      <w:r w:rsidR="00F95478">
        <w:rPr>
          <w:rFonts w:ascii="Calibri" w:eastAsia="Times New Roman" w:hAnsi="Calibri" w:cs="Mangal"/>
          <w:b/>
          <w:iCs/>
          <w:kern w:val="3"/>
          <w:lang w:eastAsia="zh-CN"/>
        </w:rPr>
        <w:t>III</w:t>
      </w:r>
      <w:r w:rsidRPr="00B36042">
        <w:rPr>
          <w:rFonts w:ascii="Calibri" w:eastAsia="Times New Roman" w:hAnsi="Calibri" w:cs="Mangal"/>
          <w:b/>
          <w:iCs/>
          <w:kern w:val="3"/>
          <w:lang w:eastAsia="zh-CN"/>
        </w:rPr>
        <w:t xml:space="preserve"> Cumulative Average Abnormal Returns surrounding Rumour date</w:t>
      </w:r>
      <w:bookmarkEnd w:id="13"/>
    </w:p>
    <w:p w:rsidR="00B36042" w:rsidRPr="00B36042" w:rsidRDefault="00B36042" w:rsidP="00B36042">
      <w:pPr>
        <w:widowControl w:val="0"/>
        <w:suppressAutoHyphens/>
        <w:autoSpaceDN w:val="0"/>
        <w:spacing w:after="0" w:line="240" w:lineRule="auto"/>
        <w:jc w:val="both"/>
        <w:textAlignment w:val="baseline"/>
        <w:rPr>
          <w:rFonts w:ascii="Calibri" w:eastAsia="Lucida Sans Unicode" w:hAnsi="Calibri" w:cs="Mangal"/>
          <w:kern w:val="3"/>
          <w:sz w:val="20"/>
          <w:szCs w:val="20"/>
          <w:lang w:eastAsia="zh-CN" w:bidi="hi-IN"/>
        </w:rPr>
      </w:pPr>
      <w:r w:rsidRPr="00B36042">
        <w:rPr>
          <w:rFonts w:ascii="Calibri" w:eastAsia="Lucida Sans Unicode" w:hAnsi="Calibri" w:cs="Mangal"/>
          <w:kern w:val="3"/>
          <w:sz w:val="20"/>
          <w:szCs w:val="20"/>
          <w:lang w:eastAsia="zh-CN" w:bidi="hi-IN"/>
        </w:rPr>
        <w:t xml:space="preserve">The results recorded in the following table are the cumulative abnormal returns for the event windows surrounding the rumour date for a merger or acquisition which has since been successfully completed. The cumulative average abnormal returns are expressed in percentage terms; the entire sample used includes 193 target companies. Panel A contains CAARs calculated using the constant mean return model, both event windows defined span from day t = -60 to day t = -1 and from day t = -60 to day t =+10 respectively. The benchmark model used in Panel A provides an expected return equal to an average of 100 trading days immediately prior to the first day of each event window. In Panel B CAARs are generated using the market model to estimate expected returns, this computes an expected return using coefficients taken from an OLS regression over an estimation period spanning 100 days and which ends immediately prior to the first day of the event window. The third and fourth column of each of the panel’s reports the t-statistics and p-values for the series of CARs and tests the hypothesis that the mean of the Cumulative abnormal returns is equal to zero. The remaining three columns in both panels below report the results of a </w:t>
      </w:r>
      <w:r w:rsidR="0084732D" w:rsidRPr="00B36042">
        <w:rPr>
          <w:rFonts w:ascii="Calibri" w:eastAsia="Lucida Sans Unicode" w:hAnsi="Calibri" w:cs="Mangal"/>
          <w:kern w:val="3"/>
          <w:sz w:val="20"/>
          <w:szCs w:val="20"/>
          <w:lang w:eastAsia="zh-CN" w:bidi="hi-IN"/>
        </w:rPr>
        <w:t>non-parametric</w:t>
      </w:r>
      <w:r w:rsidRPr="00B36042">
        <w:rPr>
          <w:rFonts w:ascii="Calibri" w:eastAsia="Lucida Sans Unicode" w:hAnsi="Calibri" w:cs="Mangal"/>
          <w:kern w:val="3"/>
          <w:sz w:val="20"/>
          <w:szCs w:val="20"/>
          <w:lang w:eastAsia="zh-CN" w:bidi="hi-IN"/>
        </w:rPr>
        <w:t xml:space="preserve"> z test which investigates the hypothesis that the mean cumulative abnormal returns equates to zero removing the assumption that the CARs are normally distributed. Under the null hypothesis the proportion of negative and positive CARs are equal.</w:t>
      </w:r>
    </w:p>
    <w:tbl>
      <w:tblPr>
        <w:tblW w:w="13844" w:type="dxa"/>
        <w:tblInd w:w="-108" w:type="dxa"/>
        <w:tblLayout w:type="fixed"/>
        <w:tblCellMar>
          <w:left w:w="10" w:type="dxa"/>
          <w:right w:w="10" w:type="dxa"/>
        </w:tblCellMar>
        <w:tblLook w:val="0000" w:firstRow="0" w:lastRow="0" w:firstColumn="0" w:lastColumn="0" w:noHBand="0" w:noVBand="0"/>
      </w:tblPr>
      <w:tblGrid>
        <w:gridCol w:w="1976"/>
        <w:gridCol w:w="1978"/>
        <w:gridCol w:w="1978"/>
        <w:gridCol w:w="1978"/>
        <w:gridCol w:w="1978"/>
        <w:gridCol w:w="1978"/>
        <w:gridCol w:w="1978"/>
      </w:tblGrid>
      <w:tr w:rsidR="00B36042" w:rsidRPr="00B36042" w:rsidTr="0003235E">
        <w:trPr>
          <w:trHeight w:val="594"/>
        </w:trPr>
        <w:tc>
          <w:tcPr>
            <w:tcW w:w="13844" w:type="dxa"/>
            <w:gridSpan w:val="7"/>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textAlignment w:val="baseline"/>
              <w:rPr>
                <w:rFonts w:ascii="Calibri" w:eastAsia="Lucida Sans Unicode" w:hAnsi="Calibri" w:cs="Mangal"/>
                <w:kern w:val="3"/>
                <w:lang w:eastAsia="zh-CN" w:bidi="hi-IN"/>
              </w:rPr>
            </w:pPr>
            <w:r w:rsidRPr="00B36042">
              <w:rPr>
                <w:rFonts w:ascii="Calibri" w:eastAsia="Lucida Sans Unicode" w:hAnsi="Calibri" w:cs="Mangal"/>
                <w:kern w:val="3"/>
                <w:lang w:eastAsia="zh-CN" w:bidi="hi-IN"/>
              </w:rPr>
              <w:t>Panel A: Constant Mean Return Model</w:t>
            </w:r>
          </w:p>
        </w:tc>
      </w:tr>
      <w:tr w:rsidR="00B36042" w:rsidRPr="00B36042" w:rsidTr="0003235E">
        <w:trPr>
          <w:trHeight w:val="594"/>
        </w:trPr>
        <w:tc>
          <w:tcPr>
            <w:tcW w:w="1976"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Event</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Window</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CAAR</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t-stat</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p-value</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Proportion of positive CARs</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z-stat</w:t>
            </w:r>
          </w:p>
        </w:tc>
        <w:tc>
          <w:tcPr>
            <w:tcW w:w="1978" w:type="dxa"/>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p-value</w:t>
            </w:r>
          </w:p>
        </w:tc>
      </w:tr>
      <w:tr w:rsidR="00B36042" w:rsidRPr="00B36042" w:rsidTr="0003235E">
        <w:trPr>
          <w:trHeight w:val="296"/>
        </w:trPr>
        <w:tc>
          <w:tcPr>
            <w:tcW w:w="1976"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(-60, -1)</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13.8459%</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4.8282</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0.0000</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0.5596</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1.6675</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0.0477</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r w:rsidR="00B36042" w:rsidRPr="00B36042" w:rsidTr="0003235E">
        <w:trPr>
          <w:trHeight w:val="296"/>
        </w:trPr>
        <w:tc>
          <w:tcPr>
            <w:tcW w:w="1976"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(-60, 10)</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12.3654%</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3.6893</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0.0004</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0.5648</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1.8148</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0.0348</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r w:rsidR="00B36042" w:rsidRPr="00B36042" w:rsidTr="0003235E">
        <w:trPr>
          <w:trHeight w:val="296"/>
        </w:trPr>
        <w:tc>
          <w:tcPr>
            <w:tcW w:w="1976"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(0, 10)</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-1.4805%</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-1.0068</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0.3085</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0.4404</w:t>
            </w:r>
          </w:p>
          <w:p w:rsidR="00B36042" w:rsidRPr="00B36042" w:rsidRDefault="00B36042" w:rsidP="00B36042">
            <w:pPr>
              <w:widowControl w:val="0"/>
              <w:suppressAutoHyphens/>
              <w:autoSpaceDN w:val="0"/>
              <w:spacing w:after="0" w:line="240" w:lineRule="auto"/>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-1.6675</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0.9523</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r>
      <w:tr w:rsidR="00B36042" w:rsidRPr="00B36042" w:rsidTr="0003235E">
        <w:trPr>
          <w:trHeight w:val="594"/>
        </w:trPr>
        <w:tc>
          <w:tcPr>
            <w:tcW w:w="13844" w:type="dxa"/>
            <w:gridSpan w:val="7"/>
            <w:tcBorders>
              <w:top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Panel B: Market Model</w:t>
            </w:r>
          </w:p>
        </w:tc>
      </w:tr>
      <w:tr w:rsidR="00B36042" w:rsidRPr="00B36042" w:rsidTr="0003235E">
        <w:trPr>
          <w:trHeight w:val="594"/>
        </w:trPr>
        <w:tc>
          <w:tcPr>
            <w:tcW w:w="1976"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Event</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Window</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CAAR</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t-stat</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p-value</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Proportion of positive CARs</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z-stat</w:t>
            </w:r>
          </w:p>
        </w:tc>
        <w:tc>
          <w:tcPr>
            <w:tcW w:w="1978" w:type="dxa"/>
            <w:tcBorders>
              <w:top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before="240"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p-value</w:t>
            </w:r>
          </w:p>
        </w:tc>
      </w:tr>
      <w:tr w:rsidR="00B36042" w:rsidRPr="00B36042" w:rsidTr="0003235E">
        <w:trPr>
          <w:trHeight w:val="282"/>
        </w:trPr>
        <w:tc>
          <w:tcPr>
            <w:tcW w:w="1976"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(-60,-1)</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11.5756%</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4.1741</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0.0000</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0.5692</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1.9523</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0.0255</w:t>
            </w:r>
          </w:p>
        </w:tc>
      </w:tr>
      <w:tr w:rsidR="00B36042" w:rsidRPr="00B36042" w:rsidTr="0003235E">
        <w:trPr>
          <w:trHeight w:val="296"/>
        </w:trPr>
        <w:tc>
          <w:tcPr>
            <w:tcW w:w="1976"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(-60, 10)</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9.8910%</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3.1100</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0.0027</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0.5436</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1.2220</w:t>
            </w:r>
          </w:p>
        </w:tc>
        <w:tc>
          <w:tcPr>
            <w:tcW w:w="1978" w:type="dxa"/>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0.1108</w:t>
            </w:r>
          </w:p>
        </w:tc>
      </w:tr>
      <w:tr w:rsidR="00B36042" w:rsidRPr="00B36042" w:rsidTr="0003235E">
        <w:trPr>
          <w:trHeight w:val="296"/>
        </w:trPr>
        <w:tc>
          <w:tcPr>
            <w:tcW w:w="1976"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(0, 10)</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-1.6847%</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-1.4043</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0.1878</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0.4410</w:t>
            </w: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18"/>
                <w:szCs w:val="18"/>
                <w:lang w:eastAsia="zh-CN" w:bidi="hi-IN"/>
              </w:rPr>
            </w:pP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18"/>
                <w:szCs w:val="18"/>
                <w:lang w:eastAsia="zh-CN" w:bidi="hi-IN"/>
              </w:rPr>
            </w:pPr>
            <w:r w:rsidRPr="00B36042">
              <w:rPr>
                <w:rFonts w:ascii="Calibri" w:eastAsia="Lucida Sans Unicode" w:hAnsi="Calibri" w:cs="Mangal"/>
                <w:kern w:val="3"/>
                <w:sz w:val="18"/>
                <w:szCs w:val="18"/>
                <w:lang w:eastAsia="zh-CN" w:bidi="hi-IN"/>
              </w:rPr>
              <w:t>-1.6586</w:t>
            </w:r>
          </w:p>
        </w:tc>
        <w:tc>
          <w:tcPr>
            <w:tcW w:w="1978" w:type="dxa"/>
            <w:tcBorders>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18"/>
                <w:szCs w:val="18"/>
                <w:lang w:eastAsia="zh-CN" w:bidi="hi-IN"/>
              </w:rPr>
              <w:t>0.9514</w:t>
            </w:r>
          </w:p>
        </w:tc>
      </w:tr>
    </w:tbl>
    <w:p w:rsidR="00B36042" w:rsidRDefault="00B36042" w:rsidP="00B36042">
      <w:pPr>
        <w:keepNext/>
        <w:suppressLineNumbers/>
        <w:suppressAutoHyphens/>
        <w:autoSpaceDN w:val="0"/>
        <w:spacing w:before="120" w:after="120"/>
        <w:jc w:val="center"/>
        <w:textAlignment w:val="baseline"/>
        <w:rPr>
          <w:rFonts w:ascii="Calibri" w:eastAsia="Times New Roman" w:hAnsi="Calibri" w:cs="Mangal"/>
          <w:b/>
          <w:iCs/>
          <w:kern w:val="3"/>
          <w:lang w:eastAsia="zh-CN"/>
        </w:rPr>
        <w:sectPr w:rsidR="00B36042" w:rsidSect="005F4A36">
          <w:pgSz w:w="16838" w:h="11906" w:orient="landscape"/>
          <w:pgMar w:top="1440" w:right="1440" w:bottom="1440" w:left="1440" w:header="709" w:footer="709" w:gutter="0"/>
          <w:cols w:space="720"/>
          <w:docGrid w:linePitch="299"/>
        </w:sectPr>
      </w:pPr>
      <w:bookmarkStart w:id="14" w:name="_Toc329610246"/>
    </w:p>
    <w:p w:rsidR="00B36042" w:rsidRPr="00B36042" w:rsidRDefault="00B36042" w:rsidP="00B36042">
      <w:pPr>
        <w:keepNext/>
        <w:suppressLineNumbers/>
        <w:suppressAutoHyphens/>
        <w:autoSpaceDN w:val="0"/>
        <w:spacing w:before="120" w:after="120"/>
        <w:jc w:val="center"/>
        <w:textAlignment w:val="baseline"/>
        <w:rPr>
          <w:rFonts w:ascii="Calibri" w:eastAsia="Times New Roman" w:hAnsi="Calibri" w:cs="Mangal"/>
          <w:b/>
          <w:iCs/>
          <w:kern w:val="3"/>
          <w:lang w:eastAsia="zh-CN"/>
        </w:rPr>
      </w:pPr>
      <w:r w:rsidRPr="00B36042">
        <w:rPr>
          <w:rFonts w:ascii="Calibri" w:eastAsia="Times New Roman" w:hAnsi="Calibri" w:cs="Mangal"/>
          <w:b/>
          <w:iCs/>
          <w:kern w:val="3"/>
          <w:lang w:eastAsia="zh-CN"/>
        </w:rPr>
        <w:lastRenderedPageBreak/>
        <w:t xml:space="preserve">Figure </w:t>
      </w:r>
      <w:r w:rsidR="0003235E">
        <w:rPr>
          <w:rFonts w:ascii="Calibri" w:eastAsia="Times New Roman" w:hAnsi="Calibri" w:cs="Mangal"/>
          <w:b/>
          <w:iCs/>
          <w:kern w:val="3"/>
          <w:lang w:eastAsia="zh-CN"/>
        </w:rPr>
        <w:t>3</w:t>
      </w:r>
      <w:r w:rsidRPr="00B36042">
        <w:rPr>
          <w:rFonts w:ascii="Calibri" w:eastAsia="Times New Roman" w:hAnsi="Calibri" w:cs="Mangal"/>
          <w:b/>
          <w:iCs/>
          <w:kern w:val="3"/>
          <w:lang w:eastAsia="zh-CN"/>
        </w:rPr>
        <w:t>: Cumulative average abnormal returns to sample of target companies surrounding rumour date of takeover</w:t>
      </w:r>
      <w:bookmarkEnd w:id="14"/>
    </w:p>
    <w:p w:rsidR="00B36042" w:rsidRPr="00B36042" w:rsidRDefault="00B36042" w:rsidP="00B36042">
      <w:pPr>
        <w:widowControl w:val="0"/>
        <w:suppressAutoHyphens/>
        <w:autoSpaceDN w:val="0"/>
        <w:spacing w:after="0" w:line="240" w:lineRule="auto"/>
        <w:textAlignment w:val="baseline"/>
        <w:rPr>
          <w:rFonts w:ascii="Calibri" w:eastAsia="Lucida Sans Unicode" w:hAnsi="Calibri" w:cs="Mangal"/>
          <w:kern w:val="3"/>
          <w:sz w:val="24"/>
          <w:szCs w:val="24"/>
          <w:lang w:eastAsia="zh-CN" w:bidi="hi-IN"/>
        </w:rPr>
      </w:pPr>
    </w:p>
    <w:p w:rsidR="00B36042" w:rsidRPr="00B36042" w:rsidRDefault="00B36042" w:rsidP="00B36042">
      <w:pPr>
        <w:widowControl w:val="0"/>
        <w:suppressAutoHyphens/>
        <w:autoSpaceDN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Lucida Sans Unicode" w:hAnsi="Calibri" w:cs="Mangal"/>
          <w:kern w:val="3"/>
          <w:sz w:val="24"/>
          <w:szCs w:val="24"/>
          <w:lang w:eastAsia="zh-CN" w:bidi="hi-IN"/>
        </w:rPr>
        <w:t>Panel A: Constant-Mean Return Model</w:t>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r>
      <w:r w:rsidRPr="00B36042">
        <w:rPr>
          <w:rFonts w:ascii="Calibri" w:eastAsia="Lucida Sans Unicode" w:hAnsi="Calibri" w:cs="Mangal"/>
          <w:kern w:val="3"/>
          <w:sz w:val="24"/>
          <w:szCs w:val="24"/>
          <w:lang w:eastAsia="zh-CN" w:bidi="hi-IN"/>
        </w:rPr>
        <w:tab/>
        <w:t>Panel B: Market Model</w:t>
      </w:r>
    </w:p>
    <w:tbl>
      <w:tblPr>
        <w:tblW w:w="14184" w:type="dxa"/>
        <w:tblInd w:w="-113" w:type="dxa"/>
        <w:tblLayout w:type="fixed"/>
        <w:tblCellMar>
          <w:left w:w="10" w:type="dxa"/>
          <w:right w:w="10" w:type="dxa"/>
        </w:tblCellMar>
        <w:tblLook w:val="0000" w:firstRow="0" w:lastRow="0" w:firstColumn="0" w:lastColumn="0" w:noHBand="0" w:noVBand="0"/>
      </w:tblPr>
      <w:tblGrid>
        <w:gridCol w:w="7087"/>
        <w:gridCol w:w="7097"/>
      </w:tblGrid>
      <w:tr w:rsidR="00B36042" w:rsidRPr="00B36042" w:rsidTr="0003235E">
        <w:tc>
          <w:tcPr>
            <w:tcW w:w="7087" w:type="dxa"/>
            <w:tcBorders>
              <w:top w:val="single" w:sz="4" w:space="0" w:color="000000"/>
              <w:left w:val="single" w:sz="4" w:space="0" w:color="000000"/>
              <w:bottom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Times New Roman" w:hAnsi="Calibri" w:cs="Calibri"/>
                <w:noProof/>
                <w:kern w:val="3"/>
                <w:lang w:eastAsia="en-GB"/>
              </w:rPr>
              <w:drawing>
                <wp:inline distT="0" distB="0" distL="0" distR="0" wp14:anchorId="64BEC616" wp14:editId="05C230AF">
                  <wp:extent cx="4581525" cy="2752725"/>
                  <wp:effectExtent l="0" t="0" r="0" b="0"/>
                  <wp:docPr id="6" name="Chart 4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7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042" w:rsidRPr="00B36042" w:rsidRDefault="00B36042" w:rsidP="00B36042">
            <w:pPr>
              <w:widowControl w:val="0"/>
              <w:suppressAutoHyphens/>
              <w:autoSpaceDN w:val="0"/>
              <w:snapToGrid w:val="0"/>
              <w:spacing w:after="0" w:line="240" w:lineRule="auto"/>
              <w:jc w:val="center"/>
              <w:textAlignment w:val="baseline"/>
              <w:rPr>
                <w:rFonts w:ascii="Calibri" w:eastAsia="Lucida Sans Unicode" w:hAnsi="Calibri" w:cs="Mangal"/>
                <w:kern w:val="3"/>
                <w:sz w:val="24"/>
                <w:szCs w:val="24"/>
                <w:lang w:eastAsia="zh-CN" w:bidi="hi-IN"/>
              </w:rPr>
            </w:pPr>
            <w:r w:rsidRPr="00B36042">
              <w:rPr>
                <w:rFonts w:ascii="Calibri" w:eastAsia="Times New Roman" w:hAnsi="Calibri" w:cs="Calibri"/>
                <w:noProof/>
                <w:kern w:val="3"/>
                <w:lang w:eastAsia="en-GB"/>
              </w:rPr>
              <w:drawing>
                <wp:inline distT="0" distB="0" distL="0" distR="0" wp14:anchorId="05D25244" wp14:editId="70AAA004">
                  <wp:extent cx="4581525" cy="2752725"/>
                  <wp:effectExtent l="0" t="0" r="0" b="0"/>
                  <wp:docPr id="7" name="Chart 4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845B19" w:rsidRDefault="00B13D5F" w:rsidP="00845B19">
      <w:pPr>
        <w:pStyle w:val="Standard"/>
        <w:spacing w:line="480" w:lineRule="auto"/>
        <w:ind w:left="851"/>
        <w:jc w:val="both"/>
        <w:rPr>
          <w:rFonts w:asciiTheme="minorHAnsi" w:hAnsiTheme="minorHAnsi"/>
          <w:sz w:val="22"/>
          <w:szCs w:val="22"/>
        </w:rPr>
      </w:pPr>
      <w:r>
        <w:rPr>
          <w:rFonts w:ascii="Calibri" w:eastAsia="Times New Roman" w:hAnsi="Calibri" w:cs="Times New Roman"/>
          <w:kern w:val="0"/>
          <w:sz w:val="16"/>
          <w:szCs w:val="16"/>
          <w:lang w:eastAsia="en-GB" w:bidi="ar-SA"/>
        </w:rPr>
        <w:t>Note: Portrayed in Figure 3</w:t>
      </w:r>
      <w:r w:rsidR="00B36042" w:rsidRPr="00B36042">
        <w:rPr>
          <w:rFonts w:ascii="Calibri" w:eastAsia="Times New Roman" w:hAnsi="Calibri" w:cs="Times New Roman"/>
          <w:kern w:val="0"/>
          <w:sz w:val="16"/>
          <w:szCs w:val="16"/>
          <w:lang w:eastAsia="en-GB" w:bidi="ar-SA"/>
        </w:rPr>
        <w:t xml:space="preserve"> are the cumulative average abnormal returns in an event window for a sample of companies 6o trading days preceding and 10 days following the first published rumour of a merger or acquisition, the sample examines 193 events in the UK markets over a period of 119 months from March 2001 to January 2011</w:t>
      </w:r>
    </w:p>
    <w:p w:rsidR="005F4A36" w:rsidRDefault="005F4A36" w:rsidP="00845B19">
      <w:pPr>
        <w:pStyle w:val="Standard"/>
        <w:spacing w:line="480" w:lineRule="auto"/>
        <w:ind w:left="851"/>
        <w:jc w:val="both"/>
        <w:rPr>
          <w:rFonts w:asciiTheme="minorHAnsi" w:hAnsiTheme="minorHAnsi"/>
          <w:sz w:val="22"/>
          <w:szCs w:val="22"/>
        </w:rPr>
      </w:pPr>
    </w:p>
    <w:p w:rsidR="005F4A36" w:rsidRDefault="005F4A36" w:rsidP="00845B19">
      <w:pPr>
        <w:pStyle w:val="Standard"/>
        <w:spacing w:line="480" w:lineRule="auto"/>
        <w:ind w:left="851"/>
        <w:jc w:val="both"/>
        <w:rPr>
          <w:rFonts w:asciiTheme="minorHAnsi" w:hAnsiTheme="minorHAnsi"/>
          <w:sz w:val="22"/>
          <w:szCs w:val="22"/>
        </w:rPr>
      </w:pPr>
    </w:p>
    <w:p w:rsidR="00B36042" w:rsidRDefault="00B36042" w:rsidP="00845B19">
      <w:pPr>
        <w:pStyle w:val="Standard"/>
        <w:spacing w:line="480" w:lineRule="auto"/>
        <w:ind w:left="851"/>
        <w:jc w:val="both"/>
        <w:rPr>
          <w:rFonts w:asciiTheme="minorHAnsi" w:hAnsiTheme="minorHAnsi"/>
          <w:sz w:val="22"/>
          <w:szCs w:val="22"/>
        </w:rPr>
        <w:sectPr w:rsidR="00B36042" w:rsidSect="005F4A36">
          <w:pgSz w:w="16838" w:h="11906" w:orient="landscape"/>
          <w:pgMar w:top="1440" w:right="1440" w:bottom="1440" w:left="1440" w:header="709" w:footer="709" w:gutter="0"/>
          <w:cols w:space="720"/>
          <w:docGrid w:linePitch="299"/>
        </w:sectPr>
      </w:pPr>
    </w:p>
    <w:p w:rsidR="00B36042" w:rsidRDefault="00B36042" w:rsidP="00B36042">
      <w:pPr>
        <w:rPr>
          <w:rFonts w:ascii="Calibri" w:eastAsia="Times New Roman" w:hAnsi="Calibri" w:cs="Times New Roman"/>
          <w:b/>
          <w:lang w:eastAsia="en-GB"/>
        </w:rPr>
      </w:pPr>
    </w:p>
    <w:p w:rsidR="00B36042" w:rsidRDefault="00B36042" w:rsidP="00B36042">
      <w:pPr>
        <w:rPr>
          <w:rFonts w:ascii="Calibri" w:eastAsia="Times New Roman" w:hAnsi="Calibri" w:cs="Times New Roman"/>
          <w:b/>
          <w:lang w:eastAsia="en-GB"/>
        </w:rPr>
      </w:pPr>
    </w:p>
    <w:p w:rsidR="00B36042" w:rsidRDefault="00B36042" w:rsidP="00B36042">
      <w:pPr>
        <w:jc w:val="center"/>
        <w:rPr>
          <w:rFonts w:ascii="Calibri" w:eastAsia="Times New Roman" w:hAnsi="Calibri" w:cs="Times New Roman"/>
          <w:b/>
          <w:lang w:eastAsia="en-GB"/>
        </w:rPr>
      </w:pPr>
      <w:r>
        <w:rPr>
          <w:rFonts w:ascii="Calibri" w:eastAsia="Times New Roman" w:hAnsi="Calibri" w:cs="Times New Roman"/>
          <w:b/>
          <w:lang w:eastAsia="en-GB"/>
        </w:rPr>
        <w:t>[END OF PAPER]</w:t>
      </w:r>
    </w:p>
    <w:p w:rsidR="00B36042" w:rsidRPr="00B36042" w:rsidRDefault="00B36042" w:rsidP="00B36042">
      <w:pPr>
        <w:rPr>
          <w:rFonts w:ascii="Calibri" w:eastAsia="Lucida Sans Unicode" w:hAnsi="Calibri" w:cs="Mangal"/>
          <w:b/>
          <w:kern w:val="3"/>
          <w:sz w:val="24"/>
          <w:szCs w:val="24"/>
          <w:lang w:eastAsia="zh-CN" w:bidi="hi-IN"/>
        </w:rPr>
      </w:pPr>
    </w:p>
    <w:p w:rsidR="005F4A36" w:rsidRPr="00845B19" w:rsidRDefault="005F4A36" w:rsidP="00845B19">
      <w:pPr>
        <w:pStyle w:val="Standard"/>
        <w:spacing w:line="480" w:lineRule="auto"/>
        <w:ind w:left="851"/>
        <w:jc w:val="both"/>
        <w:rPr>
          <w:rFonts w:asciiTheme="minorHAnsi" w:hAnsiTheme="minorHAnsi"/>
          <w:sz w:val="22"/>
          <w:szCs w:val="22"/>
        </w:rPr>
        <w:sectPr w:rsidR="005F4A36" w:rsidRPr="00845B19" w:rsidSect="0003235E">
          <w:pgSz w:w="16838" w:h="11906" w:orient="landscape"/>
          <w:pgMar w:top="1440" w:right="1440" w:bottom="1440" w:left="1440" w:header="709" w:footer="709" w:gutter="0"/>
          <w:cols w:space="720"/>
          <w:docGrid w:linePitch="299"/>
        </w:sectPr>
      </w:pPr>
    </w:p>
    <w:p w:rsidR="008A5201" w:rsidRDefault="008A5201" w:rsidP="008600D8">
      <w:pPr>
        <w:spacing w:after="0" w:line="480" w:lineRule="auto"/>
        <w:rPr>
          <w:rFonts w:eastAsia="Lucida Sans Unicode" w:cs="Mangal"/>
          <w:kern w:val="3"/>
          <w:lang w:eastAsia="zh-CN" w:bidi="hi-IN"/>
        </w:rPr>
        <w:sectPr w:rsidR="008A5201">
          <w:pgSz w:w="11906" w:h="16838"/>
          <w:pgMar w:top="1440" w:right="1440" w:bottom="1440" w:left="1440" w:header="709" w:footer="709" w:gutter="0"/>
          <w:cols w:space="720"/>
        </w:sectPr>
      </w:pPr>
    </w:p>
    <w:p w:rsidR="008600D8" w:rsidRDefault="008600D8" w:rsidP="00EA7DB5">
      <w:pPr>
        <w:pStyle w:val="Standard"/>
        <w:spacing w:line="480" w:lineRule="auto"/>
        <w:ind w:left="851" w:firstLine="589"/>
        <w:jc w:val="both"/>
        <w:rPr>
          <w:rFonts w:asciiTheme="minorHAnsi" w:hAnsiTheme="minorHAnsi"/>
          <w:sz w:val="22"/>
          <w:szCs w:val="22"/>
        </w:rPr>
      </w:pPr>
    </w:p>
    <w:p w:rsidR="00EA7DB5" w:rsidRDefault="00EA7DB5" w:rsidP="00EA7DB5">
      <w:pPr>
        <w:pStyle w:val="Standard"/>
        <w:spacing w:line="480" w:lineRule="auto"/>
        <w:ind w:left="851" w:firstLine="589"/>
        <w:jc w:val="both"/>
        <w:rPr>
          <w:rFonts w:asciiTheme="minorHAnsi" w:hAnsiTheme="minorHAnsi"/>
          <w:sz w:val="22"/>
          <w:szCs w:val="22"/>
        </w:rPr>
      </w:pPr>
    </w:p>
    <w:p w:rsidR="00EA7DB5" w:rsidRDefault="00EA7DB5" w:rsidP="00EA7DB5">
      <w:pPr>
        <w:pStyle w:val="Standard"/>
        <w:spacing w:line="480" w:lineRule="auto"/>
        <w:ind w:left="851"/>
        <w:jc w:val="both"/>
        <w:rPr>
          <w:rFonts w:asciiTheme="minorHAnsi" w:hAnsiTheme="minorHAnsi"/>
        </w:rPr>
      </w:pPr>
    </w:p>
    <w:p w:rsidR="00EA7DB5" w:rsidRDefault="00EA7DB5" w:rsidP="00EA7DB5">
      <w:pPr>
        <w:pStyle w:val="Standard"/>
        <w:spacing w:line="480" w:lineRule="auto"/>
        <w:ind w:left="851" w:right="663"/>
        <w:jc w:val="both"/>
        <w:rPr>
          <w:rFonts w:asciiTheme="minorHAnsi" w:hAnsiTheme="minorHAnsi"/>
          <w:sz w:val="22"/>
          <w:szCs w:val="22"/>
        </w:rPr>
      </w:pPr>
    </w:p>
    <w:p w:rsidR="00240906" w:rsidRDefault="00240906"/>
    <w:sectPr w:rsidR="0024090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bl84" w:date="2015-09-18T11:04:00Z" w:initials="bl84">
    <w:p w:rsidR="0061497D" w:rsidRDefault="0061497D">
      <w:pPr>
        <w:pStyle w:val="CommentText"/>
      </w:pPr>
      <w:r>
        <w:rPr>
          <w:rStyle w:val="CommentReference"/>
        </w:rPr>
        <w:annotationRef/>
      </w:r>
      <w:r>
        <w:t>Added in</w:t>
      </w:r>
    </w:p>
  </w:comment>
  <w:comment w:id="3" w:author="bl84" w:date="2015-09-18T11:27:00Z" w:initials="bl84">
    <w:p w:rsidR="00E41FE3" w:rsidRDefault="00E41FE3">
      <w:pPr>
        <w:pStyle w:val="CommentText"/>
      </w:pPr>
      <w:r>
        <w:rPr>
          <w:rStyle w:val="CommentReference"/>
        </w:rPr>
        <w:annotationRef/>
      </w:r>
      <w:r>
        <w:t>Also added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E12" w:rsidRDefault="00721E12" w:rsidP="00E21C36">
      <w:pPr>
        <w:spacing w:after="0" w:line="240" w:lineRule="auto"/>
      </w:pPr>
      <w:r>
        <w:separator/>
      </w:r>
    </w:p>
  </w:endnote>
  <w:endnote w:type="continuationSeparator" w:id="0">
    <w:p w:rsidR="00721E12" w:rsidRDefault="00721E12" w:rsidP="00E21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E12" w:rsidRDefault="00721E12" w:rsidP="00E21C36">
      <w:pPr>
        <w:spacing w:after="0" w:line="240" w:lineRule="auto"/>
      </w:pPr>
      <w:r>
        <w:separator/>
      </w:r>
    </w:p>
  </w:footnote>
  <w:footnote w:type="continuationSeparator" w:id="0">
    <w:p w:rsidR="00721E12" w:rsidRDefault="00721E12" w:rsidP="00E21C36">
      <w:pPr>
        <w:spacing w:after="0" w:line="240" w:lineRule="auto"/>
      </w:pPr>
      <w:r>
        <w:continuationSeparator/>
      </w:r>
    </w:p>
  </w:footnote>
  <w:footnote w:id="1">
    <w:p w:rsidR="00721E12" w:rsidRPr="00E21C36" w:rsidRDefault="00721E12" w:rsidP="00E21C36">
      <w:pPr>
        <w:pStyle w:val="FootnoteText"/>
      </w:pPr>
      <w:r>
        <w:rPr>
          <w:rStyle w:val="FootnoteReference"/>
        </w:rPr>
        <w:footnoteRef/>
      </w:r>
      <w:r>
        <w:t xml:space="preserve"> </w:t>
      </w:r>
      <w:r w:rsidRPr="00E21C36">
        <w:t>. This evidence is produced using US data following the imposition of the Insider Trading and Securities Fraud Enforcement Act (ITSFEA) 1988. The primary tenets of this act brought an increase in the sanctions available to authorities in addition to a broadening of the terms of culpability to incorporate the firms to which insiders belong. This incentivises firms to police the activities of their employees to a greater degree, thus the threat of enforcement and sanction then become the main drivers that mutate trading patterns among insiders.</w:t>
      </w:r>
    </w:p>
    <w:p w:rsidR="00721E12" w:rsidRDefault="00721E12">
      <w:pPr>
        <w:pStyle w:val="FootnoteText"/>
      </w:pPr>
    </w:p>
  </w:footnote>
  <w:footnote w:id="2">
    <w:p w:rsidR="00721E12" w:rsidRDefault="00721E12">
      <w:pPr>
        <w:pStyle w:val="FootnoteText"/>
      </w:pPr>
      <w:r>
        <w:rPr>
          <w:rStyle w:val="FootnoteReference"/>
        </w:rPr>
        <w:footnoteRef/>
      </w:r>
      <w:r>
        <w:t xml:space="preserve"> </w:t>
      </w:r>
      <w:r w:rsidRPr="00BA6145">
        <w:t>The smallest of these was £1,000, while the largest amounted to £17,000,000 and was levied against the Royal Dutch Shell Group in 2004 for providing misleading information to investors (FSA, 2011). The largest fine imposed for insider dealing was levied against GLG partners LP and a Mr Paul Sabre who were each fined £750,000 respectively (FSA 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84613"/>
    <w:multiLevelType w:val="multilevel"/>
    <w:tmpl w:val="0CDA7B52"/>
    <w:styleLink w:val="WW8Num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B5"/>
    <w:rsid w:val="000029DA"/>
    <w:rsid w:val="0003235E"/>
    <w:rsid w:val="00037B45"/>
    <w:rsid w:val="00051097"/>
    <w:rsid w:val="00097FFE"/>
    <w:rsid w:val="000A7744"/>
    <w:rsid w:val="000B5676"/>
    <w:rsid w:val="000C561C"/>
    <w:rsid w:val="000C6AF9"/>
    <w:rsid w:val="000D3F9F"/>
    <w:rsid w:val="000E148B"/>
    <w:rsid w:val="00133886"/>
    <w:rsid w:val="00161060"/>
    <w:rsid w:val="001725A6"/>
    <w:rsid w:val="00186D95"/>
    <w:rsid w:val="00192BC1"/>
    <w:rsid w:val="001941F9"/>
    <w:rsid w:val="001D5C84"/>
    <w:rsid w:val="00205015"/>
    <w:rsid w:val="00222875"/>
    <w:rsid w:val="00240906"/>
    <w:rsid w:val="0028506F"/>
    <w:rsid w:val="002A2E25"/>
    <w:rsid w:val="002F572F"/>
    <w:rsid w:val="002F64CC"/>
    <w:rsid w:val="00302F86"/>
    <w:rsid w:val="0030347C"/>
    <w:rsid w:val="00317FBD"/>
    <w:rsid w:val="00343BD7"/>
    <w:rsid w:val="00354B05"/>
    <w:rsid w:val="00371711"/>
    <w:rsid w:val="003772AF"/>
    <w:rsid w:val="00385D27"/>
    <w:rsid w:val="003A05C2"/>
    <w:rsid w:val="003A450C"/>
    <w:rsid w:val="003A6970"/>
    <w:rsid w:val="003C1876"/>
    <w:rsid w:val="003D7FB5"/>
    <w:rsid w:val="004025A5"/>
    <w:rsid w:val="00404929"/>
    <w:rsid w:val="00420C66"/>
    <w:rsid w:val="00431EF0"/>
    <w:rsid w:val="004554FE"/>
    <w:rsid w:val="00460BF2"/>
    <w:rsid w:val="00460D35"/>
    <w:rsid w:val="00462C59"/>
    <w:rsid w:val="00473166"/>
    <w:rsid w:val="00474322"/>
    <w:rsid w:val="0048530C"/>
    <w:rsid w:val="004A7DE3"/>
    <w:rsid w:val="004B0893"/>
    <w:rsid w:val="004E7049"/>
    <w:rsid w:val="00555962"/>
    <w:rsid w:val="00593EFB"/>
    <w:rsid w:val="005A6A06"/>
    <w:rsid w:val="005D3AFD"/>
    <w:rsid w:val="005E1AF2"/>
    <w:rsid w:val="005F2480"/>
    <w:rsid w:val="005F4A36"/>
    <w:rsid w:val="00601203"/>
    <w:rsid w:val="00607DF7"/>
    <w:rsid w:val="0061497D"/>
    <w:rsid w:val="00636F6D"/>
    <w:rsid w:val="006529E7"/>
    <w:rsid w:val="006654E7"/>
    <w:rsid w:val="0066609B"/>
    <w:rsid w:val="00674083"/>
    <w:rsid w:val="006811C9"/>
    <w:rsid w:val="00682C1F"/>
    <w:rsid w:val="00683274"/>
    <w:rsid w:val="006A78B0"/>
    <w:rsid w:val="006C039D"/>
    <w:rsid w:val="006E3ED7"/>
    <w:rsid w:val="006F6355"/>
    <w:rsid w:val="00721E12"/>
    <w:rsid w:val="00736931"/>
    <w:rsid w:val="00736A31"/>
    <w:rsid w:val="007A7FAD"/>
    <w:rsid w:val="007B0AA0"/>
    <w:rsid w:val="007E5E3D"/>
    <w:rsid w:val="007F61D4"/>
    <w:rsid w:val="008039A4"/>
    <w:rsid w:val="00814CDD"/>
    <w:rsid w:val="00815137"/>
    <w:rsid w:val="008158E3"/>
    <w:rsid w:val="00816807"/>
    <w:rsid w:val="00817005"/>
    <w:rsid w:val="00817AA5"/>
    <w:rsid w:val="0082434F"/>
    <w:rsid w:val="00834FA0"/>
    <w:rsid w:val="00840783"/>
    <w:rsid w:val="00845B19"/>
    <w:rsid w:val="0084732D"/>
    <w:rsid w:val="008600D8"/>
    <w:rsid w:val="00861DCF"/>
    <w:rsid w:val="008734B6"/>
    <w:rsid w:val="00885AF7"/>
    <w:rsid w:val="00894956"/>
    <w:rsid w:val="008A5201"/>
    <w:rsid w:val="008C4C5A"/>
    <w:rsid w:val="0090087E"/>
    <w:rsid w:val="00936CEA"/>
    <w:rsid w:val="0096767D"/>
    <w:rsid w:val="009A2144"/>
    <w:rsid w:val="009A53AA"/>
    <w:rsid w:val="009B76E3"/>
    <w:rsid w:val="009C1C24"/>
    <w:rsid w:val="009D6D84"/>
    <w:rsid w:val="009E2A9D"/>
    <w:rsid w:val="00A064E3"/>
    <w:rsid w:val="00A66067"/>
    <w:rsid w:val="00AA7397"/>
    <w:rsid w:val="00AD0414"/>
    <w:rsid w:val="00B13D5F"/>
    <w:rsid w:val="00B229CA"/>
    <w:rsid w:val="00B25E3A"/>
    <w:rsid w:val="00B27EAB"/>
    <w:rsid w:val="00B34B7B"/>
    <w:rsid w:val="00B36042"/>
    <w:rsid w:val="00B369C9"/>
    <w:rsid w:val="00B662DA"/>
    <w:rsid w:val="00B82DA9"/>
    <w:rsid w:val="00B933C7"/>
    <w:rsid w:val="00BA6145"/>
    <w:rsid w:val="00BB27EC"/>
    <w:rsid w:val="00BD2F4D"/>
    <w:rsid w:val="00BD7CE2"/>
    <w:rsid w:val="00BE23E9"/>
    <w:rsid w:val="00C36C31"/>
    <w:rsid w:val="00C44871"/>
    <w:rsid w:val="00C61E2F"/>
    <w:rsid w:val="00C8684A"/>
    <w:rsid w:val="00C91FC2"/>
    <w:rsid w:val="00CA40D0"/>
    <w:rsid w:val="00CD50BB"/>
    <w:rsid w:val="00CE2704"/>
    <w:rsid w:val="00CE6CF6"/>
    <w:rsid w:val="00D002B3"/>
    <w:rsid w:val="00D040D9"/>
    <w:rsid w:val="00D20F1C"/>
    <w:rsid w:val="00D22F92"/>
    <w:rsid w:val="00D35255"/>
    <w:rsid w:val="00D37E41"/>
    <w:rsid w:val="00D514B2"/>
    <w:rsid w:val="00D61F3A"/>
    <w:rsid w:val="00D65EAE"/>
    <w:rsid w:val="00D9119A"/>
    <w:rsid w:val="00D91F39"/>
    <w:rsid w:val="00DB4173"/>
    <w:rsid w:val="00DE674A"/>
    <w:rsid w:val="00DF7159"/>
    <w:rsid w:val="00E21C36"/>
    <w:rsid w:val="00E41FE3"/>
    <w:rsid w:val="00E641EF"/>
    <w:rsid w:val="00E92AFF"/>
    <w:rsid w:val="00EA6342"/>
    <w:rsid w:val="00EA7DB5"/>
    <w:rsid w:val="00ED06F7"/>
    <w:rsid w:val="00ED159D"/>
    <w:rsid w:val="00EE2E6D"/>
    <w:rsid w:val="00EF1DC5"/>
    <w:rsid w:val="00F007E0"/>
    <w:rsid w:val="00F15DCD"/>
    <w:rsid w:val="00F265FC"/>
    <w:rsid w:val="00F3440B"/>
    <w:rsid w:val="00F53B56"/>
    <w:rsid w:val="00F77FED"/>
    <w:rsid w:val="00F84AA1"/>
    <w:rsid w:val="00F85E62"/>
    <w:rsid w:val="00F942AE"/>
    <w:rsid w:val="00F95478"/>
    <w:rsid w:val="00FC08DB"/>
    <w:rsid w:val="00FC717A"/>
    <w:rsid w:val="00FF5E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semiHidden/>
    <w:unhideWhenUsed/>
    <w:qFormat/>
    <w:rsid w:val="00EA7DB5"/>
    <w:pPr>
      <w:suppressAutoHyphens/>
      <w:autoSpaceDN w:val="0"/>
      <w:spacing w:before="280" w:after="280" w:line="240" w:lineRule="auto"/>
      <w:jc w:val="center"/>
      <w:outlineLvl w:val="1"/>
    </w:pPr>
    <w:rPr>
      <w:rFonts w:eastAsia="Times New Roman" w:cs="Calibri"/>
      <w:b/>
      <w:bCs/>
      <w:kern w:val="3"/>
      <w:sz w:val="28"/>
      <w:szCs w:val="36"/>
      <w:lang w:eastAsia="zh-CN"/>
    </w:rPr>
  </w:style>
  <w:style w:type="paragraph" w:styleId="Heading3">
    <w:name w:val="heading 3"/>
    <w:basedOn w:val="Normal"/>
    <w:next w:val="Normal"/>
    <w:link w:val="Heading3Char"/>
    <w:uiPriority w:val="9"/>
    <w:semiHidden/>
    <w:unhideWhenUsed/>
    <w:qFormat/>
    <w:rsid w:val="00EA7D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A7DB5"/>
    <w:rPr>
      <w:rFonts w:eastAsia="Times New Roman" w:cs="Calibri"/>
      <w:b/>
      <w:bCs/>
      <w:kern w:val="3"/>
      <w:sz w:val="28"/>
      <w:szCs w:val="36"/>
      <w:lang w:eastAsia="zh-CN"/>
    </w:rPr>
  </w:style>
  <w:style w:type="paragraph" w:customStyle="1" w:styleId="Standard">
    <w:name w:val="Standard"/>
    <w:rsid w:val="00EA7DB5"/>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Heading3Char">
    <w:name w:val="Heading 3 Char"/>
    <w:basedOn w:val="DefaultParagraphFont"/>
    <w:link w:val="Heading3"/>
    <w:uiPriority w:val="9"/>
    <w:semiHidden/>
    <w:rsid w:val="00EA7DB5"/>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A7DB5"/>
    <w:pPr>
      <w:ind w:left="720"/>
      <w:contextualSpacing/>
    </w:pPr>
    <w:rPr>
      <w:rFonts w:eastAsiaTheme="minorEastAsia"/>
      <w:lang w:eastAsia="en-GB"/>
    </w:rPr>
  </w:style>
  <w:style w:type="numbering" w:customStyle="1" w:styleId="WW8Num2">
    <w:name w:val="WW8Num2"/>
    <w:rsid w:val="00EA7DB5"/>
    <w:pPr>
      <w:numPr>
        <w:numId w:val="1"/>
      </w:numPr>
    </w:pPr>
  </w:style>
  <w:style w:type="paragraph" w:styleId="BalloonText">
    <w:name w:val="Balloon Text"/>
    <w:basedOn w:val="Normal"/>
    <w:link w:val="BalloonTextChar"/>
    <w:uiPriority w:val="99"/>
    <w:semiHidden/>
    <w:unhideWhenUsed/>
    <w:rsid w:val="008A52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201"/>
    <w:rPr>
      <w:rFonts w:ascii="Tahoma" w:hAnsi="Tahoma" w:cs="Tahoma"/>
      <w:sz w:val="16"/>
      <w:szCs w:val="16"/>
    </w:rPr>
  </w:style>
  <w:style w:type="character" w:styleId="Hyperlink">
    <w:name w:val="Hyperlink"/>
    <w:basedOn w:val="DefaultParagraphFont"/>
    <w:uiPriority w:val="99"/>
    <w:unhideWhenUsed/>
    <w:rsid w:val="00F77FED"/>
    <w:rPr>
      <w:color w:val="0000FF" w:themeColor="hyperlink"/>
      <w:u w:val="single"/>
    </w:rPr>
  </w:style>
  <w:style w:type="character" w:styleId="CommentReference">
    <w:name w:val="annotation reference"/>
    <w:basedOn w:val="DefaultParagraphFont"/>
    <w:uiPriority w:val="99"/>
    <w:semiHidden/>
    <w:unhideWhenUsed/>
    <w:rsid w:val="008158E3"/>
    <w:rPr>
      <w:sz w:val="16"/>
      <w:szCs w:val="16"/>
    </w:rPr>
  </w:style>
  <w:style w:type="paragraph" w:styleId="CommentText">
    <w:name w:val="annotation text"/>
    <w:basedOn w:val="Normal"/>
    <w:link w:val="CommentTextChar"/>
    <w:uiPriority w:val="99"/>
    <w:semiHidden/>
    <w:unhideWhenUsed/>
    <w:rsid w:val="008158E3"/>
    <w:pPr>
      <w:spacing w:line="240" w:lineRule="auto"/>
    </w:pPr>
    <w:rPr>
      <w:sz w:val="20"/>
      <w:szCs w:val="20"/>
    </w:rPr>
  </w:style>
  <w:style w:type="character" w:customStyle="1" w:styleId="CommentTextChar">
    <w:name w:val="Comment Text Char"/>
    <w:basedOn w:val="DefaultParagraphFont"/>
    <w:link w:val="CommentText"/>
    <w:uiPriority w:val="99"/>
    <w:semiHidden/>
    <w:rsid w:val="008158E3"/>
    <w:rPr>
      <w:sz w:val="20"/>
      <w:szCs w:val="20"/>
    </w:rPr>
  </w:style>
  <w:style w:type="paragraph" w:styleId="CommentSubject">
    <w:name w:val="annotation subject"/>
    <w:basedOn w:val="CommentText"/>
    <w:next w:val="CommentText"/>
    <w:link w:val="CommentSubjectChar"/>
    <w:uiPriority w:val="99"/>
    <w:semiHidden/>
    <w:unhideWhenUsed/>
    <w:rsid w:val="008158E3"/>
    <w:rPr>
      <w:b/>
      <w:bCs/>
    </w:rPr>
  </w:style>
  <w:style w:type="character" w:customStyle="1" w:styleId="CommentSubjectChar">
    <w:name w:val="Comment Subject Char"/>
    <w:basedOn w:val="CommentTextChar"/>
    <w:link w:val="CommentSubject"/>
    <w:uiPriority w:val="99"/>
    <w:semiHidden/>
    <w:rsid w:val="008158E3"/>
    <w:rPr>
      <w:b/>
      <w:bCs/>
      <w:sz w:val="20"/>
      <w:szCs w:val="20"/>
    </w:rPr>
  </w:style>
  <w:style w:type="character" w:styleId="PlaceholderText">
    <w:name w:val="Placeholder Text"/>
    <w:basedOn w:val="DefaultParagraphFont"/>
    <w:uiPriority w:val="99"/>
    <w:semiHidden/>
    <w:rsid w:val="00A064E3"/>
    <w:rPr>
      <w:color w:val="808080"/>
    </w:rPr>
  </w:style>
  <w:style w:type="paragraph" w:styleId="FootnoteText">
    <w:name w:val="footnote text"/>
    <w:basedOn w:val="Normal"/>
    <w:link w:val="FootnoteTextChar"/>
    <w:uiPriority w:val="99"/>
    <w:semiHidden/>
    <w:unhideWhenUsed/>
    <w:rsid w:val="00E21C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1C36"/>
    <w:rPr>
      <w:sz w:val="20"/>
      <w:szCs w:val="20"/>
    </w:rPr>
  </w:style>
  <w:style w:type="character" w:styleId="FootnoteReference">
    <w:name w:val="footnote reference"/>
    <w:basedOn w:val="DefaultParagraphFont"/>
    <w:uiPriority w:val="99"/>
    <w:semiHidden/>
    <w:unhideWhenUsed/>
    <w:rsid w:val="00E21C3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semiHidden/>
    <w:unhideWhenUsed/>
    <w:qFormat/>
    <w:rsid w:val="00EA7DB5"/>
    <w:pPr>
      <w:suppressAutoHyphens/>
      <w:autoSpaceDN w:val="0"/>
      <w:spacing w:before="280" w:after="280" w:line="240" w:lineRule="auto"/>
      <w:jc w:val="center"/>
      <w:outlineLvl w:val="1"/>
    </w:pPr>
    <w:rPr>
      <w:rFonts w:eastAsia="Times New Roman" w:cs="Calibri"/>
      <w:b/>
      <w:bCs/>
      <w:kern w:val="3"/>
      <w:sz w:val="28"/>
      <w:szCs w:val="36"/>
      <w:lang w:eastAsia="zh-CN"/>
    </w:rPr>
  </w:style>
  <w:style w:type="paragraph" w:styleId="Heading3">
    <w:name w:val="heading 3"/>
    <w:basedOn w:val="Normal"/>
    <w:next w:val="Normal"/>
    <w:link w:val="Heading3Char"/>
    <w:uiPriority w:val="9"/>
    <w:semiHidden/>
    <w:unhideWhenUsed/>
    <w:qFormat/>
    <w:rsid w:val="00EA7D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A7DB5"/>
    <w:rPr>
      <w:rFonts w:eastAsia="Times New Roman" w:cs="Calibri"/>
      <w:b/>
      <w:bCs/>
      <w:kern w:val="3"/>
      <w:sz w:val="28"/>
      <w:szCs w:val="36"/>
      <w:lang w:eastAsia="zh-CN"/>
    </w:rPr>
  </w:style>
  <w:style w:type="paragraph" w:customStyle="1" w:styleId="Standard">
    <w:name w:val="Standard"/>
    <w:rsid w:val="00EA7DB5"/>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Heading3Char">
    <w:name w:val="Heading 3 Char"/>
    <w:basedOn w:val="DefaultParagraphFont"/>
    <w:link w:val="Heading3"/>
    <w:uiPriority w:val="9"/>
    <w:semiHidden/>
    <w:rsid w:val="00EA7DB5"/>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A7DB5"/>
    <w:pPr>
      <w:ind w:left="720"/>
      <w:contextualSpacing/>
    </w:pPr>
    <w:rPr>
      <w:rFonts w:eastAsiaTheme="minorEastAsia"/>
      <w:lang w:eastAsia="en-GB"/>
    </w:rPr>
  </w:style>
  <w:style w:type="numbering" w:customStyle="1" w:styleId="WW8Num2">
    <w:name w:val="WW8Num2"/>
    <w:rsid w:val="00EA7DB5"/>
    <w:pPr>
      <w:numPr>
        <w:numId w:val="1"/>
      </w:numPr>
    </w:pPr>
  </w:style>
  <w:style w:type="paragraph" w:styleId="BalloonText">
    <w:name w:val="Balloon Text"/>
    <w:basedOn w:val="Normal"/>
    <w:link w:val="BalloonTextChar"/>
    <w:uiPriority w:val="99"/>
    <w:semiHidden/>
    <w:unhideWhenUsed/>
    <w:rsid w:val="008A52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201"/>
    <w:rPr>
      <w:rFonts w:ascii="Tahoma" w:hAnsi="Tahoma" w:cs="Tahoma"/>
      <w:sz w:val="16"/>
      <w:szCs w:val="16"/>
    </w:rPr>
  </w:style>
  <w:style w:type="character" w:styleId="Hyperlink">
    <w:name w:val="Hyperlink"/>
    <w:basedOn w:val="DefaultParagraphFont"/>
    <w:uiPriority w:val="99"/>
    <w:unhideWhenUsed/>
    <w:rsid w:val="00F77FED"/>
    <w:rPr>
      <w:color w:val="0000FF" w:themeColor="hyperlink"/>
      <w:u w:val="single"/>
    </w:rPr>
  </w:style>
  <w:style w:type="character" w:styleId="CommentReference">
    <w:name w:val="annotation reference"/>
    <w:basedOn w:val="DefaultParagraphFont"/>
    <w:uiPriority w:val="99"/>
    <w:semiHidden/>
    <w:unhideWhenUsed/>
    <w:rsid w:val="008158E3"/>
    <w:rPr>
      <w:sz w:val="16"/>
      <w:szCs w:val="16"/>
    </w:rPr>
  </w:style>
  <w:style w:type="paragraph" w:styleId="CommentText">
    <w:name w:val="annotation text"/>
    <w:basedOn w:val="Normal"/>
    <w:link w:val="CommentTextChar"/>
    <w:uiPriority w:val="99"/>
    <w:semiHidden/>
    <w:unhideWhenUsed/>
    <w:rsid w:val="008158E3"/>
    <w:pPr>
      <w:spacing w:line="240" w:lineRule="auto"/>
    </w:pPr>
    <w:rPr>
      <w:sz w:val="20"/>
      <w:szCs w:val="20"/>
    </w:rPr>
  </w:style>
  <w:style w:type="character" w:customStyle="1" w:styleId="CommentTextChar">
    <w:name w:val="Comment Text Char"/>
    <w:basedOn w:val="DefaultParagraphFont"/>
    <w:link w:val="CommentText"/>
    <w:uiPriority w:val="99"/>
    <w:semiHidden/>
    <w:rsid w:val="008158E3"/>
    <w:rPr>
      <w:sz w:val="20"/>
      <w:szCs w:val="20"/>
    </w:rPr>
  </w:style>
  <w:style w:type="paragraph" w:styleId="CommentSubject">
    <w:name w:val="annotation subject"/>
    <w:basedOn w:val="CommentText"/>
    <w:next w:val="CommentText"/>
    <w:link w:val="CommentSubjectChar"/>
    <w:uiPriority w:val="99"/>
    <w:semiHidden/>
    <w:unhideWhenUsed/>
    <w:rsid w:val="008158E3"/>
    <w:rPr>
      <w:b/>
      <w:bCs/>
    </w:rPr>
  </w:style>
  <w:style w:type="character" w:customStyle="1" w:styleId="CommentSubjectChar">
    <w:name w:val="Comment Subject Char"/>
    <w:basedOn w:val="CommentTextChar"/>
    <w:link w:val="CommentSubject"/>
    <w:uiPriority w:val="99"/>
    <w:semiHidden/>
    <w:rsid w:val="008158E3"/>
    <w:rPr>
      <w:b/>
      <w:bCs/>
      <w:sz w:val="20"/>
      <w:szCs w:val="20"/>
    </w:rPr>
  </w:style>
  <w:style w:type="character" w:styleId="PlaceholderText">
    <w:name w:val="Placeholder Text"/>
    <w:basedOn w:val="DefaultParagraphFont"/>
    <w:uiPriority w:val="99"/>
    <w:semiHidden/>
    <w:rsid w:val="00A064E3"/>
    <w:rPr>
      <w:color w:val="808080"/>
    </w:rPr>
  </w:style>
  <w:style w:type="paragraph" w:styleId="FootnoteText">
    <w:name w:val="footnote text"/>
    <w:basedOn w:val="Normal"/>
    <w:link w:val="FootnoteTextChar"/>
    <w:uiPriority w:val="99"/>
    <w:semiHidden/>
    <w:unhideWhenUsed/>
    <w:rsid w:val="00E21C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1C36"/>
    <w:rPr>
      <w:sz w:val="20"/>
      <w:szCs w:val="20"/>
    </w:rPr>
  </w:style>
  <w:style w:type="character" w:styleId="FootnoteReference">
    <w:name w:val="footnote reference"/>
    <w:basedOn w:val="DefaultParagraphFont"/>
    <w:uiPriority w:val="99"/>
    <w:semiHidden/>
    <w:unhideWhenUsed/>
    <w:rsid w:val="00E21C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8831">
      <w:bodyDiv w:val="1"/>
      <w:marLeft w:val="0"/>
      <w:marRight w:val="0"/>
      <w:marTop w:val="0"/>
      <w:marBottom w:val="0"/>
      <w:divBdr>
        <w:top w:val="none" w:sz="0" w:space="0" w:color="auto"/>
        <w:left w:val="none" w:sz="0" w:space="0" w:color="auto"/>
        <w:bottom w:val="none" w:sz="0" w:space="0" w:color="auto"/>
        <w:right w:val="none" w:sz="0" w:space="0" w:color="auto"/>
      </w:divBdr>
    </w:div>
    <w:div w:id="144980221">
      <w:bodyDiv w:val="1"/>
      <w:marLeft w:val="0"/>
      <w:marRight w:val="0"/>
      <w:marTop w:val="0"/>
      <w:marBottom w:val="0"/>
      <w:divBdr>
        <w:top w:val="none" w:sz="0" w:space="0" w:color="auto"/>
        <w:left w:val="none" w:sz="0" w:space="0" w:color="auto"/>
        <w:bottom w:val="none" w:sz="0" w:space="0" w:color="auto"/>
        <w:right w:val="none" w:sz="0" w:space="0" w:color="auto"/>
      </w:divBdr>
    </w:div>
    <w:div w:id="332803575">
      <w:bodyDiv w:val="1"/>
      <w:marLeft w:val="0"/>
      <w:marRight w:val="0"/>
      <w:marTop w:val="0"/>
      <w:marBottom w:val="0"/>
      <w:divBdr>
        <w:top w:val="none" w:sz="0" w:space="0" w:color="auto"/>
        <w:left w:val="none" w:sz="0" w:space="0" w:color="auto"/>
        <w:bottom w:val="none" w:sz="0" w:space="0" w:color="auto"/>
        <w:right w:val="none" w:sz="0" w:space="0" w:color="auto"/>
      </w:divBdr>
    </w:div>
    <w:div w:id="455953082">
      <w:bodyDiv w:val="1"/>
      <w:marLeft w:val="0"/>
      <w:marRight w:val="0"/>
      <w:marTop w:val="0"/>
      <w:marBottom w:val="0"/>
      <w:divBdr>
        <w:top w:val="none" w:sz="0" w:space="0" w:color="auto"/>
        <w:left w:val="none" w:sz="0" w:space="0" w:color="auto"/>
        <w:bottom w:val="none" w:sz="0" w:space="0" w:color="auto"/>
        <w:right w:val="none" w:sz="0" w:space="0" w:color="auto"/>
      </w:divBdr>
    </w:div>
    <w:div w:id="1012993698">
      <w:bodyDiv w:val="1"/>
      <w:marLeft w:val="0"/>
      <w:marRight w:val="0"/>
      <w:marTop w:val="0"/>
      <w:marBottom w:val="0"/>
      <w:divBdr>
        <w:top w:val="none" w:sz="0" w:space="0" w:color="auto"/>
        <w:left w:val="none" w:sz="0" w:space="0" w:color="auto"/>
        <w:bottom w:val="none" w:sz="0" w:space="0" w:color="auto"/>
        <w:right w:val="none" w:sz="0" w:space="0" w:color="auto"/>
      </w:divBdr>
    </w:div>
    <w:div w:id="1118570221">
      <w:bodyDiv w:val="1"/>
      <w:marLeft w:val="0"/>
      <w:marRight w:val="0"/>
      <w:marTop w:val="0"/>
      <w:marBottom w:val="0"/>
      <w:divBdr>
        <w:top w:val="none" w:sz="0" w:space="0" w:color="auto"/>
        <w:left w:val="none" w:sz="0" w:space="0" w:color="auto"/>
        <w:bottom w:val="none" w:sz="0" w:space="0" w:color="auto"/>
        <w:right w:val="none" w:sz="0" w:space="0" w:color="auto"/>
      </w:divBdr>
    </w:div>
    <w:div w:id="1381974918">
      <w:bodyDiv w:val="1"/>
      <w:marLeft w:val="0"/>
      <w:marRight w:val="0"/>
      <w:marTop w:val="0"/>
      <w:marBottom w:val="0"/>
      <w:divBdr>
        <w:top w:val="none" w:sz="0" w:space="0" w:color="auto"/>
        <w:left w:val="none" w:sz="0" w:space="0" w:color="auto"/>
        <w:bottom w:val="none" w:sz="0" w:space="0" w:color="auto"/>
        <w:right w:val="none" w:sz="0" w:space="0" w:color="auto"/>
      </w:divBdr>
    </w:div>
    <w:div w:id="1385837432">
      <w:bodyDiv w:val="1"/>
      <w:marLeft w:val="0"/>
      <w:marRight w:val="0"/>
      <w:marTop w:val="0"/>
      <w:marBottom w:val="0"/>
      <w:divBdr>
        <w:top w:val="none" w:sz="0" w:space="0" w:color="auto"/>
        <w:left w:val="none" w:sz="0" w:space="0" w:color="auto"/>
        <w:bottom w:val="none" w:sz="0" w:space="0" w:color="auto"/>
        <w:right w:val="none" w:sz="0" w:space="0" w:color="auto"/>
      </w:divBdr>
    </w:div>
    <w:div w:id="1399280742">
      <w:bodyDiv w:val="1"/>
      <w:marLeft w:val="0"/>
      <w:marRight w:val="0"/>
      <w:marTop w:val="0"/>
      <w:marBottom w:val="0"/>
      <w:divBdr>
        <w:top w:val="none" w:sz="0" w:space="0" w:color="auto"/>
        <w:left w:val="none" w:sz="0" w:space="0" w:color="auto"/>
        <w:bottom w:val="none" w:sz="0" w:space="0" w:color="auto"/>
        <w:right w:val="none" w:sz="0" w:space="0" w:color="auto"/>
      </w:divBdr>
      <w:divsChild>
        <w:div w:id="280114689">
          <w:marLeft w:val="0"/>
          <w:marRight w:val="0"/>
          <w:marTop w:val="0"/>
          <w:marBottom w:val="0"/>
          <w:divBdr>
            <w:top w:val="none" w:sz="0" w:space="0" w:color="auto"/>
            <w:left w:val="none" w:sz="0" w:space="0" w:color="auto"/>
            <w:bottom w:val="none" w:sz="0" w:space="0" w:color="auto"/>
            <w:right w:val="none" w:sz="0" w:space="0" w:color="auto"/>
          </w:divBdr>
          <w:divsChild>
            <w:div w:id="1854151102">
              <w:marLeft w:val="0"/>
              <w:marRight w:val="0"/>
              <w:marTop w:val="0"/>
              <w:marBottom w:val="0"/>
              <w:divBdr>
                <w:top w:val="none" w:sz="0" w:space="0" w:color="auto"/>
                <w:left w:val="none" w:sz="0" w:space="0" w:color="auto"/>
                <w:bottom w:val="none" w:sz="0" w:space="0" w:color="auto"/>
                <w:right w:val="none" w:sz="0" w:space="0" w:color="auto"/>
              </w:divBdr>
              <w:divsChild>
                <w:div w:id="982076464">
                  <w:marLeft w:val="75"/>
                  <w:marRight w:val="75"/>
                  <w:marTop w:val="0"/>
                  <w:marBottom w:val="0"/>
                  <w:divBdr>
                    <w:top w:val="none" w:sz="0" w:space="0" w:color="auto"/>
                    <w:left w:val="none" w:sz="0" w:space="0" w:color="auto"/>
                    <w:bottom w:val="none" w:sz="0" w:space="0" w:color="auto"/>
                    <w:right w:val="none" w:sz="0" w:space="0" w:color="auto"/>
                  </w:divBdr>
                  <w:divsChild>
                    <w:div w:id="975379920">
                      <w:marLeft w:val="0"/>
                      <w:marRight w:val="0"/>
                      <w:marTop w:val="0"/>
                      <w:marBottom w:val="0"/>
                      <w:divBdr>
                        <w:top w:val="none" w:sz="0" w:space="0" w:color="auto"/>
                        <w:left w:val="none" w:sz="0" w:space="0" w:color="auto"/>
                        <w:bottom w:val="none" w:sz="0" w:space="0" w:color="auto"/>
                        <w:right w:val="none" w:sz="0" w:space="0" w:color="auto"/>
                      </w:divBdr>
                      <w:divsChild>
                        <w:div w:id="242224324">
                          <w:marLeft w:val="0"/>
                          <w:marRight w:val="0"/>
                          <w:marTop w:val="0"/>
                          <w:marBottom w:val="0"/>
                          <w:divBdr>
                            <w:top w:val="none" w:sz="0" w:space="0" w:color="auto"/>
                            <w:left w:val="none" w:sz="0" w:space="0" w:color="auto"/>
                            <w:bottom w:val="none" w:sz="0" w:space="0" w:color="auto"/>
                            <w:right w:val="none" w:sz="0" w:space="0" w:color="auto"/>
                          </w:divBdr>
                          <w:divsChild>
                            <w:div w:id="54284424">
                              <w:marLeft w:val="0"/>
                              <w:marRight w:val="0"/>
                              <w:marTop w:val="0"/>
                              <w:marBottom w:val="0"/>
                              <w:divBdr>
                                <w:top w:val="none" w:sz="0" w:space="0" w:color="auto"/>
                                <w:left w:val="none" w:sz="0" w:space="0" w:color="auto"/>
                                <w:bottom w:val="none" w:sz="0" w:space="0" w:color="auto"/>
                                <w:right w:val="none" w:sz="0" w:space="0" w:color="auto"/>
                              </w:divBdr>
                              <w:divsChild>
                                <w:div w:id="1488277253">
                                  <w:marLeft w:val="0"/>
                                  <w:marRight w:val="0"/>
                                  <w:marTop w:val="0"/>
                                  <w:marBottom w:val="0"/>
                                  <w:divBdr>
                                    <w:top w:val="none" w:sz="0" w:space="0" w:color="auto"/>
                                    <w:left w:val="none" w:sz="0" w:space="0" w:color="auto"/>
                                    <w:bottom w:val="none" w:sz="0" w:space="0" w:color="auto"/>
                                    <w:right w:val="none" w:sz="0" w:space="0" w:color="auto"/>
                                  </w:divBdr>
                                  <w:divsChild>
                                    <w:div w:id="200097842">
                                      <w:marLeft w:val="0"/>
                                      <w:marRight w:val="0"/>
                                      <w:marTop w:val="0"/>
                                      <w:marBottom w:val="0"/>
                                      <w:divBdr>
                                        <w:top w:val="none" w:sz="0" w:space="0" w:color="auto"/>
                                        <w:left w:val="none" w:sz="0" w:space="0" w:color="auto"/>
                                        <w:bottom w:val="none" w:sz="0" w:space="0" w:color="auto"/>
                                        <w:right w:val="none" w:sz="0" w:space="0" w:color="auto"/>
                                      </w:divBdr>
                                      <w:divsChild>
                                        <w:div w:id="1882203662">
                                          <w:marLeft w:val="0"/>
                                          <w:marRight w:val="0"/>
                                          <w:marTop w:val="0"/>
                                          <w:marBottom w:val="0"/>
                                          <w:divBdr>
                                            <w:top w:val="none" w:sz="0" w:space="0" w:color="auto"/>
                                            <w:left w:val="none" w:sz="0" w:space="0" w:color="auto"/>
                                            <w:bottom w:val="none" w:sz="0" w:space="0" w:color="auto"/>
                                            <w:right w:val="none" w:sz="0" w:space="0" w:color="auto"/>
                                          </w:divBdr>
                                          <w:divsChild>
                                            <w:div w:id="17171686">
                                              <w:marLeft w:val="0"/>
                                              <w:marRight w:val="0"/>
                                              <w:marTop w:val="0"/>
                                              <w:marBottom w:val="0"/>
                                              <w:divBdr>
                                                <w:top w:val="none" w:sz="0" w:space="0" w:color="auto"/>
                                                <w:left w:val="none" w:sz="0" w:space="0" w:color="auto"/>
                                                <w:bottom w:val="none" w:sz="0" w:space="0" w:color="auto"/>
                                                <w:right w:val="none" w:sz="0" w:space="0" w:color="auto"/>
                                              </w:divBdr>
                                              <w:divsChild>
                                                <w:div w:id="1377239600">
                                                  <w:marLeft w:val="0"/>
                                                  <w:marRight w:val="375"/>
                                                  <w:marTop w:val="0"/>
                                                  <w:marBottom w:val="0"/>
                                                  <w:divBdr>
                                                    <w:top w:val="none" w:sz="0" w:space="0" w:color="auto"/>
                                                    <w:left w:val="none" w:sz="0" w:space="0" w:color="auto"/>
                                                    <w:bottom w:val="none" w:sz="0" w:space="0" w:color="auto"/>
                                                    <w:right w:val="none" w:sz="0" w:space="0" w:color="auto"/>
                                                  </w:divBdr>
                                                  <w:divsChild>
                                                    <w:div w:id="979265312">
                                                      <w:marLeft w:val="0"/>
                                                      <w:marRight w:val="0"/>
                                                      <w:marTop w:val="0"/>
                                                      <w:marBottom w:val="0"/>
                                                      <w:divBdr>
                                                        <w:top w:val="none" w:sz="0" w:space="0" w:color="auto"/>
                                                        <w:left w:val="none" w:sz="0" w:space="0" w:color="auto"/>
                                                        <w:bottom w:val="none" w:sz="0" w:space="0" w:color="auto"/>
                                                        <w:right w:val="none" w:sz="0" w:space="0" w:color="auto"/>
                                                      </w:divBdr>
                                                      <w:divsChild>
                                                        <w:div w:id="1667247022">
                                                          <w:marLeft w:val="0"/>
                                                          <w:marRight w:val="0"/>
                                                          <w:marTop w:val="0"/>
                                                          <w:marBottom w:val="0"/>
                                                          <w:divBdr>
                                                            <w:top w:val="none" w:sz="0" w:space="0" w:color="auto"/>
                                                            <w:left w:val="none" w:sz="0" w:space="0" w:color="auto"/>
                                                            <w:bottom w:val="none" w:sz="0" w:space="0" w:color="auto"/>
                                                            <w:right w:val="none" w:sz="0" w:space="0" w:color="auto"/>
                                                          </w:divBdr>
                                                          <w:divsChild>
                                                            <w:div w:id="1426995817">
                                                              <w:marLeft w:val="0"/>
                                                              <w:marRight w:val="0"/>
                                                              <w:marTop w:val="0"/>
                                                              <w:marBottom w:val="0"/>
                                                              <w:divBdr>
                                                                <w:top w:val="none" w:sz="0" w:space="0" w:color="auto"/>
                                                                <w:left w:val="none" w:sz="0" w:space="0" w:color="auto"/>
                                                                <w:bottom w:val="none" w:sz="0" w:space="0" w:color="auto"/>
                                                                <w:right w:val="none" w:sz="0" w:space="0" w:color="auto"/>
                                                              </w:divBdr>
                                                              <w:divsChild>
                                                                <w:div w:id="350574874">
                                                                  <w:marLeft w:val="0"/>
                                                                  <w:marRight w:val="0"/>
                                                                  <w:marTop w:val="0"/>
                                                                  <w:marBottom w:val="0"/>
                                                                  <w:divBdr>
                                                                    <w:top w:val="none" w:sz="0" w:space="0" w:color="auto"/>
                                                                    <w:left w:val="none" w:sz="0" w:space="0" w:color="auto"/>
                                                                    <w:bottom w:val="none" w:sz="0" w:space="0" w:color="auto"/>
                                                                    <w:right w:val="none" w:sz="0" w:space="0" w:color="auto"/>
                                                                  </w:divBdr>
                                                                  <w:divsChild>
                                                                    <w:div w:id="290092324">
                                                                      <w:marLeft w:val="0"/>
                                                                      <w:marRight w:val="0"/>
                                                                      <w:marTop w:val="0"/>
                                                                      <w:marBottom w:val="0"/>
                                                                      <w:divBdr>
                                                                        <w:top w:val="none" w:sz="0" w:space="0" w:color="auto"/>
                                                                        <w:left w:val="none" w:sz="0" w:space="0" w:color="auto"/>
                                                                        <w:bottom w:val="none" w:sz="0" w:space="0" w:color="auto"/>
                                                                        <w:right w:val="none" w:sz="0" w:space="0" w:color="auto"/>
                                                                      </w:divBdr>
                                                                      <w:divsChild>
                                                                        <w:div w:id="1300380423">
                                                                          <w:marLeft w:val="0"/>
                                                                          <w:marRight w:val="0"/>
                                                                          <w:marTop w:val="0"/>
                                                                          <w:marBottom w:val="0"/>
                                                                          <w:divBdr>
                                                                            <w:top w:val="none" w:sz="0" w:space="0" w:color="auto"/>
                                                                            <w:left w:val="none" w:sz="0" w:space="0" w:color="auto"/>
                                                                            <w:bottom w:val="none" w:sz="0" w:space="0" w:color="auto"/>
                                                                            <w:right w:val="none" w:sz="0" w:space="0" w:color="auto"/>
                                                                          </w:divBdr>
                                                                          <w:divsChild>
                                                                            <w:div w:id="208969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37578">
      <w:bodyDiv w:val="1"/>
      <w:marLeft w:val="0"/>
      <w:marRight w:val="0"/>
      <w:marTop w:val="0"/>
      <w:marBottom w:val="0"/>
      <w:divBdr>
        <w:top w:val="none" w:sz="0" w:space="0" w:color="auto"/>
        <w:left w:val="none" w:sz="0" w:space="0" w:color="auto"/>
        <w:bottom w:val="none" w:sz="0" w:space="0" w:color="auto"/>
        <w:right w:val="none" w:sz="0" w:space="0" w:color="auto"/>
      </w:divBdr>
    </w:div>
    <w:div w:id="210981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iencedirect.com/science/article/pii/S0144818805000323"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yperlink" Target="http://www.sciencedirect.com/science/article/pii/S0144818805000323" TargetMode="External"/><Relationship Id="rId17" Type="http://schemas.openxmlformats.org/officeDocument/2006/relationships/hyperlink" Target="http://www.mms.co.uk/web/FILES/Hosted_Docs/TakeoverCod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ciencedirect.com/science/journal/03784266"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iencedirect.com/science/article/pii/S0144818805000323" TargetMode="External"/><Relationship Id="rId24"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www.sciencedirect.com/science/journal/03784266" TargetMode="External"/><Relationship Id="rId23" Type="http://schemas.openxmlformats.org/officeDocument/2006/relationships/chart" Target="charts/chart1.xml"/><Relationship Id="rId10" Type="http://schemas.openxmlformats.org/officeDocument/2006/relationships/hyperlink" Target="http://www.sciencedirect.com/science/article/pii/S0144818805000323" TargetMode="Externa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sciencedirect.com/science/journal/03784266" TargetMode="External"/><Relationship Id="rId22" Type="http://schemas.openxmlformats.org/officeDocument/2006/relationships/oleObject" Target="embeddings/oleObject2.bin"/></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marker>
            <c:symbol val="none"/>
          </c:marker>
          <c:cat>
            <c:numRef>
              <c:f>Sheet1!$A$1:$A$71</c:f>
              <c:numCache>
                <c:formatCode>General</c:formatCode>
                <c:ptCount val="71"/>
                <c:pt idx="0">
                  <c:v>-60</c:v>
                </c:pt>
                <c:pt idx="1">
                  <c:v>-59</c:v>
                </c:pt>
                <c:pt idx="2">
                  <c:v>-58</c:v>
                </c:pt>
                <c:pt idx="3">
                  <c:v>-57</c:v>
                </c:pt>
                <c:pt idx="4">
                  <c:v>-56</c:v>
                </c:pt>
                <c:pt idx="5">
                  <c:v>-55</c:v>
                </c:pt>
                <c:pt idx="6">
                  <c:v>-54</c:v>
                </c:pt>
                <c:pt idx="7">
                  <c:v>-53</c:v>
                </c:pt>
                <c:pt idx="8">
                  <c:v>-52</c:v>
                </c:pt>
                <c:pt idx="9">
                  <c:v>-51</c:v>
                </c:pt>
                <c:pt idx="10">
                  <c:v>-50</c:v>
                </c:pt>
                <c:pt idx="11">
                  <c:v>-49</c:v>
                </c:pt>
                <c:pt idx="12">
                  <c:v>-48</c:v>
                </c:pt>
                <c:pt idx="13">
                  <c:v>-47</c:v>
                </c:pt>
                <c:pt idx="14">
                  <c:v>-46</c:v>
                </c:pt>
                <c:pt idx="15">
                  <c:v>-45</c:v>
                </c:pt>
                <c:pt idx="16">
                  <c:v>-44</c:v>
                </c:pt>
                <c:pt idx="17">
                  <c:v>-43</c:v>
                </c:pt>
                <c:pt idx="18">
                  <c:v>-42</c:v>
                </c:pt>
                <c:pt idx="19">
                  <c:v>-41</c:v>
                </c:pt>
                <c:pt idx="20">
                  <c:v>-40</c:v>
                </c:pt>
                <c:pt idx="21">
                  <c:v>-39</c:v>
                </c:pt>
                <c:pt idx="22">
                  <c:v>-38</c:v>
                </c:pt>
                <c:pt idx="23">
                  <c:v>-37</c:v>
                </c:pt>
                <c:pt idx="24">
                  <c:v>-36</c:v>
                </c:pt>
                <c:pt idx="25">
                  <c:v>-35</c:v>
                </c:pt>
                <c:pt idx="26">
                  <c:v>-34</c:v>
                </c:pt>
                <c:pt idx="27">
                  <c:v>-33</c:v>
                </c:pt>
                <c:pt idx="28">
                  <c:v>-32</c:v>
                </c:pt>
                <c:pt idx="29">
                  <c:v>-31</c:v>
                </c:pt>
                <c:pt idx="30">
                  <c:v>-30</c:v>
                </c:pt>
                <c:pt idx="31">
                  <c:v>-29</c:v>
                </c:pt>
                <c:pt idx="32">
                  <c:v>-28</c:v>
                </c:pt>
                <c:pt idx="33">
                  <c:v>-27</c:v>
                </c:pt>
                <c:pt idx="34">
                  <c:v>-26</c:v>
                </c:pt>
                <c:pt idx="35">
                  <c:v>-25</c:v>
                </c:pt>
                <c:pt idx="36">
                  <c:v>-24</c:v>
                </c:pt>
                <c:pt idx="37">
                  <c:v>-23</c:v>
                </c:pt>
                <c:pt idx="38">
                  <c:v>-22</c:v>
                </c:pt>
                <c:pt idx="39">
                  <c:v>-21</c:v>
                </c:pt>
                <c:pt idx="40">
                  <c:v>-20</c:v>
                </c:pt>
                <c:pt idx="41">
                  <c:v>-19</c:v>
                </c:pt>
                <c:pt idx="42">
                  <c:v>-18</c:v>
                </c:pt>
                <c:pt idx="43">
                  <c:v>-17</c:v>
                </c:pt>
                <c:pt idx="44">
                  <c:v>-16</c:v>
                </c:pt>
                <c:pt idx="45">
                  <c:v>-15</c:v>
                </c:pt>
                <c:pt idx="46">
                  <c:v>-14</c:v>
                </c:pt>
                <c:pt idx="47">
                  <c:v>-13</c:v>
                </c:pt>
                <c:pt idx="48">
                  <c:v>-12</c:v>
                </c:pt>
                <c:pt idx="49">
                  <c:v>-11</c:v>
                </c:pt>
                <c:pt idx="50">
                  <c:v>-10</c:v>
                </c:pt>
                <c:pt idx="51">
                  <c:v>-9</c:v>
                </c:pt>
                <c:pt idx="52">
                  <c:v>-8</c:v>
                </c:pt>
                <c:pt idx="53">
                  <c:v>-7</c:v>
                </c:pt>
                <c:pt idx="54">
                  <c:v>-6</c:v>
                </c:pt>
                <c:pt idx="55">
                  <c:v>-5</c:v>
                </c:pt>
                <c:pt idx="56">
                  <c:v>-4</c:v>
                </c:pt>
                <c:pt idx="57">
                  <c:v>-3</c:v>
                </c:pt>
                <c:pt idx="58">
                  <c:v>-2</c:v>
                </c:pt>
                <c:pt idx="59">
                  <c:v>-1</c:v>
                </c:pt>
                <c:pt idx="60">
                  <c:v>0</c:v>
                </c:pt>
                <c:pt idx="61">
                  <c:v>1</c:v>
                </c:pt>
                <c:pt idx="62">
                  <c:v>2</c:v>
                </c:pt>
                <c:pt idx="63">
                  <c:v>3</c:v>
                </c:pt>
                <c:pt idx="64">
                  <c:v>4</c:v>
                </c:pt>
                <c:pt idx="65">
                  <c:v>5</c:v>
                </c:pt>
                <c:pt idx="66">
                  <c:v>6</c:v>
                </c:pt>
                <c:pt idx="67">
                  <c:v>7</c:v>
                </c:pt>
                <c:pt idx="68">
                  <c:v>8</c:v>
                </c:pt>
                <c:pt idx="69">
                  <c:v>9</c:v>
                </c:pt>
                <c:pt idx="70">
                  <c:v>10</c:v>
                </c:pt>
              </c:numCache>
            </c:numRef>
          </c:cat>
          <c:val>
            <c:numRef>
              <c:f>Sheet1!$B$1:$B$71</c:f>
              <c:numCache>
                <c:formatCode>0.00%</c:formatCode>
                <c:ptCount val="71"/>
                <c:pt idx="0">
                  <c:v>-1.6248294623593803E-4</c:v>
                </c:pt>
                <c:pt idx="1">
                  <c:v>9.8855925112645154E-3</c:v>
                </c:pt>
                <c:pt idx="2">
                  <c:v>1.8374112181681276E-2</c:v>
                </c:pt>
                <c:pt idx="3">
                  <c:v>2.4355240980293184E-2</c:v>
                </c:pt>
                <c:pt idx="4">
                  <c:v>2.3855543706455956E-2</c:v>
                </c:pt>
                <c:pt idx="5">
                  <c:v>2.559294372797942E-2</c:v>
                </c:pt>
                <c:pt idx="6">
                  <c:v>2.4855446190473491E-2</c:v>
                </c:pt>
                <c:pt idx="7">
                  <c:v>2.6335786570224246E-2</c:v>
                </c:pt>
                <c:pt idx="8">
                  <c:v>2.8594784646859717E-2</c:v>
                </c:pt>
                <c:pt idx="9">
                  <c:v>2.0220460014168547E-2</c:v>
                </c:pt>
                <c:pt idx="10">
                  <c:v>2.7387720190616895E-2</c:v>
                </c:pt>
                <c:pt idx="11">
                  <c:v>3.2329886621351826E-2</c:v>
                </c:pt>
                <c:pt idx="12">
                  <c:v>3.6665042760480035E-2</c:v>
                </c:pt>
                <c:pt idx="13">
                  <c:v>4.0455819648719277E-2</c:v>
                </c:pt>
                <c:pt idx="14">
                  <c:v>4.1256804732665547E-2</c:v>
                </c:pt>
                <c:pt idx="15">
                  <c:v>4.434918282868916E-2</c:v>
                </c:pt>
                <c:pt idx="16">
                  <c:v>4.6752869136720103E-2</c:v>
                </c:pt>
                <c:pt idx="17">
                  <c:v>4.6902461133674633E-2</c:v>
                </c:pt>
                <c:pt idx="18">
                  <c:v>4.8539640821237733E-2</c:v>
                </c:pt>
                <c:pt idx="19">
                  <c:v>4.9249649162608988E-2</c:v>
                </c:pt>
                <c:pt idx="20">
                  <c:v>5.0191312900107372E-2</c:v>
                </c:pt>
                <c:pt idx="21">
                  <c:v>5.5841539174284617E-2</c:v>
                </c:pt>
                <c:pt idx="22">
                  <c:v>6.2013392510316886E-2</c:v>
                </c:pt>
                <c:pt idx="23">
                  <c:v>6.4278565768335461E-2</c:v>
                </c:pt>
                <c:pt idx="24">
                  <c:v>6.7348337698857785E-2</c:v>
                </c:pt>
                <c:pt idx="25">
                  <c:v>7.1530163652040374E-2</c:v>
                </c:pt>
                <c:pt idx="26">
                  <c:v>7.3190626524390734E-2</c:v>
                </c:pt>
                <c:pt idx="27">
                  <c:v>7.7664179249868723E-2</c:v>
                </c:pt>
                <c:pt idx="28">
                  <c:v>7.6338102423152976E-2</c:v>
                </c:pt>
                <c:pt idx="29">
                  <c:v>8.3893111877242327E-2</c:v>
                </c:pt>
                <c:pt idx="30">
                  <c:v>8.7693853926291046E-2</c:v>
                </c:pt>
                <c:pt idx="31">
                  <c:v>8.6974097819271928E-2</c:v>
                </c:pt>
                <c:pt idx="32">
                  <c:v>8.7452643518298998E-2</c:v>
                </c:pt>
                <c:pt idx="33">
                  <c:v>9.1103116781817622E-2</c:v>
                </c:pt>
                <c:pt idx="34">
                  <c:v>9.0251974454397324E-2</c:v>
                </c:pt>
                <c:pt idx="35">
                  <c:v>9.3626632531555384E-2</c:v>
                </c:pt>
                <c:pt idx="36">
                  <c:v>9.9559403501082888E-2</c:v>
                </c:pt>
                <c:pt idx="37">
                  <c:v>0.11205787136245685</c:v>
                </c:pt>
                <c:pt idx="38">
                  <c:v>0.11605917194779758</c:v>
                </c:pt>
                <c:pt idx="39">
                  <c:v>0.11928118536231626</c:v>
                </c:pt>
                <c:pt idx="40">
                  <c:v>0.11739852093418419</c:v>
                </c:pt>
                <c:pt idx="41">
                  <c:v>0.12428858595561247</c:v>
                </c:pt>
                <c:pt idx="42">
                  <c:v>0.12817019492955123</c:v>
                </c:pt>
                <c:pt idx="43">
                  <c:v>0.12917640755277421</c:v>
                </c:pt>
                <c:pt idx="44">
                  <c:v>0.1306003764968561</c:v>
                </c:pt>
                <c:pt idx="45">
                  <c:v>0.13413412140292291</c:v>
                </c:pt>
                <c:pt idx="46">
                  <c:v>0.13560031590531837</c:v>
                </c:pt>
                <c:pt idx="47">
                  <c:v>0.13349506597863511</c:v>
                </c:pt>
                <c:pt idx="48">
                  <c:v>0.13566292746398237</c:v>
                </c:pt>
                <c:pt idx="49">
                  <c:v>0.1304997312215492</c:v>
                </c:pt>
                <c:pt idx="50">
                  <c:v>0.12626749709464791</c:v>
                </c:pt>
                <c:pt idx="51">
                  <c:v>0.12699978677288079</c:v>
                </c:pt>
                <c:pt idx="52">
                  <c:v>0.12431702948692892</c:v>
                </c:pt>
                <c:pt idx="53">
                  <c:v>0.1252814695545561</c:v>
                </c:pt>
                <c:pt idx="54">
                  <c:v>0.13467780583415817</c:v>
                </c:pt>
                <c:pt idx="55">
                  <c:v>0.13404804974676948</c:v>
                </c:pt>
                <c:pt idx="56">
                  <c:v>0.13849867326782594</c:v>
                </c:pt>
                <c:pt idx="57">
                  <c:v>0.13586736453130946</c:v>
                </c:pt>
                <c:pt idx="58">
                  <c:v>0.13613707608601222</c:v>
                </c:pt>
                <c:pt idx="59">
                  <c:v>0.13845915368902323</c:v>
                </c:pt>
                <c:pt idx="60">
                  <c:v>0.12744804053311007</c:v>
                </c:pt>
                <c:pt idx="61">
                  <c:v>0.12567733038293491</c:v>
                </c:pt>
                <c:pt idx="62">
                  <c:v>0.12008395751864413</c:v>
                </c:pt>
                <c:pt idx="63">
                  <c:v>0.11988804099618022</c:v>
                </c:pt>
                <c:pt idx="64">
                  <c:v>0.12224914680788806</c:v>
                </c:pt>
                <c:pt idx="65">
                  <c:v>0.12255314886126423</c:v>
                </c:pt>
                <c:pt idx="66">
                  <c:v>0.12526896509071669</c:v>
                </c:pt>
                <c:pt idx="67">
                  <c:v>0.12577453143055367</c:v>
                </c:pt>
                <c:pt idx="68">
                  <c:v>0.12186408268097509</c:v>
                </c:pt>
                <c:pt idx="69">
                  <c:v>0.1206591186153394</c:v>
                </c:pt>
                <c:pt idx="70">
                  <c:v>0.12365422282735997</c:v>
                </c:pt>
              </c:numCache>
            </c:numRef>
          </c:val>
          <c:smooth val="0"/>
        </c:ser>
        <c:dLbls>
          <c:showLegendKey val="0"/>
          <c:showVal val="0"/>
          <c:showCatName val="0"/>
          <c:showSerName val="0"/>
          <c:showPercent val="0"/>
          <c:showBubbleSize val="0"/>
        </c:dLbls>
        <c:hiLowLines/>
        <c:marker val="1"/>
        <c:smooth val="0"/>
        <c:axId val="78797056"/>
        <c:axId val="34936320"/>
      </c:lineChart>
      <c:catAx>
        <c:axId val="78797056"/>
        <c:scaling>
          <c:orientation val="minMax"/>
        </c:scaling>
        <c:delete val="0"/>
        <c:axPos val="b"/>
        <c:title>
          <c:tx>
            <c:rich>
              <a:bodyPr/>
              <a:lstStyle/>
              <a:p>
                <a:pPr>
                  <a:defRPr sz="999" b="1" i="0" u="none" strike="noStrike" baseline="0">
                    <a:solidFill>
                      <a:srgbClr val="000000"/>
                    </a:solidFill>
                    <a:latin typeface="Calibri"/>
                    <a:ea typeface="Calibri"/>
                    <a:cs typeface="Calibri"/>
                  </a:defRPr>
                </a:pPr>
                <a:r>
                  <a:rPr lang="en-GB"/>
                  <a:t>Day relative to the event</a:t>
                </a:r>
              </a:p>
            </c:rich>
          </c:tx>
          <c:layout/>
          <c:overlay val="0"/>
        </c:title>
        <c:numFmt formatCode="General" sourceLinked="1"/>
        <c:majorTickMark val="none"/>
        <c:minorTickMark val="none"/>
        <c:tickLblPos val="nextTo"/>
        <c:crossAx val="34936320"/>
        <c:crosses val="autoZero"/>
        <c:auto val="1"/>
        <c:lblAlgn val="ctr"/>
        <c:lblOffset val="100"/>
        <c:noMultiLvlLbl val="0"/>
      </c:catAx>
      <c:valAx>
        <c:axId val="34936320"/>
        <c:scaling>
          <c:orientation val="minMax"/>
        </c:scaling>
        <c:delete val="0"/>
        <c:axPos val="l"/>
        <c:majorGridlines/>
        <c:title>
          <c:tx>
            <c:rich>
              <a:bodyPr/>
              <a:lstStyle/>
              <a:p>
                <a:pPr>
                  <a:defRPr sz="999" b="1" i="0" u="none" strike="noStrike" baseline="0">
                    <a:solidFill>
                      <a:srgbClr val="000000"/>
                    </a:solidFill>
                    <a:latin typeface="Calibri"/>
                    <a:ea typeface="Calibri"/>
                    <a:cs typeface="Calibri"/>
                  </a:defRPr>
                </a:pPr>
                <a:r>
                  <a:rPr lang="en-GB"/>
                  <a:t>Cumulative abnormal return</a:t>
                </a:r>
              </a:p>
            </c:rich>
          </c:tx>
          <c:layout/>
          <c:overlay val="0"/>
        </c:title>
        <c:numFmt formatCode="0.00%" sourceLinked="1"/>
        <c:majorTickMark val="out"/>
        <c:minorTickMark val="none"/>
        <c:tickLblPos val="nextTo"/>
        <c:crossAx val="78797056"/>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marker>
            <c:symbol val="none"/>
          </c:marker>
          <c:cat>
            <c:numRef>
              <c:f>Sheet1!$A$1:$A$71</c:f>
              <c:numCache>
                <c:formatCode>General</c:formatCode>
                <c:ptCount val="71"/>
                <c:pt idx="0">
                  <c:v>-60</c:v>
                </c:pt>
                <c:pt idx="1">
                  <c:v>-59</c:v>
                </c:pt>
                <c:pt idx="2">
                  <c:v>-58</c:v>
                </c:pt>
                <c:pt idx="3">
                  <c:v>-57</c:v>
                </c:pt>
                <c:pt idx="4">
                  <c:v>-56</c:v>
                </c:pt>
                <c:pt idx="5">
                  <c:v>-55</c:v>
                </c:pt>
                <c:pt idx="6">
                  <c:v>-54</c:v>
                </c:pt>
                <c:pt idx="7">
                  <c:v>-53</c:v>
                </c:pt>
                <c:pt idx="8">
                  <c:v>-52</c:v>
                </c:pt>
                <c:pt idx="9">
                  <c:v>-51</c:v>
                </c:pt>
                <c:pt idx="10">
                  <c:v>-50</c:v>
                </c:pt>
                <c:pt idx="11">
                  <c:v>-49</c:v>
                </c:pt>
                <c:pt idx="12">
                  <c:v>-48</c:v>
                </c:pt>
                <c:pt idx="13">
                  <c:v>-47</c:v>
                </c:pt>
                <c:pt idx="14">
                  <c:v>-46</c:v>
                </c:pt>
                <c:pt idx="15">
                  <c:v>-45</c:v>
                </c:pt>
                <c:pt idx="16">
                  <c:v>-44</c:v>
                </c:pt>
                <c:pt idx="17">
                  <c:v>-43</c:v>
                </c:pt>
                <c:pt idx="18">
                  <c:v>-42</c:v>
                </c:pt>
                <c:pt idx="19">
                  <c:v>-41</c:v>
                </c:pt>
                <c:pt idx="20">
                  <c:v>-40</c:v>
                </c:pt>
                <c:pt idx="21">
                  <c:v>-39</c:v>
                </c:pt>
                <c:pt idx="22">
                  <c:v>-38</c:v>
                </c:pt>
                <c:pt idx="23">
                  <c:v>-37</c:v>
                </c:pt>
                <c:pt idx="24">
                  <c:v>-36</c:v>
                </c:pt>
                <c:pt idx="25">
                  <c:v>-35</c:v>
                </c:pt>
                <c:pt idx="26">
                  <c:v>-34</c:v>
                </c:pt>
                <c:pt idx="27">
                  <c:v>-33</c:v>
                </c:pt>
                <c:pt idx="28">
                  <c:v>-32</c:v>
                </c:pt>
                <c:pt idx="29">
                  <c:v>-31</c:v>
                </c:pt>
                <c:pt idx="30">
                  <c:v>-30</c:v>
                </c:pt>
                <c:pt idx="31">
                  <c:v>-29</c:v>
                </c:pt>
                <c:pt idx="32">
                  <c:v>-28</c:v>
                </c:pt>
                <c:pt idx="33">
                  <c:v>-27</c:v>
                </c:pt>
                <c:pt idx="34">
                  <c:v>-26</c:v>
                </c:pt>
                <c:pt idx="35">
                  <c:v>-25</c:v>
                </c:pt>
                <c:pt idx="36">
                  <c:v>-24</c:v>
                </c:pt>
                <c:pt idx="37">
                  <c:v>-23</c:v>
                </c:pt>
                <c:pt idx="38">
                  <c:v>-22</c:v>
                </c:pt>
                <c:pt idx="39">
                  <c:v>-21</c:v>
                </c:pt>
                <c:pt idx="40">
                  <c:v>-20</c:v>
                </c:pt>
                <c:pt idx="41">
                  <c:v>-19</c:v>
                </c:pt>
                <c:pt idx="42">
                  <c:v>-18</c:v>
                </c:pt>
                <c:pt idx="43">
                  <c:v>-17</c:v>
                </c:pt>
                <c:pt idx="44">
                  <c:v>-16</c:v>
                </c:pt>
                <c:pt idx="45">
                  <c:v>-15</c:v>
                </c:pt>
                <c:pt idx="46">
                  <c:v>-14</c:v>
                </c:pt>
                <c:pt idx="47">
                  <c:v>-13</c:v>
                </c:pt>
                <c:pt idx="48">
                  <c:v>-12</c:v>
                </c:pt>
                <c:pt idx="49">
                  <c:v>-11</c:v>
                </c:pt>
                <c:pt idx="50">
                  <c:v>-10</c:v>
                </c:pt>
                <c:pt idx="51">
                  <c:v>-9</c:v>
                </c:pt>
                <c:pt idx="52">
                  <c:v>-8</c:v>
                </c:pt>
                <c:pt idx="53">
                  <c:v>-7</c:v>
                </c:pt>
                <c:pt idx="54">
                  <c:v>-6</c:v>
                </c:pt>
                <c:pt idx="55">
                  <c:v>-5</c:v>
                </c:pt>
                <c:pt idx="56">
                  <c:v>-4</c:v>
                </c:pt>
                <c:pt idx="57">
                  <c:v>-3</c:v>
                </c:pt>
                <c:pt idx="58">
                  <c:v>-2</c:v>
                </c:pt>
                <c:pt idx="59">
                  <c:v>-1</c:v>
                </c:pt>
                <c:pt idx="60">
                  <c:v>0</c:v>
                </c:pt>
                <c:pt idx="61">
                  <c:v>1</c:v>
                </c:pt>
                <c:pt idx="62">
                  <c:v>2</c:v>
                </c:pt>
                <c:pt idx="63">
                  <c:v>3</c:v>
                </c:pt>
                <c:pt idx="64">
                  <c:v>4</c:v>
                </c:pt>
                <c:pt idx="65">
                  <c:v>5</c:v>
                </c:pt>
                <c:pt idx="66">
                  <c:v>6</c:v>
                </c:pt>
                <c:pt idx="67">
                  <c:v>7</c:v>
                </c:pt>
                <c:pt idx="68">
                  <c:v>8</c:v>
                </c:pt>
                <c:pt idx="69">
                  <c:v>9</c:v>
                </c:pt>
                <c:pt idx="70">
                  <c:v>10</c:v>
                </c:pt>
              </c:numCache>
            </c:numRef>
          </c:cat>
          <c:val>
            <c:numRef>
              <c:f>Sheet1!$B$1:$B$71</c:f>
              <c:numCache>
                <c:formatCode>0.00%</c:formatCode>
                <c:ptCount val="71"/>
                <c:pt idx="0">
                  <c:v>8.0252646325711541E-4</c:v>
                </c:pt>
                <c:pt idx="1">
                  <c:v>9.6328722526429766E-3</c:v>
                </c:pt>
                <c:pt idx="2">
                  <c:v>1.7518962509412515E-2</c:v>
                </c:pt>
                <c:pt idx="3">
                  <c:v>2.3551722850228381E-2</c:v>
                </c:pt>
                <c:pt idx="4">
                  <c:v>2.2703729929824869E-2</c:v>
                </c:pt>
                <c:pt idx="5">
                  <c:v>2.2646580204605474E-2</c:v>
                </c:pt>
                <c:pt idx="6">
                  <c:v>2.1064587997630037E-2</c:v>
                </c:pt>
                <c:pt idx="7">
                  <c:v>2.3116444840383367E-2</c:v>
                </c:pt>
                <c:pt idx="8">
                  <c:v>2.4378521946965583E-2</c:v>
                </c:pt>
                <c:pt idx="9">
                  <c:v>1.5964292869109317E-2</c:v>
                </c:pt>
                <c:pt idx="10">
                  <c:v>2.295841128808335E-2</c:v>
                </c:pt>
                <c:pt idx="11">
                  <c:v>2.7127243164223488E-2</c:v>
                </c:pt>
                <c:pt idx="12">
                  <c:v>2.8702550389051579E-2</c:v>
                </c:pt>
                <c:pt idx="13">
                  <c:v>3.3262183132696965E-2</c:v>
                </c:pt>
                <c:pt idx="14">
                  <c:v>3.4536873922509016E-2</c:v>
                </c:pt>
                <c:pt idx="15">
                  <c:v>3.6641108997594964E-2</c:v>
                </c:pt>
                <c:pt idx="16">
                  <c:v>3.9420497598872256E-2</c:v>
                </c:pt>
                <c:pt idx="17">
                  <c:v>4.0375224826960737E-2</c:v>
                </c:pt>
                <c:pt idx="18">
                  <c:v>4.0704970154028131E-2</c:v>
                </c:pt>
                <c:pt idx="19">
                  <c:v>4.0608826939020404E-2</c:v>
                </c:pt>
                <c:pt idx="20">
                  <c:v>4.2031321554436167E-2</c:v>
                </c:pt>
                <c:pt idx="21">
                  <c:v>4.7855278904530514E-2</c:v>
                </c:pt>
                <c:pt idx="22">
                  <c:v>5.3291360764575003E-2</c:v>
                </c:pt>
                <c:pt idx="23">
                  <c:v>5.471647915941738E-2</c:v>
                </c:pt>
                <c:pt idx="24">
                  <c:v>5.828815471899667E-2</c:v>
                </c:pt>
                <c:pt idx="25">
                  <c:v>6.1096163900934024E-2</c:v>
                </c:pt>
                <c:pt idx="26">
                  <c:v>6.245148186244262E-2</c:v>
                </c:pt>
                <c:pt idx="27">
                  <c:v>6.538584024366402E-2</c:v>
                </c:pt>
                <c:pt idx="28">
                  <c:v>6.4339679181439513E-2</c:v>
                </c:pt>
                <c:pt idx="29">
                  <c:v>7.092981169544009E-2</c:v>
                </c:pt>
                <c:pt idx="30">
                  <c:v>7.4778579387214272E-2</c:v>
                </c:pt>
                <c:pt idx="31">
                  <c:v>7.2960343958061433E-2</c:v>
                </c:pt>
                <c:pt idx="32">
                  <c:v>7.3138355983572143E-2</c:v>
                </c:pt>
                <c:pt idx="33">
                  <c:v>7.712726144754771E-2</c:v>
                </c:pt>
                <c:pt idx="34">
                  <c:v>7.6976202385509312E-2</c:v>
                </c:pt>
                <c:pt idx="35">
                  <c:v>8.0210319496507684E-2</c:v>
                </c:pt>
                <c:pt idx="36">
                  <c:v>8.5511128820216067E-2</c:v>
                </c:pt>
                <c:pt idx="37">
                  <c:v>9.7656660235778028E-2</c:v>
                </c:pt>
                <c:pt idx="38">
                  <c:v>0.10136928048126106</c:v>
                </c:pt>
                <c:pt idx="39">
                  <c:v>0.10481544564373892</c:v>
                </c:pt>
                <c:pt idx="40">
                  <c:v>0.10215021181634565</c:v>
                </c:pt>
                <c:pt idx="41">
                  <c:v>0.10795988220962688</c:v>
                </c:pt>
                <c:pt idx="42">
                  <c:v>0.11165936059372236</c:v>
                </c:pt>
                <c:pt idx="43">
                  <c:v>0.11212184659984405</c:v>
                </c:pt>
                <c:pt idx="44">
                  <c:v>0.11401271822767325</c:v>
                </c:pt>
                <c:pt idx="45">
                  <c:v>0.11722253838052207</c:v>
                </c:pt>
                <c:pt idx="46">
                  <c:v>0.1182889890575842</c:v>
                </c:pt>
                <c:pt idx="47">
                  <c:v>0.11621412618952302</c:v>
                </c:pt>
                <c:pt idx="48">
                  <c:v>0.11812969292125473</c:v>
                </c:pt>
                <c:pt idx="49">
                  <c:v>0.11451817403671202</c:v>
                </c:pt>
                <c:pt idx="50">
                  <c:v>0.10924402631889465</c:v>
                </c:pt>
                <c:pt idx="51">
                  <c:v>0.10944803920044932</c:v>
                </c:pt>
                <c:pt idx="52">
                  <c:v>0.1060556402127712</c:v>
                </c:pt>
                <c:pt idx="53">
                  <c:v>0.10617694272010418</c:v>
                </c:pt>
                <c:pt idx="54">
                  <c:v>0.11479446699073459</c:v>
                </c:pt>
                <c:pt idx="55">
                  <c:v>0.11361520264082618</c:v>
                </c:pt>
                <c:pt idx="56">
                  <c:v>0.11719055148403879</c:v>
                </c:pt>
                <c:pt idx="57">
                  <c:v>0.11438965894528677</c:v>
                </c:pt>
                <c:pt idx="58">
                  <c:v>0.11411868786792805</c:v>
                </c:pt>
                <c:pt idx="59">
                  <c:v>0.11575645004421124</c:v>
                </c:pt>
                <c:pt idx="60">
                  <c:v>0.1058154949768397</c:v>
                </c:pt>
                <c:pt idx="61">
                  <c:v>0.10415367643398313</c:v>
                </c:pt>
                <c:pt idx="62">
                  <c:v>9.9991232527153528E-2</c:v>
                </c:pt>
                <c:pt idx="63">
                  <c:v>9.8784841552283897E-2</c:v>
                </c:pt>
                <c:pt idx="64">
                  <c:v>0.10225732741921062</c:v>
                </c:pt>
                <c:pt idx="65">
                  <c:v>0.10224633497586796</c:v>
                </c:pt>
                <c:pt idx="66">
                  <c:v>0.10348655402193579</c:v>
                </c:pt>
                <c:pt idx="67">
                  <c:v>0.1012513892107664</c:v>
                </c:pt>
                <c:pt idx="68">
                  <c:v>9.7955109001764393E-2</c:v>
                </c:pt>
                <c:pt idx="69">
                  <c:v>9.6649781817817429E-2</c:v>
                </c:pt>
                <c:pt idx="70">
                  <c:v>9.8909762540561247E-2</c:v>
                </c:pt>
              </c:numCache>
            </c:numRef>
          </c:val>
          <c:smooth val="0"/>
        </c:ser>
        <c:dLbls>
          <c:showLegendKey val="0"/>
          <c:showVal val="0"/>
          <c:showCatName val="0"/>
          <c:showSerName val="0"/>
          <c:showPercent val="0"/>
          <c:showBubbleSize val="0"/>
        </c:dLbls>
        <c:hiLowLines/>
        <c:marker val="1"/>
        <c:smooth val="0"/>
        <c:axId val="94135808"/>
        <c:axId val="94137728"/>
      </c:lineChart>
      <c:catAx>
        <c:axId val="94135808"/>
        <c:scaling>
          <c:orientation val="minMax"/>
        </c:scaling>
        <c:delete val="0"/>
        <c:axPos val="b"/>
        <c:title>
          <c:tx>
            <c:rich>
              <a:bodyPr/>
              <a:lstStyle/>
              <a:p>
                <a:pPr>
                  <a:defRPr sz="999" b="1" i="0" u="none" strike="noStrike" baseline="0">
                    <a:solidFill>
                      <a:srgbClr val="000000"/>
                    </a:solidFill>
                    <a:latin typeface="Calibri"/>
                    <a:ea typeface="Calibri"/>
                    <a:cs typeface="Calibri"/>
                  </a:defRPr>
                </a:pPr>
                <a:r>
                  <a:rPr lang="en-GB"/>
                  <a:t>Day relative to the event</a:t>
                </a:r>
              </a:p>
            </c:rich>
          </c:tx>
          <c:layout/>
          <c:overlay val="0"/>
        </c:title>
        <c:numFmt formatCode="General" sourceLinked="1"/>
        <c:majorTickMark val="none"/>
        <c:minorTickMark val="none"/>
        <c:tickLblPos val="nextTo"/>
        <c:crossAx val="94137728"/>
        <c:crosses val="autoZero"/>
        <c:auto val="1"/>
        <c:lblAlgn val="ctr"/>
        <c:lblOffset val="100"/>
        <c:noMultiLvlLbl val="0"/>
      </c:catAx>
      <c:valAx>
        <c:axId val="94137728"/>
        <c:scaling>
          <c:orientation val="minMax"/>
        </c:scaling>
        <c:delete val="0"/>
        <c:axPos val="l"/>
        <c:majorGridlines/>
        <c:title>
          <c:tx>
            <c:rich>
              <a:bodyPr/>
              <a:lstStyle/>
              <a:p>
                <a:pPr>
                  <a:defRPr sz="999" b="1" i="0" u="none" strike="noStrike" baseline="0">
                    <a:solidFill>
                      <a:srgbClr val="000000"/>
                    </a:solidFill>
                    <a:latin typeface="Calibri"/>
                    <a:ea typeface="Calibri"/>
                    <a:cs typeface="Calibri"/>
                  </a:defRPr>
                </a:pPr>
                <a:r>
                  <a:rPr lang="en-GB"/>
                  <a:t>Cumulative abnormal return</a:t>
                </a:r>
              </a:p>
            </c:rich>
          </c:tx>
          <c:layout/>
          <c:overlay val="0"/>
        </c:title>
        <c:numFmt formatCode="0.00%" sourceLinked="1"/>
        <c:majorTickMark val="out"/>
        <c:minorTickMark val="none"/>
        <c:tickLblPos val="nextTo"/>
        <c:crossAx val="94135808"/>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2A1FF-03FB-4196-B411-601843A99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83159194.dotm</Template>
  <TotalTime>5180</TotalTime>
  <Pages>38</Pages>
  <Words>8712</Words>
  <Characters>49665</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bl84</dc:creator>
  <cp:lastModifiedBy>bl84</cp:lastModifiedBy>
  <cp:revision>20</cp:revision>
  <cp:lastPrinted>2015-05-01T11:35:00Z</cp:lastPrinted>
  <dcterms:created xsi:type="dcterms:W3CDTF">2015-09-17T13:39:00Z</dcterms:created>
  <dcterms:modified xsi:type="dcterms:W3CDTF">2015-09-21T10:56:00Z</dcterms:modified>
</cp:coreProperties>
</file>