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E738F4" w14:textId="75602757" w:rsidR="00D209BA" w:rsidRPr="003E4298" w:rsidRDefault="006651C5" w:rsidP="003E4298">
      <w:pPr>
        <w:spacing w:line="480" w:lineRule="auto"/>
        <w:contextualSpacing/>
        <w:rPr>
          <w:rFonts w:ascii="Times New Roman" w:hAnsi="Times New Roman" w:cs="Times New Roman"/>
          <w:b/>
          <w:sz w:val="28"/>
          <w:szCs w:val="28"/>
        </w:rPr>
      </w:pPr>
      <w:bookmarkStart w:id="0" w:name="_GoBack"/>
      <w:bookmarkEnd w:id="0"/>
      <w:r w:rsidRPr="003E4298">
        <w:rPr>
          <w:rFonts w:ascii="Times New Roman" w:hAnsi="Times New Roman" w:cs="Times New Roman"/>
          <w:b/>
          <w:sz w:val="28"/>
          <w:szCs w:val="28"/>
        </w:rPr>
        <w:t xml:space="preserve">A </w:t>
      </w:r>
      <w:r w:rsidR="00A31B5A" w:rsidRPr="003E4298">
        <w:rPr>
          <w:rFonts w:ascii="Times New Roman" w:hAnsi="Times New Roman" w:cs="Times New Roman"/>
          <w:b/>
          <w:sz w:val="28"/>
          <w:szCs w:val="28"/>
        </w:rPr>
        <w:t xml:space="preserve">Polyphonic Marketplace: Images of EU External Energy Relations </w:t>
      </w:r>
      <w:r w:rsidR="00897902" w:rsidRPr="003E4298">
        <w:rPr>
          <w:rFonts w:ascii="Times New Roman" w:hAnsi="Times New Roman" w:cs="Times New Roman"/>
          <w:b/>
          <w:sz w:val="28"/>
          <w:szCs w:val="28"/>
        </w:rPr>
        <w:t>in British, French and German Media Discourses</w:t>
      </w:r>
    </w:p>
    <w:p w14:paraId="76449912" w14:textId="77777777" w:rsidR="0050446F" w:rsidRPr="003E4298" w:rsidRDefault="0050446F" w:rsidP="003E4298">
      <w:pPr>
        <w:spacing w:line="480" w:lineRule="auto"/>
        <w:contextualSpacing/>
        <w:rPr>
          <w:rFonts w:ascii="Times New Roman" w:hAnsi="Times New Roman" w:cs="Times New Roman"/>
          <w:bCs/>
          <w:sz w:val="24"/>
          <w:szCs w:val="24"/>
        </w:rPr>
      </w:pPr>
    </w:p>
    <w:p w14:paraId="7258CA35" w14:textId="00FB137B" w:rsidR="003E4298" w:rsidRPr="003E4298" w:rsidRDefault="004B2E07" w:rsidP="003E4298">
      <w:pPr>
        <w:spacing w:line="480" w:lineRule="auto"/>
        <w:contextualSpacing/>
        <w:rPr>
          <w:rFonts w:ascii="Times New Roman" w:hAnsi="Times New Roman" w:cs="Times New Roman"/>
          <w:sz w:val="24"/>
          <w:szCs w:val="24"/>
        </w:rPr>
      </w:pPr>
      <w:r w:rsidRPr="003E4298">
        <w:rPr>
          <w:rFonts w:ascii="Times New Roman" w:hAnsi="Times New Roman" w:cs="Times New Roman"/>
          <w:b/>
          <w:bCs/>
          <w:sz w:val="24"/>
          <w:szCs w:val="24"/>
        </w:rPr>
        <w:t>Abstract</w:t>
      </w:r>
    </w:p>
    <w:p w14:paraId="53A9A5B4" w14:textId="6E9A5F53" w:rsidR="0050446F" w:rsidRPr="003E4298" w:rsidRDefault="004B2E07" w:rsidP="003E4298">
      <w:pPr>
        <w:spacing w:line="480" w:lineRule="auto"/>
        <w:contextualSpacing/>
        <w:jc w:val="both"/>
        <w:rPr>
          <w:rFonts w:ascii="Times New Roman" w:hAnsi="Times New Roman" w:cs="Times New Roman"/>
          <w:sz w:val="24"/>
          <w:szCs w:val="24"/>
          <w:lang w:eastAsia="de-DE"/>
        </w:rPr>
      </w:pPr>
      <w:r w:rsidRPr="003E4298">
        <w:rPr>
          <w:rFonts w:ascii="Times New Roman" w:hAnsi="Times New Roman" w:cs="Times New Roman"/>
          <w:sz w:val="24"/>
          <w:szCs w:val="24"/>
        </w:rPr>
        <w:t xml:space="preserve">The European Union (EU) has long sought to play </w:t>
      </w:r>
      <w:r w:rsidR="0050446F" w:rsidRPr="003E4298">
        <w:rPr>
          <w:rFonts w:ascii="Times New Roman" w:hAnsi="Times New Roman" w:cs="Times New Roman"/>
          <w:sz w:val="24"/>
          <w:szCs w:val="24"/>
        </w:rPr>
        <w:t>a</w:t>
      </w:r>
      <w:r w:rsidRPr="003E4298">
        <w:rPr>
          <w:rFonts w:ascii="Times New Roman" w:hAnsi="Times New Roman" w:cs="Times New Roman"/>
          <w:sz w:val="24"/>
          <w:szCs w:val="24"/>
        </w:rPr>
        <w:t xml:space="preserve"> normative </w:t>
      </w:r>
      <w:r w:rsidR="0050446F" w:rsidRPr="003E4298">
        <w:rPr>
          <w:rFonts w:ascii="Times New Roman" w:hAnsi="Times New Roman" w:cs="Times New Roman"/>
          <w:sz w:val="24"/>
          <w:szCs w:val="24"/>
        </w:rPr>
        <w:t>role</w:t>
      </w:r>
      <w:r w:rsidRPr="003E4298">
        <w:rPr>
          <w:rFonts w:ascii="Times New Roman" w:hAnsi="Times New Roman" w:cs="Times New Roman"/>
          <w:sz w:val="24"/>
          <w:szCs w:val="24"/>
        </w:rPr>
        <w:t xml:space="preserve"> in </w:t>
      </w:r>
      <w:r w:rsidR="00EF2D59">
        <w:rPr>
          <w:rFonts w:ascii="Times New Roman" w:hAnsi="Times New Roman" w:cs="Times New Roman"/>
          <w:sz w:val="24"/>
          <w:szCs w:val="24"/>
        </w:rPr>
        <w:t>global energy governance,</w:t>
      </w:r>
      <w:r w:rsidR="001E572C" w:rsidRPr="003E4298">
        <w:rPr>
          <w:rFonts w:ascii="Times New Roman" w:hAnsi="Times New Roman" w:cs="Times New Roman"/>
          <w:sz w:val="24"/>
          <w:szCs w:val="24"/>
        </w:rPr>
        <w:t xml:space="preserve"> a</w:t>
      </w:r>
      <w:r w:rsidRPr="003E4298">
        <w:rPr>
          <w:rFonts w:ascii="Times New Roman" w:hAnsi="Times New Roman" w:cs="Times New Roman"/>
          <w:sz w:val="24"/>
          <w:szCs w:val="24"/>
        </w:rPr>
        <w:t xml:space="preserve"> role that requires a coherent, comprehensible and memorable image. </w:t>
      </w:r>
      <w:r w:rsidRPr="003E4298">
        <w:rPr>
          <w:rFonts w:ascii="Times New Roman" w:hAnsi="Times New Roman" w:cs="Times New Roman"/>
          <w:bCs/>
          <w:sz w:val="24"/>
          <w:szCs w:val="24"/>
        </w:rPr>
        <w:t xml:space="preserve">Yet </w:t>
      </w:r>
      <w:r w:rsidR="0050446F" w:rsidRPr="003E4298">
        <w:rPr>
          <w:rFonts w:ascii="Times New Roman" w:hAnsi="Times New Roman" w:cs="Times New Roman"/>
          <w:bCs/>
          <w:sz w:val="24"/>
          <w:szCs w:val="24"/>
        </w:rPr>
        <w:t>within its borders, there are divisions and discrepancies on energy</w:t>
      </w:r>
      <w:r w:rsidR="00EF2D59">
        <w:rPr>
          <w:rFonts w:ascii="Times New Roman" w:hAnsi="Times New Roman" w:cs="Times New Roman"/>
          <w:bCs/>
          <w:sz w:val="24"/>
          <w:szCs w:val="24"/>
        </w:rPr>
        <w:t>,</w:t>
      </w:r>
      <w:r w:rsidR="0050446F" w:rsidRPr="003E4298">
        <w:rPr>
          <w:rFonts w:ascii="Times New Roman" w:hAnsi="Times New Roman" w:cs="Times New Roman"/>
          <w:bCs/>
          <w:sz w:val="24"/>
          <w:szCs w:val="24"/>
        </w:rPr>
        <w:t xml:space="preserve"> which may </w:t>
      </w:r>
      <w:r w:rsidR="000519CF">
        <w:rPr>
          <w:rFonts w:ascii="Times New Roman" w:hAnsi="Times New Roman" w:cs="Times New Roman"/>
          <w:bCs/>
          <w:sz w:val="24"/>
          <w:szCs w:val="24"/>
        </w:rPr>
        <w:t xml:space="preserve">have an </w:t>
      </w:r>
      <w:r w:rsidR="0050446F" w:rsidRPr="003E4298">
        <w:rPr>
          <w:rFonts w:ascii="Times New Roman" w:hAnsi="Times New Roman" w:cs="Times New Roman"/>
          <w:bCs/>
          <w:sz w:val="24"/>
          <w:szCs w:val="24"/>
        </w:rPr>
        <w:t xml:space="preserve">impact on the external reception of EU actions. </w:t>
      </w:r>
      <w:r w:rsidRPr="003E4298">
        <w:rPr>
          <w:rFonts w:ascii="Times New Roman" w:hAnsi="Times New Roman" w:cs="Times New Roman"/>
          <w:bCs/>
          <w:sz w:val="24"/>
          <w:szCs w:val="24"/>
        </w:rPr>
        <w:t xml:space="preserve">France, </w:t>
      </w:r>
      <w:r w:rsidR="0050446F" w:rsidRPr="003E4298">
        <w:rPr>
          <w:rFonts w:ascii="Times New Roman" w:hAnsi="Times New Roman" w:cs="Times New Roman"/>
          <w:bCs/>
          <w:sz w:val="24"/>
          <w:szCs w:val="24"/>
        </w:rPr>
        <w:t>Germany and</w:t>
      </w:r>
      <w:r w:rsidRPr="003E4298">
        <w:rPr>
          <w:rFonts w:ascii="Times New Roman" w:hAnsi="Times New Roman" w:cs="Times New Roman"/>
          <w:bCs/>
          <w:sz w:val="24"/>
          <w:szCs w:val="24"/>
        </w:rPr>
        <w:t xml:space="preserve"> the U</w:t>
      </w:r>
      <w:r w:rsidR="008540B2">
        <w:rPr>
          <w:rFonts w:ascii="Times New Roman" w:hAnsi="Times New Roman" w:cs="Times New Roman"/>
          <w:bCs/>
          <w:sz w:val="24"/>
          <w:szCs w:val="24"/>
        </w:rPr>
        <w:t>nited Kingdom (U</w:t>
      </w:r>
      <w:r w:rsidRPr="003E4298">
        <w:rPr>
          <w:rFonts w:ascii="Times New Roman" w:hAnsi="Times New Roman" w:cs="Times New Roman"/>
          <w:bCs/>
          <w:sz w:val="24"/>
          <w:szCs w:val="24"/>
        </w:rPr>
        <w:t>K</w:t>
      </w:r>
      <w:r w:rsidR="008540B2">
        <w:rPr>
          <w:rFonts w:ascii="Times New Roman" w:hAnsi="Times New Roman" w:cs="Times New Roman"/>
          <w:bCs/>
          <w:sz w:val="24"/>
          <w:szCs w:val="24"/>
        </w:rPr>
        <w:t>)</w:t>
      </w:r>
      <w:r w:rsidRPr="003E4298">
        <w:rPr>
          <w:rFonts w:ascii="Times New Roman" w:hAnsi="Times New Roman" w:cs="Times New Roman"/>
          <w:bCs/>
          <w:sz w:val="24"/>
          <w:szCs w:val="24"/>
        </w:rPr>
        <w:t>,</w:t>
      </w:r>
      <w:r w:rsidR="00EF2D59">
        <w:rPr>
          <w:rFonts w:ascii="Times New Roman" w:hAnsi="Times New Roman" w:cs="Times New Roman"/>
          <w:bCs/>
          <w:sz w:val="24"/>
          <w:szCs w:val="24"/>
        </w:rPr>
        <w:t xml:space="preserve"> commonly referred to as ‘</w:t>
      </w:r>
      <w:r w:rsidR="0050446F" w:rsidRPr="003E4298">
        <w:rPr>
          <w:rFonts w:ascii="Times New Roman" w:hAnsi="Times New Roman" w:cs="Times New Roman"/>
          <w:bCs/>
          <w:sz w:val="24"/>
          <w:szCs w:val="24"/>
        </w:rPr>
        <w:t>the EU</w:t>
      </w:r>
      <w:r w:rsidR="00EF2D59">
        <w:rPr>
          <w:rFonts w:ascii="Times New Roman" w:hAnsi="Times New Roman" w:cs="Times New Roman"/>
          <w:bCs/>
          <w:sz w:val="24"/>
          <w:szCs w:val="24"/>
        </w:rPr>
        <w:t>’s big 3’</w:t>
      </w:r>
      <w:r w:rsidR="000519CF">
        <w:rPr>
          <w:rFonts w:ascii="Times New Roman" w:hAnsi="Times New Roman" w:cs="Times New Roman"/>
          <w:bCs/>
          <w:sz w:val="24"/>
          <w:szCs w:val="24"/>
        </w:rPr>
        <w:t xml:space="preserve">, seem to have </w:t>
      </w:r>
      <w:r w:rsidRPr="003E4298">
        <w:rPr>
          <w:rFonts w:ascii="Times New Roman" w:hAnsi="Times New Roman" w:cs="Times New Roman"/>
          <w:bCs/>
          <w:sz w:val="24"/>
          <w:szCs w:val="24"/>
        </w:rPr>
        <w:t xml:space="preserve">little in common on issues of energy policy. </w:t>
      </w:r>
      <w:r w:rsidRPr="003E4298">
        <w:rPr>
          <w:rFonts w:ascii="Times New Roman" w:hAnsi="Times New Roman" w:cs="Times New Roman"/>
          <w:sz w:val="24"/>
          <w:szCs w:val="24"/>
        </w:rPr>
        <w:t xml:space="preserve">EU rhetoric on external energy matters places firm emphasis on three key </w:t>
      </w:r>
      <w:r w:rsidR="00EF2D59">
        <w:rPr>
          <w:rFonts w:ascii="Times New Roman" w:hAnsi="Times New Roman" w:cs="Times New Roman"/>
          <w:sz w:val="24"/>
          <w:szCs w:val="24"/>
        </w:rPr>
        <w:t>‘</w:t>
      </w:r>
      <w:r w:rsidRPr="003E4298">
        <w:rPr>
          <w:rFonts w:ascii="Times New Roman" w:hAnsi="Times New Roman" w:cs="Times New Roman"/>
          <w:sz w:val="24"/>
          <w:szCs w:val="24"/>
        </w:rPr>
        <w:t>frames</w:t>
      </w:r>
      <w:r w:rsidR="00EF2D59">
        <w:rPr>
          <w:rFonts w:ascii="Times New Roman" w:hAnsi="Times New Roman" w:cs="Times New Roman"/>
          <w:sz w:val="24"/>
          <w:szCs w:val="24"/>
        </w:rPr>
        <w:t>’</w:t>
      </w:r>
      <w:r w:rsidRPr="003E4298">
        <w:rPr>
          <w:rFonts w:ascii="Times New Roman" w:hAnsi="Times New Roman" w:cs="Times New Roman"/>
          <w:sz w:val="24"/>
          <w:szCs w:val="24"/>
        </w:rPr>
        <w:t xml:space="preserve"> of understanding: sustainability, competitiveness and security of supply, yet the domestic </w:t>
      </w:r>
      <w:proofErr w:type="spellStart"/>
      <w:r w:rsidRPr="003E4298">
        <w:rPr>
          <w:rFonts w:ascii="Times New Roman" w:hAnsi="Times New Roman" w:cs="Times New Roman"/>
          <w:sz w:val="24"/>
          <w:szCs w:val="24"/>
        </w:rPr>
        <w:t>rhetorics</w:t>
      </w:r>
      <w:proofErr w:type="spellEnd"/>
      <w:r w:rsidRPr="003E4298">
        <w:rPr>
          <w:rFonts w:ascii="Times New Roman" w:hAnsi="Times New Roman" w:cs="Times New Roman"/>
          <w:sz w:val="24"/>
          <w:szCs w:val="24"/>
        </w:rPr>
        <w:t xml:space="preserve"> of </w:t>
      </w:r>
      <w:r w:rsidR="0050446F" w:rsidRPr="003E4298">
        <w:rPr>
          <w:rFonts w:ascii="Times New Roman" w:hAnsi="Times New Roman" w:cs="Times New Roman"/>
          <w:sz w:val="24"/>
          <w:szCs w:val="24"/>
        </w:rPr>
        <w:t>France, Germany</w:t>
      </w:r>
      <w:r w:rsidRPr="003E4298">
        <w:rPr>
          <w:rFonts w:ascii="Times New Roman" w:hAnsi="Times New Roman" w:cs="Times New Roman"/>
          <w:sz w:val="24"/>
          <w:szCs w:val="24"/>
        </w:rPr>
        <w:t xml:space="preserve"> and the UK </w:t>
      </w:r>
      <w:r w:rsidR="000519CF">
        <w:rPr>
          <w:rFonts w:ascii="Times New Roman" w:hAnsi="Times New Roman" w:cs="Times New Roman"/>
          <w:sz w:val="24"/>
          <w:szCs w:val="24"/>
        </w:rPr>
        <w:t xml:space="preserve">variously appear to </w:t>
      </w:r>
      <w:r w:rsidRPr="003E4298">
        <w:rPr>
          <w:rFonts w:ascii="Times New Roman" w:hAnsi="Times New Roman" w:cs="Times New Roman"/>
          <w:sz w:val="24"/>
          <w:szCs w:val="24"/>
        </w:rPr>
        <w:t xml:space="preserve">place priority on one or more of these frames. </w:t>
      </w:r>
      <w:r w:rsidRPr="003E4298">
        <w:rPr>
          <w:rFonts w:ascii="Times New Roman" w:hAnsi="Times New Roman" w:cs="Times New Roman"/>
          <w:sz w:val="24"/>
          <w:szCs w:val="24"/>
          <w:lang w:eastAsia="de-DE"/>
        </w:rPr>
        <w:t>This paper explores media representations of the EU</w:t>
      </w:r>
      <w:r w:rsidR="00EF2D59">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 xml:space="preserve">s external energy relations </w:t>
      </w:r>
      <w:r w:rsidR="0050446F" w:rsidRPr="003E4298">
        <w:rPr>
          <w:rFonts w:ascii="Times New Roman" w:hAnsi="Times New Roman" w:cs="Times New Roman"/>
          <w:sz w:val="24"/>
          <w:szCs w:val="24"/>
          <w:lang w:eastAsia="de-DE"/>
        </w:rPr>
        <w:t xml:space="preserve">from </w:t>
      </w:r>
      <w:r w:rsidRPr="003E4298">
        <w:rPr>
          <w:rFonts w:ascii="Times New Roman" w:hAnsi="Times New Roman" w:cs="Times New Roman"/>
          <w:sz w:val="24"/>
          <w:szCs w:val="24"/>
          <w:lang w:eastAsia="de-DE"/>
        </w:rPr>
        <w:t xml:space="preserve">within the </w:t>
      </w:r>
      <w:r w:rsidR="00EF2D59">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Big 3</w:t>
      </w:r>
      <w:r w:rsidR="00EF2D59">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 xml:space="preserve"> EU member states</w:t>
      </w:r>
      <w:r w:rsidR="0050446F" w:rsidRPr="003E4298">
        <w:rPr>
          <w:rFonts w:ascii="Times New Roman" w:hAnsi="Times New Roman" w:cs="Times New Roman"/>
          <w:sz w:val="24"/>
          <w:szCs w:val="24"/>
          <w:lang w:eastAsia="de-DE"/>
        </w:rPr>
        <w:t xml:space="preserve"> and asks whether the EU</w:t>
      </w:r>
      <w:r w:rsidR="00EF2D59">
        <w:rPr>
          <w:rFonts w:ascii="Times New Roman" w:hAnsi="Times New Roman" w:cs="Times New Roman"/>
          <w:sz w:val="24"/>
          <w:szCs w:val="24"/>
          <w:lang w:eastAsia="de-DE"/>
        </w:rPr>
        <w:t>’</w:t>
      </w:r>
      <w:r w:rsidR="0050446F" w:rsidRPr="003E4298">
        <w:rPr>
          <w:rFonts w:ascii="Times New Roman" w:hAnsi="Times New Roman" w:cs="Times New Roman"/>
          <w:sz w:val="24"/>
          <w:szCs w:val="24"/>
          <w:lang w:eastAsia="de-DE"/>
        </w:rPr>
        <w:t>s normative agenda on external energy drives these media representations, or whether domestic member state interests dominate.</w:t>
      </w:r>
    </w:p>
    <w:p w14:paraId="77F861EE" w14:textId="7D88114F" w:rsidR="00BD512A" w:rsidRPr="003E4298" w:rsidRDefault="00BD512A" w:rsidP="003E4298">
      <w:pPr>
        <w:spacing w:line="480" w:lineRule="auto"/>
        <w:contextualSpacing/>
        <w:rPr>
          <w:rFonts w:ascii="Times New Roman" w:hAnsi="Times New Roman" w:cs="Times New Roman"/>
          <w:sz w:val="24"/>
          <w:szCs w:val="24"/>
          <w:lang w:eastAsia="de-DE"/>
        </w:rPr>
      </w:pPr>
    </w:p>
    <w:p w14:paraId="3BE6FE46" w14:textId="5964AE65" w:rsidR="00D209BA" w:rsidRPr="000519CF" w:rsidRDefault="00BD512A" w:rsidP="003E4298">
      <w:pPr>
        <w:spacing w:line="480" w:lineRule="auto"/>
        <w:contextualSpacing/>
        <w:rPr>
          <w:rFonts w:ascii="Times New Roman" w:hAnsi="Times New Roman" w:cs="Times New Roman"/>
          <w:sz w:val="24"/>
          <w:szCs w:val="24"/>
          <w:lang w:eastAsia="de-DE"/>
        </w:rPr>
      </w:pPr>
      <w:r w:rsidRPr="003E4298">
        <w:rPr>
          <w:rFonts w:ascii="Times New Roman" w:hAnsi="Times New Roman" w:cs="Times New Roman"/>
          <w:b/>
          <w:sz w:val="24"/>
          <w:szCs w:val="24"/>
          <w:lang w:eastAsia="de-DE"/>
        </w:rPr>
        <w:t>Key words:</w:t>
      </w:r>
      <w:r w:rsidRPr="003E4298">
        <w:rPr>
          <w:rFonts w:ascii="Times New Roman" w:hAnsi="Times New Roman" w:cs="Times New Roman"/>
          <w:sz w:val="24"/>
          <w:szCs w:val="24"/>
          <w:lang w:eastAsia="de-DE"/>
        </w:rPr>
        <w:t xml:space="preserve"> </w:t>
      </w:r>
      <w:r w:rsidR="003E4298" w:rsidRPr="003E4298">
        <w:rPr>
          <w:rFonts w:ascii="Times New Roman" w:hAnsi="Times New Roman" w:cs="Times New Roman"/>
          <w:sz w:val="24"/>
          <w:szCs w:val="24"/>
          <w:lang w:eastAsia="de-DE"/>
        </w:rPr>
        <w:t>BRICS</w:t>
      </w:r>
      <w:r w:rsidR="003E4298">
        <w:rPr>
          <w:rFonts w:ascii="Times New Roman" w:hAnsi="Times New Roman" w:cs="Times New Roman"/>
          <w:sz w:val="24"/>
          <w:szCs w:val="24"/>
          <w:lang w:eastAsia="de-DE"/>
        </w:rPr>
        <w:t>;</w:t>
      </w:r>
      <w:r w:rsidR="003E4298" w:rsidRPr="003E4298">
        <w:rPr>
          <w:rFonts w:ascii="Times New Roman" w:hAnsi="Times New Roman" w:cs="Times New Roman"/>
          <w:sz w:val="24"/>
          <w:szCs w:val="24"/>
          <w:lang w:eastAsia="de-DE"/>
        </w:rPr>
        <w:t xml:space="preserve"> </w:t>
      </w:r>
      <w:r w:rsidRPr="003E4298">
        <w:rPr>
          <w:rFonts w:ascii="Times New Roman" w:hAnsi="Times New Roman" w:cs="Times New Roman"/>
          <w:sz w:val="24"/>
          <w:szCs w:val="24"/>
          <w:lang w:eastAsia="de-DE"/>
        </w:rPr>
        <w:t>energy policy and governance; extern</w:t>
      </w:r>
      <w:r w:rsidR="0050446F" w:rsidRPr="003E4298">
        <w:rPr>
          <w:rFonts w:ascii="Times New Roman" w:hAnsi="Times New Roman" w:cs="Times New Roman"/>
          <w:sz w:val="24"/>
          <w:szCs w:val="24"/>
          <w:lang w:eastAsia="de-DE"/>
        </w:rPr>
        <w:t>al relations;</w:t>
      </w:r>
      <w:r w:rsidR="003E4298" w:rsidRPr="003E4298">
        <w:rPr>
          <w:rFonts w:ascii="Times New Roman" w:hAnsi="Times New Roman" w:cs="Times New Roman"/>
          <w:sz w:val="24"/>
          <w:szCs w:val="24"/>
          <w:lang w:eastAsia="de-DE"/>
        </w:rPr>
        <w:t xml:space="preserve"> </w:t>
      </w:r>
      <w:r w:rsidR="003E4298">
        <w:rPr>
          <w:rFonts w:ascii="Times New Roman" w:hAnsi="Times New Roman" w:cs="Times New Roman"/>
          <w:sz w:val="24"/>
          <w:szCs w:val="24"/>
          <w:lang w:eastAsia="de-DE"/>
        </w:rPr>
        <w:t>European Union (EU)</w:t>
      </w:r>
      <w:r w:rsidR="0050446F" w:rsidRPr="003E4298">
        <w:rPr>
          <w:rFonts w:ascii="Times New Roman" w:hAnsi="Times New Roman" w:cs="Times New Roman"/>
          <w:sz w:val="24"/>
          <w:szCs w:val="24"/>
          <w:lang w:eastAsia="de-DE"/>
        </w:rPr>
        <w:t>;</w:t>
      </w:r>
      <w:r w:rsidR="003E4298" w:rsidRPr="003E4298">
        <w:rPr>
          <w:rFonts w:ascii="Times New Roman" w:hAnsi="Times New Roman" w:cs="Times New Roman"/>
          <w:sz w:val="24"/>
          <w:szCs w:val="24"/>
          <w:lang w:eastAsia="de-DE"/>
        </w:rPr>
        <w:t xml:space="preserve"> framing</w:t>
      </w:r>
      <w:r w:rsidR="003E4298">
        <w:rPr>
          <w:rFonts w:ascii="Times New Roman" w:hAnsi="Times New Roman" w:cs="Times New Roman"/>
          <w:sz w:val="24"/>
          <w:szCs w:val="24"/>
          <w:lang w:eastAsia="de-DE"/>
        </w:rPr>
        <w:t>;</w:t>
      </w:r>
      <w:r w:rsidR="0050446F" w:rsidRPr="003E4298">
        <w:rPr>
          <w:rFonts w:ascii="Times New Roman" w:hAnsi="Times New Roman" w:cs="Times New Roman"/>
          <w:sz w:val="24"/>
          <w:szCs w:val="24"/>
          <w:lang w:eastAsia="de-DE"/>
        </w:rPr>
        <w:t xml:space="preserve"> Normative P</w:t>
      </w:r>
      <w:r w:rsidR="003E4298">
        <w:rPr>
          <w:rFonts w:ascii="Times New Roman" w:hAnsi="Times New Roman" w:cs="Times New Roman"/>
          <w:sz w:val="24"/>
          <w:szCs w:val="24"/>
          <w:lang w:eastAsia="de-DE"/>
        </w:rPr>
        <w:t>ower Europe</w:t>
      </w:r>
      <w:r w:rsidR="0050446F" w:rsidRPr="003E4298">
        <w:rPr>
          <w:rFonts w:ascii="Times New Roman" w:hAnsi="Times New Roman" w:cs="Times New Roman"/>
          <w:b/>
          <w:bCs/>
          <w:sz w:val="24"/>
          <w:szCs w:val="24"/>
        </w:rPr>
        <w:br w:type="page"/>
      </w:r>
      <w:r w:rsidR="003E4298">
        <w:rPr>
          <w:rFonts w:ascii="Times New Roman" w:hAnsi="Times New Roman" w:cs="Times New Roman"/>
          <w:b/>
          <w:bCs/>
          <w:sz w:val="24"/>
          <w:szCs w:val="24"/>
        </w:rPr>
        <w:lastRenderedPageBreak/>
        <w:t xml:space="preserve">1. </w:t>
      </w:r>
      <w:r w:rsidR="00D209BA" w:rsidRPr="003E4298">
        <w:rPr>
          <w:rFonts w:ascii="Times New Roman" w:hAnsi="Times New Roman" w:cs="Times New Roman"/>
          <w:b/>
          <w:bCs/>
          <w:sz w:val="24"/>
          <w:szCs w:val="24"/>
        </w:rPr>
        <w:t>Intro</w:t>
      </w:r>
      <w:r w:rsidR="0050446F" w:rsidRPr="003E4298">
        <w:rPr>
          <w:rFonts w:ascii="Times New Roman" w:hAnsi="Times New Roman" w:cs="Times New Roman"/>
          <w:b/>
          <w:bCs/>
          <w:sz w:val="24"/>
          <w:szCs w:val="24"/>
        </w:rPr>
        <w:t>duction</w:t>
      </w:r>
    </w:p>
    <w:p w14:paraId="1FB69C1F" w14:textId="77777777" w:rsidR="003E4298" w:rsidRDefault="003E4298" w:rsidP="003E4298">
      <w:pPr>
        <w:spacing w:line="480" w:lineRule="auto"/>
        <w:contextualSpacing/>
        <w:rPr>
          <w:rFonts w:ascii="Times New Roman" w:hAnsi="Times New Roman" w:cs="Times New Roman"/>
          <w:sz w:val="24"/>
          <w:szCs w:val="24"/>
        </w:rPr>
      </w:pPr>
    </w:p>
    <w:p w14:paraId="7DC3CD35" w14:textId="5448BF84" w:rsidR="005C6538" w:rsidRPr="003E4298" w:rsidRDefault="00CA0E01" w:rsidP="003E4298">
      <w:pPr>
        <w:spacing w:line="480" w:lineRule="auto"/>
        <w:contextualSpacing/>
        <w:rPr>
          <w:rFonts w:ascii="Times New Roman" w:hAnsi="Times New Roman" w:cs="Times New Roman"/>
          <w:sz w:val="24"/>
          <w:szCs w:val="24"/>
        </w:rPr>
      </w:pPr>
      <w:r w:rsidRPr="003E4298">
        <w:rPr>
          <w:rFonts w:ascii="Times New Roman" w:hAnsi="Times New Roman" w:cs="Times New Roman"/>
          <w:sz w:val="24"/>
          <w:szCs w:val="24"/>
        </w:rPr>
        <w:t>K</w:t>
      </w:r>
      <w:r w:rsidR="00990E7A" w:rsidRPr="003E4298">
        <w:rPr>
          <w:rFonts w:ascii="Times New Roman" w:hAnsi="Times New Roman" w:cs="Times New Roman"/>
          <w:sz w:val="24"/>
          <w:szCs w:val="24"/>
        </w:rPr>
        <w:t xml:space="preserve">nown as </w:t>
      </w:r>
      <w:r w:rsidR="00EF2D59">
        <w:rPr>
          <w:rFonts w:ascii="Times New Roman" w:hAnsi="Times New Roman" w:cs="Times New Roman"/>
          <w:sz w:val="24"/>
          <w:szCs w:val="24"/>
        </w:rPr>
        <w:t>‘</w:t>
      </w:r>
      <w:r w:rsidR="00990E7A" w:rsidRPr="003E4298">
        <w:rPr>
          <w:rFonts w:ascii="Times New Roman" w:hAnsi="Times New Roman" w:cs="Times New Roman"/>
          <w:sz w:val="24"/>
          <w:szCs w:val="24"/>
        </w:rPr>
        <w:t>the EU</w:t>
      </w:r>
      <w:r w:rsidR="00EF2D59">
        <w:rPr>
          <w:rFonts w:ascii="Times New Roman" w:hAnsi="Times New Roman" w:cs="Times New Roman"/>
          <w:sz w:val="24"/>
          <w:szCs w:val="24"/>
        </w:rPr>
        <w:t>’</w:t>
      </w:r>
      <w:r w:rsidR="00990E7A" w:rsidRPr="003E4298">
        <w:rPr>
          <w:rFonts w:ascii="Times New Roman" w:hAnsi="Times New Roman" w:cs="Times New Roman"/>
          <w:sz w:val="24"/>
          <w:szCs w:val="24"/>
        </w:rPr>
        <w:t>s big 3</w:t>
      </w:r>
      <w:r w:rsidR="00EF2D59">
        <w:rPr>
          <w:rFonts w:ascii="Times New Roman" w:hAnsi="Times New Roman" w:cs="Times New Roman"/>
          <w:sz w:val="24"/>
          <w:szCs w:val="24"/>
        </w:rPr>
        <w:t>’</w:t>
      </w:r>
      <w:r w:rsidR="00990E7A" w:rsidRPr="003E4298">
        <w:rPr>
          <w:rFonts w:ascii="Times New Roman" w:hAnsi="Times New Roman" w:cs="Times New Roman"/>
          <w:sz w:val="24"/>
          <w:szCs w:val="24"/>
        </w:rPr>
        <w:t xml:space="preserve">, the </w:t>
      </w:r>
      <w:r w:rsidR="000519CF">
        <w:rPr>
          <w:rFonts w:ascii="Times New Roman" w:hAnsi="Times New Roman" w:cs="Times New Roman"/>
          <w:sz w:val="24"/>
          <w:szCs w:val="24"/>
        </w:rPr>
        <w:t>threesome (or ‘</w:t>
      </w:r>
      <w:r w:rsidR="00990E7A" w:rsidRPr="003E4298">
        <w:rPr>
          <w:rFonts w:ascii="Times New Roman" w:hAnsi="Times New Roman" w:cs="Times New Roman"/>
          <w:sz w:val="24"/>
          <w:szCs w:val="24"/>
        </w:rPr>
        <w:t>troika</w:t>
      </w:r>
      <w:r w:rsidR="000519CF">
        <w:rPr>
          <w:rFonts w:ascii="Times New Roman" w:hAnsi="Times New Roman" w:cs="Times New Roman"/>
          <w:sz w:val="24"/>
          <w:szCs w:val="24"/>
        </w:rPr>
        <w:t>’)</w:t>
      </w:r>
      <w:r w:rsidR="00990E7A" w:rsidRPr="003E4298">
        <w:rPr>
          <w:rFonts w:ascii="Times New Roman" w:hAnsi="Times New Roman" w:cs="Times New Roman"/>
          <w:sz w:val="24"/>
          <w:szCs w:val="24"/>
        </w:rPr>
        <w:t xml:space="preserve"> of France</w:t>
      </w:r>
      <w:r w:rsidR="006427F2" w:rsidRPr="003E4298">
        <w:rPr>
          <w:rFonts w:ascii="Times New Roman" w:hAnsi="Times New Roman" w:cs="Times New Roman"/>
          <w:sz w:val="24"/>
          <w:szCs w:val="24"/>
        </w:rPr>
        <w:t xml:space="preserve">, </w:t>
      </w:r>
      <w:r w:rsidR="00990E7A" w:rsidRPr="003E4298">
        <w:rPr>
          <w:rFonts w:ascii="Times New Roman" w:hAnsi="Times New Roman" w:cs="Times New Roman"/>
          <w:sz w:val="24"/>
          <w:szCs w:val="24"/>
        </w:rPr>
        <w:t xml:space="preserve">Germany </w:t>
      </w:r>
      <w:r w:rsidR="006427F2" w:rsidRPr="003E4298">
        <w:rPr>
          <w:rFonts w:ascii="Times New Roman" w:hAnsi="Times New Roman" w:cs="Times New Roman"/>
          <w:sz w:val="24"/>
          <w:szCs w:val="24"/>
        </w:rPr>
        <w:t>and the United Kingdom (UK)</w:t>
      </w:r>
      <w:r w:rsidR="000519CF">
        <w:rPr>
          <w:rFonts w:ascii="Times New Roman" w:hAnsi="Times New Roman" w:cs="Times New Roman"/>
          <w:sz w:val="24"/>
          <w:szCs w:val="24"/>
        </w:rPr>
        <w:t>,</w:t>
      </w:r>
      <w:r w:rsidR="006427F2" w:rsidRPr="003E4298">
        <w:rPr>
          <w:rFonts w:ascii="Times New Roman" w:hAnsi="Times New Roman" w:cs="Times New Roman"/>
          <w:sz w:val="24"/>
          <w:szCs w:val="24"/>
        </w:rPr>
        <w:t xml:space="preserve"> </w:t>
      </w:r>
      <w:r w:rsidR="00990E7A" w:rsidRPr="003E4298">
        <w:rPr>
          <w:rFonts w:ascii="Times New Roman" w:hAnsi="Times New Roman" w:cs="Times New Roman"/>
          <w:sz w:val="24"/>
          <w:szCs w:val="24"/>
        </w:rPr>
        <w:t xml:space="preserve">seem to </w:t>
      </w:r>
      <w:r w:rsidR="0098548C" w:rsidRPr="003E4298">
        <w:rPr>
          <w:rFonts w:ascii="Times New Roman" w:hAnsi="Times New Roman" w:cs="Times New Roman"/>
          <w:sz w:val="24"/>
          <w:szCs w:val="24"/>
        </w:rPr>
        <w:t>have</w:t>
      </w:r>
      <w:r w:rsidR="00990E7A" w:rsidRPr="003E4298">
        <w:rPr>
          <w:rFonts w:ascii="Times New Roman" w:hAnsi="Times New Roman" w:cs="Times New Roman"/>
          <w:sz w:val="24"/>
          <w:szCs w:val="24"/>
        </w:rPr>
        <w:t xml:space="preserve"> little in common on issues of energy policy. While Germany has been focused on </w:t>
      </w:r>
      <w:proofErr w:type="spellStart"/>
      <w:r w:rsidR="00990E7A" w:rsidRPr="003E4298">
        <w:rPr>
          <w:rFonts w:ascii="Times New Roman" w:hAnsi="Times New Roman" w:cs="Times New Roman"/>
          <w:i/>
          <w:iCs/>
          <w:sz w:val="24"/>
          <w:szCs w:val="24"/>
        </w:rPr>
        <w:t>Energiewende</w:t>
      </w:r>
      <w:proofErr w:type="spellEnd"/>
      <w:r w:rsidR="00990E7A" w:rsidRPr="003E4298">
        <w:rPr>
          <w:rFonts w:ascii="Times New Roman" w:hAnsi="Times New Roman" w:cs="Times New Roman"/>
          <w:sz w:val="24"/>
          <w:szCs w:val="24"/>
        </w:rPr>
        <w:t xml:space="preserve"> – its energy transition away from nuclear power – and France, too, seeks a more diversified energy portfolio, </w:t>
      </w:r>
      <w:r w:rsidR="00AC3246" w:rsidRPr="003E4298">
        <w:rPr>
          <w:rFonts w:ascii="Times New Roman" w:hAnsi="Times New Roman" w:cs="Times New Roman"/>
          <w:sz w:val="24"/>
          <w:szCs w:val="24"/>
        </w:rPr>
        <w:t xml:space="preserve">the </w:t>
      </w:r>
      <w:r w:rsidR="006427F2" w:rsidRPr="003E4298">
        <w:rPr>
          <w:rFonts w:ascii="Times New Roman" w:hAnsi="Times New Roman" w:cs="Times New Roman"/>
          <w:sz w:val="24"/>
          <w:szCs w:val="24"/>
        </w:rPr>
        <w:t>UK</w:t>
      </w:r>
      <w:r w:rsidR="00990E7A" w:rsidRPr="003E4298">
        <w:rPr>
          <w:rFonts w:ascii="Times New Roman" w:hAnsi="Times New Roman" w:cs="Times New Roman"/>
          <w:sz w:val="24"/>
          <w:szCs w:val="24"/>
        </w:rPr>
        <w:t xml:space="preserve"> has chosen to shift its policy direction towards nuclear. The issue of fracking also sees more divisions between the three states than shared perspectives. Yet, despite these differences, </w:t>
      </w:r>
      <w:r w:rsidRPr="003E4298">
        <w:rPr>
          <w:rFonts w:ascii="Times New Roman" w:hAnsi="Times New Roman" w:cs="Times New Roman"/>
          <w:sz w:val="24"/>
          <w:szCs w:val="24"/>
        </w:rPr>
        <w:t xml:space="preserve">and though they maintain extensive bilateral external energy agreements </w:t>
      </w:r>
      <w:r w:rsidR="0037661C" w:rsidRPr="003E4298">
        <w:rPr>
          <w:rFonts w:ascii="Times New Roman" w:hAnsi="Times New Roman" w:cs="Times New Roman"/>
          <w:sz w:val="24"/>
          <w:szCs w:val="24"/>
        </w:rPr>
        <w:t xml:space="preserve">as </w:t>
      </w:r>
      <w:r w:rsidRPr="003E4298">
        <w:rPr>
          <w:rFonts w:ascii="Times New Roman" w:hAnsi="Times New Roman" w:cs="Times New Roman"/>
          <w:sz w:val="24"/>
          <w:szCs w:val="24"/>
        </w:rPr>
        <w:t xml:space="preserve">European Union (EU) </w:t>
      </w:r>
      <w:r w:rsidR="0037661C" w:rsidRPr="003E4298">
        <w:rPr>
          <w:rFonts w:ascii="Times New Roman" w:hAnsi="Times New Roman" w:cs="Times New Roman"/>
          <w:sz w:val="24"/>
          <w:szCs w:val="24"/>
        </w:rPr>
        <w:t>member</w:t>
      </w:r>
      <w:r w:rsidRPr="003E4298">
        <w:rPr>
          <w:rFonts w:ascii="Times New Roman" w:hAnsi="Times New Roman" w:cs="Times New Roman"/>
          <w:sz w:val="24"/>
          <w:szCs w:val="24"/>
        </w:rPr>
        <w:t xml:space="preserve"> states</w:t>
      </w:r>
      <w:r w:rsidR="0037661C" w:rsidRPr="003E4298">
        <w:rPr>
          <w:rFonts w:ascii="Times New Roman" w:hAnsi="Times New Roman" w:cs="Times New Roman"/>
          <w:sz w:val="24"/>
          <w:szCs w:val="24"/>
        </w:rPr>
        <w:t xml:space="preserve">, all three are bound by a </w:t>
      </w:r>
      <w:r w:rsidR="00541610" w:rsidRPr="003E4298">
        <w:rPr>
          <w:rFonts w:ascii="Times New Roman" w:hAnsi="Times New Roman" w:cs="Times New Roman"/>
          <w:sz w:val="24"/>
          <w:szCs w:val="24"/>
        </w:rPr>
        <w:t xml:space="preserve">growing </w:t>
      </w:r>
      <w:r w:rsidR="0037661C" w:rsidRPr="003E4298">
        <w:rPr>
          <w:rFonts w:ascii="Times New Roman" w:hAnsi="Times New Roman" w:cs="Times New Roman"/>
          <w:sz w:val="24"/>
          <w:szCs w:val="24"/>
        </w:rPr>
        <w:t xml:space="preserve">system of cooperation and increasingly shared </w:t>
      </w:r>
      <w:r w:rsidR="00541610" w:rsidRPr="003E4298">
        <w:rPr>
          <w:rFonts w:ascii="Times New Roman" w:hAnsi="Times New Roman" w:cs="Times New Roman"/>
          <w:sz w:val="24"/>
          <w:szCs w:val="24"/>
        </w:rPr>
        <w:t>competence</w:t>
      </w:r>
      <w:r w:rsidR="0037661C" w:rsidRPr="003E4298">
        <w:rPr>
          <w:rFonts w:ascii="Times New Roman" w:hAnsi="Times New Roman" w:cs="Times New Roman"/>
          <w:sz w:val="24"/>
          <w:szCs w:val="24"/>
        </w:rPr>
        <w:t xml:space="preserve"> when it comes to external energy relations.</w:t>
      </w:r>
    </w:p>
    <w:p w14:paraId="5BA47339" w14:textId="68449357" w:rsidR="0037661C" w:rsidRPr="003E4298" w:rsidRDefault="00990E7A" w:rsidP="003E4298">
      <w:pPr>
        <w:spacing w:line="480" w:lineRule="auto"/>
        <w:ind w:firstLine="720"/>
        <w:contextualSpacing/>
        <w:rPr>
          <w:rFonts w:ascii="Times New Roman" w:hAnsi="Times New Roman" w:cs="Times New Roman"/>
          <w:b/>
          <w:bCs/>
          <w:sz w:val="24"/>
          <w:szCs w:val="24"/>
        </w:rPr>
      </w:pPr>
      <w:r w:rsidRPr="003E4298">
        <w:rPr>
          <w:rFonts w:ascii="Times New Roman" w:hAnsi="Times New Roman" w:cs="Times New Roman"/>
          <w:sz w:val="24"/>
          <w:szCs w:val="24"/>
        </w:rPr>
        <w:t xml:space="preserve">According to </w:t>
      </w:r>
      <w:proofErr w:type="spellStart"/>
      <w:r w:rsidRPr="003E4298">
        <w:rPr>
          <w:rFonts w:ascii="Times New Roman" w:hAnsi="Times New Roman" w:cs="Times New Roman"/>
          <w:sz w:val="24"/>
          <w:szCs w:val="24"/>
        </w:rPr>
        <w:t>Gjerstad</w:t>
      </w:r>
      <w:proofErr w:type="spellEnd"/>
      <w:r w:rsidRPr="003E4298">
        <w:rPr>
          <w:rFonts w:ascii="Times New Roman" w:hAnsi="Times New Roman" w:cs="Times New Roman"/>
          <w:sz w:val="24"/>
          <w:szCs w:val="24"/>
        </w:rPr>
        <w:t xml:space="preserve"> (2007, p. 62), in politics, any actor is in a position to discursively create different images of itself by </w:t>
      </w:r>
      <w:r w:rsidR="00EF2D59">
        <w:rPr>
          <w:rFonts w:ascii="Times New Roman" w:hAnsi="Times New Roman" w:cs="Times New Roman"/>
          <w:sz w:val="24"/>
          <w:szCs w:val="24"/>
        </w:rPr>
        <w:t>‘</w:t>
      </w:r>
      <w:r w:rsidRPr="003E4298">
        <w:rPr>
          <w:rFonts w:ascii="Times New Roman" w:hAnsi="Times New Roman" w:cs="Times New Roman"/>
          <w:sz w:val="24"/>
          <w:szCs w:val="24"/>
        </w:rPr>
        <w:t xml:space="preserve">permitting </w:t>
      </w:r>
      <w:r w:rsidR="00AC3246" w:rsidRPr="003E4298">
        <w:rPr>
          <w:rFonts w:ascii="Times New Roman" w:hAnsi="Times New Roman" w:cs="Times New Roman"/>
          <w:sz w:val="24"/>
          <w:szCs w:val="24"/>
        </w:rPr>
        <w:t>“</w:t>
      </w:r>
      <w:r w:rsidRPr="003E4298">
        <w:rPr>
          <w:rFonts w:ascii="Times New Roman" w:hAnsi="Times New Roman" w:cs="Times New Roman"/>
          <w:sz w:val="24"/>
          <w:szCs w:val="24"/>
        </w:rPr>
        <w:t>internal discussions</w:t>
      </w:r>
      <w:r w:rsidR="00AC3246" w:rsidRPr="003E4298">
        <w:rPr>
          <w:rFonts w:ascii="Times New Roman" w:hAnsi="Times New Roman" w:cs="Times New Roman"/>
          <w:sz w:val="24"/>
          <w:szCs w:val="24"/>
        </w:rPr>
        <w:t>”</w:t>
      </w:r>
      <w:r w:rsidRPr="003E4298">
        <w:rPr>
          <w:rFonts w:ascii="Times New Roman" w:hAnsi="Times New Roman" w:cs="Times New Roman"/>
          <w:sz w:val="24"/>
          <w:szCs w:val="24"/>
        </w:rPr>
        <w:t xml:space="preserve"> to manifest themselves in the text</w:t>
      </w:r>
      <w:r w:rsidR="00EF2D59">
        <w:rPr>
          <w:rFonts w:ascii="Times New Roman" w:hAnsi="Times New Roman" w:cs="Times New Roman"/>
          <w:sz w:val="24"/>
          <w:szCs w:val="24"/>
        </w:rPr>
        <w:t>’</w:t>
      </w:r>
      <w:r w:rsidR="00220785" w:rsidRPr="003E4298">
        <w:rPr>
          <w:rFonts w:ascii="Times New Roman" w:hAnsi="Times New Roman" w:cs="Times New Roman"/>
          <w:sz w:val="24"/>
          <w:szCs w:val="24"/>
        </w:rPr>
        <w:t>,</w:t>
      </w:r>
      <w:r w:rsidRPr="003E4298">
        <w:rPr>
          <w:rFonts w:ascii="Times New Roman" w:hAnsi="Times New Roman" w:cs="Times New Roman"/>
          <w:sz w:val="24"/>
          <w:szCs w:val="24"/>
        </w:rPr>
        <w:t xml:space="preserve"> </w:t>
      </w:r>
      <w:r w:rsidR="00220785" w:rsidRPr="003E4298">
        <w:rPr>
          <w:rFonts w:ascii="Times New Roman" w:hAnsi="Times New Roman" w:cs="Times New Roman"/>
          <w:sz w:val="24"/>
          <w:szCs w:val="24"/>
        </w:rPr>
        <w:t>which the author describes</w:t>
      </w:r>
      <w:r w:rsidR="0037661C" w:rsidRPr="003E4298">
        <w:rPr>
          <w:rFonts w:ascii="Times New Roman" w:hAnsi="Times New Roman" w:cs="Times New Roman"/>
          <w:sz w:val="24"/>
          <w:szCs w:val="24"/>
        </w:rPr>
        <w:t xml:space="preserve"> as the polyphonic nature of political discourse. </w:t>
      </w:r>
      <w:r w:rsidR="00CA0E01" w:rsidRPr="003E4298">
        <w:rPr>
          <w:rFonts w:ascii="Times New Roman" w:hAnsi="Times New Roman" w:cs="Times New Roman"/>
          <w:sz w:val="24"/>
          <w:szCs w:val="24"/>
        </w:rPr>
        <w:t>We</w:t>
      </w:r>
      <w:r w:rsidR="0037661C" w:rsidRPr="003E4298">
        <w:rPr>
          <w:rFonts w:ascii="Times New Roman" w:hAnsi="Times New Roman" w:cs="Times New Roman"/>
          <w:sz w:val="24"/>
          <w:szCs w:val="24"/>
        </w:rPr>
        <w:t xml:space="preserve"> argue that the case of EU external energy policy offers a uniquely polyphonic political sphere; one characterised not just by multiple actors </w:t>
      </w:r>
      <w:r w:rsidR="00541610" w:rsidRPr="003E4298">
        <w:rPr>
          <w:rFonts w:ascii="Times New Roman" w:hAnsi="Times New Roman" w:cs="Times New Roman"/>
          <w:sz w:val="24"/>
          <w:szCs w:val="24"/>
        </w:rPr>
        <w:t>and</w:t>
      </w:r>
      <w:r w:rsidR="0037661C" w:rsidRPr="003E4298">
        <w:rPr>
          <w:rFonts w:ascii="Times New Roman" w:hAnsi="Times New Roman" w:cs="Times New Roman"/>
          <w:sz w:val="24"/>
          <w:szCs w:val="24"/>
        </w:rPr>
        <w:t xml:space="preserve"> voices with whom the EU is engaged, but also multiple internal voices </w:t>
      </w:r>
      <w:r w:rsidR="0098548C" w:rsidRPr="003E4298">
        <w:rPr>
          <w:rFonts w:ascii="Times New Roman" w:hAnsi="Times New Roman" w:cs="Times New Roman"/>
          <w:sz w:val="24"/>
          <w:szCs w:val="24"/>
        </w:rPr>
        <w:t xml:space="preserve">that </w:t>
      </w:r>
      <w:r w:rsidR="0037661C" w:rsidRPr="003E4298">
        <w:rPr>
          <w:rFonts w:ascii="Times New Roman" w:hAnsi="Times New Roman" w:cs="Times New Roman"/>
          <w:sz w:val="24"/>
          <w:szCs w:val="24"/>
        </w:rPr>
        <w:t>play a role in shaping an image of the EU as an external actor. While a multiplicity of voices is unsurprising in any field of external relations, in external energy policy the EU has long sought to play the role of normative power</w:t>
      </w:r>
      <w:r w:rsidR="00541610" w:rsidRPr="003E4298">
        <w:rPr>
          <w:rFonts w:ascii="Times New Roman" w:hAnsi="Times New Roman" w:cs="Times New Roman"/>
          <w:sz w:val="24"/>
          <w:szCs w:val="24"/>
        </w:rPr>
        <w:t xml:space="preserve"> </w:t>
      </w:r>
      <w:r w:rsidR="00220785" w:rsidRPr="003E4298">
        <w:rPr>
          <w:rFonts w:ascii="Times New Roman" w:hAnsi="Times New Roman" w:cs="Times New Roman"/>
          <w:sz w:val="24"/>
          <w:szCs w:val="24"/>
        </w:rPr>
        <w:t xml:space="preserve">(Knodt </w:t>
      </w:r>
      <w:r w:rsidR="00220785" w:rsidRPr="00202585">
        <w:rPr>
          <w:rFonts w:ascii="Times New Roman" w:hAnsi="Times New Roman" w:cs="Times New Roman"/>
          <w:i/>
          <w:sz w:val="24"/>
          <w:szCs w:val="24"/>
        </w:rPr>
        <w:t>et al</w:t>
      </w:r>
      <w:r w:rsidR="00220785" w:rsidRPr="003E4298">
        <w:rPr>
          <w:rFonts w:ascii="Times New Roman" w:hAnsi="Times New Roman" w:cs="Times New Roman"/>
          <w:sz w:val="24"/>
          <w:szCs w:val="24"/>
        </w:rPr>
        <w:t xml:space="preserve">, </w:t>
      </w:r>
      <w:r w:rsidR="00470DC5">
        <w:rPr>
          <w:rFonts w:ascii="Times New Roman" w:hAnsi="Times New Roman" w:cs="Times New Roman"/>
          <w:sz w:val="24"/>
          <w:szCs w:val="24"/>
        </w:rPr>
        <w:t>2015</w:t>
      </w:r>
      <w:r w:rsidR="00220785" w:rsidRPr="003E4298">
        <w:rPr>
          <w:rFonts w:ascii="Times New Roman" w:hAnsi="Times New Roman" w:cs="Times New Roman"/>
          <w:sz w:val="24"/>
          <w:szCs w:val="24"/>
        </w:rPr>
        <w:t xml:space="preserve">) </w:t>
      </w:r>
      <w:r w:rsidR="00541610" w:rsidRPr="003E4298">
        <w:rPr>
          <w:rFonts w:ascii="Times New Roman" w:hAnsi="Times New Roman" w:cs="Times New Roman"/>
          <w:sz w:val="24"/>
          <w:szCs w:val="24"/>
        </w:rPr>
        <w:t>– a role that requires a coherent, comprehensible and memorable image</w:t>
      </w:r>
      <w:r w:rsidR="0037661C" w:rsidRPr="003E4298">
        <w:rPr>
          <w:rFonts w:ascii="Times New Roman" w:hAnsi="Times New Roman" w:cs="Times New Roman"/>
          <w:sz w:val="24"/>
          <w:szCs w:val="24"/>
        </w:rPr>
        <w:t xml:space="preserve">. EU rhetoric on external energy matters places firm emphasis on three key </w:t>
      </w:r>
      <w:r w:rsidR="00EF2D59">
        <w:rPr>
          <w:rFonts w:ascii="Times New Roman" w:hAnsi="Times New Roman" w:cs="Times New Roman"/>
          <w:sz w:val="24"/>
          <w:szCs w:val="24"/>
        </w:rPr>
        <w:t>‘</w:t>
      </w:r>
      <w:r w:rsidR="0037661C" w:rsidRPr="003E4298">
        <w:rPr>
          <w:rFonts w:ascii="Times New Roman" w:hAnsi="Times New Roman" w:cs="Times New Roman"/>
          <w:sz w:val="24"/>
          <w:szCs w:val="24"/>
        </w:rPr>
        <w:t>frames</w:t>
      </w:r>
      <w:r w:rsidR="00EF2D59">
        <w:rPr>
          <w:rFonts w:ascii="Times New Roman" w:hAnsi="Times New Roman" w:cs="Times New Roman"/>
          <w:sz w:val="24"/>
          <w:szCs w:val="24"/>
        </w:rPr>
        <w:t>’</w:t>
      </w:r>
      <w:r w:rsidR="0037661C" w:rsidRPr="003E4298">
        <w:rPr>
          <w:rFonts w:ascii="Times New Roman" w:hAnsi="Times New Roman" w:cs="Times New Roman"/>
          <w:sz w:val="24"/>
          <w:szCs w:val="24"/>
        </w:rPr>
        <w:t xml:space="preserve"> of understanding: sustainability, competitiveness and security of supply, yet the domestic </w:t>
      </w:r>
      <w:proofErr w:type="spellStart"/>
      <w:r w:rsidR="004465C5" w:rsidRPr="003E4298">
        <w:rPr>
          <w:rFonts w:ascii="Times New Roman" w:hAnsi="Times New Roman" w:cs="Times New Roman"/>
          <w:sz w:val="24"/>
          <w:szCs w:val="24"/>
        </w:rPr>
        <w:t>rhetoric</w:t>
      </w:r>
      <w:r w:rsidR="00CA0E01" w:rsidRPr="003E4298">
        <w:rPr>
          <w:rFonts w:ascii="Times New Roman" w:hAnsi="Times New Roman" w:cs="Times New Roman"/>
          <w:sz w:val="24"/>
          <w:szCs w:val="24"/>
        </w:rPr>
        <w:t>s</w:t>
      </w:r>
      <w:proofErr w:type="spellEnd"/>
      <w:r w:rsidR="0037661C" w:rsidRPr="003E4298">
        <w:rPr>
          <w:rFonts w:ascii="Times New Roman" w:hAnsi="Times New Roman" w:cs="Times New Roman"/>
          <w:sz w:val="24"/>
          <w:szCs w:val="24"/>
        </w:rPr>
        <w:t xml:space="preserve"> of Germany, France and the UK </w:t>
      </w:r>
      <w:r w:rsidR="000519CF">
        <w:rPr>
          <w:rFonts w:ascii="Times New Roman" w:hAnsi="Times New Roman" w:cs="Times New Roman"/>
          <w:sz w:val="24"/>
          <w:szCs w:val="24"/>
        </w:rPr>
        <w:t xml:space="preserve">variously </w:t>
      </w:r>
      <w:r w:rsidR="0037661C" w:rsidRPr="003E4298">
        <w:rPr>
          <w:rFonts w:ascii="Times New Roman" w:hAnsi="Times New Roman" w:cs="Times New Roman"/>
          <w:sz w:val="24"/>
          <w:szCs w:val="24"/>
        </w:rPr>
        <w:t>appear to place priority on one o</w:t>
      </w:r>
      <w:r w:rsidR="00F63D9C" w:rsidRPr="003E4298">
        <w:rPr>
          <w:rFonts w:ascii="Times New Roman" w:hAnsi="Times New Roman" w:cs="Times New Roman"/>
          <w:sz w:val="24"/>
          <w:szCs w:val="24"/>
        </w:rPr>
        <w:t>r</w:t>
      </w:r>
      <w:r w:rsidR="0037661C" w:rsidRPr="003E4298">
        <w:rPr>
          <w:rFonts w:ascii="Times New Roman" w:hAnsi="Times New Roman" w:cs="Times New Roman"/>
          <w:sz w:val="24"/>
          <w:szCs w:val="24"/>
        </w:rPr>
        <w:t xml:space="preserve"> more of these frames</w:t>
      </w:r>
      <w:r w:rsidR="000519CF">
        <w:rPr>
          <w:rFonts w:ascii="Times New Roman" w:hAnsi="Times New Roman" w:cs="Times New Roman"/>
          <w:sz w:val="24"/>
          <w:szCs w:val="24"/>
        </w:rPr>
        <w:t>.</w:t>
      </w:r>
      <w:r w:rsidR="0037661C" w:rsidRPr="003E4298">
        <w:rPr>
          <w:rFonts w:ascii="Times New Roman" w:hAnsi="Times New Roman" w:cs="Times New Roman"/>
          <w:sz w:val="24"/>
          <w:szCs w:val="24"/>
        </w:rPr>
        <w:t xml:space="preserve"> </w:t>
      </w:r>
      <w:r w:rsidR="0037661C" w:rsidRPr="003E4298">
        <w:rPr>
          <w:rFonts w:ascii="Times New Roman" w:hAnsi="Times New Roman" w:cs="Times New Roman"/>
          <w:sz w:val="24"/>
          <w:szCs w:val="24"/>
          <w:lang w:eastAsia="de-DE"/>
        </w:rPr>
        <w:t>This paper explores media representations of the EU</w:t>
      </w:r>
      <w:r w:rsidR="00EF2D59">
        <w:rPr>
          <w:rFonts w:ascii="Times New Roman" w:hAnsi="Times New Roman" w:cs="Times New Roman"/>
          <w:sz w:val="24"/>
          <w:szCs w:val="24"/>
          <w:lang w:eastAsia="de-DE"/>
        </w:rPr>
        <w:t>’</w:t>
      </w:r>
      <w:r w:rsidR="0037661C" w:rsidRPr="003E4298">
        <w:rPr>
          <w:rFonts w:ascii="Times New Roman" w:hAnsi="Times New Roman" w:cs="Times New Roman"/>
          <w:sz w:val="24"/>
          <w:szCs w:val="24"/>
          <w:lang w:eastAsia="de-DE"/>
        </w:rPr>
        <w:t xml:space="preserve">s external energy relations within the </w:t>
      </w:r>
      <w:r w:rsidR="00EF2D59">
        <w:rPr>
          <w:rFonts w:ascii="Times New Roman" w:hAnsi="Times New Roman" w:cs="Times New Roman"/>
          <w:sz w:val="24"/>
          <w:szCs w:val="24"/>
          <w:lang w:eastAsia="de-DE"/>
        </w:rPr>
        <w:t>‘</w:t>
      </w:r>
      <w:r w:rsidR="0037661C" w:rsidRPr="003E4298">
        <w:rPr>
          <w:rFonts w:ascii="Times New Roman" w:hAnsi="Times New Roman" w:cs="Times New Roman"/>
          <w:sz w:val="24"/>
          <w:szCs w:val="24"/>
          <w:lang w:eastAsia="de-DE"/>
        </w:rPr>
        <w:t xml:space="preserve">Big 3’ EU member states of </w:t>
      </w:r>
      <w:r w:rsidR="00AC3246" w:rsidRPr="003E4298">
        <w:rPr>
          <w:rFonts w:ascii="Times New Roman" w:hAnsi="Times New Roman" w:cs="Times New Roman"/>
          <w:sz w:val="24"/>
          <w:szCs w:val="24"/>
          <w:lang w:eastAsia="de-DE"/>
        </w:rPr>
        <w:t xml:space="preserve">the </w:t>
      </w:r>
      <w:r w:rsidR="006427F2" w:rsidRPr="003E4298">
        <w:rPr>
          <w:rFonts w:ascii="Times New Roman" w:hAnsi="Times New Roman" w:cs="Times New Roman"/>
          <w:sz w:val="24"/>
          <w:szCs w:val="24"/>
          <w:lang w:eastAsia="de-DE"/>
        </w:rPr>
        <w:t>UK</w:t>
      </w:r>
      <w:r w:rsidR="0037661C" w:rsidRPr="003E4298">
        <w:rPr>
          <w:rFonts w:ascii="Times New Roman" w:hAnsi="Times New Roman" w:cs="Times New Roman"/>
          <w:sz w:val="24"/>
          <w:szCs w:val="24"/>
          <w:lang w:eastAsia="de-DE"/>
        </w:rPr>
        <w:t xml:space="preserve">, France and Germany, and in doing so, offers </w:t>
      </w:r>
      <w:r w:rsidR="0037661C" w:rsidRPr="003E4298">
        <w:rPr>
          <w:rFonts w:ascii="Times New Roman" w:hAnsi="Times New Roman" w:cs="Times New Roman"/>
          <w:sz w:val="24"/>
          <w:szCs w:val="24"/>
          <w:lang w:eastAsia="de-DE"/>
        </w:rPr>
        <w:lastRenderedPageBreak/>
        <w:t>a</w:t>
      </w:r>
      <w:r w:rsidR="00357D18">
        <w:rPr>
          <w:rFonts w:ascii="Times New Roman" w:hAnsi="Times New Roman" w:cs="Times New Roman"/>
          <w:sz w:val="24"/>
          <w:szCs w:val="24"/>
          <w:lang w:eastAsia="de-DE"/>
        </w:rPr>
        <w:t>n innovative</w:t>
      </w:r>
      <w:r w:rsidR="0037661C" w:rsidRPr="003E4298">
        <w:rPr>
          <w:rFonts w:ascii="Times New Roman" w:hAnsi="Times New Roman" w:cs="Times New Roman"/>
          <w:sz w:val="24"/>
          <w:szCs w:val="24"/>
          <w:lang w:eastAsia="de-DE"/>
        </w:rPr>
        <w:t xml:space="preserve"> two part critique of the </w:t>
      </w:r>
      <w:r w:rsidR="00A47F26">
        <w:rPr>
          <w:rFonts w:ascii="Times New Roman" w:hAnsi="Times New Roman" w:cs="Times New Roman"/>
          <w:sz w:val="24"/>
          <w:szCs w:val="24"/>
          <w:lang w:eastAsia="de-DE"/>
        </w:rPr>
        <w:t>‘</w:t>
      </w:r>
      <w:r w:rsidR="0037661C" w:rsidRPr="003E4298">
        <w:rPr>
          <w:rFonts w:ascii="Times New Roman" w:hAnsi="Times New Roman" w:cs="Times New Roman"/>
          <w:sz w:val="24"/>
          <w:szCs w:val="24"/>
          <w:lang w:eastAsia="de-DE"/>
        </w:rPr>
        <w:t>Normative Power Europe</w:t>
      </w:r>
      <w:r w:rsidR="00A47F26">
        <w:rPr>
          <w:rFonts w:ascii="Times New Roman" w:hAnsi="Times New Roman" w:cs="Times New Roman"/>
          <w:sz w:val="24"/>
          <w:szCs w:val="24"/>
          <w:lang w:eastAsia="de-DE"/>
        </w:rPr>
        <w:t>’</w:t>
      </w:r>
      <w:r w:rsidR="0037661C" w:rsidRPr="003E4298">
        <w:rPr>
          <w:rFonts w:ascii="Times New Roman" w:hAnsi="Times New Roman" w:cs="Times New Roman"/>
          <w:sz w:val="24"/>
          <w:szCs w:val="24"/>
          <w:lang w:eastAsia="de-DE"/>
        </w:rPr>
        <w:t xml:space="preserve"> framework. </w:t>
      </w:r>
      <w:r w:rsidR="00541610" w:rsidRPr="003E4298">
        <w:rPr>
          <w:rFonts w:ascii="Times New Roman" w:hAnsi="Times New Roman" w:cs="Times New Roman"/>
          <w:sz w:val="24"/>
          <w:szCs w:val="24"/>
          <w:lang w:eastAsia="de-DE"/>
        </w:rPr>
        <w:t xml:space="preserve">The paper first presents a discussion of the </w:t>
      </w:r>
      <w:r w:rsidR="00A47F26">
        <w:rPr>
          <w:rFonts w:ascii="Times New Roman" w:hAnsi="Times New Roman" w:cs="Times New Roman"/>
          <w:sz w:val="24"/>
          <w:szCs w:val="24"/>
          <w:lang w:eastAsia="de-DE"/>
        </w:rPr>
        <w:t>‘</w:t>
      </w:r>
      <w:r w:rsidR="00602695" w:rsidRPr="003E4298">
        <w:rPr>
          <w:rFonts w:ascii="Times New Roman" w:hAnsi="Times New Roman" w:cs="Times New Roman"/>
          <w:sz w:val="24"/>
          <w:szCs w:val="24"/>
          <w:lang w:eastAsia="de-DE"/>
        </w:rPr>
        <w:t>N</w:t>
      </w:r>
      <w:r w:rsidR="00541610" w:rsidRPr="003E4298">
        <w:rPr>
          <w:rFonts w:ascii="Times New Roman" w:hAnsi="Times New Roman" w:cs="Times New Roman"/>
          <w:sz w:val="24"/>
          <w:szCs w:val="24"/>
          <w:lang w:eastAsia="de-DE"/>
        </w:rPr>
        <w:t xml:space="preserve">ormative </w:t>
      </w:r>
      <w:r w:rsidR="00602695" w:rsidRPr="003E4298">
        <w:rPr>
          <w:rFonts w:ascii="Times New Roman" w:hAnsi="Times New Roman" w:cs="Times New Roman"/>
          <w:sz w:val="24"/>
          <w:szCs w:val="24"/>
          <w:lang w:eastAsia="de-DE"/>
        </w:rPr>
        <w:t>P</w:t>
      </w:r>
      <w:r w:rsidR="00541610" w:rsidRPr="003E4298">
        <w:rPr>
          <w:rFonts w:ascii="Times New Roman" w:hAnsi="Times New Roman" w:cs="Times New Roman"/>
          <w:sz w:val="24"/>
          <w:szCs w:val="24"/>
          <w:lang w:eastAsia="de-DE"/>
        </w:rPr>
        <w:t>ower Europe</w:t>
      </w:r>
      <w:r w:rsidR="00A47F26">
        <w:rPr>
          <w:rFonts w:ascii="Times New Roman" w:hAnsi="Times New Roman" w:cs="Times New Roman"/>
          <w:sz w:val="24"/>
          <w:szCs w:val="24"/>
          <w:lang w:eastAsia="de-DE"/>
        </w:rPr>
        <w:t>’</w:t>
      </w:r>
      <w:r w:rsidR="00541610" w:rsidRPr="003E4298">
        <w:rPr>
          <w:rFonts w:ascii="Times New Roman" w:hAnsi="Times New Roman" w:cs="Times New Roman"/>
          <w:sz w:val="24"/>
          <w:szCs w:val="24"/>
          <w:lang w:eastAsia="de-DE"/>
        </w:rPr>
        <w:t xml:space="preserve"> framework, outlining our main areas of contribution to the theoretical literature. It then contextualises this discussion within the context of the three member states’ own domestic energy policies, before outlining the methodology and presenting a discussion of the findings. In doing so, </w:t>
      </w:r>
      <w:r w:rsidR="00CA0E01" w:rsidRPr="003E4298">
        <w:rPr>
          <w:rFonts w:ascii="Times New Roman" w:hAnsi="Times New Roman" w:cs="Times New Roman"/>
          <w:sz w:val="24"/>
          <w:szCs w:val="24"/>
          <w:lang w:eastAsia="de-DE"/>
        </w:rPr>
        <w:t>we</w:t>
      </w:r>
      <w:r w:rsidR="00541610" w:rsidRPr="003E4298">
        <w:rPr>
          <w:rFonts w:ascii="Times New Roman" w:hAnsi="Times New Roman" w:cs="Times New Roman"/>
          <w:sz w:val="24"/>
          <w:szCs w:val="24"/>
          <w:lang w:eastAsia="de-DE"/>
        </w:rPr>
        <w:t xml:space="preserve"> </w:t>
      </w:r>
      <w:r w:rsidR="00541610" w:rsidRPr="003E4298">
        <w:rPr>
          <w:rFonts w:ascii="Times New Roman" w:hAnsi="Times New Roman" w:cs="Times New Roman"/>
          <w:sz w:val="24"/>
          <w:szCs w:val="24"/>
        </w:rPr>
        <w:t>explore the questions of partnerships and framing of external energy for three of the EU’s major energy ‘players’, and ask what such mediated and self-visions might mean for the reality and conduct of an effective EU External Energy Policy.</w:t>
      </w:r>
    </w:p>
    <w:p w14:paraId="4EE52D0B" w14:textId="77777777" w:rsidR="0037661C" w:rsidRDefault="0037661C" w:rsidP="003E4298">
      <w:pPr>
        <w:spacing w:line="480" w:lineRule="auto"/>
        <w:contextualSpacing/>
        <w:rPr>
          <w:rFonts w:ascii="Times New Roman" w:hAnsi="Times New Roman" w:cs="Times New Roman"/>
          <w:b/>
          <w:bCs/>
          <w:sz w:val="24"/>
          <w:szCs w:val="24"/>
        </w:rPr>
      </w:pPr>
    </w:p>
    <w:p w14:paraId="5819C95F" w14:textId="77777777" w:rsidR="003E4298" w:rsidRPr="003E4298" w:rsidRDefault="003E4298" w:rsidP="003E4298">
      <w:pPr>
        <w:spacing w:line="480" w:lineRule="auto"/>
        <w:contextualSpacing/>
        <w:rPr>
          <w:rFonts w:ascii="Times New Roman" w:hAnsi="Times New Roman" w:cs="Times New Roman"/>
          <w:b/>
          <w:bCs/>
          <w:sz w:val="24"/>
          <w:szCs w:val="24"/>
        </w:rPr>
      </w:pPr>
    </w:p>
    <w:p w14:paraId="48FDE8F2" w14:textId="37C6939D" w:rsidR="00D209BA" w:rsidRPr="003E4298" w:rsidRDefault="003E4298" w:rsidP="003E4298">
      <w:pPr>
        <w:spacing w:line="480" w:lineRule="auto"/>
        <w:contextualSpacing/>
        <w:rPr>
          <w:rFonts w:ascii="Times New Roman" w:hAnsi="Times New Roman" w:cs="Times New Roman"/>
          <w:b/>
          <w:bCs/>
          <w:sz w:val="24"/>
          <w:szCs w:val="24"/>
        </w:rPr>
      </w:pPr>
      <w:r>
        <w:rPr>
          <w:rFonts w:ascii="Times New Roman" w:hAnsi="Times New Roman" w:cs="Times New Roman"/>
          <w:b/>
          <w:bCs/>
          <w:sz w:val="24"/>
          <w:szCs w:val="24"/>
        </w:rPr>
        <w:t xml:space="preserve">2. </w:t>
      </w:r>
      <w:r w:rsidR="00D209BA" w:rsidRPr="003E4298">
        <w:rPr>
          <w:rFonts w:ascii="Times New Roman" w:hAnsi="Times New Roman" w:cs="Times New Roman"/>
          <w:b/>
          <w:bCs/>
          <w:sz w:val="24"/>
          <w:szCs w:val="24"/>
        </w:rPr>
        <w:t>Theoretical Framework</w:t>
      </w:r>
    </w:p>
    <w:p w14:paraId="704F2B75" w14:textId="77777777" w:rsidR="003E4298" w:rsidRDefault="003E4298" w:rsidP="003E4298">
      <w:pPr>
        <w:spacing w:line="480" w:lineRule="auto"/>
        <w:contextualSpacing/>
        <w:rPr>
          <w:rFonts w:ascii="Times New Roman" w:hAnsi="Times New Roman" w:cs="Times New Roman"/>
          <w:sz w:val="24"/>
          <w:szCs w:val="24"/>
          <w:lang w:eastAsia="de-DE"/>
        </w:rPr>
      </w:pPr>
    </w:p>
    <w:p w14:paraId="4FDE5F9C" w14:textId="775B6300" w:rsidR="00D209BA" w:rsidRPr="003E4298" w:rsidRDefault="0037661C" w:rsidP="003E4298">
      <w:pPr>
        <w:spacing w:line="480" w:lineRule="auto"/>
        <w:contextualSpacing/>
        <w:rPr>
          <w:rFonts w:ascii="Times New Roman" w:hAnsi="Times New Roman" w:cs="Times New Roman"/>
          <w:sz w:val="24"/>
          <w:szCs w:val="24"/>
          <w:lang w:eastAsia="de-DE"/>
        </w:rPr>
      </w:pPr>
      <w:r w:rsidRPr="003E4298">
        <w:rPr>
          <w:rFonts w:ascii="Times New Roman" w:hAnsi="Times New Roman" w:cs="Times New Roman"/>
          <w:sz w:val="24"/>
          <w:szCs w:val="24"/>
          <w:lang w:eastAsia="de-DE"/>
        </w:rPr>
        <w:t xml:space="preserve">As a concept, </w:t>
      </w:r>
      <w:r w:rsidR="00D209BA" w:rsidRPr="003E4298">
        <w:rPr>
          <w:rFonts w:ascii="Times New Roman" w:hAnsi="Times New Roman" w:cs="Times New Roman"/>
          <w:sz w:val="24"/>
          <w:szCs w:val="24"/>
          <w:lang w:eastAsia="de-DE"/>
        </w:rPr>
        <w:t>Normative Power Europe (NPE) introduced by Ian Manners (2002</w:t>
      </w:r>
      <w:r w:rsidRPr="003E4298">
        <w:rPr>
          <w:rFonts w:ascii="Times New Roman" w:hAnsi="Times New Roman" w:cs="Times New Roman"/>
          <w:sz w:val="24"/>
          <w:szCs w:val="24"/>
          <w:lang w:eastAsia="de-DE"/>
        </w:rPr>
        <w:t>),</w:t>
      </w:r>
      <w:r w:rsidR="00D209BA" w:rsidRPr="003E4298">
        <w:rPr>
          <w:rFonts w:ascii="Times New Roman" w:hAnsi="Times New Roman" w:cs="Times New Roman"/>
          <w:sz w:val="24"/>
          <w:szCs w:val="24"/>
          <w:lang w:eastAsia="de-DE"/>
        </w:rPr>
        <w:t xml:space="preserve"> presents the EU as a global actor that carries out its external policy through its ability to exert normative power. </w:t>
      </w:r>
      <w:r w:rsidR="0065345F">
        <w:rPr>
          <w:rFonts w:ascii="Times New Roman" w:hAnsi="Times New Roman" w:cs="Times New Roman"/>
          <w:sz w:val="24"/>
          <w:szCs w:val="24"/>
          <w:lang w:eastAsia="de-DE"/>
        </w:rPr>
        <w:t>Within this approach, the EU’s identity and characteristics are considered a source of power, and it is argued that through these, the EU is able to i</w:t>
      </w:r>
      <w:r w:rsidR="003629A9">
        <w:rPr>
          <w:rFonts w:ascii="Times New Roman" w:hAnsi="Times New Roman" w:cs="Times New Roman"/>
          <w:sz w:val="24"/>
          <w:szCs w:val="24"/>
          <w:lang w:eastAsia="de-DE"/>
        </w:rPr>
        <w:t>nfluence and shape global norms</w:t>
      </w:r>
      <w:r w:rsidR="0065345F">
        <w:rPr>
          <w:rFonts w:ascii="Times New Roman" w:hAnsi="Times New Roman" w:cs="Times New Roman"/>
          <w:sz w:val="24"/>
          <w:szCs w:val="24"/>
          <w:lang w:eastAsia="de-DE"/>
        </w:rPr>
        <w:t xml:space="preserve"> </w:t>
      </w:r>
      <w:r w:rsidR="00827390">
        <w:rPr>
          <w:rFonts w:ascii="Times New Roman" w:hAnsi="Times New Roman" w:cs="Times New Roman"/>
          <w:sz w:val="24"/>
          <w:szCs w:val="24"/>
          <w:lang w:eastAsia="de-DE"/>
        </w:rPr>
        <w:t>(Whitman 2013).</w:t>
      </w:r>
      <w:r w:rsidR="00827390" w:rsidRPr="003E4298">
        <w:rPr>
          <w:rFonts w:ascii="Times New Roman" w:hAnsi="Times New Roman" w:cs="Times New Roman"/>
          <w:sz w:val="24"/>
          <w:szCs w:val="24"/>
          <w:lang w:eastAsia="de-DE"/>
        </w:rPr>
        <w:t xml:space="preserve"> </w:t>
      </w:r>
      <w:r w:rsidR="00D209BA" w:rsidRPr="003E4298">
        <w:rPr>
          <w:rFonts w:ascii="Times New Roman" w:hAnsi="Times New Roman" w:cs="Times New Roman"/>
          <w:sz w:val="24"/>
          <w:szCs w:val="24"/>
          <w:lang w:eastAsia="de-DE"/>
        </w:rPr>
        <w:t>Normative power works through shaping discourses, framing issues and debates</w:t>
      </w:r>
      <w:r w:rsidR="00693E89" w:rsidRPr="003E4298">
        <w:rPr>
          <w:rFonts w:ascii="Times New Roman" w:hAnsi="Times New Roman" w:cs="Times New Roman"/>
          <w:sz w:val="24"/>
          <w:szCs w:val="24"/>
          <w:lang w:eastAsia="de-DE"/>
        </w:rPr>
        <w:t xml:space="preserve"> – convincing not coercing</w:t>
      </w:r>
      <w:r w:rsidR="00D209BA" w:rsidRPr="003E4298">
        <w:rPr>
          <w:rFonts w:ascii="Times New Roman" w:hAnsi="Times New Roman" w:cs="Times New Roman"/>
          <w:sz w:val="24"/>
          <w:szCs w:val="24"/>
          <w:lang w:eastAsia="de-DE"/>
        </w:rPr>
        <w:t xml:space="preserve">. Thus, the EU acts as a normative agent that is credited with an ability to transfer its own normative construct of ideas to foreign settings. It aims at successfully </w:t>
      </w:r>
      <w:r w:rsidR="00897902" w:rsidRPr="003E4298">
        <w:rPr>
          <w:rFonts w:ascii="Times New Roman" w:hAnsi="Times New Roman" w:cs="Times New Roman"/>
          <w:sz w:val="24"/>
          <w:szCs w:val="24"/>
          <w:lang w:eastAsia="de-DE"/>
        </w:rPr>
        <w:t>‘</w:t>
      </w:r>
      <w:r w:rsidR="00693E89" w:rsidRPr="003E4298">
        <w:rPr>
          <w:rFonts w:ascii="Times New Roman" w:hAnsi="Times New Roman" w:cs="Times New Roman"/>
          <w:sz w:val="24"/>
          <w:szCs w:val="24"/>
          <w:lang w:eastAsia="de-DE"/>
        </w:rPr>
        <w:t>selling</w:t>
      </w:r>
      <w:r w:rsidR="00897902" w:rsidRPr="003E4298">
        <w:rPr>
          <w:rFonts w:ascii="Times New Roman" w:hAnsi="Times New Roman" w:cs="Times New Roman"/>
          <w:sz w:val="24"/>
          <w:szCs w:val="24"/>
          <w:lang w:eastAsia="de-DE"/>
        </w:rPr>
        <w:t>’</w:t>
      </w:r>
      <w:r w:rsidR="00693E89" w:rsidRPr="003E4298">
        <w:rPr>
          <w:rFonts w:ascii="Times New Roman" w:hAnsi="Times New Roman" w:cs="Times New Roman"/>
          <w:sz w:val="24"/>
          <w:szCs w:val="24"/>
          <w:lang w:eastAsia="de-DE"/>
        </w:rPr>
        <w:t xml:space="preserve"> </w:t>
      </w:r>
      <w:r w:rsidR="00D209BA" w:rsidRPr="003E4298">
        <w:rPr>
          <w:rFonts w:ascii="Times New Roman" w:hAnsi="Times New Roman" w:cs="Times New Roman"/>
          <w:sz w:val="24"/>
          <w:szCs w:val="24"/>
          <w:lang w:eastAsia="de-DE"/>
        </w:rPr>
        <w:t>its norms in interactions with foreign partners or in multilateral negotiations. NPE has been received and applied by many researche</w:t>
      </w:r>
      <w:r w:rsidR="00CE671E" w:rsidRPr="003E4298">
        <w:rPr>
          <w:rFonts w:ascii="Times New Roman" w:hAnsi="Times New Roman" w:cs="Times New Roman"/>
          <w:sz w:val="24"/>
          <w:szCs w:val="24"/>
          <w:lang w:eastAsia="de-DE"/>
        </w:rPr>
        <w:t xml:space="preserve">rs (among others, see </w:t>
      </w:r>
      <w:proofErr w:type="spellStart"/>
      <w:r w:rsidR="00620639" w:rsidRPr="003E4298">
        <w:rPr>
          <w:rFonts w:ascii="Times New Roman" w:hAnsi="Times New Roman" w:cs="Times New Roman"/>
          <w:sz w:val="24"/>
          <w:szCs w:val="24"/>
          <w:lang w:eastAsia="de-DE"/>
        </w:rPr>
        <w:t>Diez</w:t>
      </w:r>
      <w:proofErr w:type="spellEnd"/>
      <w:r w:rsidR="00C92DCF" w:rsidRPr="003E4298">
        <w:rPr>
          <w:rFonts w:ascii="Times New Roman" w:hAnsi="Times New Roman" w:cs="Times New Roman"/>
          <w:sz w:val="24"/>
          <w:szCs w:val="24"/>
          <w:lang w:eastAsia="de-DE"/>
        </w:rPr>
        <w:t xml:space="preserve">, </w:t>
      </w:r>
      <w:r w:rsidR="00620639" w:rsidRPr="003E4298">
        <w:rPr>
          <w:rFonts w:ascii="Times New Roman" w:hAnsi="Times New Roman" w:cs="Times New Roman"/>
          <w:sz w:val="24"/>
          <w:szCs w:val="24"/>
          <w:lang w:eastAsia="de-DE"/>
        </w:rPr>
        <w:t>2005; 2013</w:t>
      </w:r>
      <w:r w:rsidR="00C92DCF" w:rsidRPr="003E4298">
        <w:rPr>
          <w:rFonts w:ascii="Times New Roman" w:hAnsi="Times New Roman" w:cs="Times New Roman"/>
          <w:sz w:val="24"/>
          <w:szCs w:val="24"/>
          <w:lang w:eastAsia="de-DE"/>
        </w:rPr>
        <w:t xml:space="preserve">; </w:t>
      </w:r>
      <w:proofErr w:type="spellStart"/>
      <w:r w:rsidR="00674004" w:rsidRPr="003E4298">
        <w:rPr>
          <w:rFonts w:ascii="Times New Roman" w:hAnsi="Times New Roman" w:cs="Times New Roman"/>
          <w:sz w:val="24"/>
          <w:szCs w:val="24"/>
          <w:lang w:eastAsia="de-DE"/>
        </w:rPr>
        <w:t>Lucarelli</w:t>
      </w:r>
      <w:proofErr w:type="spellEnd"/>
      <w:r w:rsidR="00674004" w:rsidRPr="003E4298">
        <w:rPr>
          <w:rFonts w:ascii="Times New Roman" w:hAnsi="Times New Roman" w:cs="Times New Roman"/>
          <w:sz w:val="24"/>
          <w:szCs w:val="24"/>
          <w:lang w:eastAsia="de-DE"/>
        </w:rPr>
        <w:t xml:space="preserve"> </w:t>
      </w:r>
      <w:r w:rsidR="00391756">
        <w:rPr>
          <w:rFonts w:ascii="Times New Roman" w:hAnsi="Times New Roman" w:cs="Times New Roman"/>
          <w:sz w:val="24"/>
          <w:szCs w:val="24"/>
          <w:lang w:eastAsia="de-DE"/>
        </w:rPr>
        <w:t>and</w:t>
      </w:r>
      <w:r w:rsidR="00391756" w:rsidRPr="003E4298">
        <w:rPr>
          <w:rFonts w:ascii="Times New Roman" w:hAnsi="Times New Roman" w:cs="Times New Roman"/>
          <w:sz w:val="24"/>
          <w:szCs w:val="24"/>
          <w:lang w:eastAsia="de-DE"/>
        </w:rPr>
        <w:t xml:space="preserve"> </w:t>
      </w:r>
      <w:r w:rsidR="00674004" w:rsidRPr="003E4298">
        <w:rPr>
          <w:rFonts w:ascii="Times New Roman" w:hAnsi="Times New Roman" w:cs="Times New Roman"/>
          <w:sz w:val="24"/>
          <w:szCs w:val="24"/>
          <w:lang w:eastAsia="de-DE"/>
        </w:rPr>
        <w:t xml:space="preserve">Manners, 2006; </w:t>
      </w:r>
      <w:proofErr w:type="spellStart"/>
      <w:r w:rsidR="00674004" w:rsidRPr="003E4298">
        <w:rPr>
          <w:rFonts w:ascii="Times New Roman" w:hAnsi="Times New Roman" w:cs="Times New Roman"/>
          <w:sz w:val="24"/>
          <w:szCs w:val="24"/>
          <w:lang w:eastAsia="de-DE"/>
        </w:rPr>
        <w:t>Khasson</w:t>
      </w:r>
      <w:proofErr w:type="spellEnd"/>
      <w:r w:rsidR="00674004" w:rsidRPr="003E4298">
        <w:rPr>
          <w:rFonts w:ascii="Times New Roman" w:hAnsi="Times New Roman" w:cs="Times New Roman"/>
          <w:sz w:val="24"/>
          <w:szCs w:val="24"/>
          <w:lang w:eastAsia="de-DE"/>
        </w:rPr>
        <w:t xml:space="preserve"> </w:t>
      </w:r>
      <w:r w:rsidR="00674004" w:rsidRPr="003E4298">
        <w:rPr>
          <w:rFonts w:ascii="Times New Roman" w:hAnsi="Times New Roman" w:cs="Times New Roman"/>
          <w:i/>
          <w:sz w:val="24"/>
          <w:szCs w:val="24"/>
          <w:lang w:eastAsia="de-DE"/>
        </w:rPr>
        <w:t>et al</w:t>
      </w:r>
      <w:r w:rsidR="00674004" w:rsidRPr="003E4298">
        <w:rPr>
          <w:rFonts w:ascii="Times New Roman" w:hAnsi="Times New Roman" w:cs="Times New Roman"/>
          <w:sz w:val="24"/>
          <w:szCs w:val="24"/>
          <w:lang w:eastAsia="de-DE"/>
        </w:rPr>
        <w:t xml:space="preserve">, 2008; </w:t>
      </w:r>
      <w:proofErr w:type="spellStart"/>
      <w:r w:rsidR="00C92DCF" w:rsidRPr="003E4298">
        <w:rPr>
          <w:rFonts w:ascii="Times New Roman" w:hAnsi="Times New Roman" w:cs="Times New Roman"/>
          <w:sz w:val="24"/>
          <w:szCs w:val="24"/>
          <w:lang w:eastAsia="de-DE"/>
        </w:rPr>
        <w:t>Gstöhl</w:t>
      </w:r>
      <w:proofErr w:type="spellEnd"/>
      <w:r w:rsidR="00C92DCF" w:rsidRPr="003E4298">
        <w:rPr>
          <w:rFonts w:ascii="Times New Roman" w:hAnsi="Times New Roman" w:cs="Times New Roman"/>
          <w:sz w:val="24"/>
          <w:szCs w:val="24"/>
          <w:lang w:eastAsia="de-DE"/>
        </w:rPr>
        <w:t>, 2009</w:t>
      </w:r>
      <w:r w:rsidR="00674004" w:rsidRPr="003E4298">
        <w:rPr>
          <w:rFonts w:ascii="Times New Roman" w:hAnsi="Times New Roman" w:cs="Times New Roman"/>
          <w:sz w:val="24"/>
          <w:szCs w:val="24"/>
          <w:lang w:eastAsia="de-DE"/>
        </w:rPr>
        <w:t>)</w:t>
      </w:r>
      <w:r w:rsidR="00D209BA" w:rsidRPr="003E4298">
        <w:rPr>
          <w:rFonts w:ascii="Times New Roman" w:hAnsi="Times New Roman" w:cs="Times New Roman"/>
          <w:sz w:val="24"/>
          <w:szCs w:val="24"/>
          <w:lang w:eastAsia="de-DE"/>
        </w:rPr>
        <w:t xml:space="preserve">, while others have noted the potential danger of the concept in overlooking and underestimating the role of the </w:t>
      </w:r>
      <w:r w:rsidR="00A47F26">
        <w:rPr>
          <w:rFonts w:ascii="Times New Roman" w:hAnsi="Times New Roman" w:cs="Times New Roman"/>
          <w:sz w:val="24"/>
          <w:szCs w:val="24"/>
          <w:lang w:eastAsia="de-DE"/>
        </w:rPr>
        <w:t>‘</w:t>
      </w:r>
      <w:r w:rsidR="00D209BA" w:rsidRPr="003E4298">
        <w:rPr>
          <w:rFonts w:ascii="Times New Roman" w:hAnsi="Times New Roman" w:cs="Times New Roman"/>
          <w:sz w:val="24"/>
          <w:szCs w:val="24"/>
          <w:lang w:eastAsia="de-DE"/>
        </w:rPr>
        <w:t>receiver</w:t>
      </w:r>
      <w:r w:rsidR="00A47F26">
        <w:rPr>
          <w:rFonts w:ascii="Times New Roman" w:hAnsi="Times New Roman" w:cs="Times New Roman"/>
          <w:sz w:val="24"/>
          <w:szCs w:val="24"/>
          <w:lang w:eastAsia="de-DE"/>
        </w:rPr>
        <w:t>’</w:t>
      </w:r>
      <w:r w:rsidR="00D209BA" w:rsidRPr="003E4298">
        <w:rPr>
          <w:rFonts w:ascii="Times New Roman" w:hAnsi="Times New Roman" w:cs="Times New Roman"/>
          <w:sz w:val="24"/>
          <w:szCs w:val="24"/>
          <w:lang w:eastAsia="de-DE"/>
        </w:rPr>
        <w:t xml:space="preserve"> in such interactions (</w:t>
      </w:r>
      <w:proofErr w:type="spellStart"/>
      <w:r w:rsidR="00D209BA" w:rsidRPr="003E4298">
        <w:rPr>
          <w:rFonts w:ascii="Times New Roman" w:hAnsi="Times New Roman" w:cs="Times New Roman"/>
          <w:sz w:val="24"/>
          <w:szCs w:val="24"/>
          <w:lang w:eastAsia="de-DE"/>
        </w:rPr>
        <w:t>Diez</w:t>
      </w:r>
      <w:proofErr w:type="spellEnd"/>
      <w:r w:rsidR="00C92DCF" w:rsidRPr="003E4298">
        <w:rPr>
          <w:rFonts w:ascii="Times New Roman" w:hAnsi="Times New Roman" w:cs="Times New Roman"/>
          <w:sz w:val="24"/>
          <w:szCs w:val="24"/>
          <w:lang w:eastAsia="de-DE"/>
        </w:rPr>
        <w:t xml:space="preserve">, </w:t>
      </w:r>
      <w:r w:rsidR="00D209BA" w:rsidRPr="003E4298">
        <w:rPr>
          <w:rFonts w:ascii="Times New Roman" w:hAnsi="Times New Roman" w:cs="Times New Roman"/>
          <w:sz w:val="24"/>
          <w:szCs w:val="24"/>
          <w:lang w:eastAsia="de-DE"/>
        </w:rPr>
        <w:t>2005;</w:t>
      </w:r>
      <w:r w:rsidR="00CE671E" w:rsidRPr="003E4298">
        <w:rPr>
          <w:rFonts w:ascii="Times New Roman" w:hAnsi="Times New Roman" w:cs="Times New Roman"/>
          <w:sz w:val="24"/>
          <w:szCs w:val="24"/>
          <w:lang w:eastAsia="de-DE"/>
        </w:rPr>
        <w:t xml:space="preserve"> </w:t>
      </w:r>
      <w:proofErr w:type="spellStart"/>
      <w:r w:rsidR="00CE671E" w:rsidRPr="003E4298">
        <w:rPr>
          <w:rFonts w:ascii="Times New Roman" w:hAnsi="Times New Roman" w:cs="Times New Roman"/>
          <w:sz w:val="24"/>
          <w:szCs w:val="24"/>
          <w:lang w:eastAsia="de-DE"/>
        </w:rPr>
        <w:t>Merlingen</w:t>
      </w:r>
      <w:proofErr w:type="spellEnd"/>
      <w:r w:rsidR="00C92DCF" w:rsidRPr="003E4298">
        <w:rPr>
          <w:rFonts w:ascii="Times New Roman" w:hAnsi="Times New Roman" w:cs="Times New Roman"/>
          <w:sz w:val="24"/>
          <w:szCs w:val="24"/>
          <w:lang w:eastAsia="de-DE"/>
        </w:rPr>
        <w:t xml:space="preserve">, </w:t>
      </w:r>
      <w:r w:rsidR="00CE671E" w:rsidRPr="003E4298">
        <w:rPr>
          <w:rFonts w:ascii="Times New Roman" w:hAnsi="Times New Roman" w:cs="Times New Roman"/>
          <w:sz w:val="24"/>
          <w:szCs w:val="24"/>
          <w:lang w:eastAsia="de-DE"/>
        </w:rPr>
        <w:t xml:space="preserve">2007; also </w:t>
      </w:r>
      <w:proofErr w:type="spellStart"/>
      <w:r w:rsidR="00C92DCF" w:rsidRPr="003E4298">
        <w:rPr>
          <w:rFonts w:ascii="Times New Roman" w:hAnsi="Times New Roman" w:cs="Times New Roman"/>
          <w:sz w:val="24"/>
          <w:szCs w:val="24"/>
          <w:lang w:eastAsia="de-DE"/>
        </w:rPr>
        <w:t>Björkdahl</w:t>
      </w:r>
      <w:proofErr w:type="spellEnd"/>
      <w:r w:rsidR="00C92DCF" w:rsidRPr="003E4298">
        <w:rPr>
          <w:rFonts w:ascii="Times New Roman" w:hAnsi="Times New Roman" w:cs="Times New Roman"/>
          <w:sz w:val="24"/>
          <w:szCs w:val="24"/>
          <w:lang w:eastAsia="de-DE"/>
        </w:rPr>
        <w:t xml:space="preserve"> </w:t>
      </w:r>
      <w:r w:rsidR="00C92DCF" w:rsidRPr="003E4298">
        <w:rPr>
          <w:rFonts w:ascii="Times New Roman" w:hAnsi="Times New Roman" w:cs="Times New Roman"/>
          <w:i/>
          <w:sz w:val="24"/>
          <w:szCs w:val="24"/>
          <w:lang w:eastAsia="de-DE"/>
        </w:rPr>
        <w:t>et al</w:t>
      </w:r>
      <w:r w:rsidR="00C92DCF" w:rsidRPr="003E4298">
        <w:rPr>
          <w:rFonts w:ascii="Times New Roman" w:hAnsi="Times New Roman" w:cs="Times New Roman"/>
          <w:sz w:val="24"/>
          <w:szCs w:val="24"/>
          <w:lang w:eastAsia="de-DE"/>
        </w:rPr>
        <w:t>,</w:t>
      </w:r>
      <w:r w:rsidR="007F7F08">
        <w:rPr>
          <w:rFonts w:ascii="Times New Roman" w:hAnsi="Times New Roman" w:cs="Times New Roman"/>
          <w:sz w:val="24"/>
          <w:szCs w:val="24"/>
          <w:lang w:eastAsia="de-DE"/>
        </w:rPr>
        <w:t xml:space="preserve"> 2015</w:t>
      </w:r>
      <w:r w:rsidR="00C92DCF" w:rsidRPr="003E4298">
        <w:rPr>
          <w:rFonts w:ascii="Times New Roman" w:hAnsi="Times New Roman" w:cs="Times New Roman"/>
          <w:sz w:val="24"/>
          <w:szCs w:val="24"/>
          <w:lang w:eastAsia="de-DE"/>
        </w:rPr>
        <w:t xml:space="preserve">; </w:t>
      </w:r>
      <w:proofErr w:type="spellStart"/>
      <w:r w:rsidR="00CE671E" w:rsidRPr="003E4298">
        <w:rPr>
          <w:rFonts w:ascii="Times New Roman" w:hAnsi="Times New Roman" w:cs="Times New Roman"/>
          <w:sz w:val="24"/>
          <w:szCs w:val="24"/>
          <w:lang w:eastAsia="de-DE"/>
        </w:rPr>
        <w:t>Sic</w:t>
      </w:r>
      <w:r w:rsidR="00E77633">
        <w:rPr>
          <w:rFonts w:ascii="Times New Roman" w:hAnsi="Times New Roman" w:cs="Times New Roman"/>
          <w:sz w:val="24"/>
          <w:szCs w:val="24"/>
          <w:lang w:eastAsia="de-DE"/>
        </w:rPr>
        <w:t>urelli</w:t>
      </w:r>
      <w:proofErr w:type="spellEnd"/>
      <w:r w:rsidR="00E77633">
        <w:rPr>
          <w:rFonts w:ascii="Times New Roman" w:hAnsi="Times New Roman" w:cs="Times New Roman"/>
          <w:sz w:val="24"/>
          <w:szCs w:val="24"/>
          <w:lang w:eastAsia="de-DE"/>
        </w:rPr>
        <w:t xml:space="preserve"> and</w:t>
      </w:r>
      <w:r w:rsidR="00CE671E" w:rsidRPr="003E4298">
        <w:rPr>
          <w:rFonts w:ascii="Times New Roman" w:hAnsi="Times New Roman" w:cs="Times New Roman"/>
          <w:sz w:val="24"/>
          <w:szCs w:val="24"/>
          <w:lang w:eastAsia="de-DE"/>
        </w:rPr>
        <w:t xml:space="preserve"> </w:t>
      </w:r>
      <w:proofErr w:type="spellStart"/>
      <w:r w:rsidR="00D209BA" w:rsidRPr="003E4298">
        <w:rPr>
          <w:rFonts w:ascii="Times New Roman" w:hAnsi="Times New Roman" w:cs="Times New Roman"/>
          <w:sz w:val="24"/>
          <w:szCs w:val="24"/>
          <w:lang w:eastAsia="de-DE"/>
        </w:rPr>
        <w:t>Scheipers</w:t>
      </w:r>
      <w:proofErr w:type="spellEnd"/>
      <w:r w:rsidR="00C92DCF" w:rsidRPr="003E4298">
        <w:rPr>
          <w:rFonts w:ascii="Times New Roman" w:hAnsi="Times New Roman" w:cs="Times New Roman"/>
          <w:sz w:val="24"/>
          <w:szCs w:val="24"/>
          <w:lang w:eastAsia="de-DE"/>
        </w:rPr>
        <w:t xml:space="preserve">, </w:t>
      </w:r>
      <w:r w:rsidR="00D209BA" w:rsidRPr="003E4298">
        <w:rPr>
          <w:rFonts w:ascii="Times New Roman" w:hAnsi="Times New Roman" w:cs="Times New Roman"/>
          <w:sz w:val="24"/>
          <w:szCs w:val="24"/>
          <w:lang w:eastAsia="de-DE"/>
        </w:rPr>
        <w:t>2008).</w:t>
      </w:r>
    </w:p>
    <w:p w14:paraId="1A030361" w14:textId="191CBD92" w:rsidR="00D209BA" w:rsidRPr="003E4298" w:rsidRDefault="00D209BA" w:rsidP="003E4298">
      <w:pPr>
        <w:spacing w:line="480" w:lineRule="auto"/>
        <w:ind w:firstLine="720"/>
        <w:contextualSpacing/>
        <w:rPr>
          <w:rFonts w:ascii="Times New Roman" w:hAnsi="Times New Roman" w:cs="Times New Roman"/>
          <w:sz w:val="24"/>
          <w:szCs w:val="24"/>
          <w:lang w:eastAsia="de-DE"/>
        </w:rPr>
      </w:pPr>
      <w:r w:rsidRPr="003E4298">
        <w:rPr>
          <w:rFonts w:ascii="Times New Roman" w:hAnsi="Times New Roman" w:cs="Times New Roman"/>
          <w:sz w:val="24"/>
          <w:szCs w:val="24"/>
          <w:lang w:eastAsia="de-DE"/>
        </w:rPr>
        <w:lastRenderedPageBreak/>
        <w:t>In this contribution</w:t>
      </w:r>
      <w:r w:rsidR="00C16431" w:rsidRPr="003E4298">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 xml:space="preserve"> we test the NPE concept </w:t>
      </w:r>
      <w:r w:rsidR="00331086" w:rsidRPr="003E4298">
        <w:rPr>
          <w:rFonts w:ascii="Times New Roman" w:hAnsi="Times New Roman" w:cs="Times New Roman"/>
          <w:sz w:val="24"/>
          <w:szCs w:val="24"/>
          <w:lang w:eastAsia="de-DE"/>
        </w:rPr>
        <w:t xml:space="preserve">in </w:t>
      </w:r>
      <w:r w:rsidRPr="003E4298">
        <w:rPr>
          <w:rFonts w:ascii="Times New Roman" w:hAnsi="Times New Roman" w:cs="Times New Roman"/>
          <w:sz w:val="24"/>
          <w:szCs w:val="24"/>
          <w:lang w:eastAsia="de-DE"/>
        </w:rPr>
        <w:t>a specific policy field –</w:t>
      </w:r>
      <w:r w:rsidR="00AB6E53">
        <w:rPr>
          <w:rFonts w:ascii="Times New Roman" w:hAnsi="Times New Roman" w:cs="Times New Roman"/>
          <w:sz w:val="24"/>
          <w:szCs w:val="24"/>
          <w:lang w:eastAsia="de-DE"/>
        </w:rPr>
        <w:t xml:space="preserve"> </w:t>
      </w:r>
      <w:r w:rsidRPr="003E4298">
        <w:rPr>
          <w:rFonts w:ascii="Times New Roman" w:hAnsi="Times New Roman" w:cs="Times New Roman"/>
          <w:sz w:val="24"/>
          <w:szCs w:val="24"/>
          <w:lang w:eastAsia="de-DE"/>
        </w:rPr>
        <w:t>external energy</w:t>
      </w:r>
      <w:r w:rsidR="00AB6E53">
        <w:rPr>
          <w:rFonts w:ascii="Times New Roman" w:hAnsi="Times New Roman" w:cs="Times New Roman"/>
          <w:sz w:val="24"/>
          <w:szCs w:val="24"/>
          <w:lang w:eastAsia="de-DE"/>
        </w:rPr>
        <w:t xml:space="preserve"> </w:t>
      </w:r>
      <w:r w:rsidRPr="003E4298">
        <w:rPr>
          <w:rFonts w:ascii="Times New Roman" w:hAnsi="Times New Roman" w:cs="Times New Roman"/>
          <w:sz w:val="24"/>
          <w:szCs w:val="24"/>
          <w:lang w:eastAsia="de-DE"/>
        </w:rPr>
        <w:t xml:space="preserve">– </w:t>
      </w:r>
      <w:r w:rsidR="004632AC" w:rsidRPr="003E4298">
        <w:rPr>
          <w:rFonts w:ascii="Times New Roman" w:hAnsi="Times New Roman" w:cs="Times New Roman"/>
          <w:sz w:val="24"/>
          <w:szCs w:val="24"/>
          <w:lang w:eastAsia="de-DE"/>
        </w:rPr>
        <w:t>thus offering</w:t>
      </w:r>
      <w:r w:rsidRPr="003E4298">
        <w:rPr>
          <w:rFonts w:ascii="Times New Roman" w:hAnsi="Times New Roman" w:cs="Times New Roman"/>
          <w:sz w:val="24"/>
          <w:szCs w:val="24"/>
          <w:lang w:eastAsia="de-DE"/>
        </w:rPr>
        <w:t xml:space="preserve"> a new angle in the use of the concept. Typically, researchers dedicated to </w:t>
      </w:r>
      <w:r w:rsidR="007411BD" w:rsidRPr="003E4298">
        <w:rPr>
          <w:rFonts w:ascii="Times New Roman" w:hAnsi="Times New Roman" w:cs="Times New Roman"/>
          <w:sz w:val="24"/>
          <w:szCs w:val="24"/>
          <w:lang w:eastAsia="de-DE"/>
        </w:rPr>
        <w:t>EU foreign policy</w:t>
      </w:r>
      <w:r w:rsidR="00AB6E53">
        <w:rPr>
          <w:rFonts w:ascii="Times New Roman" w:hAnsi="Times New Roman" w:cs="Times New Roman"/>
          <w:sz w:val="24"/>
          <w:szCs w:val="24"/>
          <w:lang w:eastAsia="de-DE"/>
        </w:rPr>
        <w:t xml:space="preserve"> have used NPE</w:t>
      </w:r>
      <w:r w:rsidRPr="003E4298">
        <w:rPr>
          <w:rFonts w:ascii="Times New Roman" w:hAnsi="Times New Roman" w:cs="Times New Roman"/>
          <w:sz w:val="24"/>
          <w:szCs w:val="24"/>
          <w:lang w:eastAsia="de-DE"/>
        </w:rPr>
        <w:t xml:space="preserve"> (Manners</w:t>
      </w:r>
      <w:r w:rsidR="00AB6E53">
        <w:rPr>
          <w:rFonts w:ascii="Times New Roman" w:hAnsi="Times New Roman" w:cs="Times New Roman"/>
          <w:sz w:val="24"/>
          <w:szCs w:val="24"/>
          <w:lang w:eastAsia="de-DE"/>
        </w:rPr>
        <w:t>, 2002;</w:t>
      </w:r>
      <w:r w:rsidRPr="003E4298">
        <w:rPr>
          <w:rFonts w:ascii="Times New Roman" w:hAnsi="Times New Roman" w:cs="Times New Roman"/>
          <w:sz w:val="24"/>
          <w:szCs w:val="24"/>
          <w:lang w:eastAsia="de-DE"/>
        </w:rPr>
        <w:t xml:space="preserve"> </w:t>
      </w:r>
      <w:proofErr w:type="spellStart"/>
      <w:r w:rsidRPr="003E4298">
        <w:rPr>
          <w:rFonts w:ascii="Times New Roman" w:hAnsi="Times New Roman" w:cs="Times New Roman"/>
          <w:sz w:val="24"/>
          <w:szCs w:val="24"/>
          <w:lang w:eastAsia="de-DE"/>
        </w:rPr>
        <w:t>Diez</w:t>
      </w:r>
      <w:proofErr w:type="spellEnd"/>
      <w:r w:rsidR="00AB6E53">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 xml:space="preserve"> 2005 and others). Even </w:t>
      </w:r>
      <w:proofErr w:type="spellStart"/>
      <w:r w:rsidRPr="003E4298">
        <w:rPr>
          <w:rFonts w:ascii="Times New Roman" w:hAnsi="Times New Roman" w:cs="Times New Roman"/>
          <w:sz w:val="24"/>
          <w:szCs w:val="24"/>
          <w:lang w:eastAsia="de-DE"/>
        </w:rPr>
        <w:t>Gstöhl</w:t>
      </w:r>
      <w:proofErr w:type="spellEnd"/>
      <w:r w:rsidRPr="003E4298">
        <w:rPr>
          <w:rFonts w:ascii="Times New Roman" w:hAnsi="Times New Roman" w:cs="Times New Roman"/>
          <w:sz w:val="24"/>
          <w:szCs w:val="24"/>
          <w:lang w:eastAsia="de-DE"/>
        </w:rPr>
        <w:t xml:space="preserve"> (2009) and </w:t>
      </w:r>
      <w:proofErr w:type="spellStart"/>
      <w:r w:rsidRPr="003E4298">
        <w:rPr>
          <w:rFonts w:ascii="Times New Roman" w:hAnsi="Times New Roman" w:cs="Times New Roman"/>
          <w:sz w:val="24"/>
          <w:szCs w:val="24"/>
          <w:lang w:eastAsia="de-DE"/>
        </w:rPr>
        <w:t>Khasson</w:t>
      </w:r>
      <w:proofErr w:type="spellEnd"/>
      <w:r w:rsidR="008B6ED9" w:rsidRPr="003E4298">
        <w:rPr>
          <w:rFonts w:ascii="Times New Roman" w:hAnsi="Times New Roman" w:cs="Times New Roman"/>
          <w:sz w:val="24"/>
          <w:szCs w:val="24"/>
          <w:lang w:eastAsia="de-DE"/>
        </w:rPr>
        <w:t xml:space="preserve"> </w:t>
      </w:r>
      <w:r w:rsidR="008B6ED9" w:rsidRPr="00202585">
        <w:rPr>
          <w:rFonts w:ascii="Times New Roman" w:hAnsi="Times New Roman" w:cs="Times New Roman"/>
          <w:i/>
          <w:sz w:val="24"/>
          <w:szCs w:val="24"/>
          <w:lang w:eastAsia="de-DE"/>
        </w:rPr>
        <w:t>et al</w:t>
      </w:r>
      <w:r w:rsidRPr="003E4298">
        <w:rPr>
          <w:rFonts w:ascii="Times New Roman" w:hAnsi="Times New Roman" w:cs="Times New Roman"/>
          <w:sz w:val="24"/>
          <w:szCs w:val="24"/>
          <w:lang w:eastAsia="de-DE"/>
        </w:rPr>
        <w:t xml:space="preserve"> (2008)</w:t>
      </w:r>
      <w:r w:rsidR="00E77633">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 xml:space="preserve"> who touched on democracy promotion</w:t>
      </w:r>
      <w:r w:rsidR="00E77633">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 xml:space="preserve"> limited the concept’s use to the EU’s neighbourhood policy and r</w:t>
      </w:r>
      <w:r w:rsidR="000519CF">
        <w:rPr>
          <w:rFonts w:ascii="Times New Roman" w:hAnsi="Times New Roman" w:cs="Times New Roman"/>
          <w:sz w:val="24"/>
          <w:szCs w:val="24"/>
          <w:lang w:eastAsia="de-DE"/>
        </w:rPr>
        <w:t>emained</w:t>
      </w:r>
      <w:r w:rsidRPr="003E4298">
        <w:rPr>
          <w:rFonts w:ascii="Times New Roman" w:hAnsi="Times New Roman" w:cs="Times New Roman"/>
          <w:sz w:val="24"/>
          <w:szCs w:val="24"/>
          <w:lang w:eastAsia="de-DE"/>
        </w:rPr>
        <w:t xml:space="preserve"> in more or less in the classical foreign policy field. </w:t>
      </w:r>
      <w:r w:rsidR="00E77633">
        <w:rPr>
          <w:rFonts w:ascii="Times New Roman" w:hAnsi="Times New Roman" w:cs="Times New Roman"/>
          <w:sz w:val="24"/>
          <w:szCs w:val="24"/>
          <w:lang w:eastAsia="de-DE"/>
        </w:rPr>
        <w:t>Energy policy</w:t>
      </w:r>
      <w:r w:rsidR="00DB13A6" w:rsidRPr="003E4298">
        <w:rPr>
          <w:rFonts w:ascii="Times New Roman" w:hAnsi="Times New Roman" w:cs="Times New Roman"/>
          <w:sz w:val="24"/>
          <w:szCs w:val="24"/>
          <w:lang w:eastAsia="de-DE"/>
        </w:rPr>
        <w:t xml:space="preserve"> </w:t>
      </w:r>
      <w:r w:rsidR="00EC46FE" w:rsidRPr="003E4298">
        <w:rPr>
          <w:rFonts w:ascii="Times New Roman" w:hAnsi="Times New Roman" w:cs="Times New Roman"/>
          <w:sz w:val="24"/>
          <w:szCs w:val="24"/>
          <w:lang w:eastAsia="de-DE"/>
        </w:rPr>
        <w:t xml:space="preserve">is a </w:t>
      </w:r>
      <w:r w:rsidR="00E77633" w:rsidRPr="003E4298">
        <w:rPr>
          <w:rFonts w:ascii="Times New Roman" w:hAnsi="Times New Roman" w:cs="Times New Roman"/>
          <w:sz w:val="24"/>
          <w:szCs w:val="24"/>
          <w:lang w:eastAsia="de-DE"/>
        </w:rPr>
        <w:t>crosscutting</w:t>
      </w:r>
      <w:r w:rsidR="00E77633">
        <w:rPr>
          <w:rFonts w:ascii="Times New Roman" w:hAnsi="Times New Roman" w:cs="Times New Roman"/>
          <w:sz w:val="24"/>
          <w:szCs w:val="24"/>
          <w:lang w:eastAsia="de-DE"/>
        </w:rPr>
        <w:t xml:space="preserve"> area of policy, </w:t>
      </w:r>
      <w:r w:rsidR="00EC46FE" w:rsidRPr="003E4298">
        <w:rPr>
          <w:rFonts w:ascii="Times New Roman" w:hAnsi="Times New Roman" w:cs="Times New Roman"/>
          <w:sz w:val="24"/>
          <w:szCs w:val="24"/>
          <w:lang w:eastAsia="de-DE"/>
        </w:rPr>
        <w:t>which intersects</w:t>
      </w:r>
      <w:r w:rsidR="007411BD" w:rsidRPr="003E4298">
        <w:rPr>
          <w:rFonts w:ascii="Times New Roman" w:hAnsi="Times New Roman" w:cs="Times New Roman"/>
          <w:sz w:val="24"/>
          <w:szCs w:val="24"/>
          <w:lang w:eastAsia="de-DE"/>
        </w:rPr>
        <w:t xml:space="preserve"> with EU multi-level policy making</w:t>
      </w:r>
      <w:r w:rsidR="00DB13A6" w:rsidRPr="003E4298">
        <w:rPr>
          <w:rFonts w:ascii="Times New Roman" w:hAnsi="Times New Roman" w:cs="Times New Roman"/>
          <w:sz w:val="24"/>
          <w:szCs w:val="24"/>
          <w:lang w:eastAsia="de-DE"/>
        </w:rPr>
        <w:t xml:space="preserve">. </w:t>
      </w:r>
      <w:r w:rsidRPr="003E4298">
        <w:rPr>
          <w:rFonts w:ascii="Times New Roman" w:hAnsi="Times New Roman" w:cs="Times New Roman"/>
          <w:sz w:val="24"/>
          <w:szCs w:val="24"/>
          <w:lang w:eastAsia="de-DE"/>
        </w:rPr>
        <w:t xml:space="preserve">Transferring the concept </w:t>
      </w:r>
      <w:r w:rsidR="00DB13A6" w:rsidRPr="003E4298">
        <w:rPr>
          <w:rFonts w:ascii="Times New Roman" w:hAnsi="Times New Roman" w:cs="Times New Roman"/>
          <w:sz w:val="24"/>
          <w:szCs w:val="24"/>
          <w:lang w:eastAsia="de-DE"/>
        </w:rPr>
        <w:t xml:space="preserve">of NPE </w:t>
      </w:r>
      <w:r w:rsidRPr="003E4298">
        <w:rPr>
          <w:rFonts w:ascii="Times New Roman" w:hAnsi="Times New Roman" w:cs="Times New Roman"/>
          <w:sz w:val="24"/>
          <w:szCs w:val="24"/>
          <w:lang w:eastAsia="de-DE"/>
        </w:rPr>
        <w:t xml:space="preserve">to the </w:t>
      </w:r>
      <w:r w:rsidR="007411BD" w:rsidRPr="003E4298">
        <w:rPr>
          <w:rFonts w:ascii="Times New Roman" w:hAnsi="Times New Roman" w:cs="Times New Roman"/>
          <w:sz w:val="24"/>
          <w:szCs w:val="24"/>
          <w:lang w:eastAsia="de-DE"/>
        </w:rPr>
        <w:t>multi-level</w:t>
      </w:r>
      <w:r w:rsidRPr="003E4298">
        <w:rPr>
          <w:rFonts w:ascii="Times New Roman" w:hAnsi="Times New Roman" w:cs="Times New Roman"/>
          <w:sz w:val="24"/>
          <w:szCs w:val="24"/>
          <w:lang w:eastAsia="de-DE"/>
        </w:rPr>
        <w:t xml:space="preserve"> </w:t>
      </w:r>
      <w:r w:rsidR="007411BD" w:rsidRPr="003E4298">
        <w:rPr>
          <w:rFonts w:ascii="Times New Roman" w:hAnsi="Times New Roman" w:cs="Times New Roman"/>
          <w:sz w:val="24"/>
          <w:szCs w:val="24"/>
          <w:lang w:eastAsia="de-DE"/>
        </w:rPr>
        <w:t>governance arena</w:t>
      </w:r>
      <w:r w:rsidRPr="003E4298">
        <w:rPr>
          <w:rFonts w:ascii="Times New Roman" w:hAnsi="Times New Roman" w:cs="Times New Roman"/>
          <w:sz w:val="24"/>
          <w:szCs w:val="24"/>
          <w:lang w:eastAsia="de-DE"/>
        </w:rPr>
        <w:t xml:space="preserve"> of energy policy will highlight two moments of revision within the thinking on EU as a normative actor. On the one hand, </w:t>
      </w:r>
      <w:r w:rsidR="00331086" w:rsidRPr="003E4298">
        <w:rPr>
          <w:rFonts w:ascii="Times New Roman" w:hAnsi="Times New Roman" w:cs="Times New Roman"/>
          <w:sz w:val="24"/>
          <w:szCs w:val="24"/>
          <w:lang w:eastAsia="de-DE"/>
        </w:rPr>
        <w:t>we</w:t>
      </w:r>
      <w:r w:rsidRPr="003E4298">
        <w:rPr>
          <w:rFonts w:ascii="Times New Roman" w:hAnsi="Times New Roman" w:cs="Times New Roman"/>
          <w:sz w:val="24"/>
          <w:szCs w:val="24"/>
          <w:lang w:eastAsia="de-DE"/>
        </w:rPr>
        <w:t xml:space="preserve"> reaffirm the argument that NPE has previously been </w:t>
      </w:r>
      <w:r w:rsidR="00DB13A6" w:rsidRPr="003E4298">
        <w:rPr>
          <w:rFonts w:ascii="Times New Roman" w:hAnsi="Times New Roman" w:cs="Times New Roman"/>
          <w:sz w:val="24"/>
          <w:szCs w:val="24"/>
          <w:lang w:eastAsia="de-DE"/>
        </w:rPr>
        <w:t xml:space="preserve">conceptualized </w:t>
      </w:r>
      <w:r w:rsidRPr="003E4298">
        <w:rPr>
          <w:rFonts w:ascii="Times New Roman" w:hAnsi="Times New Roman" w:cs="Times New Roman"/>
          <w:sz w:val="24"/>
          <w:szCs w:val="24"/>
          <w:lang w:eastAsia="de-DE"/>
        </w:rPr>
        <w:t>only from the EU point</w:t>
      </w:r>
      <w:r w:rsidR="00DB13A6" w:rsidRPr="003E4298">
        <w:rPr>
          <w:rFonts w:ascii="Times New Roman" w:hAnsi="Times New Roman" w:cs="Times New Roman"/>
          <w:sz w:val="24"/>
          <w:szCs w:val="24"/>
          <w:lang w:eastAsia="de-DE"/>
        </w:rPr>
        <w:t xml:space="preserve"> </w:t>
      </w:r>
      <w:r w:rsidRPr="003E4298">
        <w:rPr>
          <w:rFonts w:ascii="Times New Roman" w:hAnsi="Times New Roman" w:cs="Times New Roman"/>
          <w:sz w:val="24"/>
          <w:szCs w:val="24"/>
          <w:lang w:eastAsia="de-DE"/>
        </w:rPr>
        <w:t xml:space="preserve">of view </w:t>
      </w:r>
      <w:r w:rsidR="00DB13A6" w:rsidRPr="003E4298">
        <w:rPr>
          <w:rFonts w:ascii="Times New Roman" w:hAnsi="Times New Roman" w:cs="Times New Roman"/>
          <w:sz w:val="24"/>
          <w:szCs w:val="24"/>
          <w:lang w:eastAsia="de-DE"/>
        </w:rPr>
        <w:t xml:space="preserve">and </w:t>
      </w:r>
      <w:r w:rsidRPr="003E4298">
        <w:rPr>
          <w:rFonts w:ascii="Times New Roman" w:hAnsi="Times New Roman" w:cs="Times New Roman"/>
          <w:sz w:val="24"/>
          <w:szCs w:val="24"/>
          <w:lang w:eastAsia="de-DE"/>
        </w:rPr>
        <w:t xml:space="preserve">thus </w:t>
      </w:r>
      <w:r w:rsidR="00DB13A6" w:rsidRPr="003E4298">
        <w:rPr>
          <w:rFonts w:ascii="Times New Roman" w:hAnsi="Times New Roman" w:cs="Times New Roman"/>
          <w:sz w:val="24"/>
          <w:szCs w:val="24"/>
          <w:lang w:eastAsia="de-DE"/>
        </w:rPr>
        <w:t>has been</w:t>
      </w:r>
      <w:r w:rsidRPr="003E4298">
        <w:rPr>
          <w:rFonts w:ascii="Times New Roman" w:hAnsi="Times New Roman" w:cs="Times New Roman"/>
          <w:sz w:val="24"/>
          <w:szCs w:val="24"/>
          <w:lang w:eastAsia="de-DE"/>
        </w:rPr>
        <w:t xml:space="preserve"> easily criticized as Eurocentric. On the other hand, by locating NPE analyses within only the </w:t>
      </w:r>
      <w:r w:rsidR="00A47F26">
        <w:rPr>
          <w:rFonts w:ascii="Times New Roman" w:hAnsi="Times New Roman" w:cs="Times New Roman"/>
          <w:sz w:val="24"/>
          <w:szCs w:val="24"/>
          <w:lang w:eastAsia="de-DE"/>
        </w:rPr>
        <w:t>‘</w:t>
      </w:r>
      <w:r w:rsidR="007411BD" w:rsidRPr="003E4298">
        <w:rPr>
          <w:rFonts w:ascii="Times New Roman" w:hAnsi="Times New Roman" w:cs="Times New Roman"/>
          <w:sz w:val="24"/>
          <w:szCs w:val="24"/>
          <w:lang w:eastAsia="de-DE"/>
        </w:rPr>
        <w:t>foreign</w:t>
      </w:r>
      <w:r w:rsidR="00A47F26">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 xml:space="preserve"> policy field, the character of the EU’s multi-level system has not played a role. Our paper contends that these two arguments offer a means by which the NPE concept can be maximised so as to make it more useful for empirical analyses in other policy fields, thus mov</w:t>
      </w:r>
      <w:r w:rsidR="0098548C" w:rsidRPr="003E4298">
        <w:rPr>
          <w:rFonts w:ascii="Times New Roman" w:hAnsi="Times New Roman" w:cs="Times New Roman"/>
          <w:sz w:val="24"/>
          <w:szCs w:val="24"/>
          <w:lang w:eastAsia="de-DE"/>
        </w:rPr>
        <w:t>ing</w:t>
      </w:r>
      <w:r w:rsidRPr="003E4298">
        <w:rPr>
          <w:rFonts w:ascii="Times New Roman" w:hAnsi="Times New Roman" w:cs="Times New Roman"/>
          <w:sz w:val="24"/>
          <w:szCs w:val="24"/>
          <w:lang w:eastAsia="de-DE"/>
        </w:rPr>
        <w:t xml:space="preserve"> beyond foreign policy</w:t>
      </w:r>
      <w:r w:rsidR="0098548C" w:rsidRPr="003E4298">
        <w:rPr>
          <w:rFonts w:ascii="Times New Roman" w:hAnsi="Times New Roman" w:cs="Times New Roman"/>
          <w:sz w:val="24"/>
          <w:szCs w:val="24"/>
          <w:lang w:eastAsia="de-DE"/>
        </w:rPr>
        <w:t xml:space="preserve"> in the narrow sense</w:t>
      </w:r>
      <w:r w:rsidRPr="003E4298">
        <w:rPr>
          <w:rFonts w:ascii="Times New Roman" w:hAnsi="Times New Roman" w:cs="Times New Roman"/>
          <w:sz w:val="24"/>
          <w:szCs w:val="24"/>
          <w:lang w:eastAsia="de-DE"/>
        </w:rPr>
        <w:t>.</w:t>
      </w:r>
    </w:p>
    <w:p w14:paraId="60F10C01" w14:textId="0BE5E361" w:rsidR="00D209BA" w:rsidRPr="003E4298" w:rsidRDefault="00D209BA" w:rsidP="003E4298">
      <w:pPr>
        <w:spacing w:line="480" w:lineRule="auto"/>
        <w:ind w:firstLine="720"/>
        <w:contextualSpacing/>
        <w:rPr>
          <w:rFonts w:ascii="Times New Roman" w:hAnsi="Times New Roman" w:cs="Times New Roman"/>
          <w:sz w:val="24"/>
          <w:szCs w:val="24"/>
          <w:lang w:eastAsia="de-DE"/>
        </w:rPr>
      </w:pPr>
      <w:r w:rsidRPr="003E4298">
        <w:rPr>
          <w:rFonts w:ascii="Times New Roman" w:hAnsi="Times New Roman" w:cs="Times New Roman"/>
          <w:sz w:val="24"/>
          <w:szCs w:val="24"/>
          <w:lang w:eastAsia="de-DE"/>
        </w:rPr>
        <w:t xml:space="preserve">The first argument </w:t>
      </w:r>
      <w:r w:rsidR="0098548C" w:rsidRPr="003E4298">
        <w:rPr>
          <w:rFonts w:ascii="Times New Roman" w:hAnsi="Times New Roman" w:cs="Times New Roman"/>
          <w:sz w:val="24"/>
          <w:szCs w:val="24"/>
          <w:lang w:eastAsia="de-DE"/>
        </w:rPr>
        <w:t xml:space="preserve">is </w:t>
      </w:r>
      <w:r w:rsidRPr="003E4298">
        <w:rPr>
          <w:rFonts w:ascii="Times New Roman" w:hAnsi="Times New Roman" w:cs="Times New Roman"/>
          <w:sz w:val="24"/>
          <w:szCs w:val="24"/>
          <w:lang w:eastAsia="de-DE"/>
        </w:rPr>
        <w:t xml:space="preserve">that the NPE approach should elaborate more on the process by which European norms are </w:t>
      </w:r>
      <w:r w:rsidR="00897902" w:rsidRPr="003E4298">
        <w:rPr>
          <w:rFonts w:ascii="Times New Roman" w:hAnsi="Times New Roman" w:cs="Times New Roman"/>
          <w:sz w:val="24"/>
          <w:szCs w:val="24"/>
          <w:lang w:eastAsia="de-DE"/>
        </w:rPr>
        <w:t xml:space="preserve">transferred </w:t>
      </w:r>
      <w:r w:rsidRPr="003E4298">
        <w:rPr>
          <w:rFonts w:ascii="Times New Roman" w:hAnsi="Times New Roman" w:cs="Times New Roman"/>
          <w:sz w:val="24"/>
          <w:szCs w:val="24"/>
          <w:lang w:eastAsia="de-DE"/>
        </w:rPr>
        <w:t xml:space="preserve">within interactions with third countries or in multilateral </w:t>
      </w:r>
      <w:r w:rsidR="00DB13A6" w:rsidRPr="003E4298">
        <w:rPr>
          <w:rFonts w:ascii="Times New Roman" w:hAnsi="Times New Roman" w:cs="Times New Roman"/>
          <w:sz w:val="24"/>
          <w:szCs w:val="24"/>
          <w:lang w:eastAsia="de-DE"/>
        </w:rPr>
        <w:t>settings</w:t>
      </w:r>
      <w:r w:rsidRPr="003E4298">
        <w:rPr>
          <w:rFonts w:ascii="Times New Roman" w:hAnsi="Times New Roman" w:cs="Times New Roman"/>
          <w:sz w:val="24"/>
          <w:szCs w:val="24"/>
          <w:lang w:eastAsia="de-DE"/>
        </w:rPr>
        <w:t xml:space="preserve">. This </w:t>
      </w:r>
      <w:r w:rsidR="0098548C" w:rsidRPr="003E4298">
        <w:rPr>
          <w:rFonts w:ascii="Times New Roman" w:hAnsi="Times New Roman" w:cs="Times New Roman"/>
          <w:sz w:val="24"/>
          <w:szCs w:val="24"/>
          <w:lang w:eastAsia="de-DE"/>
        </w:rPr>
        <w:t xml:space="preserve">elaboration should </w:t>
      </w:r>
      <w:r w:rsidRPr="003E4298">
        <w:rPr>
          <w:rFonts w:ascii="Times New Roman" w:hAnsi="Times New Roman" w:cs="Times New Roman"/>
          <w:sz w:val="24"/>
          <w:szCs w:val="24"/>
          <w:lang w:eastAsia="de-DE"/>
        </w:rPr>
        <w:t>include carefully examining processes of norm re-interpretation and norm changes by receivers. The embeddedness of interaction and discourse in different political and cultural contexts impact</w:t>
      </w:r>
      <w:r w:rsidR="00E0155F" w:rsidRPr="003E4298">
        <w:rPr>
          <w:rFonts w:ascii="Times New Roman" w:hAnsi="Times New Roman" w:cs="Times New Roman"/>
          <w:sz w:val="24"/>
          <w:szCs w:val="24"/>
          <w:lang w:eastAsia="de-DE"/>
        </w:rPr>
        <w:t>s on</w:t>
      </w:r>
      <w:r w:rsidRPr="003E4298">
        <w:rPr>
          <w:rFonts w:ascii="Times New Roman" w:hAnsi="Times New Roman" w:cs="Times New Roman"/>
          <w:sz w:val="24"/>
          <w:szCs w:val="24"/>
          <w:lang w:eastAsia="de-DE"/>
        </w:rPr>
        <w:t xml:space="preserve"> norm interpretation. Taking the translation process seriously means not conceptualising the process of translation as only a one way </w:t>
      </w:r>
      <w:r w:rsidR="00A47F26">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sender – receiver</w:t>
      </w:r>
      <w:r w:rsidR="00A47F26">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 xml:space="preserve"> process in which the EU is constructed as the only legitimate global norm driven actor (</w:t>
      </w:r>
      <w:proofErr w:type="spellStart"/>
      <w:r w:rsidRPr="003E4298">
        <w:rPr>
          <w:rFonts w:ascii="Times New Roman" w:hAnsi="Times New Roman" w:cs="Times New Roman"/>
          <w:sz w:val="24"/>
          <w:szCs w:val="24"/>
          <w:lang w:eastAsia="de-DE"/>
        </w:rPr>
        <w:t>Merlingen</w:t>
      </w:r>
      <w:proofErr w:type="spellEnd"/>
      <w:r w:rsidR="00C16431" w:rsidRPr="003E4298">
        <w:rPr>
          <w:rFonts w:ascii="Times New Roman" w:hAnsi="Times New Roman" w:cs="Times New Roman"/>
          <w:sz w:val="24"/>
          <w:szCs w:val="24"/>
          <w:lang w:eastAsia="de-DE"/>
        </w:rPr>
        <w:t xml:space="preserve">, </w:t>
      </w:r>
      <w:r w:rsidRPr="003E4298">
        <w:rPr>
          <w:rFonts w:ascii="Times New Roman" w:hAnsi="Times New Roman" w:cs="Times New Roman"/>
          <w:sz w:val="24"/>
          <w:szCs w:val="24"/>
          <w:lang w:eastAsia="de-DE"/>
        </w:rPr>
        <w:t>2007</w:t>
      </w:r>
      <w:r w:rsidR="00C16431" w:rsidRPr="003E4298">
        <w:rPr>
          <w:rFonts w:ascii="Times New Roman" w:hAnsi="Times New Roman" w:cs="Times New Roman"/>
          <w:sz w:val="24"/>
          <w:szCs w:val="24"/>
          <w:lang w:eastAsia="de-DE"/>
        </w:rPr>
        <w:t xml:space="preserve">; </w:t>
      </w:r>
      <w:proofErr w:type="spellStart"/>
      <w:r w:rsidR="00C16431" w:rsidRPr="003E4298">
        <w:rPr>
          <w:rFonts w:ascii="Times New Roman" w:hAnsi="Times New Roman" w:cs="Times New Roman"/>
          <w:sz w:val="24"/>
          <w:szCs w:val="24"/>
          <w:lang w:eastAsia="de-DE"/>
        </w:rPr>
        <w:t>Sjursen</w:t>
      </w:r>
      <w:proofErr w:type="spellEnd"/>
      <w:r w:rsidR="00C16431" w:rsidRPr="003E4298">
        <w:rPr>
          <w:rFonts w:ascii="Times New Roman" w:hAnsi="Times New Roman" w:cs="Times New Roman"/>
          <w:sz w:val="24"/>
          <w:szCs w:val="24"/>
          <w:lang w:eastAsia="de-DE"/>
        </w:rPr>
        <w:t>, 2006</w:t>
      </w:r>
      <w:r w:rsidRPr="003E4298">
        <w:rPr>
          <w:rFonts w:ascii="Times New Roman" w:hAnsi="Times New Roman" w:cs="Times New Roman"/>
          <w:sz w:val="24"/>
          <w:szCs w:val="24"/>
          <w:lang w:eastAsia="de-DE"/>
        </w:rPr>
        <w:t xml:space="preserve">) in an </w:t>
      </w:r>
      <w:r w:rsidR="00897902" w:rsidRPr="003E4298">
        <w:rPr>
          <w:rFonts w:ascii="Times New Roman" w:hAnsi="Times New Roman" w:cs="Times New Roman"/>
          <w:sz w:val="24"/>
          <w:szCs w:val="24"/>
          <w:lang w:eastAsia="de-DE"/>
        </w:rPr>
        <w:t xml:space="preserve">marketplace of ideas </w:t>
      </w:r>
      <w:r w:rsidRPr="003E4298">
        <w:rPr>
          <w:rFonts w:ascii="Times New Roman" w:hAnsi="Times New Roman" w:cs="Times New Roman"/>
          <w:sz w:val="24"/>
          <w:szCs w:val="24"/>
          <w:lang w:eastAsia="de-DE"/>
        </w:rPr>
        <w:t xml:space="preserve">where third parties are perceived as less value-driven. </w:t>
      </w:r>
      <w:r w:rsidRPr="003E4298">
        <w:rPr>
          <w:rFonts w:ascii="Times New Roman" w:hAnsi="Times New Roman" w:cs="Times New Roman"/>
          <w:sz w:val="24"/>
          <w:szCs w:val="24"/>
        </w:rPr>
        <w:t xml:space="preserve">If the EU does not listen to the reactions and views from the receiver either inside or outside the EU, then the power of the NPE message is </w:t>
      </w:r>
      <w:r w:rsidRPr="003E4298">
        <w:rPr>
          <w:rFonts w:ascii="Times New Roman" w:hAnsi="Times New Roman" w:cs="Times New Roman"/>
          <w:sz w:val="24"/>
          <w:szCs w:val="24"/>
        </w:rPr>
        <w:lastRenderedPageBreak/>
        <w:t xml:space="preserve">undermined as it becomes </w:t>
      </w:r>
      <w:r w:rsidR="00A47F26">
        <w:rPr>
          <w:rFonts w:ascii="Times New Roman" w:hAnsi="Times New Roman" w:cs="Times New Roman"/>
          <w:sz w:val="24"/>
          <w:szCs w:val="24"/>
        </w:rPr>
        <w:t>‘</w:t>
      </w:r>
      <w:r w:rsidRPr="003E4298">
        <w:rPr>
          <w:rFonts w:ascii="Times New Roman" w:hAnsi="Times New Roman" w:cs="Times New Roman"/>
          <w:sz w:val="24"/>
          <w:szCs w:val="24"/>
        </w:rPr>
        <w:t>preaching at</w:t>
      </w:r>
      <w:r w:rsidR="00A47F26">
        <w:rPr>
          <w:rFonts w:ascii="Times New Roman" w:hAnsi="Times New Roman" w:cs="Times New Roman"/>
          <w:sz w:val="24"/>
          <w:szCs w:val="24"/>
        </w:rPr>
        <w:t>’</w:t>
      </w:r>
      <w:r w:rsidRPr="003E4298">
        <w:rPr>
          <w:rFonts w:ascii="Times New Roman" w:hAnsi="Times New Roman" w:cs="Times New Roman"/>
          <w:sz w:val="24"/>
          <w:szCs w:val="24"/>
        </w:rPr>
        <w:t xml:space="preserve"> receivers, not </w:t>
      </w:r>
      <w:r w:rsidR="00A47F26">
        <w:rPr>
          <w:rFonts w:ascii="Times New Roman" w:hAnsi="Times New Roman" w:cs="Times New Roman"/>
          <w:sz w:val="24"/>
          <w:szCs w:val="24"/>
        </w:rPr>
        <w:t>‘</w:t>
      </w:r>
      <w:r w:rsidRPr="003E4298">
        <w:rPr>
          <w:rFonts w:ascii="Times New Roman" w:hAnsi="Times New Roman" w:cs="Times New Roman"/>
          <w:sz w:val="24"/>
          <w:szCs w:val="24"/>
        </w:rPr>
        <w:t>talking with them</w:t>
      </w:r>
      <w:r w:rsidR="00A47F26">
        <w:rPr>
          <w:rFonts w:ascii="Times New Roman" w:hAnsi="Times New Roman" w:cs="Times New Roman"/>
          <w:sz w:val="24"/>
          <w:szCs w:val="24"/>
        </w:rPr>
        <w:t>’</w:t>
      </w:r>
      <w:r w:rsidRPr="003E4298">
        <w:rPr>
          <w:rFonts w:ascii="Times New Roman" w:hAnsi="Times New Roman" w:cs="Times New Roman"/>
          <w:sz w:val="24"/>
          <w:szCs w:val="24"/>
        </w:rPr>
        <w:t xml:space="preserve">. </w:t>
      </w:r>
      <w:r w:rsidRPr="003E4298">
        <w:rPr>
          <w:rFonts w:ascii="Times New Roman" w:hAnsi="Times New Roman" w:cs="Times New Roman"/>
          <w:sz w:val="24"/>
          <w:szCs w:val="24"/>
          <w:lang w:eastAsia="de-DE"/>
        </w:rPr>
        <w:t>Such a</w:t>
      </w:r>
      <w:r w:rsidR="00897902" w:rsidRPr="003E4298">
        <w:rPr>
          <w:rFonts w:ascii="Times New Roman" w:hAnsi="Times New Roman" w:cs="Times New Roman"/>
          <w:sz w:val="24"/>
          <w:szCs w:val="24"/>
          <w:lang w:eastAsia="de-DE"/>
        </w:rPr>
        <w:t xml:space="preserve">n aggressive hard sell strategy </w:t>
      </w:r>
      <w:r w:rsidRPr="003E4298">
        <w:rPr>
          <w:rFonts w:ascii="Times New Roman" w:hAnsi="Times New Roman" w:cs="Times New Roman"/>
          <w:sz w:val="24"/>
          <w:szCs w:val="24"/>
          <w:lang w:eastAsia="de-DE"/>
        </w:rPr>
        <w:t xml:space="preserve">also neglects </w:t>
      </w:r>
      <w:r w:rsidR="00331086" w:rsidRPr="003E4298">
        <w:rPr>
          <w:rFonts w:ascii="Times New Roman" w:hAnsi="Times New Roman" w:cs="Times New Roman"/>
          <w:sz w:val="24"/>
          <w:szCs w:val="24"/>
          <w:lang w:eastAsia="de-DE"/>
        </w:rPr>
        <w:t xml:space="preserve">the </w:t>
      </w:r>
      <w:r w:rsidR="00DB13A6" w:rsidRPr="003E4298">
        <w:rPr>
          <w:rFonts w:ascii="Times New Roman" w:hAnsi="Times New Roman" w:cs="Times New Roman"/>
          <w:sz w:val="24"/>
          <w:szCs w:val="24"/>
          <w:lang w:eastAsia="de-DE"/>
        </w:rPr>
        <w:t>agency</w:t>
      </w:r>
      <w:r w:rsidRPr="003E4298">
        <w:rPr>
          <w:rFonts w:ascii="Times New Roman" w:hAnsi="Times New Roman" w:cs="Times New Roman"/>
          <w:sz w:val="24"/>
          <w:szCs w:val="24"/>
          <w:lang w:eastAsia="de-DE"/>
        </w:rPr>
        <w:t xml:space="preserve"> of major powers </w:t>
      </w:r>
      <w:r w:rsidR="00DB13A6" w:rsidRPr="003E4298">
        <w:rPr>
          <w:rFonts w:ascii="Times New Roman" w:hAnsi="Times New Roman" w:cs="Times New Roman"/>
          <w:sz w:val="24"/>
          <w:szCs w:val="24"/>
          <w:lang w:eastAsia="de-DE"/>
        </w:rPr>
        <w:t xml:space="preserve">as </w:t>
      </w:r>
      <w:r w:rsidRPr="003E4298">
        <w:rPr>
          <w:rFonts w:ascii="Times New Roman" w:hAnsi="Times New Roman" w:cs="Times New Roman"/>
          <w:sz w:val="24"/>
          <w:szCs w:val="24"/>
          <w:lang w:eastAsia="de-DE"/>
        </w:rPr>
        <w:t xml:space="preserve">able to perform as </w:t>
      </w:r>
      <w:r w:rsidR="00A47F26">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normative foreign policy actors</w:t>
      </w:r>
      <w:r w:rsidR="00A47F26">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 xml:space="preserve"> (</w:t>
      </w:r>
      <w:proofErr w:type="spellStart"/>
      <w:r w:rsidRPr="003E4298">
        <w:rPr>
          <w:rFonts w:ascii="Times New Roman" w:hAnsi="Times New Roman" w:cs="Times New Roman"/>
          <w:sz w:val="24"/>
          <w:szCs w:val="24"/>
          <w:lang w:eastAsia="de-DE"/>
        </w:rPr>
        <w:t>Tocci</w:t>
      </w:r>
      <w:proofErr w:type="spellEnd"/>
      <w:r w:rsidR="00AB577E" w:rsidRPr="003E4298">
        <w:rPr>
          <w:rFonts w:ascii="Times New Roman" w:hAnsi="Times New Roman" w:cs="Times New Roman"/>
          <w:sz w:val="24"/>
          <w:szCs w:val="24"/>
          <w:lang w:eastAsia="de-DE"/>
        </w:rPr>
        <w:t xml:space="preserve">, </w:t>
      </w:r>
      <w:r w:rsidRPr="003E4298">
        <w:rPr>
          <w:rFonts w:ascii="Times New Roman" w:hAnsi="Times New Roman" w:cs="Times New Roman"/>
          <w:sz w:val="24"/>
          <w:szCs w:val="24"/>
          <w:lang w:eastAsia="de-DE"/>
        </w:rPr>
        <w:t xml:space="preserve">2008). In order to use </w:t>
      </w:r>
      <w:r w:rsidR="00DB13A6" w:rsidRPr="003E4298">
        <w:rPr>
          <w:rFonts w:ascii="Times New Roman" w:hAnsi="Times New Roman" w:cs="Times New Roman"/>
          <w:sz w:val="24"/>
          <w:szCs w:val="24"/>
          <w:lang w:eastAsia="de-DE"/>
        </w:rPr>
        <w:t xml:space="preserve">the </w:t>
      </w:r>
      <w:r w:rsidRPr="003E4298">
        <w:rPr>
          <w:rFonts w:ascii="Times New Roman" w:hAnsi="Times New Roman" w:cs="Times New Roman"/>
          <w:sz w:val="24"/>
          <w:szCs w:val="24"/>
          <w:lang w:eastAsia="de-DE"/>
        </w:rPr>
        <w:t>normative power approach as a non-Eurocentric heuristic framework it is important to highlight the roles of major powers</w:t>
      </w:r>
      <w:r w:rsidR="00E77633">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 xml:space="preserve"> which </w:t>
      </w:r>
      <w:r w:rsidR="00827390">
        <w:rPr>
          <w:rFonts w:ascii="Times New Roman" w:hAnsi="Times New Roman" w:cs="Times New Roman"/>
          <w:sz w:val="24"/>
          <w:szCs w:val="24"/>
          <w:lang w:eastAsia="de-DE"/>
        </w:rPr>
        <w:t>have the ability to set normative standards over others</w:t>
      </w:r>
      <w:r w:rsidR="00533C57">
        <w:rPr>
          <w:rFonts w:ascii="Times New Roman" w:hAnsi="Times New Roman" w:cs="Times New Roman"/>
          <w:sz w:val="24"/>
          <w:szCs w:val="24"/>
          <w:lang w:eastAsia="de-DE"/>
        </w:rPr>
        <w:t xml:space="preserve"> (Whitman, 2013)</w:t>
      </w:r>
      <w:r w:rsidRPr="003E4298">
        <w:rPr>
          <w:rFonts w:ascii="Times New Roman" w:hAnsi="Times New Roman" w:cs="Times New Roman"/>
          <w:sz w:val="24"/>
          <w:szCs w:val="24"/>
          <w:lang w:eastAsia="de-DE"/>
        </w:rPr>
        <w:t>. As such, in addition to exploring the EU, our paper also considers China, India, Brazil, Russia and South Africa as well as individual EU</w:t>
      </w:r>
      <w:r w:rsidR="007D5078" w:rsidRPr="003E4298">
        <w:rPr>
          <w:rFonts w:ascii="Times New Roman" w:hAnsi="Times New Roman" w:cs="Times New Roman"/>
          <w:sz w:val="24"/>
          <w:szCs w:val="24"/>
          <w:lang w:eastAsia="de-DE"/>
        </w:rPr>
        <w:t xml:space="preserve"> </w:t>
      </w:r>
      <w:r w:rsidR="00DB13A6" w:rsidRPr="003E4298">
        <w:rPr>
          <w:rFonts w:ascii="Times New Roman" w:hAnsi="Times New Roman" w:cs="Times New Roman"/>
          <w:sz w:val="24"/>
          <w:szCs w:val="24"/>
          <w:lang w:eastAsia="de-DE"/>
        </w:rPr>
        <w:t>m</w:t>
      </w:r>
      <w:r w:rsidRPr="003E4298">
        <w:rPr>
          <w:rFonts w:ascii="Times New Roman" w:hAnsi="Times New Roman" w:cs="Times New Roman"/>
          <w:sz w:val="24"/>
          <w:szCs w:val="24"/>
          <w:lang w:eastAsia="de-DE"/>
        </w:rPr>
        <w:t xml:space="preserve">ember states as normative foreign policy actors. This </w:t>
      </w:r>
      <w:r w:rsidR="00A67D65" w:rsidRPr="003E4298">
        <w:rPr>
          <w:rFonts w:ascii="Times New Roman" w:hAnsi="Times New Roman" w:cs="Times New Roman"/>
          <w:sz w:val="24"/>
          <w:szCs w:val="24"/>
          <w:lang w:eastAsia="de-DE"/>
        </w:rPr>
        <w:t xml:space="preserve">procedure </w:t>
      </w:r>
      <w:r w:rsidRPr="003E4298">
        <w:rPr>
          <w:rFonts w:ascii="Times New Roman" w:hAnsi="Times New Roman" w:cs="Times New Roman"/>
          <w:sz w:val="24"/>
          <w:szCs w:val="24"/>
          <w:lang w:eastAsia="de-DE"/>
        </w:rPr>
        <w:t xml:space="preserve">follows </w:t>
      </w:r>
      <w:r w:rsidR="000519CF">
        <w:rPr>
          <w:rFonts w:ascii="Times New Roman" w:hAnsi="Times New Roman" w:cs="Times New Roman"/>
          <w:sz w:val="24"/>
          <w:szCs w:val="24"/>
          <w:lang w:eastAsia="de-DE"/>
        </w:rPr>
        <w:t>March and Olsen’s ‘l</w:t>
      </w:r>
      <w:r w:rsidRPr="003E4298">
        <w:rPr>
          <w:rFonts w:ascii="Times New Roman" w:hAnsi="Times New Roman" w:cs="Times New Roman"/>
          <w:sz w:val="24"/>
          <w:szCs w:val="24"/>
          <w:lang w:eastAsia="de-DE"/>
        </w:rPr>
        <w:t>ogic of appropriateness</w:t>
      </w:r>
      <w:r w:rsidR="000519CF">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 xml:space="preserve"> (March</w:t>
      </w:r>
      <w:r w:rsidR="00626392" w:rsidRPr="003E4298">
        <w:rPr>
          <w:rFonts w:ascii="Times New Roman" w:hAnsi="Times New Roman" w:cs="Times New Roman"/>
          <w:sz w:val="24"/>
          <w:szCs w:val="24"/>
          <w:lang w:eastAsia="de-DE"/>
        </w:rPr>
        <w:t xml:space="preserve"> </w:t>
      </w:r>
      <w:r w:rsidR="00AB577E" w:rsidRPr="003E4298">
        <w:rPr>
          <w:rFonts w:ascii="Times New Roman" w:hAnsi="Times New Roman" w:cs="Times New Roman"/>
          <w:sz w:val="24"/>
          <w:szCs w:val="24"/>
          <w:lang w:eastAsia="de-DE"/>
        </w:rPr>
        <w:t xml:space="preserve">and </w:t>
      </w:r>
      <w:r w:rsidRPr="003E4298">
        <w:rPr>
          <w:rFonts w:ascii="Times New Roman" w:hAnsi="Times New Roman" w:cs="Times New Roman"/>
          <w:sz w:val="24"/>
          <w:szCs w:val="24"/>
          <w:lang w:eastAsia="de-DE"/>
        </w:rPr>
        <w:t>Olsen</w:t>
      </w:r>
      <w:r w:rsidR="00AB577E" w:rsidRPr="003E4298">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 xml:space="preserve"> 1989) based on their identity in their respective (normative) foreign policy actions.</w:t>
      </w:r>
    </w:p>
    <w:p w14:paraId="67D746E4" w14:textId="608662D6" w:rsidR="00D209BA" w:rsidRPr="003E4298" w:rsidRDefault="00D209BA" w:rsidP="003E4298">
      <w:pPr>
        <w:spacing w:line="480" w:lineRule="auto"/>
        <w:ind w:firstLine="720"/>
        <w:contextualSpacing/>
        <w:rPr>
          <w:rFonts w:ascii="Times New Roman" w:hAnsi="Times New Roman" w:cs="Times New Roman"/>
          <w:sz w:val="24"/>
          <w:szCs w:val="24"/>
          <w:lang w:eastAsia="de-DE"/>
        </w:rPr>
      </w:pPr>
      <w:r w:rsidRPr="00BA1AFC">
        <w:rPr>
          <w:rFonts w:ascii="Times New Roman" w:hAnsi="Times New Roman" w:cs="Times New Roman"/>
          <w:sz w:val="24"/>
          <w:szCs w:val="24"/>
          <w:lang w:eastAsia="de-DE"/>
        </w:rPr>
        <w:t xml:space="preserve">The second argument </w:t>
      </w:r>
      <w:r w:rsidR="00626392" w:rsidRPr="00BA1AFC">
        <w:rPr>
          <w:rFonts w:ascii="Times New Roman" w:hAnsi="Times New Roman" w:cs="Times New Roman"/>
          <w:sz w:val="24"/>
          <w:szCs w:val="24"/>
          <w:lang w:eastAsia="de-DE"/>
        </w:rPr>
        <w:t xml:space="preserve">our paper presents </w:t>
      </w:r>
      <w:r w:rsidR="00A67D65" w:rsidRPr="00BA1AFC">
        <w:rPr>
          <w:rFonts w:ascii="Times New Roman" w:hAnsi="Times New Roman" w:cs="Times New Roman"/>
          <w:sz w:val="24"/>
          <w:szCs w:val="24"/>
          <w:lang w:eastAsia="de-DE"/>
        </w:rPr>
        <w:t>is that</w:t>
      </w:r>
      <w:r w:rsidRPr="00BA1AFC">
        <w:rPr>
          <w:rFonts w:ascii="Times New Roman" w:hAnsi="Times New Roman" w:cs="Times New Roman"/>
          <w:sz w:val="24"/>
          <w:szCs w:val="24"/>
          <w:lang w:eastAsia="de-DE"/>
        </w:rPr>
        <w:t xml:space="preserve"> the EU </w:t>
      </w:r>
      <w:r w:rsidR="00A67D65" w:rsidRPr="00BA1AFC">
        <w:rPr>
          <w:rFonts w:ascii="Times New Roman" w:hAnsi="Times New Roman" w:cs="Times New Roman"/>
          <w:sz w:val="24"/>
          <w:szCs w:val="24"/>
          <w:lang w:eastAsia="de-DE"/>
        </w:rPr>
        <w:t xml:space="preserve">needs </w:t>
      </w:r>
      <w:r w:rsidRPr="00BA1AFC">
        <w:rPr>
          <w:rFonts w:ascii="Times New Roman" w:hAnsi="Times New Roman" w:cs="Times New Roman"/>
          <w:sz w:val="24"/>
          <w:szCs w:val="24"/>
          <w:lang w:eastAsia="de-DE"/>
        </w:rPr>
        <w:t xml:space="preserve">to be </w:t>
      </w:r>
      <w:r w:rsidR="00A31B5A" w:rsidRPr="00BA1AFC">
        <w:rPr>
          <w:rFonts w:ascii="Times New Roman" w:hAnsi="Times New Roman" w:cs="Times New Roman"/>
          <w:sz w:val="24"/>
          <w:szCs w:val="24"/>
          <w:lang w:eastAsia="de-DE"/>
        </w:rPr>
        <w:t xml:space="preserve">conceptualized </w:t>
      </w:r>
      <w:r w:rsidRPr="00BA1AFC">
        <w:rPr>
          <w:rFonts w:ascii="Times New Roman" w:hAnsi="Times New Roman" w:cs="Times New Roman"/>
          <w:sz w:val="24"/>
          <w:szCs w:val="24"/>
          <w:lang w:eastAsia="de-DE"/>
        </w:rPr>
        <w:t>as a mu</w:t>
      </w:r>
      <w:r w:rsidR="008567BB" w:rsidRPr="00BA1AFC">
        <w:rPr>
          <w:rFonts w:ascii="Times New Roman" w:hAnsi="Times New Roman" w:cs="Times New Roman"/>
          <w:sz w:val="24"/>
          <w:szCs w:val="24"/>
          <w:lang w:eastAsia="de-DE"/>
        </w:rPr>
        <w:t>lti-level system when analysing</w:t>
      </w:r>
      <w:r w:rsidRPr="00BA1AFC">
        <w:rPr>
          <w:rFonts w:ascii="Times New Roman" w:hAnsi="Times New Roman" w:cs="Times New Roman"/>
          <w:sz w:val="24"/>
          <w:szCs w:val="24"/>
          <w:lang w:eastAsia="de-DE"/>
        </w:rPr>
        <w:t xml:space="preserve"> </w:t>
      </w:r>
      <w:r w:rsidR="00357D18" w:rsidRPr="00BA1AFC">
        <w:rPr>
          <w:rFonts w:ascii="Times New Roman" w:hAnsi="Times New Roman" w:cs="Times New Roman"/>
          <w:sz w:val="24"/>
          <w:szCs w:val="24"/>
          <w:lang w:eastAsia="de-DE"/>
        </w:rPr>
        <w:t xml:space="preserve">the external conduct of its various </w:t>
      </w:r>
      <w:r w:rsidRPr="00BA1AFC">
        <w:rPr>
          <w:rFonts w:ascii="Times New Roman" w:hAnsi="Times New Roman" w:cs="Times New Roman"/>
          <w:sz w:val="24"/>
          <w:szCs w:val="24"/>
          <w:lang w:eastAsia="de-DE"/>
        </w:rPr>
        <w:t>policies</w:t>
      </w:r>
      <w:r w:rsidR="008567BB" w:rsidRPr="00BA1AFC">
        <w:rPr>
          <w:rFonts w:ascii="Times New Roman" w:hAnsi="Times New Roman" w:cs="Times New Roman"/>
          <w:sz w:val="24"/>
          <w:szCs w:val="24"/>
          <w:lang w:eastAsia="de-DE"/>
        </w:rPr>
        <w:t>, including energy. This is an important contribution which has been notably absent in other studies of media representations of EU energy activities</w:t>
      </w:r>
      <w:r w:rsidRPr="00BA1AFC">
        <w:rPr>
          <w:rFonts w:ascii="Times New Roman" w:hAnsi="Times New Roman" w:cs="Times New Roman"/>
          <w:sz w:val="24"/>
          <w:szCs w:val="24"/>
          <w:lang w:eastAsia="de-DE"/>
        </w:rPr>
        <w:t xml:space="preserve">. The very nature of </w:t>
      </w:r>
      <w:r w:rsidR="00EC46FE" w:rsidRPr="00BA1AFC">
        <w:rPr>
          <w:rFonts w:ascii="Times New Roman" w:hAnsi="Times New Roman" w:cs="Times New Roman"/>
          <w:sz w:val="24"/>
          <w:szCs w:val="24"/>
          <w:lang w:eastAsia="de-DE"/>
        </w:rPr>
        <w:t>the European multi-level</w:t>
      </w:r>
      <w:r w:rsidR="00EC46FE" w:rsidRPr="003E4298">
        <w:rPr>
          <w:rFonts w:ascii="Times New Roman" w:hAnsi="Times New Roman" w:cs="Times New Roman"/>
          <w:sz w:val="24"/>
          <w:szCs w:val="24"/>
          <w:lang w:eastAsia="de-DE"/>
        </w:rPr>
        <w:t xml:space="preserve"> system</w:t>
      </w:r>
      <w:r w:rsidRPr="003E4298">
        <w:rPr>
          <w:rFonts w:ascii="Times New Roman" w:hAnsi="Times New Roman" w:cs="Times New Roman"/>
          <w:sz w:val="24"/>
          <w:szCs w:val="24"/>
          <w:lang w:eastAsia="de-DE"/>
        </w:rPr>
        <w:t xml:space="preserve"> implies specific forms of governance. Political problems and steering tasks are addressed on various levels, thereby becoming inextricably interlinked. Multi-level governance thus creates high demands of cooperation and coordination, involving all levels of political decision-making in formal and informal ways (among many, see Marks</w:t>
      </w:r>
      <w:r w:rsidR="00AB577E" w:rsidRPr="003E4298">
        <w:rPr>
          <w:rFonts w:ascii="Times New Roman" w:hAnsi="Times New Roman" w:cs="Times New Roman"/>
          <w:sz w:val="24"/>
          <w:szCs w:val="24"/>
          <w:lang w:eastAsia="de-DE"/>
        </w:rPr>
        <w:t xml:space="preserve">, </w:t>
      </w:r>
      <w:r w:rsidRPr="003E4298">
        <w:rPr>
          <w:rFonts w:ascii="Times New Roman" w:hAnsi="Times New Roman" w:cs="Times New Roman"/>
          <w:sz w:val="24"/>
          <w:szCs w:val="24"/>
          <w:lang w:eastAsia="de-DE"/>
        </w:rPr>
        <w:t>1993</w:t>
      </w:r>
      <w:r w:rsidR="00AB577E" w:rsidRPr="003E4298">
        <w:rPr>
          <w:rFonts w:ascii="Times New Roman" w:hAnsi="Times New Roman" w:cs="Times New Roman"/>
          <w:sz w:val="24"/>
          <w:szCs w:val="24"/>
          <w:lang w:eastAsia="de-DE"/>
        </w:rPr>
        <w:t xml:space="preserve">; </w:t>
      </w:r>
      <w:r w:rsidR="0062703C" w:rsidRPr="003E4298">
        <w:rPr>
          <w:rFonts w:ascii="Times New Roman" w:hAnsi="Times New Roman" w:cs="Times New Roman"/>
          <w:sz w:val="24"/>
          <w:szCs w:val="24"/>
          <w:lang w:eastAsia="de-DE"/>
        </w:rPr>
        <w:t xml:space="preserve">1996; </w:t>
      </w:r>
      <w:proofErr w:type="spellStart"/>
      <w:r w:rsidR="0062703C" w:rsidRPr="003E4298">
        <w:rPr>
          <w:rFonts w:ascii="Times New Roman" w:hAnsi="Times New Roman" w:cs="Times New Roman"/>
          <w:sz w:val="24"/>
          <w:szCs w:val="24"/>
          <w:lang w:eastAsia="de-DE"/>
        </w:rPr>
        <w:t>Piattoni</w:t>
      </w:r>
      <w:proofErr w:type="spellEnd"/>
      <w:r w:rsidR="00AB577E" w:rsidRPr="003E4298">
        <w:rPr>
          <w:rFonts w:ascii="Times New Roman" w:hAnsi="Times New Roman" w:cs="Times New Roman"/>
          <w:sz w:val="24"/>
          <w:szCs w:val="24"/>
          <w:lang w:eastAsia="de-DE"/>
        </w:rPr>
        <w:t xml:space="preserve">, </w:t>
      </w:r>
      <w:r w:rsidR="0062703C" w:rsidRPr="003E4298">
        <w:rPr>
          <w:rFonts w:ascii="Times New Roman" w:hAnsi="Times New Roman" w:cs="Times New Roman"/>
          <w:sz w:val="24"/>
          <w:szCs w:val="24"/>
          <w:lang w:eastAsia="de-DE"/>
        </w:rPr>
        <w:t>2010</w:t>
      </w:r>
      <w:r w:rsidRPr="003E4298">
        <w:rPr>
          <w:rFonts w:ascii="Times New Roman" w:hAnsi="Times New Roman" w:cs="Times New Roman"/>
          <w:sz w:val="24"/>
          <w:szCs w:val="24"/>
          <w:lang w:eastAsia="de-DE"/>
        </w:rPr>
        <w:t xml:space="preserve">). </w:t>
      </w:r>
      <w:r w:rsidR="001E572C" w:rsidRPr="003E4298">
        <w:rPr>
          <w:rFonts w:ascii="Times New Roman" w:hAnsi="Times New Roman" w:cs="Times New Roman"/>
          <w:sz w:val="24"/>
          <w:szCs w:val="24"/>
          <w:lang w:eastAsia="de-DE"/>
        </w:rPr>
        <w:t>O</w:t>
      </w:r>
      <w:r w:rsidRPr="003E4298">
        <w:rPr>
          <w:rFonts w:ascii="Times New Roman" w:hAnsi="Times New Roman" w:cs="Times New Roman"/>
          <w:sz w:val="24"/>
          <w:szCs w:val="24"/>
          <w:lang w:eastAsia="de-DE"/>
        </w:rPr>
        <w:t xml:space="preserve">ne of the core characteristics of a European system of governance </w:t>
      </w:r>
      <w:r w:rsidR="004632AC" w:rsidRPr="003E4298">
        <w:rPr>
          <w:rFonts w:ascii="Times New Roman" w:hAnsi="Times New Roman" w:cs="Times New Roman"/>
          <w:sz w:val="24"/>
          <w:szCs w:val="24"/>
          <w:lang w:eastAsia="de-DE"/>
        </w:rPr>
        <w:t>is</w:t>
      </w:r>
      <w:r w:rsidRPr="003E4298">
        <w:rPr>
          <w:rFonts w:ascii="Times New Roman" w:hAnsi="Times New Roman" w:cs="Times New Roman"/>
          <w:sz w:val="24"/>
          <w:szCs w:val="24"/>
          <w:lang w:eastAsia="de-DE"/>
        </w:rPr>
        <w:t xml:space="preserve"> its polycentric</w:t>
      </w:r>
      <w:r w:rsidR="00331086" w:rsidRPr="003E4298">
        <w:rPr>
          <w:rFonts w:ascii="Times New Roman" w:hAnsi="Times New Roman" w:cs="Times New Roman"/>
          <w:sz w:val="24"/>
          <w:szCs w:val="24"/>
          <w:lang w:eastAsia="de-DE"/>
        </w:rPr>
        <w:t>ism</w:t>
      </w:r>
      <w:r w:rsidRPr="003E4298">
        <w:rPr>
          <w:rFonts w:ascii="Times New Roman" w:hAnsi="Times New Roman" w:cs="Times New Roman"/>
          <w:sz w:val="24"/>
          <w:szCs w:val="24"/>
          <w:lang w:eastAsia="de-DE"/>
        </w:rPr>
        <w:t>. In this system various centres of decision-making exist that are formally independent of each other. The hierarchical centre of the system is replaced by functional networks (Kohler-Koch</w:t>
      </w:r>
      <w:r w:rsidR="00E77633">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 xml:space="preserve"> 1999). Within the area of external energy governance, functional networks are split into multiple, overlapping arenas characterised by lo</w:t>
      </w:r>
      <w:r w:rsidR="004632AC" w:rsidRPr="003E4298">
        <w:rPr>
          <w:rFonts w:ascii="Times New Roman" w:hAnsi="Times New Roman" w:cs="Times New Roman"/>
          <w:sz w:val="24"/>
          <w:szCs w:val="24"/>
          <w:lang w:eastAsia="de-DE"/>
        </w:rPr>
        <w:t>ose coupling (Benz</w:t>
      </w:r>
      <w:r w:rsidR="00AB577E" w:rsidRPr="003E4298">
        <w:rPr>
          <w:rFonts w:ascii="Times New Roman" w:hAnsi="Times New Roman" w:cs="Times New Roman"/>
          <w:sz w:val="24"/>
          <w:szCs w:val="24"/>
          <w:lang w:eastAsia="de-DE"/>
        </w:rPr>
        <w:t xml:space="preserve">, </w:t>
      </w:r>
      <w:r w:rsidR="004632AC" w:rsidRPr="003E4298">
        <w:rPr>
          <w:rFonts w:ascii="Times New Roman" w:hAnsi="Times New Roman" w:cs="Times New Roman"/>
          <w:sz w:val="24"/>
          <w:szCs w:val="24"/>
          <w:lang w:eastAsia="de-DE"/>
        </w:rPr>
        <w:t>2000</w:t>
      </w:r>
      <w:r w:rsidR="00AB577E" w:rsidRPr="003E4298">
        <w:rPr>
          <w:rFonts w:ascii="Times New Roman" w:hAnsi="Times New Roman" w:cs="Times New Roman"/>
          <w:sz w:val="24"/>
          <w:szCs w:val="24"/>
          <w:lang w:eastAsia="de-DE"/>
        </w:rPr>
        <w:t xml:space="preserve">; </w:t>
      </w:r>
      <w:proofErr w:type="spellStart"/>
      <w:r w:rsidR="004632AC" w:rsidRPr="003E4298">
        <w:rPr>
          <w:rFonts w:ascii="Times New Roman" w:hAnsi="Times New Roman" w:cs="Times New Roman"/>
          <w:sz w:val="24"/>
          <w:szCs w:val="24"/>
          <w:lang w:eastAsia="de-DE"/>
        </w:rPr>
        <w:t>Hooghe</w:t>
      </w:r>
      <w:proofErr w:type="spellEnd"/>
      <w:r w:rsidR="004632AC" w:rsidRPr="003E4298">
        <w:rPr>
          <w:rFonts w:ascii="Times New Roman" w:hAnsi="Times New Roman" w:cs="Times New Roman"/>
          <w:sz w:val="24"/>
          <w:szCs w:val="24"/>
          <w:lang w:eastAsia="de-DE"/>
        </w:rPr>
        <w:t xml:space="preserve"> </w:t>
      </w:r>
      <w:r w:rsidR="00AB577E" w:rsidRPr="003E4298">
        <w:rPr>
          <w:rFonts w:ascii="Times New Roman" w:hAnsi="Times New Roman" w:cs="Times New Roman"/>
          <w:sz w:val="24"/>
          <w:szCs w:val="24"/>
          <w:lang w:eastAsia="de-DE"/>
        </w:rPr>
        <w:t>and</w:t>
      </w:r>
      <w:r w:rsidR="004632AC" w:rsidRPr="003E4298">
        <w:rPr>
          <w:rFonts w:ascii="Times New Roman" w:hAnsi="Times New Roman" w:cs="Times New Roman"/>
          <w:sz w:val="24"/>
          <w:szCs w:val="24"/>
          <w:lang w:eastAsia="de-DE"/>
        </w:rPr>
        <w:t xml:space="preserve"> </w:t>
      </w:r>
      <w:r w:rsidRPr="003E4298">
        <w:rPr>
          <w:rFonts w:ascii="Times New Roman" w:hAnsi="Times New Roman" w:cs="Times New Roman"/>
          <w:sz w:val="24"/>
          <w:szCs w:val="24"/>
          <w:lang w:eastAsia="de-DE"/>
        </w:rPr>
        <w:t>Marks</w:t>
      </w:r>
      <w:r w:rsidR="00AB577E" w:rsidRPr="003E4298">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 xml:space="preserve"> 2001). For decades, external energy relations were maintained </w:t>
      </w:r>
      <w:r w:rsidR="00E77633">
        <w:rPr>
          <w:rFonts w:ascii="Times New Roman" w:hAnsi="Times New Roman" w:cs="Times New Roman"/>
          <w:sz w:val="24"/>
          <w:szCs w:val="24"/>
          <w:lang w:eastAsia="de-DE"/>
        </w:rPr>
        <w:t>only by member states</w:t>
      </w:r>
      <w:r w:rsidRPr="003E4298">
        <w:rPr>
          <w:rFonts w:ascii="Times New Roman" w:hAnsi="Times New Roman" w:cs="Times New Roman"/>
          <w:sz w:val="24"/>
          <w:szCs w:val="24"/>
          <w:lang w:eastAsia="de-DE"/>
        </w:rPr>
        <w:t xml:space="preserve">, as external energy policy does not confer exclusive EU competence. Rather energy policy is treated as a shared competence. </w:t>
      </w:r>
      <w:r w:rsidR="00CB3432" w:rsidRPr="003E4298">
        <w:rPr>
          <w:rFonts w:ascii="Times New Roman" w:hAnsi="Times New Roman" w:cs="Times New Roman"/>
          <w:sz w:val="24"/>
          <w:szCs w:val="24"/>
          <w:lang w:eastAsia="de-DE"/>
        </w:rPr>
        <w:t>Shared competences</w:t>
      </w:r>
      <w:r w:rsidRPr="003E4298">
        <w:rPr>
          <w:rFonts w:ascii="Times New Roman" w:hAnsi="Times New Roman" w:cs="Times New Roman"/>
          <w:sz w:val="24"/>
          <w:szCs w:val="24"/>
          <w:lang w:eastAsia="de-DE"/>
        </w:rPr>
        <w:t xml:space="preserve"> ha</w:t>
      </w:r>
      <w:r w:rsidR="00CB3432" w:rsidRPr="003E4298">
        <w:rPr>
          <w:rFonts w:ascii="Times New Roman" w:hAnsi="Times New Roman" w:cs="Times New Roman"/>
          <w:sz w:val="24"/>
          <w:szCs w:val="24"/>
          <w:lang w:eastAsia="de-DE"/>
        </w:rPr>
        <w:t>ve</w:t>
      </w:r>
      <w:r w:rsidRPr="003E4298">
        <w:rPr>
          <w:rFonts w:ascii="Times New Roman" w:hAnsi="Times New Roman" w:cs="Times New Roman"/>
          <w:sz w:val="24"/>
          <w:szCs w:val="24"/>
          <w:lang w:eastAsia="de-DE"/>
        </w:rPr>
        <w:t xml:space="preserve"> resulted in </w:t>
      </w:r>
      <w:r w:rsidRPr="003E4298">
        <w:rPr>
          <w:rFonts w:ascii="Times New Roman" w:hAnsi="Times New Roman" w:cs="Times New Roman"/>
          <w:sz w:val="24"/>
          <w:szCs w:val="24"/>
          <w:lang w:eastAsia="de-DE"/>
        </w:rPr>
        <w:lastRenderedPageBreak/>
        <w:t xml:space="preserve">energy becoming a truly multi-level policy issue. </w:t>
      </w:r>
      <w:r w:rsidR="00331086" w:rsidRPr="003E4298">
        <w:rPr>
          <w:rFonts w:ascii="Times New Roman" w:hAnsi="Times New Roman" w:cs="Times New Roman"/>
          <w:sz w:val="24"/>
          <w:szCs w:val="24"/>
          <w:lang w:eastAsia="de-DE"/>
        </w:rPr>
        <w:t>While consensus is</w:t>
      </w:r>
      <w:r w:rsidRPr="003E4298">
        <w:rPr>
          <w:rFonts w:ascii="Times New Roman" w:hAnsi="Times New Roman" w:cs="Times New Roman"/>
          <w:sz w:val="24"/>
          <w:szCs w:val="24"/>
          <w:lang w:eastAsia="de-DE"/>
        </w:rPr>
        <w:t xml:space="preserve"> the organising principle of political relations within the European system, </w:t>
      </w:r>
      <w:r w:rsidR="00331086" w:rsidRPr="003E4298">
        <w:rPr>
          <w:rFonts w:ascii="Times New Roman" w:hAnsi="Times New Roman" w:cs="Times New Roman"/>
          <w:sz w:val="24"/>
          <w:szCs w:val="24"/>
          <w:lang w:eastAsia="de-DE"/>
        </w:rPr>
        <w:t xml:space="preserve">this </w:t>
      </w:r>
      <w:r w:rsidRPr="003E4298">
        <w:rPr>
          <w:rFonts w:ascii="Times New Roman" w:hAnsi="Times New Roman" w:cs="Times New Roman"/>
          <w:sz w:val="24"/>
          <w:szCs w:val="24"/>
          <w:lang w:eastAsia="de-DE"/>
        </w:rPr>
        <w:t>does not hinder member states from carrying out their own external energy policies towards the emerging powers without adjusting their priorities to the European strategies. Consensual policy-making relies heavily on interaction and communication between its entities (Knodt</w:t>
      </w:r>
      <w:r w:rsidR="00AB577E" w:rsidRPr="003E4298">
        <w:rPr>
          <w:rFonts w:ascii="Times New Roman" w:hAnsi="Times New Roman" w:cs="Times New Roman"/>
          <w:sz w:val="24"/>
          <w:szCs w:val="24"/>
          <w:lang w:eastAsia="de-DE"/>
        </w:rPr>
        <w:t xml:space="preserve">, </w:t>
      </w:r>
      <w:r w:rsidRPr="003E4298">
        <w:rPr>
          <w:rFonts w:ascii="Times New Roman" w:hAnsi="Times New Roman" w:cs="Times New Roman"/>
          <w:sz w:val="24"/>
          <w:szCs w:val="24"/>
          <w:lang w:eastAsia="de-DE"/>
        </w:rPr>
        <w:t xml:space="preserve">2000). Applied </w:t>
      </w:r>
      <w:r w:rsidR="000519CF">
        <w:rPr>
          <w:rFonts w:ascii="Times New Roman" w:hAnsi="Times New Roman" w:cs="Times New Roman"/>
          <w:sz w:val="24"/>
          <w:szCs w:val="24"/>
          <w:lang w:eastAsia="de-DE"/>
        </w:rPr>
        <w:t>to</w:t>
      </w:r>
      <w:r w:rsidRPr="003E4298">
        <w:rPr>
          <w:rFonts w:ascii="Times New Roman" w:hAnsi="Times New Roman" w:cs="Times New Roman"/>
          <w:sz w:val="24"/>
          <w:szCs w:val="24"/>
          <w:lang w:eastAsia="de-DE"/>
        </w:rPr>
        <w:t xml:space="preserve"> energy policies, communication between the member states and the European level will emerge as a problematic case</w:t>
      </w:r>
      <w:r w:rsidR="00CB3432" w:rsidRPr="003E4298">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 xml:space="preserve"> which impacts on EU interaction with the emerging powers.</w:t>
      </w:r>
    </w:p>
    <w:p w14:paraId="283048A8" w14:textId="3B543414" w:rsidR="00D209BA" w:rsidRPr="003E4298" w:rsidRDefault="00D209BA" w:rsidP="003E4298">
      <w:pPr>
        <w:spacing w:line="480" w:lineRule="auto"/>
        <w:ind w:firstLine="720"/>
        <w:contextualSpacing/>
        <w:rPr>
          <w:rFonts w:ascii="Times New Roman" w:hAnsi="Times New Roman" w:cs="Times New Roman"/>
          <w:sz w:val="24"/>
          <w:szCs w:val="24"/>
        </w:rPr>
      </w:pPr>
      <w:r w:rsidRPr="003E4298">
        <w:rPr>
          <w:rFonts w:ascii="Times New Roman" w:hAnsi="Times New Roman" w:cs="Times New Roman"/>
          <w:sz w:val="24"/>
          <w:szCs w:val="24"/>
        </w:rPr>
        <w:t xml:space="preserve">From the outset, the reference towards shared competences and the importance of </w:t>
      </w:r>
      <w:r w:rsidR="00EB132C" w:rsidRPr="003E4298">
        <w:rPr>
          <w:rFonts w:ascii="Times New Roman" w:hAnsi="Times New Roman" w:cs="Times New Roman"/>
          <w:sz w:val="24"/>
          <w:szCs w:val="24"/>
        </w:rPr>
        <w:t>m</w:t>
      </w:r>
      <w:r w:rsidRPr="003E4298">
        <w:rPr>
          <w:rFonts w:ascii="Times New Roman" w:hAnsi="Times New Roman" w:cs="Times New Roman"/>
          <w:sz w:val="24"/>
          <w:szCs w:val="24"/>
        </w:rPr>
        <w:t xml:space="preserve">ember </w:t>
      </w:r>
      <w:r w:rsidR="00EB132C" w:rsidRPr="003E4298">
        <w:rPr>
          <w:rFonts w:ascii="Times New Roman" w:hAnsi="Times New Roman" w:cs="Times New Roman"/>
          <w:sz w:val="24"/>
          <w:szCs w:val="24"/>
        </w:rPr>
        <w:t>s</w:t>
      </w:r>
      <w:r w:rsidRPr="003E4298">
        <w:rPr>
          <w:rFonts w:ascii="Times New Roman" w:hAnsi="Times New Roman" w:cs="Times New Roman"/>
          <w:sz w:val="24"/>
          <w:szCs w:val="24"/>
        </w:rPr>
        <w:t>tate energy policy indicates that the coordination of EU and member state energy activities should exhibit an important role in the EU’s external energy governance. Indeed parallel research by members of the EXIE project team has found that agreements and partnerships of the EU and member states towards the BRICS in the energy sector have at times rivalled each other and there is considerable lack of information on member states’ activities within Director</w:t>
      </w:r>
      <w:r w:rsidR="00EB132C" w:rsidRPr="003E4298">
        <w:rPr>
          <w:rFonts w:ascii="Times New Roman" w:hAnsi="Times New Roman" w:cs="Times New Roman"/>
          <w:sz w:val="24"/>
          <w:szCs w:val="24"/>
        </w:rPr>
        <w:t>ate</w:t>
      </w:r>
      <w:r w:rsidR="00CB3432" w:rsidRPr="003E4298">
        <w:rPr>
          <w:rFonts w:ascii="Times New Roman" w:hAnsi="Times New Roman" w:cs="Times New Roman"/>
          <w:sz w:val="24"/>
          <w:szCs w:val="24"/>
        </w:rPr>
        <w:t>-</w:t>
      </w:r>
      <w:r w:rsidRPr="003E4298">
        <w:rPr>
          <w:rFonts w:ascii="Times New Roman" w:hAnsi="Times New Roman" w:cs="Times New Roman"/>
          <w:sz w:val="24"/>
          <w:szCs w:val="24"/>
        </w:rPr>
        <w:t>General (DG) Energy</w:t>
      </w:r>
      <w:r w:rsidR="00EB132C" w:rsidRPr="003E4298">
        <w:rPr>
          <w:rFonts w:ascii="Times New Roman" w:hAnsi="Times New Roman" w:cs="Times New Roman"/>
          <w:sz w:val="24"/>
          <w:szCs w:val="24"/>
        </w:rPr>
        <w:t xml:space="preserve"> (Knodt </w:t>
      </w:r>
      <w:r w:rsidR="00EB132C" w:rsidRPr="003E4298">
        <w:rPr>
          <w:rFonts w:ascii="Times New Roman" w:hAnsi="Times New Roman" w:cs="Times New Roman"/>
          <w:i/>
          <w:sz w:val="24"/>
          <w:szCs w:val="24"/>
        </w:rPr>
        <w:t>et al</w:t>
      </w:r>
      <w:proofErr w:type="gramStart"/>
      <w:r w:rsidR="00EB132C" w:rsidRPr="003E4298">
        <w:rPr>
          <w:rFonts w:ascii="Times New Roman" w:hAnsi="Times New Roman" w:cs="Times New Roman"/>
          <w:sz w:val="24"/>
          <w:szCs w:val="24"/>
        </w:rPr>
        <w:t>,</w:t>
      </w:r>
      <w:r w:rsidR="00391756">
        <w:rPr>
          <w:rFonts w:ascii="Times New Roman" w:hAnsi="Times New Roman" w:cs="Times New Roman"/>
          <w:sz w:val="24"/>
          <w:szCs w:val="24"/>
        </w:rPr>
        <w:t>,</w:t>
      </w:r>
      <w:proofErr w:type="gramEnd"/>
      <w:r w:rsidR="00EB132C" w:rsidRPr="003E4298">
        <w:rPr>
          <w:rFonts w:ascii="Times New Roman" w:hAnsi="Times New Roman" w:cs="Times New Roman"/>
          <w:sz w:val="24"/>
          <w:szCs w:val="24"/>
        </w:rPr>
        <w:t xml:space="preserve"> </w:t>
      </w:r>
      <w:r w:rsidR="00470DC5">
        <w:rPr>
          <w:rFonts w:ascii="Times New Roman" w:hAnsi="Times New Roman" w:cs="Times New Roman"/>
          <w:sz w:val="24"/>
          <w:szCs w:val="24"/>
        </w:rPr>
        <w:t>2015</w:t>
      </w:r>
      <w:r w:rsidRPr="003E4298">
        <w:rPr>
          <w:rFonts w:ascii="Times New Roman" w:hAnsi="Times New Roman" w:cs="Times New Roman"/>
          <w:sz w:val="24"/>
          <w:szCs w:val="24"/>
        </w:rPr>
        <w:t>. Only recently has focus also been laid on an information exchange mechanism with EU member states (</w:t>
      </w:r>
      <w:r w:rsidR="00EC46FE" w:rsidRPr="003E4298">
        <w:rPr>
          <w:rFonts w:ascii="Times New Roman" w:hAnsi="Times New Roman" w:cs="Times New Roman"/>
          <w:sz w:val="24"/>
          <w:szCs w:val="24"/>
        </w:rPr>
        <w:t>European Parliament and Council, 2012)</w:t>
      </w:r>
      <w:r w:rsidRPr="003E4298">
        <w:rPr>
          <w:rFonts w:ascii="Times New Roman" w:hAnsi="Times New Roman" w:cs="Times New Roman"/>
          <w:sz w:val="24"/>
          <w:szCs w:val="24"/>
        </w:rPr>
        <w:t xml:space="preserve">. </w:t>
      </w:r>
      <w:r w:rsidR="00CB3432" w:rsidRPr="003E4298">
        <w:rPr>
          <w:rFonts w:ascii="Times New Roman" w:hAnsi="Times New Roman" w:cs="Times New Roman"/>
          <w:sz w:val="24"/>
          <w:szCs w:val="24"/>
        </w:rPr>
        <w:t>Follow</w:t>
      </w:r>
      <w:r w:rsidRPr="003E4298">
        <w:rPr>
          <w:rFonts w:ascii="Times New Roman" w:hAnsi="Times New Roman" w:cs="Times New Roman"/>
          <w:sz w:val="24"/>
          <w:szCs w:val="24"/>
        </w:rPr>
        <w:t>ing</w:t>
      </w:r>
      <w:r w:rsidR="00CB3432" w:rsidRPr="003E4298">
        <w:rPr>
          <w:rFonts w:ascii="Times New Roman" w:hAnsi="Times New Roman" w:cs="Times New Roman"/>
          <w:sz w:val="24"/>
          <w:szCs w:val="24"/>
        </w:rPr>
        <w:t xml:space="preserve"> </w:t>
      </w:r>
      <w:r w:rsidRPr="003E4298">
        <w:rPr>
          <w:rFonts w:ascii="Times New Roman" w:hAnsi="Times New Roman" w:cs="Times New Roman"/>
          <w:sz w:val="24"/>
          <w:szCs w:val="24"/>
        </w:rPr>
        <w:t>th</w:t>
      </w:r>
      <w:r w:rsidR="00CB3432" w:rsidRPr="003E4298">
        <w:rPr>
          <w:rFonts w:ascii="Times New Roman" w:hAnsi="Times New Roman" w:cs="Times New Roman"/>
          <w:sz w:val="24"/>
          <w:szCs w:val="24"/>
        </w:rPr>
        <w:t>is</w:t>
      </w:r>
      <w:r w:rsidRPr="003E4298">
        <w:rPr>
          <w:rFonts w:ascii="Times New Roman" w:hAnsi="Times New Roman" w:cs="Times New Roman"/>
          <w:sz w:val="24"/>
          <w:szCs w:val="24"/>
        </w:rPr>
        <w:t xml:space="preserve"> new mechanism member states are required to inform the European Commission of all their new and existing international agreements (IGAs) with third countries in the field of energy; otherwise they risk sanctions. In addition</w:t>
      </w:r>
      <w:r w:rsidR="00F27482" w:rsidRPr="003E4298">
        <w:rPr>
          <w:rFonts w:ascii="Times New Roman" w:hAnsi="Times New Roman" w:cs="Times New Roman"/>
          <w:sz w:val="24"/>
          <w:szCs w:val="24"/>
        </w:rPr>
        <w:t>,</w:t>
      </w:r>
      <w:r w:rsidRPr="003E4298">
        <w:rPr>
          <w:rFonts w:ascii="Times New Roman" w:hAnsi="Times New Roman" w:cs="Times New Roman"/>
          <w:sz w:val="24"/>
          <w:szCs w:val="24"/>
        </w:rPr>
        <w:t xml:space="preserve"> the Commission should facilitate and encourage coordination among member states. With this measurement the EU aims for greater transparency which should in turn allow the Commission to take coordinated action for the EU and thus, promote a common voice on energy issues; yet, conversely this may lead to higher tensions between the member states, as the Commission could induce pressure on them (</w:t>
      </w:r>
      <w:r w:rsidR="00C834A5" w:rsidRPr="003E4298">
        <w:rPr>
          <w:rFonts w:ascii="Times New Roman" w:hAnsi="Times New Roman" w:cs="Times New Roman"/>
          <w:sz w:val="24"/>
          <w:szCs w:val="24"/>
        </w:rPr>
        <w:t xml:space="preserve">Knodt </w:t>
      </w:r>
      <w:r w:rsidR="00C834A5" w:rsidRPr="00533C57">
        <w:rPr>
          <w:rFonts w:ascii="Times New Roman" w:hAnsi="Times New Roman" w:cs="Times New Roman"/>
          <w:i/>
          <w:sz w:val="24"/>
          <w:szCs w:val="24"/>
        </w:rPr>
        <w:t>et al</w:t>
      </w:r>
      <w:r w:rsidR="00C834A5" w:rsidRPr="003E4298">
        <w:rPr>
          <w:rFonts w:ascii="Times New Roman" w:hAnsi="Times New Roman" w:cs="Times New Roman"/>
          <w:sz w:val="24"/>
          <w:szCs w:val="24"/>
        </w:rPr>
        <w:t xml:space="preserve">, </w:t>
      </w:r>
      <w:r w:rsidR="00470DC5">
        <w:rPr>
          <w:rFonts w:ascii="Times New Roman" w:hAnsi="Times New Roman" w:cs="Times New Roman"/>
          <w:sz w:val="24"/>
          <w:szCs w:val="24"/>
        </w:rPr>
        <w:t>2015</w:t>
      </w:r>
      <w:r w:rsidRPr="003E4298">
        <w:rPr>
          <w:rFonts w:ascii="Times New Roman" w:hAnsi="Times New Roman" w:cs="Times New Roman"/>
          <w:sz w:val="24"/>
          <w:szCs w:val="24"/>
        </w:rPr>
        <w:t xml:space="preserve">). Most EU member states oppose this regulation, as they see the confidentiality and sovereignty in </w:t>
      </w:r>
      <w:r w:rsidR="00EB132C" w:rsidRPr="003E4298">
        <w:rPr>
          <w:rFonts w:ascii="Times New Roman" w:hAnsi="Times New Roman" w:cs="Times New Roman"/>
          <w:sz w:val="24"/>
          <w:szCs w:val="24"/>
        </w:rPr>
        <w:lastRenderedPageBreak/>
        <w:t>establishing</w:t>
      </w:r>
      <w:r w:rsidRPr="003E4298">
        <w:rPr>
          <w:rFonts w:ascii="Times New Roman" w:hAnsi="Times New Roman" w:cs="Times New Roman"/>
          <w:sz w:val="24"/>
          <w:szCs w:val="24"/>
        </w:rPr>
        <w:t xml:space="preserve"> energy supply agreements to be endangered (</w:t>
      </w:r>
      <w:proofErr w:type="spellStart"/>
      <w:r w:rsidRPr="003E4298">
        <w:rPr>
          <w:rFonts w:ascii="Times New Roman" w:hAnsi="Times New Roman" w:cs="Times New Roman"/>
          <w:sz w:val="24"/>
          <w:szCs w:val="24"/>
        </w:rPr>
        <w:t>EURactiv</w:t>
      </w:r>
      <w:proofErr w:type="spellEnd"/>
      <w:r w:rsidR="00161833" w:rsidRPr="003E4298">
        <w:rPr>
          <w:rFonts w:ascii="Times New Roman" w:hAnsi="Times New Roman" w:cs="Times New Roman"/>
          <w:sz w:val="24"/>
          <w:szCs w:val="24"/>
        </w:rPr>
        <w:t xml:space="preserve">, </w:t>
      </w:r>
      <w:r w:rsidRPr="003E4298">
        <w:rPr>
          <w:rFonts w:ascii="Times New Roman" w:hAnsi="Times New Roman" w:cs="Times New Roman"/>
          <w:sz w:val="24"/>
          <w:szCs w:val="24"/>
        </w:rPr>
        <w:t xml:space="preserve">2012). Nevertheless they comply and inform the </w:t>
      </w:r>
      <w:r w:rsidR="003D4CA0" w:rsidRPr="003E4298">
        <w:rPr>
          <w:rFonts w:ascii="Times New Roman" w:hAnsi="Times New Roman" w:cs="Times New Roman"/>
          <w:sz w:val="24"/>
          <w:szCs w:val="24"/>
        </w:rPr>
        <w:t>Commission about their IGAs</w:t>
      </w:r>
      <w:r w:rsidRPr="003E4298">
        <w:rPr>
          <w:rFonts w:ascii="Times New Roman" w:hAnsi="Times New Roman" w:cs="Times New Roman"/>
          <w:sz w:val="24"/>
          <w:szCs w:val="24"/>
        </w:rPr>
        <w:t>.</w:t>
      </w:r>
    </w:p>
    <w:p w14:paraId="02B76EF4" w14:textId="18756A81" w:rsidR="00D209BA" w:rsidRPr="003E4298" w:rsidRDefault="00D209BA" w:rsidP="003E4298">
      <w:pPr>
        <w:spacing w:line="480" w:lineRule="auto"/>
        <w:ind w:firstLine="720"/>
        <w:contextualSpacing/>
        <w:rPr>
          <w:rFonts w:ascii="Times New Roman" w:hAnsi="Times New Roman" w:cs="Times New Roman"/>
          <w:sz w:val="24"/>
          <w:szCs w:val="24"/>
          <w:lang w:eastAsia="de-DE"/>
        </w:rPr>
      </w:pPr>
      <w:r w:rsidRPr="003E4298">
        <w:rPr>
          <w:rFonts w:ascii="Times New Roman" w:hAnsi="Times New Roman" w:cs="Times New Roman"/>
          <w:sz w:val="24"/>
          <w:szCs w:val="24"/>
          <w:lang w:eastAsia="de-DE"/>
        </w:rPr>
        <w:t>The nature of relations between the member states and the EU on issues of external energy policy thus are complex</w:t>
      </w:r>
      <w:r w:rsidR="00CB3432" w:rsidRPr="003E4298">
        <w:rPr>
          <w:rFonts w:ascii="Times New Roman" w:hAnsi="Times New Roman" w:cs="Times New Roman"/>
          <w:sz w:val="24"/>
          <w:szCs w:val="24"/>
          <w:lang w:eastAsia="de-DE"/>
        </w:rPr>
        <w:t>. T</w:t>
      </w:r>
      <w:r w:rsidRPr="003E4298">
        <w:rPr>
          <w:rFonts w:ascii="Times New Roman" w:hAnsi="Times New Roman" w:cs="Times New Roman"/>
          <w:sz w:val="24"/>
          <w:szCs w:val="24"/>
          <w:lang w:eastAsia="de-DE"/>
        </w:rPr>
        <w:t xml:space="preserve">his complexity necessarily shapes the EU’s normative role in world energy relations. </w:t>
      </w:r>
      <w:r w:rsidR="00CB3432" w:rsidRPr="003E4298">
        <w:rPr>
          <w:rFonts w:ascii="Times New Roman" w:hAnsi="Times New Roman" w:cs="Times New Roman"/>
          <w:sz w:val="24"/>
          <w:szCs w:val="24"/>
          <w:lang w:eastAsia="de-DE"/>
        </w:rPr>
        <w:t xml:space="preserve">Some scholars, such as </w:t>
      </w:r>
      <w:proofErr w:type="spellStart"/>
      <w:r w:rsidR="00CB3432" w:rsidRPr="003E4298">
        <w:rPr>
          <w:rFonts w:ascii="Times New Roman" w:hAnsi="Times New Roman" w:cs="Times New Roman"/>
          <w:sz w:val="24"/>
          <w:szCs w:val="24"/>
          <w:lang w:eastAsia="de-DE"/>
        </w:rPr>
        <w:t>Lucarelli</w:t>
      </w:r>
      <w:proofErr w:type="spellEnd"/>
      <w:r w:rsidR="00CB3432" w:rsidRPr="003E4298">
        <w:rPr>
          <w:rFonts w:ascii="Times New Roman" w:hAnsi="Times New Roman" w:cs="Times New Roman"/>
          <w:sz w:val="24"/>
          <w:szCs w:val="24"/>
          <w:lang w:eastAsia="de-DE"/>
        </w:rPr>
        <w:t xml:space="preserve"> </w:t>
      </w:r>
      <w:r w:rsidR="00DD6D2C" w:rsidRPr="003E4298">
        <w:rPr>
          <w:rFonts w:ascii="Times New Roman" w:hAnsi="Times New Roman" w:cs="Times New Roman"/>
          <w:sz w:val="24"/>
          <w:szCs w:val="24"/>
          <w:lang w:eastAsia="de-DE"/>
        </w:rPr>
        <w:t>and</w:t>
      </w:r>
      <w:r w:rsidR="00CB3432" w:rsidRPr="003E4298">
        <w:rPr>
          <w:rFonts w:ascii="Times New Roman" w:hAnsi="Times New Roman" w:cs="Times New Roman"/>
          <w:sz w:val="24"/>
          <w:szCs w:val="24"/>
          <w:lang w:eastAsia="de-DE"/>
        </w:rPr>
        <w:t xml:space="preserve"> </w:t>
      </w:r>
      <w:proofErr w:type="spellStart"/>
      <w:r w:rsidR="00CB3432" w:rsidRPr="003E4298">
        <w:rPr>
          <w:rFonts w:ascii="Times New Roman" w:hAnsi="Times New Roman" w:cs="Times New Roman"/>
          <w:sz w:val="24"/>
          <w:szCs w:val="24"/>
          <w:lang w:eastAsia="de-DE"/>
        </w:rPr>
        <w:t>Fioramonti</w:t>
      </w:r>
      <w:proofErr w:type="spellEnd"/>
      <w:r w:rsidR="00CB3432" w:rsidRPr="003E4298">
        <w:rPr>
          <w:rFonts w:ascii="Times New Roman" w:hAnsi="Times New Roman" w:cs="Times New Roman"/>
          <w:sz w:val="24"/>
          <w:szCs w:val="24"/>
          <w:lang w:eastAsia="de-DE"/>
        </w:rPr>
        <w:t xml:space="preserve"> (2010, p. 1) </w:t>
      </w:r>
      <w:r w:rsidRPr="003E4298">
        <w:rPr>
          <w:rFonts w:ascii="Times New Roman" w:hAnsi="Times New Roman" w:cs="Times New Roman"/>
          <w:sz w:val="24"/>
          <w:szCs w:val="24"/>
          <w:lang w:eastAsia="de-DE"/>
        </w:rPr>
        <w:t xml:space="preserve">suggest that </w:t>
      </w:r>
      <w:r w:rsidR="00B7612C" w:rsidRPr="003E4298">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self-rhetorical representation, public debate and mirror images are fundamental components of a political identity in the making like the EU/European one</w:t>
      </w:r>
      <w:r w:rsidR="00B7612C" w:rsidRPr="003E4298">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 xml:space="preserve">. </w:t>
      </w:r>
      <w:r w:rsidR="00A32338">
        <w:rPr>
          <w:rFonts w:ascii="Times New Roman" w:hAnsi="Times New Roman" w:cs="Times New Roman"/>
          <w:sz w:val="24"/>
          <w:szCs w:val="24"/>
          <w:lang w:eastAsia="de-DE"/>
        </w:rPr>
        <w:t xml:space="preserve">External perceptions of the EU can therefore provide insight and empirical findings in order to assess the EU as a Normative Power (Larsen, 2014). </w:t>
      </w:r>
      <w:r w:rsidRPr="003E4298">
        <w:rPr>
          <w:rFonts w:ascii="Times New Roman" w:hAnsi="Times New Roman" w:cs="Times New Roman"/>
          <w:sz w:val="24"/>
          <w:szCs w:val="24"/>
          <w:lang w:eastAsia="de-DE"/>
        </w:rPr>
        <w:t>The existing literature indicates that the EU’s ‘self-rhetorical representation’ as a normative actor is contested in the mirror of its external partners, in particular amongst the emerging powers of the Asia-Pacific</w:t>
      </w:r>
      <w:r w:rsidR="00B7612C" w:rsidRPr="003E4298">
        <w:rPr>
          <w:rFonts w:ascii="Times New Roman" w:hAnsi="Times New Roman" w:cs="Times New Roman"/>
          <w:sz w:val="24"/>
          <w:szCs w:val="24"/>
          <w:lang w:eastAsia="de-DE"/>
        </w:rPr>
        <w:t xml:space="preserve"> where it is viewed primarily in economic terms (</w:t>
      </w:r>
      <w:r w:rsidRPr="003E4298">
        <w:rPr>
          <w:rFonts w:ascii="Times New Roman" w:hAnsi="Times New Roman" w:cs="Times New Roman"/>
          <w:sz w:val="24"/>
          <w:szCs w:val="24"/>
          <w:lang w:eastAsia="de-DE"/>
        </w:rPr>
        <w:t>Chaban</w:t>
      </w:r>
      <w:r w:rsidR="00404565" w:rsidRPr="003E4298">
        <w:rPr>
          <w:rFonts w:ascii="Times New Roman" w:hAnsi="Times New Roman" w:cs="Times New Roman"/>
          <w:sz w:val="24"/>
          <w:szCs w:val="24"/>
          <w:lang w:eastAsia="de-DE"/>
        </w:rPr>
        <w:t xml:space="preserve"> </w:t>
      </w:r>
      <w:r w:rsidR="00404565" w:rsidRPr="00533C57">
        <w:rPr>
          <w:rFonts w:ascii="Times New Roman" w:hAnsi="Times New Roman" w:cs="Times New Roman"/>
          <w:i/>
          <w:sz w:val="24"/>
          <w:szCs w:val="24"/>
          <w:lang w:eastAsia="de-DE"/>
        </w:rPr>
        <w:t>et al</w:t>
      </w:r>
      <w:r w:rsidR="00AB6E53">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 xml:space="preserve"> 2009</w:t>
      </w:r>
      <w:r w:rsidR="00DD6D2C" w:rsidRPr="003E4298">
        <w:rPr>
          <w:rFonts w:ascii="Times New Roman" w:hAnsi="Times New Roman" w:cs="Times New Roman"/>
          <w:sz w:val="24"/>
          <w:szCs w:val="24"/>
          <w:lang w:eastAsia="de-DE"/>
        </w:rPr>
        <w:t xml:space="preserve">). </w:t>
      </w:r>
      <w:r w:rsidRPr="003E4298">
        <w:rPr>
          <w:rFonts w:ascii="Times New Roman" w:hAnsi="Times New Roman" w:cs="Times New Roman"/>
          <w:sz w:val="24"/>
          <w:szCs w:val="24"/>
          <w:lang w:eastAsia="de-DE"/>
        </w:rPr>
        <w:t>Correspondingly, the EU has a particular image of the emerging powers (</w:t>
      </w:r>
      <w:proofErr w:type="spellStart"/>
      <w:r w:rsidRPr="003E4298">
        <w:rPr>
          <w:rFonts w:ascii="Times New Roman" w:hAnsi="Times New Roman" w:cs="Times New Roman"/>
          <w:sz w:val="24"/>
          <w:szCs w:val="24"/>
          <w:lang w:eastAsia="de-DE"/>
        </w:rPr>
        <w:t>Bersick</w:t>
      </w:r>
      <w:proofErr w:type="spellEnd"/>
      <w:r w:rsidR="00404565" w:rsidRPr="003E4298">
        <w:rPr>
          <w:rFonts w:ascii="Times New Roman" w:hAnsi="Times New Roman" w:cs="Times New Roman"/>
          <w:sz w:val="24"/>
          <w:szCs w:val="24"/>
          <w:lang w:eastAsia="de-DE"/>
        </w:rPr>
        <w:t xml:space="preserve"> </w:t>
      </w:r>
      <w:r w:rsidR="00404565" w:rsidRPr="003E4298">
        <w:rPr>
          <w:rFonts w:ascii="Times New Roman" w:hAnsi="Times New Roman" w:cs="Times New Roman"/>
          <w:i/>
          <w:sz w:val="24"/>
          <w:szCs w:val="24"/>
          <w:lang w:eastAsia="de-DE"/>
        </w:rPr>
        <w:t>et a</w:t>
      </w:r>
      <w:r w:rsidR="00391756">
        <w:rPr>
          <w:rFonts w:ascii="Times New Roman" w:hAnsi="Times New Roman" w:cs="Times New Roman"/>
          <w:i/>
          <w:sz w:val="24"/>
          <w:szCs w:val="24"/>
          <w:lang w:eastAsia="de-DE"/>
        </w:rPr>
        <w:t>l</w:t>
      </w:r>
      <w:r w:rsidR="00DD6D2C" w:rsidRPr="003E4298">
        <w:rPr>
          <w:rFonts w:ascii="Times New Roman" w:hAnsi="Times New Roman" w:cs="Times New Roman"/>
          <w:sz w:val="24"/>
          <w:szCs w:val="24"/>
          <w:lang w:eastAsia="de-DE"/>
        </w:rPr>
        <w:t xml:space="preserve">, </w:t>
      </w:r>
      <w:r w:rsidRPr="003E4298">
        <w:rPr>
          <w:rFonts w:ascii="Times New Roman" w:hAnsi="Times New Roman" w:cs="Times New Roman"/>
          <w:sz w:val="24"/>
          <w:szCs w:val="24"/>
          <w:lang w:eastAsia="de-DE"/>
        </w:rPr>
        <w:t xml:space="preserve">2012) and </w:t>
      </w:r>
      <w:r w:rsidR="00B7612C" w:rsidRPr="003E4298">
        <w:rPr>
          <w:rFonts w:ascii="Times New Roman" w:hAnsi="Times New Roman" w:cs="Times New Roman"/>
          <w:sz w:val="24"/>
          <w:szCs w:val="24"/>
          <w:lang w:eastAsia="de-DE"/>
        </w:rPr>
        <w:t xml:space="preserve">this </w:t>
      </w:r>
      <w:r w:rsidRPr="003E4298">
        <w:rPr>
          <w:rFonts w:ascii="Times New Roman" w:hAnsi="Times New Roman" w:cs="Times New Roman"/>
          <w:sz w:val="24"/>
          <w:szCs w:val="24"/>
          <w:lang w:eastAsia="de-DE"/>
        </w:rPr>
        <w:t>guide</w:t>
      </w:r>
      <w:r w:rsidR="00B7612C" w:rsidRPr="003E4298">
        <w:rPr>
          <w:rFonts w:ascii="Times New Roman" w:hAnsi="Times New Roman" w:cs="Times New Roman"/>
          <w:sz w:val="24"/>
          <w:szCs w:val="24"/>
          <w:lang w:eastAsia="de-DE"/>
        </w:rPr>
        <w:t>s</w:t>
      </w:r>
      <w:r w:rsidRPr="003E4298">
        <w:rPr>
          <w:rFonts w:ascii="Times New Roman" w:hAnsi="Times New Roman" w:cs="Times New Roman"/>
          <w:sz w:val="24"/>
          <w:szCs w:val="24"/>
          <w:lang w:eastAsia="de-DE"/>
        </w:rPr>
        <w:t xml:space="preserve"> its interactions with those partners. These perceptions are important, </w:t>
      </w:r>
      <w:r w:rsidR="00B7612C" w:rsidRPr="003E4298">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because they are a basis for understanding and a foundation upon which actors make choices and decisions. Understanding the perceptions of the “other” side can provide a basis for improved communication and give guidance on policy adjustments</w:t>
      </w:r>
      <w:r w:rsidR="00B7612C" w:rsidRPr="003E4298">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 xml:space="preserve"> (Chaban</w:t>
      </w:r>
      <w:r w:rsidR="00404565" w:rsidRPr="003E4298">
        <w:rPr>
          <w:rFonts w:ascii="Times New Roman" w:hAnsi="Times New Roman" w:cs="Times New Roman"/>
          <w:sz w:val="24"/>
          <w:szCs w:val="24"/>
          <w:lang w:eastAsia="de-DE"/>
        </w:rPr>
        <w:t xml:space="preserve"> </w:t>
      </w:r>
      <w:r w:rsidR="00752553" w:rsidRPr="003E4298">
        <w:rPr>
          <w:rFonts w:ascii="Times New Roman" w:hAnsi="Times New Roman" w:cs="Times New Roman"/>
          <w:sz w:val="24"/>
          <w:szCs w:val="24"/>
          <w:lang w:eastAsia="de-DE"/>
        </w:rPr>
        <w:t xml:space="preserve">and </w:t>
      </w:r>
      <w:r w:rsidRPr="003E4298">
        <w:rPr>
          <w:rFonts w:ascii="Times New Roman" w:hAnsi="Times New Roman" w:cs="Times New Roman"/>
          <w:sz w:val="24"/>
          <w:szCs w:val="24"/>
          <w:lang w:eastAsia="de-DE"/>
        </w:rPr>
        <w:t>Holland</w:t>
      </w:r>
      <w:r w:rsidR="00752553" w:rsidRPr="003E4298">
        <w:rPr>
          <w:rFonts w:ascii="Times New Roman" w:hAnsi="Times New Roman" w:cs="Times New Roman"/>
          <w:sz w:val="24"/>
          <w:szCs w:val="24"/>
          <w:lang w:eastAsia="de-DE"/>
        </w:rPr>
        <w:t xml:space="preserve">, </w:t>
      </w:r>
      <w:r w:rsidRPr="003E4298">
        <w:rPr>
          <w:rFonts w:ascii="Times New Roman" w:hAnsi="Times New Roman" w:cs="Times New Roman"/>
          <w:sz w:val="24"/>
          <w:szCs w:val="24"/>
          <w:lang w:eastAsia="de-DE"/>
        </w:rPr>
        <w:t>2010</w:t>
      </w:r>
      <w:r w:rsidR="00404565" w:rsidRPr="003E4298">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 xml:space="preserve"> </w:t>
      </w:r>
      <w:r w:rsidR="00DD6D2C" w:rsidRPr="003E4298">
        <w:rPr>
          <w:rFonts w:ascii="Times New Roman" w:hAnsi="Times New Roman" w:cs="Times New Roman"/>
          <w:sz w:val="24"/>
          <w:szCs w:val="24"/>
          <w:lang w:eastAsia="de-DE"/>
        </w:rPr>
        <w:t xml:space="preserve">p. </w:t>
      </w:r>
      <w:r w:rsidRPr="003E4298">
        <w:rPr>
          <w:rFonts w:ascii="Times New Roman" w:hAnsi="Times New Roman" w:cs="Times New Roman"/>
          <w:sz w:val="24"/>
          <w:szCs w:val="24"/>
          <w:lang w:eastAsia="de-DE"/>
        </w:rPr>
        <w:t>128).</w:t>
      </w:r>
    </w:p>
    <w:p w14:paraId="6C8F5F77" w14:textId="43EDF770" w:rsidR="00D209BA" w:rsidRPr="003E4298" w:rsidRDefault="00D209BA" w:rsidP="003E4298">
      <w:pPr>
        <w:spacing w:line="480" w:lineRule="auto"/>
        <w:ind w:firstLine="720"/>
        <w:contextualSpacing/>
        <w:rPr>
          <w:rFonts w:ascii="Times New Roman" w:hAnsi="Times New Roman" w:cs="Times New Roman"/>
          <w:sz w:val="24"/>
          <w:szCs w:val="24"/>
          <w:lang w:eastAsia="de-DE"/>
        </w:rPr>
      </w:pPr>
      <w:r w:rsidRPr="003E4298">
        <w:rPr>
          <w:rFonts w:ascii="Times New Roman" w:hAnsi="Times New Roman" w:cs="Times New Roman"/>
          <w:sz w:val="24"/>
          <w:szCs w:val="24"/>
          <w:lang w:eastAsia="de-DE"/>
        </w:rPr>
        <w:t xml:space="preserve">This paper, then, explores </w:t>
      </w:r>
      <w:r w:rsidR="00F04B19" w:rsidRPr="003E4298">
        <w:rPr>
          <w:rFonts w:ascii="Times New Roman" w:hAnsi="Times New Roman" w:cs="Times New Roman"/>
          <w:sz w:val="24"/>
          <w:szCs w:val="24"/>
          <w:lang w:eastAsia="de-DE"/>
        </w:rPr>
        <w:t xml:space="preserve">perceptions </w:t>
      </w:r>
      <w:r w:rsidRPr="003E4298">
        <w:rPr>
          <w:rFonts w:ascii="Times New Roman" w:hAnsi="Times New Roman" w:cs="Times New Roman"/>
          <w:sz w:val="24"/>
          <w:szCs w:val="24"/>
          <w:lang w:eastAsia="de-DE"/>
        </w:rPr>
        <w:t xml:space="preserve">of the EU as an external energy actor within the </w:t>
      </w:r>
      <w:r w:rsidR="00F04B19" w:rsidRPr="003E4298">
        <w:rPr>
          <w:rFonts w:ascii="Times New Roman" w:hAnsi="Times New Roman" w:cs="Times New Roman"/>
          <w:sz w:val="24"/>
          <w:szCs w:val="24"/>
          <w:lang w:eastAsia="de-DE"/>
        </w:rPr>
        <w:t xml:space="preserve">mainstream press in the </w:t>
      </w:r>
      <w:r w:rsidRPr="003E4298">
        <w:rPr>
          <w:rFonts w:ascii="Times New Roman" w:hAnsi="Times New Roman" w:cs="Times New Roman"/>
          <w:sz w:val="24"/>
          <w:szCs w:val="24"/>
          <w:lang w:eastAsia="de-DE"/>
        </w:rPr>
        <w:t xml:space="preserve">EU member states of </w:t>
      </w:r>
      <w:r w:rsidR="003D7D09" w:rsidRPr="003E4298">
        <w:rPr>
          <w:rFonts w:ascii="Times New Roman" w:hAnsi="Times New Roman" w:cs="Times New Roman"/>
          <w:sz w:val="24"/>
          <w:szCs w:val="24"/>
          <w:lang w:eastAsia="de-DE"/>
        </w:rPr>
        <w:t xml:space="preserve">the </w:t>
      </w:r>
      <w:r w:rsidR="006427F2" w:rsidRPr="003E4298">
        <w:rPr>
          <w:rFonts w:ascii="Times New Roman" w:hAnsi="Times New Roman" w:cs="Times New Roman"/>
          <w:sz w:val="24"/>
          <w:szCs w:val="24"/>
          <w:lang w:eastAsia="de-DE"/>
        </w:rPr>
        <w:t>UK</w:t>
      </w:r>
      <w:r w:rsidRPr="003E4298">
        <w:rPr>
          <w:rFonts w:ascii="Times New Roman" w:hAnsi="Times New Roman" w:cs="Times New Roman"/>
          <w:sz w:val="24"/>
          <w:szCs w:val="24"/>
          <w:lang w:eastAsia="de-DE"/>
        </w:rPr>
        <w:t xml:space="preserve">, France and Germany. </w:t>
      </w:r>
      <w:r w:rsidR="00B7612C" w:rsidRPr="003E4298">
        <w:rPr>
          <w:rFonts w:ascii="Times New Roman" w:hAnsi="Times New Roman" w:cs="Times New Roman"/>
          <w:sz w:val="24"/>
          <w:szCs w:val="24"/>
          <w:lang w:eastAsia="de-DE"/>
        </w:rPr>
        <w:t>T</w:t>
      </w:r>
      <w:r w:rsidRPr="003E4298">
        <w:rPr>
          <w:rFonts w:ascii="Times New Roman" w:hAnsi="Times New Roman" w:cs="Times New Roman"/>
          <w:sz w:val="24"/>
          <w:szCs w:val="24"/>
          <w:lang w:eastAsia="de-DE"/>
        </w:rPr>
        <w:t xml:space="preserve">he research questions </w:t>
      </w:r>
      <w:r w:rsidR="00B7612C" w:rsidRPr="003E4298">
        <w:rPr>
          <w:rFonts w:ascii="Times New Roman" w:hAnsi="Times New Roman" w:cs="Times New Roman"/>
          <w:sz w:val="24"/>
          <w:szCs w:val="24"/>
          <w:lang w:eastAsia="de-DE"/>
        </w:rPr>
        <w:t>we</w:t>
      </w:r>
      <w:r w:rsidRPr="003E4298">
        <w:rPr>
          <w:rFonts w:ascii="Times New Roman" w:hAnsi="Times New Roman" w:cs="Times New Roman"/>
          <w:sz w:val="24"/>
          <w:szCs w:val="24"/>
          <w:lang w:eastAsia="de-DE"/>
        </w:rPr>
        <w:t xml:space="preserve"> seek to answer are:</w:t>
      </w:r>
    </w:p>
    <w:p w14:paraId="534E58CE" w14:textId="36E77106" w:rsidR="00D209BA" w:rsidRPr="003E4298" w:rsidRDefault="00D209BA" w:rsidP="003E4298">
      <w:pPr>
        <w:pStyle w:val="ListParagraph"/>
        <w:numPr>
          <w:ilvl w:val="0"/>
          <w:numId w:val="8"/>
        </w:numPr>
        <w:spacing w:line="480" w:lineRule="auto"/>
        <w:rPr>
          <w:rFonts w:ascii="Times New Roman" w:hAnsi="Times New Roman" w:cs="Times New Roman"/>
          <w:sz w:val="24"/>
          <w:szCs w:val="24"/>
          <w:lang w:eastAsia="de-DE"/>
        </w:rPr>
      </w:pPr>
      <w:r w:rsidRPr="003E4298">
        <w:rPr>
          <w:rFonts w:ascii="Times New Roman" w:hAnsi="Times New Roman" w:cs="Times New Roman"/>
          <w:sz w:val="24"/>
          <w:szCs w:val="24"/>
          <w:lang w:eastAsia="de-DE"/>
        </w:rPr>
        <w:t>How is the EU</w:t>
      </w:r>
      <w:r w:rsidR="00160D0F">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 xml:space="preserve"> as a global energy actor</w:t>
      </w:r>
      <w:r w:rsidR="00160D0F">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 xml:space="preserve"> vis-à-vis the BRICS countries framed within the domestic newspapers of </w:t>
      </w:r>
      <w:r w:rsidR="003D7D09" w:rsidRPr="003E4298">
        <w:rPr>
          <w:rFonts w:ascii="Times New Roman" w:hAnsi="Times New Roman" w:cs="Times New Roman"/>
          <w:sz w:val="24"/>
          <w:szCs w:val="24"/>
          <w:lang w:eastAsia="de-DE"/>
        </w:rPr>
        <w:t xml:space="preserve">the </w:t>
      </w:r>
      <w:r w:rsidR="006427F2" w:rsidRPr="003E4298">
        <w:rPr>
          <w:rFonts w:ascii="Times New Roman" w:hAnsi="Times New Roman" w:cs="Times New Roman"/>
          <w:sz w:val="24"/>
          <w:szCs w:val="24"/>
          <w:lang w:eastAsia="de-DE"/>
        </w:rPr>
        <w:t>UK</w:t>
      </w:r>
      <w:r w:rsidRPr="003E4298">
        <w:rPr>
          <w:rFonts w:ascii="Times New Roman" w:hAnsi="Times New Roman" w:cs="Times New Roman"/>
          <w:sz w:val="24"/>
          <w:szCs w:val="24"/>
          <w:lang w:eastAsia="de-DE"/>
        </w:rPr>
        <w:t>, France and Germany?</w:t>
      </w:r>
    </w:p>
    <w:p w14:paraId="27AFB696" w14:textId="562E4141" w:rsidR="009E5311" w:rsidRDefault="009E5311" w:rsidP="003E4298">
      <w:pPr>
        <w:pStyle w:val="ListParagraph"/>
        <w:numPr>
          <w:ilvl w:val="0"/>
          <w:numId w:val="8"/>
        </w:numPr>
        <w:spacing w:line="480" w:lineRule="auto"/>
        <w:rPr>
          <w:rFonts w:ascii="Times New Roman" w:hAnsi="Times New Roman" w:cs="Times New Roman"/>
          <w:sz w:val="24"/>
          <w:szCs w:val="24"/>
          <w:lang w:eastAsia="de-DE"/>
        </w:rPr>
      </w:pPr>
      <w:r w:rsidRPr="00357D18">
        <w:rPr>
          <w:rFonts w:ascii="Times New Roman" w:hAnsi="Times New Roman" w:cs="Times New Roman"/>
          <w:sz w:val="24"/>
          <w:szCs w:val="24"/>
          <w:lang w:eastAsia="de-DE"/>
        </w:rPr>
        <w:t>What drives media representations of external energy policies</w:t>
      </w:r>
      <w:r>
        <w:rPr>
          <w:rFonts w:ascii="Times New Roman" w:hAnsi="Times New Roman" w:cs="Times New Roman"/>
          <w:sz w:val="24"/>
          <w:szCs w:val="24"/>
          <w:lang w:eastAsia="de-DE"/>
        </w:rPr>
        <w:t xml:space="preserve">? </w:t>
      </w:r>
      <w:r w:rsidR="005B1E5C">
        <w:rPr>
          <w:rFonts w:ascii="Times New Roman" w:hAnsi="Times New Roman" w:cs="Times New Roman"/>
          <w:sz w:val="24"/>
          <w:szCs w:val="24"/>
          <w:lang w:eastAsia="de-DE"/>
        </w:rPr>
        <w:t>And, d</w:t>
      </w:r>
      <w:r w:rsidR="005B1E5C" w:rsidRPr="0004238C">
        <w:rPr>
          <w:rFonts w:ascii="Times New Roman" w:hAnsi="Times New Roman" w:cs="Times New Roman"/>
          <w:sz w:val="24"/>
          <w:szCs w:val="24"/>
          <w:lang w:eastAsia="de-DE"/>
        </w:rPr>
        <w:t>oes the EU's normative agenda in the field of energy appear in these</w:t>
      </w:r>
      <w:r w:rsidR="005B1E5C">
        <w:rPr>
          <w:rFonts w:ascii="Times New Roman" w:hAnsi="Times New Roman" w:cs="Times New Roman"/>
          <w:sz w:val="24"/>
          <w:szCs w:val="24"/>
          <w:lang w:eastAsia="de-DE"/>
        </w:rPr>
        <w:t xml:space="preserve"> representations</w:t>
      </w:r>
      <w:r w:rsidR="005B1E5C" w:rsidRPr="0004238C">
        <w:rPr>
          <w:rFonts w:ascii="Times New Roman" w:hAnsi="Times New Roman" w:cs="Times New Roman"/>
          <w:sz w:val="24"/>
          <w:szCs w:val="24"/>
          <w:lang w:eastAsia="de-DE"/>
        </w:rPr>
        <w:t>?</w:t>
      </w:r>
    </w:p>
    <w:p w14:paraId="7FB1CB59" w14:textId="6DD29090" w:rsidR="00404565" w:rsidRPr="003E4298" w:rsidRDefault="00404565" w:rsidP="003E4298">
      <w:pPr>
        <w:pStyle w:val="ListParagraph"/>
        <w:numPr>
          <w:ilvl w:val="0"/>
          <w:numId w:val="8"/>
        </w:numPr>
        <w:spacing w:line="480" w:lineRule="auto"/>
        <w:rPr>
          <w:rFonts w:ascii="Times New Roman" w:hAnsi="Times New Roman" w:cs="Times New Roman"/>
          <w:sz w:val="24"/>
          <w:szCs w:val="24"/>
          <w:lang w:eastAsia="de-DE"/>
        </w:rPr>
      </w:pPr>
    </w:p>
    <w:p w14:paraId="62D3007A" w14:textId="22B0EF20" w:rsidR="00D209BA" w:rsidRPr="00BA1AFC" w:rsidRDefault="00404565" w:rsidP="003E4298">
      <w:pPr>
        <w:pStyle w:val="ListParagraph"/>
        <w:numPr>
          <w:ilvl w:val="0"/>
          <w:numId w:val="8"/>
        </w:numPr>
        <w:spacing w:line="480" w:lineRule="auto"/>
        <w:rPr>
          <w:rFonts w:ascii="Times New Roman" w:hAnsi="Times New Roman" w:cs="Times New Roman"/>
          <w:sz w:val="24"/>
          <w:szCs w:val="24"/>
          <w:lang w:eastAsia="de-DE"/>
        </w:rPr>
      </w:pPr>
      <w:r w:rsidRPr="00BA1AFC">
        <w:rPr>
          <w:rFonts w:ascii="Times New Roman" w:hAnsi="Times New Roman" w:cs="Times New Roman"/>
          <w:sz w:val="24"/>
          <w:szCs w:val="24"/>
        </w:rPr>
        <w:lastRenderedPageBreak/>
        <w:t>How does the external</w:t>
      </w:r>
      <w:r w:rsidR="00357D18" w:rsidRPr="00BA1AFC">
        <w:rPr>
          <w:rFonts w:ascii="Times New Roman" w:hAnsi="Times New Roman" w:cs="Times New Roman"/>
          <w:sz w:val="24"/>
          <w:szCs w:val="24"/>
        </w:rPr>
        <w:t>isation</w:t>
      </w:r>
      <w:r w:rsidRPr="00BA1AFC">
        <w:rPr>
          <w:rFonts w:ascii="Times New Roman" w:hAnsi="Times New Roman" w:cs="Times New Roman"/>
          <w:sz w:val="24"/>
          <w:szCs w:val="24"/>
        </w:rPr>
        <w:t xml:space="preserve"> of </w:t>
      </w:r>
      <w:r w:rsidR="008567BB" w:rsidRPr="00BA1AFC">
        <w:rPr>
          <w:rFonts w:ascii="Times New Roman" w:hAnsi="Times New Roman" w:cs="Times New Roman"/>
          <w:sz w:val="24"/>
          <w:szCs w:val="24"/>
        </w:rPr>
        <w:t xml:space="preserve">EU energy activities, </w:t>
      </w:r>
      <w:r w:rsidRPr="00BA1AFC">
        <w:rPr>
          <w:rFonts w:ascii="Times New Roman" w:hAnsi="Times New Roman" w:cs="Times New Roman"/>
          <w:sz w:val="24"/>
          <w:szCs w:val="24"/>
        </w:rPr>
        <w:t>as well as the multi-level context of the EU’s governance structure</w:t>
      </w:r>
      <w:r w:rsidR="008567BB" w:rsidRPr="00BA1AFC">
        <w:rPr>
          <w:rFonts w:ascii="Times New Roman" w:hAnsi="Times New Roman" w:cs="Times New Roman"/>
          <w:sz w:val="24"/>
          <w:szCs w:val="24"/>
        </w:rPr>
        <w:t>,</w:t>
      </w:r>
      <w:r w:rsidRPr="00BA1AFC">
        <w:rPr>
          <w:rFonts w:ascii="Times New Roman" w:hAnsi="Times New Roman" w:cs="Times New Roman"/>
          <w:sz w:val="24"/>
          <w:szCs w:val="24"/>
        </w:rPr>
        <w:t xml:space="preserve"> contribute to (or challenge) the EU’s normative power in the field of energy?</w:t>
      </w:r>
    </w:p>
    <w:p w14:paraId="77691EE7" w14:textId="0597951B" w:rsidR="00D209BA" w:rsidRPr="003E4298" w:rsidRDefault="00D209BA" w:rsidP="003E4298">
      <w:pPr>
        <w:spacing w:line="480" w:lineRule="auto"/>
        <w:contextualSpacing/>
        <w:rPr>
          <w:rFonts w:ascii="Times New Roman" w:hAnsi="Times New Roman" w:cs="Times New Roman"/>
          <w:color w:val="1F497D"/>
          <w:sz w:val="24"/>
          <w:szCs w:val="24"/>
        </w:rPr>
      </w:pPr>
      <w:r w:rsidRPr="003E4298">
        <w:rPr>
          <w:rFonts w:ascii="Times New Roman" w:hAnsi="Times New Roman" w:cs="Times New Roman"/>
          <w:sz w:val="24"/>
          <w:szCs w:val="24"/>
          <w:lang w:eastAsia="de-DE"/>
        </w:rPr>
        <w:t xml:space="preserve">In answering these questions, </w:t>
      </w:r>
      <w:r w:rsidR="00B7612C" w:rsidRPr="003E4298">
        <w:rPr>
          <w:rFonts w:ascii="Times New Roman" w:hAnsi="Times New Roman" w:cs="Times New Roman"/>
          <w:sz w:val="24"/>
          <w:szCs w:val="24"/>
          <w:lang w:eastAsia="de-DE"/>
        </w:rPr>
        <w:t>we</w:t>
      </w:r>
      <w:r w:rsidRPr="003E4298">
        <w:rPr>
          <w:rFonts w:ascii="Times New Roman" w:hAnsi="Times New Roman" w:cs="Times New Roman"/>
          <w:sz w:val="24"/>
          <w:szCs w:val="24"/>
          <w:lang w:eastAsia="de-DE"/>
        </w:rPr>
        <w:t xml:space="preserve"> explore not only media frames of the EU, but also images of how the EU is seen to act towards and with its BRICS counterparts. This internal/external dialectic will provide insights into the effectiveness, or not, of the EU’s emerging normative actorness in the field of external energy policy.</w:t>
      </w:r>
    </w:p>
    <w:p w14:paraId="5D5F4FD2" w14:textId="77777777" w:rsidR="003E4298" w:rsidRPr="003E4298" w:rsidRDefault="003E4298" w:rsidP="003E4298">
      <w:pPr>
        <w:spacing w:line="480" w:lineRule="auto"/>
        <w:contextualSpacing/>
        <w:rPr>
          <w:rFonts w:ascii="Times New Roman" w:hAnsi="Times New Roman" w:cs="Times New Roman"/>
          <w:color w:val="1F497D"/>
          <w:sz w:val="24"/>
          <w:szCs w:val="24"/>
        </w:rPr>
      </w:pPr>
    </w:p>
    <w:p w14:paraId="49FF3C56" w14:textId="326B671B" w:rsidR="00D209BA" w:rsidRPr="003E4298" w:rsidRDefault="003E4298" w:rsidP="003E4298">
      <w:pPr>
        <w:spacing w:line="480" w:lineRule="auto"/>
        <w:contextualSpacing/>
        <w:rPr>
          <w:rFonts w:ascii="Times New Roman" w:hAnsi="Times New Roman" w:cs="Times New Roman"/>
          <w:sz w:val="24"/>
          <w:szCs w:val="24"/>
        </w:rPr>
      </w:pPr>
      <w:r>
        <w:rPr>
          <w:rFonts w:ascii="Times New Roman" w:hAnsi="Times New Roman" w:cs="Times New Roman"/>
          <w:b/>
          <w:bCs/>
          <w:sz w:val="24"/>
          <w:szCs w:val="24"/>
        </w:rPr>
        <w:t xml:space="preserve">3. </w:t>
      </w:r>
      <w:r w:rsidR="00404565" w:rsidRPr="003E4298">
        <w:rPr>
          <w:rFonts w:ascii="Times New Roman" w:hAnsi="Times New Roman" w:cs="Times New Roman"/>
          <w:b/>
          <w:bCs/>
          <w:sz w:val="24"/>
          <w:szCs w:val="24"/>
        </w:rPr>
        <w:t>Methodology</w:t>
      </w:r>
    </w:p>
    <w:p w14:paraId="2C862367" w14:textId="77777777" w:rsidR="003E4298" w:rsidRDefault="003E4298" w:rsidP="003E4298">
      <w:pPr>
        <w:spacing w:line="480" w:lineRule="auto"/>
        <w:contextualSpacing/>
        <w:rPr>
          <w:rFonts w:ascii="Times New Roman" w:hAnsi="Times New Roman" w:cs="Times New Roman"/>
          <w:sz w:val="24"/>
          <w:szCs w:val="24"/>
        </w:rPr>
      </w:pPr>
    </w:p>
    <w:p w14:paraId="156876EE" w14:textId="45BD3C8E" w:rsidR="00D209BA" w:rsidRPr="003E4298" w:rsidRDefault="00AB4EFF" w:rsidP="003E4298">
      <w:pPr>
        <w:spacing w:line="480" w:lineRule="auto"/>
        <w:contextualSpacing/>
        <w:rPr>
          <w:rFonts w:ascii="Times New Roman" w:hAnsi="Times New Roman" w:cs="Times New Roman"/>
          <w:sz w:val="24"/>
          <w:szCs w:val="24"/>
        </w:rPr>
      </w:pPr>
      <w:r w:rsidRPr="003E4298">
        <w:rPr>
          <w:rFonts w:ascii="Times New Roman" w:hAnsi="Times New Roman" w:cs="Times New Roman"/>
          <w:sz w:val="24"/>
          <w:szCs w:val="24"/>
        </w:rPr>
        <w:t>As outlined in the introduction</w:t>
      </w:r>
      <w:r w:rsidR="00B7612C" w:rsidRPr="003E4298">
        <w:rPr>
          <w:rFonts w:ascii="Times New Roman" w:hAnsi="Times New Roman" w:cs="Times New Roman"/>
          <w:sz w:val="24"/>
          <w:szCs w:val="24"/>
        </w:rPr>
        <w:t xml:space="preserve"> to this special issue</w:t>
      </w:r>
      <w:r w:rsidRPr="003E4298">
        <w:rPr>
          <w:rFonts w:ascii="Times New Roman" w:hAnsi="Times New Roman" w:cs="Times New Roman"/>
          <w:sz w:val="24"/>
          <w:szCs w:val="24"/>
        </w:rPr>
        <w:t>, newspapers were chosen for monit</w:t>
      </w:r>
      <w:r w:rsidR="007709C3" w:rsidRPr="003E4298">
        <w:rPr>
          <w:rFonts w:ascii="Times New Roman" w:hAnsi="Times New Roman" w:cs="Times New Roman"/>
          <w:sz w:val="24"/>
          <w:szCs w:val="24"/>
        </w:rPr>
        <w:t>oring on the basis of national reach</w:t>
      </w:r>
      <w:r w:rsidRPr="003E4298">
        <w:rPr>
          <w:rFonts w:ascii="Times New Roman" w:hAnsi="Times New Roman" w:cs="Times New Roman"/>
          <w:sz w:val="24"/>
          <w:szCs w:val="24"/>
        </w:rPr>
        <w:t xml:space="preserve"> and prestige. The se</w:t>
      </w:r>
      <w:r w:rsidR="007709C3" w:rsidRPr="003E4298">
        <w:rPr>
          <w:rFonts w:ascii="Times New Roman" w:hAnsi="Times New Roman" w:cs="Times New Roman"/>
          <w:sz w:val="24"/>
          <w:szCs w:val="24"/>
        </w:rPr>
        <w:t>lected newspapers for this paper’s analysis</w:t>
      </w:r>
      <w:r w:rsidRPr="003E4298">
        <w:rPr>
          <w:rFonts w:ascii="Times New Roman" w:hAnsi="Times New Roman" w:cs="Times New Roman"/>
          <w:sz w:val="24"/>
          <w:szCs w:val="24"/>
        </w:rPr>
        <w:t xml:space="preserve"> are presented in </w:t>
      </w:r>
      <w:r w:rsidR="007709C3" w:rsidRPr="003E4298">
        <w:rPr>
          <w:rFonts w:ascii="Times New Roman" w:hAnsi="Times New Roman" w:cs="Times New Roman"/>
          <w:sz w:val="24"/>
          <w:szCs w:val="24"/>
        </w:rPr>
        <w:t>Table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2291"/>
        <w:gridCol w:w="2292"/>
        <w:gridCol w:w="2292"/>
      </w:tblGrid>
      <w:tr w:rsidR="00D209BA" w:rsidRPr="003E4298" w14:paraId="7AC16802" w14:textId="77777777">
        <w:tc>
          <w:tcPr>
            <w:tcW w:w="2291" w:type="dxa"/>
          </w:tcPr>
          <w:p w14:paraId="63A739C3" w14:textId="77777777" w:rsidR="00D209BA" w:rsidRPr="003E4298" w:rsidRDefault="00D209BA" w:rsidP="003E4298">
            <w:pPr>
              <w:spacing w:line="480" w:lineRule="auto"/>
              <w:contextualSpacing/>
              <w:rPr>
                <w:rFonts w:ascii="Times New Roman" w:hAnsi="Times New Roman" w:cs="Times New Roman"/>
                <w:sz w:val="24"/>
                <w:szCs w:val="24"/>
              </w:rPr>
            </w:pPr>
          </w:p>
        </w:tc>
        <w:tc>
          <w:tcPr>
            <w:tcW w:w="2291" w:type="dxa"/>
          </w:tcPr>
          <w:p w14:paraId="215FDB9D" w14:textId="77777777" w:rsidR="00D209BA" w:rsidRPr="003E4298" w:rsidRDefault="00D209BA" w:rsidP="003E4298">
            <w:pPr>
              <w:spacing w:line="480" w:lineRule="auto"/>
              <w:contextualSpacing/>
              <w:rPr>
                <w:rFonts w:ascii="Times New Roman" w:hAnsi="Times New Roman" w:cs="Times New Roman"/>
                <w:b/>
                <w:sz w:val="24"/>
                <w:szCs w:val="24"/>
              </w:rPr>
            </w:pPr>
            <w:r w:rsidRPr="003E4298">
              <w:rPr>
                <w:rFonts w:ascii="Times New Roman" w:hAnsi="Times New Roman" w:cs="Times New Roman"/>
                <w:b/>
                <w:sz w:val="24"/>
                <w:szCs w:val="24"/>
              </w:rPr>
              <w:t>Prestigious</w:t>
            </w:r>
          </w:p>
        </w:tc>
        <w:tc>
          <w:tcPr>
            <w:tcW w:w="2292" w:type="dxa"/>
          </w:tcPr>
          <w:p w14:paraId="7578CD7B" w14:textId="77777777" w:rsidR="00D209BA" w:rsidRPr="003E4298" w:rsidRDefault="00D209BA" w:rsidP="003E4298">
            <w:pPr>
              <w:spacing w:line="480" w:lineRule="auto"/>
              <w:contextualSpacing/>
              <w:rPr>
                <w:rFonts w:ascii="Times New Roman" w:hAnsi="Times New Roman" w:cs="Times New Roman"/>
                <w:b/>
                <w:sz w:val="24"/>
                <w:szCs w:val="24"/>
              </w:rPr>
            </w:pPr>
            <w:r w:rsidRPr="003E4298">
              <w:rPr>
                <w:rFonts w:ascii="Times New Roman" w:hAnsi="Times New Roman" w:cs="Times New Roman"/>
                <w:b/>
                <w:sz w:val="24"/>
                <w:szCs w:val="24"/>
              </w:rPr>
              <w:t>Business</w:t>
            </w:r>
          </w:p>
        </w:tc>
        <w:tc>
          <w:tcPr>
            <w:tcW w:w="2292" w:type="dxa"/>
          </w:tcPr>
          <w:p w14:paraId="366FD169" w14:textId="77777777" w:rsidR="00D209BA" w:rsidRPr="003E4298" w:rsidRDefault="00D209BA" w:rsidP="003E4298">
            <w:pPr>
              <w:spacing w:line="480" w:lineRule="auto"/>
              <w:contextualSpacing/>
              <w:rPr>
                <w:rFonts w:ascii="Times New Roman" w:hAnsi="Times New Roman" w:cs="Times New Roman"/>
                <w:b/>
                <w:sz w:val="24"/>
                <w:szCs w:val="24"/>
              </w:rPr>
            </w:pPr>
            <w:r w:rsidRPr="003E4298">
              <w:rPr>
                <w:rFonts w:ascii="Times New Roman" w:hAnsi="Times New Roman" w:cs="Times New Roman"/>
                <w:b/>
                <w:sz w:val="24"/>
                <w:szCs w:val="24"/>
              </w:rPr>
              <w:t xml:space="preserve">Weekly </w:t>
            </w:r>
          </w:p>
        </w:tc>
      </w:tr>
      <w:tr w:rsidR="00D209BA" w:rsidRPr="003E4298" w14:paraId="58C5D263" w14:textId="77777777">
        <w:tc>
          <w:tcPr>
            <w:tcW w:w="2291" w:type="dxa"/>
          </w:tcPr>
          <w:p w14:paraId="68BFFDC6" w14:textId="57E0502B" w:rsidR="00CC3EC3" w:rsidRPr="003E4298" w:rsidRDefault="003D7D09" w:rsidP="003E4298">
            <w:pPr>
              <w:spacing w:line="480" w:lineRule="auto"/>
              <w:contextualSpacing/>
              <w:rPr>
                <w:rFonts w:ascii="Times New Roman" w:hAnsi="Times New Roman" w:cs="Times New Roman"/>
                <w:b/>
                <w:sz w:val="24"/>
                <w:szCs w:val="24"/>
              </w:rPr>
            </w:pPr>
            <w:r w:rsidRPr="003E4298">
              <w:rPr>
                <w:rFonts w:ascii="Times New Roman" w:hAnsi="Times New Roman" w:cs="Times New Roman"/>
                <w:b/>
                <w:sz w:val="24"/>
                <w:szCs w:val="24"/>
              </w:rPr>
              <w:t xml:space="preserve">The </w:t>
            </w:r>
            <w:r w:rsidR="006427F2" w:rsidRPr="003E4298">
              <w:rPr>
                <w:rFonts w:ascii="Times New Roman" w:hAnsi="Times New Roman" w:cs="Times New Roman"/>
                <w:b/>
                <w:sz w:val="24"/>
                <w:szCs w:val="24"/>
              </w:rPr>
              <w:t>UK</w:t>
            </w:r>
          </w:p>
        </w:tc>
        <w:tc>
          <w:tcPr>
            <w:tcW w:w="2291" w:type="dxa"/>
          </w:tcPr>
          <w:p w14:paraId="2877883F" w14:textId="77777777" w:rsidR="00D209BA" w:rsidRPr="00533C57" w:rsidRDefault="00CC3EC3" w:rsidP="003E4298">
            <w:pPr>
              <w:spacing w:line="480" w:lineRule="auto"/>
              <w:contextualSpacing/>
              <w:rPr>
                <w:rFonts w:ascii="Times New Roman" w:hAnsi="Times New Roman" w:cs="Times New Roman"/>
                <w:i/>
                <w:sz w:val="24"/>
                <w:szCs w:val="24"/>
              </w:rPr>
            </w:pPr>
            <w:r w:rsidRPr="00533C57">
              <w:rPr>
                <w:rFonts w:ascii="Times New Roman" w:hAnsi="Times New Roman" w:cs="Times New Roman"/>
                <w:i/>
                <w:sz w:val="24"/>
                <w:szCs w:val="24"/>
              </w:rPr>
              <w:t>The Guardian</w:t>
            </w:r>
          </w:p>
        </w:tc>
        <w:tc>
          <w:tcPr>
            <w:tcW w:w="2292" w:type="dxa"/>
          </w:tcPr>
          <w:p w14:paraId="0CB2A145" w14:textId="77777777" w:rsidR="00D209BA" w:rsidRPr="00533C57" w:rsidRDefault="00CC3EC3" w:rsidP="003E4298">
            <w:pPr>
              <w:spacing w:line="480" w:lineRule="auto"/>
              <w:contextualSpacing/>
              <w:rPr>
                <w:rFonts w:ascii="Times New Roman" w:hAnsi="Times New Roman" w:cs="Times New Roman"/>
                <w:i/>
                <w:sz w:val="24"/>
                <w:szCs w:val="24"/>
              </w:rPr>
            </w:pPr>
            <w:r w:rsidRPr="00533C57">
              <w:rPr>
                <w:rFonts w:ascii="Times New Roman" w:hAnsi="Times New Roman" w:cs="Times New Roman"/>
                <w:i/>
                <w:sz w:val="24"/>
                <w:szCs w:val="24"/>
              </w:rPr>
              <w:t>The Financial Times</w:t>
            </w:r>
          </w:p>
        </w:tc>
        <w:tc>
          <w:tcPr>
            <w:tcW w:w="2292" w:type="dxa"/>
          </w:tcPr>
          <w:p w14:paraId="3BE19960" w14:textId="77777777" w:rsidR="00D209BA" w:rsidRPr="00533C57" w:rsidRDefault="00CC3EC3" w:rsidP="003E4298">
            <w:pPr>
              <w:spacing w:line="480" w:lineRule="auto"/>
              <w:contextualSpacing/>
              <w:rPr>
                <w:rFonts w:ascii="Times New Roman" w:hAnsi="Times New Roman" w:cs="Times New Roman"/>
                <w:i/>
                <w:sz w:val="24"/>
                <w:szCs w:val="24"/>
              </w:rPr>
            </w:pPr>
            <w:r w:rsidRPr="00533C57">
              <w:rPr>
                <w:rFonts w:ascii="Times New Roman" w:hAnsi="Times New Roman" w:cs="Times New Roman"/>
                <w:i/>
                <w:sz w:val="24"/>
                <w:szCs w:val="24"/>
              </w:rPr>
              <w:t>The Economist</w:t>
            </w:r>
          </w:p>
        </w:tc>
      </w:tr>
      <w:tr w:rsidR="00D209BA" w:rsidRPr="003E4298" w14:paraId="5F7EB973" w14:textId="77777777">
        <w:tc>
          <w:tcPr>
            <w:tcW w:w="2291" w:type="dxa"/>
          </w:tcPr>
          <w:p w14:paraId="382509FD" w14:textId="77777777" w:rsidR="00D209BA" w:rsidRPr="003E4298" w:rsidRDefault="00CC3EC3" w:rsidP="003E4298">
            <w:pPr>
              <w:spacing w:line="480" w:lineRule="auto"/>
              <w:contextualSpacing/>
              <w:rPr>
                <w:rFonts w:ascii="Times New Roman" w:hAnsi="Times New Roman" w:cs="Times New Roman"/>
                <w:b/>
                <w:sz w:val="24"/>
                <w:szCs w:val="24"/>
              </w:rPr>
            </w:pPr>
            <w:r w:rsidRPr="003E4298">
              <w:rPr>
                <w:rFonts w:ascii="Times New Roman" w:hAnsi="Times New Roman" w:cs="Times New Roman"/>
                <w:b/>
                <w:sz w:val="24"/>
                <w:szCs w:val="24"/>
              </w:rPr>
              <w:t>France</w:t>
            </w:r>
          </w:p>
        </w:tc>
        <w:tc>
          <w:tcPr>
            <w:tcW w:w="2291" w:type="dxa"/>
          </w:tcPr>
          <w:p w14:paraId="7FFD0992" w14:textId="77777777" w:rsidR="00D209BA" w:rsidRPr="00533C57" w:rsidRDefault="00BA0D31" w:rsidP="003E4298">
            <w:pPr>
              <w:spacing w:line="480" w:lineRule="auto"/>
              <w:contextualSpacing/>
              <w:rPr>
                <w:rFonts w:ascii="Times New Roman" w:hAnsi="Times New Roman" w:cs="Times New Roman"/>
                <w:i/>
                <w:sz w:val="24"/>
                <w:szCs w:val="24"/>
              </w:rPr>
            </w:pPr>
            <w:r w:rsidRPr="00533C57">
              <w:rPr>
                <w:rFonts w:ascii="Times New Roman" w:hAnsi="Times New Roman" w:cs="Times New Roman"/>
                <w:i/>
                <w:sz w:val="24"/>
                <w:szCs w:val="24"/>
              </w:rPr>
              <w:t>Le Figaro</w:t>
            </w:r>
          </w:p>
        </w:tc>
        <w:tc>
          <w:tcPr>
            <w:tcW w:w="2292" w:type="dxa"/>
          </w:tcPr>
          <w:p w14:paraId="29651E00" w14:textId="77777777" w:rsidR="00D209BA" w:rsidRPr="00533C57" w:rsidRDefault="00BA0D31" w:rsidP="003E4298">
            <w:pPr>
              <w:spacing w:line="480" w:lineRule="auto"/>
              <w:contextualSpacing/>
              <w:rPr>
                <w:rFonts w:ascii="Times New Roman" w:hAnsi="Times New Roman" w:cs="Times New Roman"/>
                <w:i/>
                <w:sz w:val="24"/>
                <w:szCs w:val="24"/>
              </w:rPr>
            </w:pPr>
            <w:r w:rsidRPr="00533C57">
              <w:rPr>
                <w:rFonts w:ascii="Times New Roman" w:hAnsi="Times New Roman" w:cs="Times New Roman"/>
                <w:i/>
                <w:sz w:val="24"/>
                <w:szCs w:val="24"/>
              </w:rPr>
              <w:t xml:space="preserve">Les </w:t>
            </w:r>
            <w:proofErr w:type="spellStart"/>
            <w:r w:rsidRPr="00533C57">
              <w:rPr>
                <w:rFonts w:ascii="Times New Roman" w:hAnsi="Times New Roman" w:cs="Times New Roman"/>
                <w:i/>
                <w:sz w:val="24"/>
                <w:szCs w:val="24"/>
              </w:rPr>
              <w:t>Echos</w:t>
            </w:r>
            <w:proofErr w:type="spellEnd"/>
          </w:p>
        </w:tc>
        <w:tc>
          <w:tcPr>
            <w:tcW w:w="2292" w:type="dxa"/>
          </w:tcPr>
          <w:p w14:paraId="273CB87F" w14:textId="77777777" w:rsidR="00D209BA" w:rsidRPr="00533C57" w:rsidRDefault="00BA0D31" w:rsidP="003E4298">
            <w:pPr>
              <w:spacing w:line="480" w:lineRule="auto"/>
              <w:contextualSpacing/>
              <w:rPr>
                <w:rFonts w:ascii="Times New Roman" w:hAnsi="Times New Roman" w:cs="Times New Roman"/>
                <w:i/>
                <w:sz w:val="24"/>
                <w:szCs w:val="24"/>
              </w:rPr>
            </w:pPr>
            <w:r w:rsidRPr="00533C57">
              <w:rPr>
                <w:rFonts w:ascii="Times New Roman" w:hAnsi="Times New Roman" w:cs="Times New Roman"/>
                <w:i/>
                <w:sz w:val="24"/>
                <w:szCs w:val="24"/>
              </w:rPr>
              <w:t>Liberation</w:t>
            </w:r>
          </w:p>
        </w:tc>
      </w:tr>
      <w:tr w:rsidR="00D209BA" w:rsidRPr="003E4298" w14:paraId="3D64C4FA" w14:textId="77777777">
        <w:tc>
          <w:tcPr>
            <w:tcW w:w="2291" w:type="dxa"/>
          </w:tcPr>
          <w:p w14:paraId="1B9D5E66" w14:textId="77777777" w:rsidR="00D209BA" w:rsidRPr="003E4298" w:rsidRDefault="00CC3EC3" w:rsidP="003E4298">
            <w:pPr>
              <w:spacing w:line="480" w:lineRule="auto"/>
              <w:contextualSpacing/>
              <w:rPr>
                <w:rFonts w:ascii="Times New Roman" w:hAnsi="Times New Roman" w:cs="Times New Roman"/>
                <w:b/>
                <w:sz w:val="24"/>
                <w:szCs w:val="24"/>
              </w:rPr>
            </w:pPr>
            <w:r w:rsidRPr="003E4298">
              <w:rPr>
                <w:rFonts w:ascii="Times New Roman" w:hAnsi="Times New Roman" w:cs="Times New Roman"/>
                <w:b/>
                <w:sz w:val="24"/>
                <w:szCs w:val="24"/>
              </w:rPr>
              <w:t>Germany</w:t>
            </w:r>
          </w:p>
        </w:tc>
        <w:tc>
          <w:tcPr>
            <w:tcW w:w="2291" w:type="dxa"/>
          </w:tcPr>
          <w:p w14:paraId="7F3B3EED" w14:textId="75F68262" w:rsidR="00D209BA" w:rsidRPr="00533C57" w:rsidRDefault="00996840" w:rsidP="003E4298">
            <w:pPr>
              <w:spacing w:line="480" w:lineRule="auto"/>
              <w:contextualSpacing/>
              <w:rPr>
                <w:rFonts w:ascii="Times New Roman" w:hAnsi="Times New Roman" w:cs="Times New Roman"/>
                <w:i/>
                <w:sz w:val="24"/>
                <w:szCs w:val="24"/>
              </w:rPr>
            </w:pPr>
            <w:proofErr w:type="spellStart"/>
            <w:r w:rsidRPr="00533C57">
              <w:rPr>
                <w:rFonts w:ascii="Times New Roman" w:hAnsi="Times New Roman" w:cs="Times New Roman"/>
                <w:i/>
                <w:sz w:val="24"/>
                <w:szCs w:val="24"/>
              </w:rPr>
              <w:t>Süddeutsche</w:t>
            </w:r>
            <w:proofErr w:type="spellEnd"/>
            <w:r w:rsidRPr="00533C57">
              <w:rPr>
                <w:rFonts w:ascii="Times New Roman" w:hAnsi="Times New Roman" w:cs="Times New Roman"/>
                <w:i/>
                <w:sz w:val="24"/>
                <w:szCs w:val="24"/>
              </w:rPr>
              <w:t xml:space="preserve"> </w:t>
            </w:r>
            <w:proofErr w:type="spellStart"/>
            <w:r w:rsidRPr="00533C57">
              <w:rPr>
                <w:rFonts w:ascii="Times New Roman" w:hAnsi="Times New Roman" w:cs="Times New Roman"/>
                <w:i/>
                <w:sz w:val="24"/>
                <w:szCs w:val="24"/>
              </w:rPr>
              <w:t>Zeitung</w:t>
            </w:r>
            <w:proofErr w:type="spellEnd"/>
          </w:p>
        </w:tc>
        <w:tc>
          <w:tcPr>
            <w:tcW w:w="2292" w:type="dxa"/>
          </w:tcPr>
          <w:p w14:paraId="1EE9FC11" w14:textId="0CF4D282" w:rsidR="00D209BA" w:rsidRPr="00533C57" w:rsidRDefault="00996840" w:rsidP="003E4298">
            <w:pPr>
              <w:spacing w:line="480" w:lineRule="auto"/>
              <w:contextualSpacing/>
              <w:rPr>
                <w:rFonts w:ascii="Times New Roman" w:hAnsi="Times New Roman" w:cs="Times New Roman"/>
                <w:i/>
                <w:sz w:val="24"/>
                <w:szCs w:val="24"/>
              </w:rPr>
            </w:pPr>
            <w:proofErr w:type="spellStart"/>
            <w:r w:rsidRPr="00533C57">
              <w:rPr>
                <w:rFonts w:ascii="Times New Roman" w:hAnsi="Times New Roman" w:cs="Times New Roman"/>
                <w:i/>
                <w:sz w:val="24"/>
                <w:szCs w:val="24"/>
              </w:rPr>
              <w:t>Handelsblatt</w:t>
            </w:r>
            <w:proofErr w:type="spellEnd"/>
          </w:p>
        </w:tc>
        <w:tc>
          <w:tcPr>
            <w:tcW w:w="2292" w:type="dxa"/>
          </w:tcPr>
          <w:p w14:paraId="1177D64B" w14:textId="273C6B84" w:rsidR="00D209BA" w:rsidRPr="00533C57" w:rsidRDefault="00996840" w:rsidP="003E4298">
            <w:pPr>
              <w:spacing w:line="480" w:lineRule="auto"/>
              <w:contextualSpacing/>
              <w:rPr>
                <w:rFonts w:ascii="Times New Roman" w:hAnsi="Times New Roman" w:cs="Times New Roman"/>
                <w:i/>
                <w:sz w:val="24"/>
                <w:szCs w:val="24"/>
              </w:rPr>
            </w:pPr>
            <w:r w:rsidRPr="00533C57">
              <w:rPr>
                <w:rFonts w:ascii="Times New Roman" w:hAnsi="Times New Roman" w:cs="Times New Roman"/>
                <w:i/>
                <w:sz w:val="24"/>
                <w:szCs w:val="24"/>
              </w:rPr>
              <w:t>Der Spiegel</w:t>
            </w:r>
          </w:p>
        </w:tc>
      </w:tr>
    </w:tbl>
    <w:p w14:paraId="5DE57A78" w14:textId="77777777" w:rsidR="00D209BA" w:rsidRPr="003E4298" w:rsidRDefault="00AB4EFF" w:rsidP="003E4298">
      <w:pPr>
        <w:spacing w:line="480" w:lineRule="auto"/>
        <w:contextualSpacing/>
        <w:rPr>
          <w:rFonts w:ascii="Times New Roman" w:hAnsi="Times New Roman" w:cs="Times New Roman"/>
          <w:sz w:val="24"/>
          <w:szCs w:val="24"/>
        </w:rPr>
      </w:pPr>
      <w:r w:rsidRPr="003E4298">
        <w:rPr>
          <w:rFonts w:ascii="Times New Roman" w:hAnsi="Times New Roman" w:cs="Times New Roman"/>
          <w:sz w:val="24"/>
          <w:szCs w:val="24"/>
        </w:rPr>
        <w:t>Table 1: Monitored Newspapers</w:t>
      </w:r>
    </w:p>
    <w:p w14:paraId="3108E06A" w14:textId="77777777" w:rsidR="003E4298" w:rsidRDefault="003E4298" w:rsidP="003E4298">
      <w:pPr>
        <w:spacing w:line="480" w:lineRule="auto"/>
        <w:contextualSpacing/>
        <w:rPr>
          <w:rFonts w:ascii="Times New Roman" w:hAnsi="Times New Roman" w:cs="Times New Roman"/>
          <w:sz w:val="24"/>
          <w:szCs w:val="24"/>
        </w:rPr>
      </w:pPr>
    </w:p>
    <w:p w14:paraId="33A93970" w14:textId="43B51024" w:rsidR="00D209BA" w:rsidRPr="003E4298" w:rsidRDefault="00D209BA" w:rsidP="003E4298">
      <w:pPr>
        <w:spacing w:line="480" w:lineRule="auto"/>
        <w:contextualSpacing/>
        <w:rPr>
          <w:rFonts w:ascii="Times New Roman" w:hAnsi="Times New Roman" w:cs="Times New Roman"/>
          <w:sz w:val="24"/>
          <w:szCs w:val="24"/>
        </w:rPr>
      </w:pPr>
      <w:r w:rsidRPr="003E4298">
        <w:rPr>
          <w:rFonts w:ascii="Times New Roman" w:hAnsi="Times New Roman" w:cs="Times New Roman"/>
          <w:sz w:val="24"/>
          <w:szCs w:val="24"/>
        </w:rPr>
        <w:t xml:space="preserve">All news </w:t>
      </w:r>
      <w:r w:rsidR="00AB4EFF" w:rsidRPr="003E4298">
        <w:rPr>
          <w:rFonts w:ascii="Times New Roman" w:hAnsi="Times New Roman" w:cs="Times New Roman"/>
          <w:sz w:val="24"/>
          <w:szCs w:val="24"/>
        </w:rPr>
        <w:t xml:space="preserve">items </w:t>
      </w:r>
      <w:r w:rsidRPr="003E4298">
        <w:rPr>
          <w:rFonts w:ascii="Times New Roman" w:hAnsi="Times New Roman" w:cs="Times New Roman"/>
          <w:sz w:val="24"/>
          <w:szCs w:val="24"/>
        </w:rPr>
        <w:t xml:space="preserve">which mentioned </w:t>
      </w:r>
      <w:r w:rsidR="00F2569B" w:rsidRPr="003E4298">
        <w:rPr>
          <w:rFonts w:ascii="Times New Roman" w:hAnsi="Times New Roman" w:cs="Times New Roman"/>
          <w:sz w:val="24"/>
          <w:szCs w:val="24"/>
        </w:rPr>
        <w:t>e</w:t>
      </w:r>
      <w:r w:rsidR="000F645D" w:rsidRPr="003E4298">
        <w:rPr>
          <w:rFonts w:ascii="Times New Roman" w:hAnsi="Times New Roman" w:cs="Times New Roman"/>
          <w:sz w:val="24"/>
          <w:szCs w:val="24"/>
        </w:rPr>
        <w:t>nergy,</w:t>
      </w:r>
      <w:r w:rsidR="00F2569B" w:rsidRPr="003E4298">
        <w:rPr>
          <w:rFonts w:ascii="Times New Roman" w:hAnsi="Times New Roman" w:cs="Times New Roman"/>
          <w:sz w:val="24"/>
          <w:szCs w:val="24"/>
        </w:rPr>
        <w:t xml:space="preserve"> </w:t>
      </w:r>
      <w:r w:rsidR="003D4CA0" w:rsidRPr="003E4298">
        <w:rPr>
          <w:rFonts w:ascii="Times New Roman" w:hAnsi="Times New Roman" w:cs="Times New Roman"/>
          <w:sz w:val="24"/>
          <w:szCs w:val="24"/>
        </w:rPr>
        <w:t xml:space="preserve">specific </w:t>
      </w:r>
      <w:r w:rsidR="00F2569B" w:rsidRPr="003E4298">
        <w:rPr>
          <w:rFonts w:ascii="Times New Roman" w:hAnsi="Times New Roman" w:cs="Times New Roman"/>
          <w:sz w:val="24"/>
          <w:szCs w:val="24"/>
        </w:rPr>
        <w:t>types of energy</w:t>
      </w:r>
      <w:r w:rsidR="00583C9D" w:rsidRPr="003E4298">
        <w:rPr>
          <w:rStyle w:val="EndnoteReference"/>
          <w:rFonts w:ascii="Times New Roman" w:hAnsi="Times New Roman" w:cs="Times New Roman"/>
          <w:sz w:val="24"/>
          <w:szCs w:val="24"/>
        </w:rPr>
        <w:endnoteReference w:id="1"/>
      </w:r>
      <w:r w:rsidR="00583C9D" w:rsidRPr="003E4298">
        <w:rPr>
          <w:rFonts w:ascii="Times New Roman" w:hAnsi="Times New Roman" w:cs="Times New Roman"/>
          <w:sz w:val="24"/>
          <w:szCs w:val="24"/>
        </w:rPr>
        <w:t xml:space="preserve"> </w:t>
      </w:r>
      <w:r w:rsidR="000F645D" w:rsidRPr="003E4298">
        <w:rPr>
          <w:rFonts w:ascii="Times New Roman" w:hAnsi="Times New Roman" w:cs="Times New Roman"/>
          <w:sz w:val="24"/>
          <w:szCs w:val="24"/>
        </w:rPr>
        <w:t>or EEP</w:t>
      </w:r>
      <w:r w:rsidR="00F2569B" w:rsidRPr="003E4298">
        <w:rPr>
          <w:rFonts w:ascii="Times New Roman" w:hAnsi="Times New Roman" w:cs="Times New Roman"/>
          <w:sz w:val="24"/>
          <w:szCs w:val="24"/>
        </w:rPr>
        <w:t xml:space="preserve"> </w:t>
      </w:r>
      <w:r w:rsidR="003D4CA0" w:rsidRPr="003E4298">
        <w:rPr>
          <w:rFonts w:ascii="Times New Roman" w:hAnsi="Times New Roman" w:cs="Times New Roman"/>
          <w:sz w:val="24"/>
          <w:szCs w:val="24"/>
        </w:rPr>
        <w:t xml:space="preserve">(external energy policy) </w:t>
      </w:r>
      <w:r w:rsidR="00F2569B" w:rsidRPr="003E4298">
        <w:rPr>
          <w:rFonts w:ascii="Times New Roman" w:hAnsi="Times New Roman" w:cs="Times New Roman"/>
          <w:sz w:val="24"/>
          <w:szCs w:val="24"/>
        </w:rPr>
        <w:t>along with any of our key actors (the EU and the BRICS)</w:t>
      </w:r>
      <w:r w:rsidRPr="003E4298">
        <w:rPr>
          <w:rFonts w:ascii="Times New Roman" w:hAnsi="Times New Roman" w:cs="Times New Roman"/>
          <w:sz w:val="24"/>
          <w:szCs w:val="24"/>
        </w:rPr>
        <w:t xml:space="preserve"> w</w:t>
      </w:r>
      <w:r w:rsidR="000F645D" w:rsidRPr="003E4298">
        <w:rPr>
          <w:rFonts w:ascii="Times New Roman" w:hAnsi="Times New Roman" w:cs="Times New Roman"/>
          <w:sz w:val="24"/>
          <w:szCs w:val="24"/>
        </w:rPr>
        <w:t>ere</w:t>
      </w:r>
      <w:r w:rsidRPr="003E4298">
        <w:rPr>
          <w:rFonts w:ascii="Times New Roman" w:hAnsi="Times New Roman" w:cs="Times New Roman"/>
          <w:sz w:val="24"/>
          <w:szCs w:val="24"/>
        </w:rPr>
        <w:t xml:space="preserve"> included in the sample, and the gathered news items were then manually coded by a team of </w:t>
      </w:r>
      <w:r w:rsidR="00B7612C" w:rsidRPr="003E4298">
        <w:rPr>
          <w:rFonts w:ascii="Times New Roman" w:hAnsi="Times New Roman" w:cs="Times New Roman"/>
          <w:sz w:val="24"/>
          <w:szCs w:val="24"/>
        </w:rPr>
        <w:t xml:space="preserve">trained </w:t>
      </w:r>
      <w:r w:rsidRPr="003E4298">
        <w:rPr>
          <w:rFonts w:ascii="Times New Roman" w:hAnsi="Times New Roman" w:cs="Times New Roman"/>
          <w:sz w:val="24"/>
          <w:szCs w:val="24"/>
        </w:rPr>
        <w:t xml:space="preserve">researchers. </w:t>
      </w:r>
      <w:r w:rsidR="003F5F35" w:rsidRPr="003E4298">
        <w:rPr>
          <w:rFonts w:ascii="Times New Roman" w:hAnsi="Times New Roman" w:cs="Times New Roman"/>
          <w:sz w:val="24"/>
          <w:szCs w:val="24"/>
        </w:rPr>
        <w:t>Further detail</w:t>
      </w:r>
      <w:r w:rsidRPr="003E4298">
        <w:rPr>
          <w:rFonts w:ascii="Times New Roman" w:hAnsi="Times New Roman" w:cs="Times New Roman"/>
          <w:sz w:val="24"/>
          <w:szCs w:val="24"/>
        </w:rPr>
        <w:t xml:space="preserve"> about these procedures can be found in the Introduction to this issue. An important category of the analysis for more fully exploring the ways in which the EU was framed within the context of energy issues, was the category of domesticity. This </w:t>
      </w:r>
      <w:r w:rsidRPr="003E4298">
        <w:rPr>
          <w:rFonts w:ascii="Times New Roman" w:hAnsi="Times New Roman" w:cs="Times New Roman"/>
          <w:sz w:val="24"/>
          <w:szCs w:val="24"/>
        </w:rPr>
        <w:lastRenderedPageBreak/>
        <w:t>category involved determining the focus of the story according to a four-fold framework</w:t>
      </w:r>
      <w:r w:rsidR="00B7612C" w:rsidRPr="003E4298">
        <w:rPr>
          <w:rFonts w:ascii="Times New Roman" w:hAnsi="Times New Roman" w:cs="Times New Roman"/>
          <w:sz w:val="24"/>
          <w:szCs w:val="24"/>
        </w:rPr>
        <w:t>,</w:t>
      </w:r>
      <w:r w:rsidR="00783220" w:rsidRPr="003E4298">
        <w:rPr>
          <w:rFonts w:ascii="Times New Roman" w:hAnsi="Times New Roman" w:cs="Times New Roman"/>
          <w:sz w:val="24"/>
          <w:szCs w:val="24"/>
        </w:rPr>
        <w:t xml:space="preserve"> presented in Table 2.</w:t>
      </w:r>
    </w:p>
    <w:p w14:paraId="701E0722" w14:textId="0920B2CA" w:rsidR="00467DB4" w:rsidRPr="003E4298" w:rsidRDefault="00467DB4" w:rsidP="003E4298">
      <w:pPr>
        <w:spacing w:line="480" w:lineRule="auto"/>
        <w:contextualSpacing/>
        <w:rPr>
          <w:rFonts w:ascii="Times New Roman" w:hAnsi="Times New Roman" w:cs="Times New Roman"/>
          <w:sz w:val="24"/>
          <w:szCs w:val="24"/>
        </w:rPr>
      </w:pPr>
    </w:p>
    <w:p w14:paraId="5D43317C" w14:textId="767888B0" w:rsidR="003F5F35" w:rsidRPr="003E4298" w:rsidRDefault="00DA7226" w:rsidP="003E4298">
      <w:pPr>
        <w:spacing w:line="480" w:lineRule="auto"/>
        <w:contextualSpacing/>
        <w:rPr>
          <w:rFonts w:ascii="Times New Roman" w:hAnsi="Times New Roman" w:cs="Times New Roman"/>
          <w:sz w:val="24"/>
          <w:szCs w:val="24"/>
        </w:rPr>
      </w:pPr>
      <w:r w:rsidRPr="003E4298">
        <w:rPr>
          <w:rFonts w:ascii="Times New Roman" w:hAnsi="Times New Roman" w:cs="Times New Roman"/>
          <w:noProof/>
          <w:sz w:val="24"/>
          <w:szCs w:val="24"/>
          <w:lang w:eastAsia="en-GB"/>
        </w:rPr>
        <w:drawing>
          <wp:inline distT="0" distB="0" distL="0" distR="0" wp14:anchorId="01B08CEB" wp14:editId="4B46ECD1">
            <wp:extent cx="5731510" cy="1103630"/>
            <wp:effectExtent l="19050" t="19050" r="21590" b="203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DC7558.tmp"/>
                    <pic:cNvPicPr/>
                  </pic:nvPicPr>
                  <pic:blipFill>
                    <a:blip r:embed="rId9">
                      <a:extLst>
                        <a:ext uri="{28A0092B-C50C-407E-A947-70E740481C1C}">
                          <a14:useLocalDpi xmlns:a14="http://schemas.microsoft.com/office/drawing/2010/main" val="0"/>
                        </a:ext>
                      </a:extLst>
                    </a:blip>
                    <a:stretch>
                      <a:fillRect/>
                    </a:stretch>
                  </pic:blipFill>
                  <pic:spPr>
                    <a:xfrm>
                      <a:off x="0" y="0"/>
                      <a:ext cx="5731510" cy="1103630"/>
                    </a:xfrm>
                    <a:prstGeom prst="rect">
                      <a:avLst/>
                    </a:prstGeom>
                    <a:ln w="12700">
                      <a:solidFill>
                        <a:schemeClr val="tx1"/>
                      </a:solidFill>
                    </a:ln>
                  </pic:spPr>
                </pic:pic>
              </a:graphicData>
            </a:graphic>
          </wp:inline>
        </w:drawing>
      </w:r>
    </w:p>
    <w:p w14:paraId="75CE5642" w14:textId="4677A3C2" w:rsidR="00D209BA" w:rsidRPr="003E4298" w:rsidRDefault="003F5F35" w:rsidP="003E4298">
      <w:pPr>
        <w:spacing w:line="480" w:lineRule="auto"/>
        <w:contextualSpacing/>
        <w:rPr>
          <w:rFonts w:ascii="Times New Roman" w:hAnsi="Times New Roman" w:cs="Times New Roman"/>
          <w:sz w:val="24"/>
          <w:szCs w:val="24"/>
        </w:rPr>
      </w:pPr>
      <w:r w:rsidRPr="003E4298">
        <w:rPr>
          <w:rFonts w:ascii="Times New Roman" w:hAnsi="Times New Roman" w:cs="Times New Roman"/>
          <w:sz w:val="24"/>
          <w:szCs w:val="24"/>
        </w:rPr>
        <w:t>Table 2: Foci of Domesticity</w:t>
      </w:r>
    </w:p>
    <w:p w14:paraId="07D0179E" w14:textId="77777777" w:rsidR="003F5F35" w:rsidRPr="003E4298" w:rsidRDefault="003F5F35" w:rsidP="003E4298">
      <w:pPr>
        <w:spacing w:line="480" w:lineRule="auto"/>
        <w:contextualSpacing/>
        <w:rPr>
          <w:rFonts w:ascii="Times New Roman" w:hAnsi="Times New Roman" w:cs="Times New Roman"/>
          <w:sz w:val="24"/>
          <w:szCs w:val="24"/>
        </w:rPr>
      </w:pPr>
    </w:p>
    <w:p w14:paraId="5526C2C4" w14:textId="6A5E354A" w:rsidR="00D209BA" w:rsidRPr="003E4298" w:rsidRDefault="00415CA8" w:rsidP="003E4298">
      <w:pPr>
        <w:spacing w:line="480" w:lineRule="auto"/>
        <w:contextualSpacing/>
        <w:rPr>
          <w:rFonts w:ascii="Times New Roman" w:hAnsi="Times New Roman" w:cs="Times New Roman"/>
          <w:sz w:val="24"/>
          <w:szCs w:val="24"/>
        </w:rPr>
      </w:pPr>
      <w:r w:rsidRPr="003E4298">
        <w:rPr>
          <w:rFonts w:ascii="Times New Roman" w:hAnsi="Times New Roman" w:cs="Times New Roman"/>
          <w:sz w:val="24"/>
          <w:szCs w:val="24"/>
        </w:rPr>
        <w:t xml:space="preserve">In </w:t>
      </w:r>
      <w:r w:rsidR="00D209BA" w:rsidRPr="003E4298">
        <w:rPr>
          <w:rFonts w:ascii="Times New Roman" w:hAnsi="Times New Roman" w:cs="Times New Roman"/>
          <w:sz w:val="24"/>
          <w:szCs w:val="24"/>
        </w:rPr>
        <w:t xml:space="preserve">this paper, we </w:t>
      </w:r>
      <w:r w:rsidRPr="003E4298">
        <w:rPr>
          <w:rFonts w:ascii="Times New Roman" w:hAnsi="Times New Roman" w:cs="Times New Roman"/>
          <w:sz w:val="24"/>
          <w:szCs w:val="24"/>
        </w:rPr>
        <w:t>utilise</w:t>
      </w:r>
      <w:r w:rsidR="00D209BA" w:rsidRPr="003E4298">
        <w:rPr>
          <w:rFonts w:ascii="Times New Roman" w:hAnsi="Times New Roman" w:cs="Times New Roman"/>
          <w:sz w:val="24"/>
          <w:szCs w:val="24"/>
        </w:rPr>
        <w:t xml:space="preserve"> a specific subset of the data: news coded within the two ‘external’ categories</w:t>
      </w:r>
      <w:r w:rsidRPr="003E4298">
        <w:rPr>
          <w:rFonts w:ascii="Times New Roman" w:hAnsi="Times New Roman" w:cs="Times New Roman"/>
          <w:sz w:val="24"/>
          <w:szCs w:val="24"/>
        </w:rPr>
        <w:t>;</w:t>
      </w:r>
      <w:r w:rsidR="00D209BA" w:rsidRPr="003E4298">
        <w:rPr>
          <w:rFonts w:ascii="Times New Roman" w:hAnsi="Times New Roman" w:cs="Times New Roman"/>
          <w:sz w:val="24"/>
          <w:szCs w:val="24"/>
        </w:rPr>
        <w:t xml:space="preserve"> that is, news relating to the EU’s external energy policy</w:t>
      </w:r>
      <w:r w:rsidR="00CB3432" w:rsidRPr="003E4298">
        <w:rPr>
          <w:rFonts w:ascii="Times New Roman" w:hAnsi="Times New Roman" w:cs="Times New Roman"/>
          <w:sz w:val="24"/>
          <w:szCs w:val="24"/>
        </w:rPr>
        <w:t>,</w:t>
      </w:r>
      <w:r w:rsidR="00D209BA" w:rsidRPr="003E4298">
        <w:rPr>
          <w:rFonts w:ascii="Times New Roman" w:hAnsi="Times New Roman" w:cs="Times New Roman"/>
          <w:sz w:val="24"/>
          <w:szCs w:val="24"/>
        </w:rPr>
        <w:t xml:space="preserve"> which was framed from either a global or third country perspective. By exploring this subset</w:t>
      </w:r>
      <w:r w:rsidRPr="003E4298">
        <w:rPr>
          <w:rFonts w:ascii="Times New Roman" w:hAnsi="Times New Roman" w:cs="Times New Roman"/>
          <w:sz w:val="24"/>
          <w:szCs w:val="24"/>
        </w:rPr>
        <w:t xml:space="preserve"> we are</w:t>
      </w:r>
      <w:r w:rsidR="00D209BA" w:rsidRPr="003E4298">
        <w:rPr>
          <w:rFonts w:ascii="Times New Roman" w:hAnsi="Times New Roman" w:cs="Times New Roman"/>
          <w:sz w:val="24"/>
          <w:szCs w:val="24"/>
        </w:rPr>
        <w:t xml:space="preserve"> better able to explore how the EU as a global </w:t>
      </w:r>
      <w:r w:rsidR="00783220" w:rsidRPr="003E4298">
        <w:rPr>
          <w:rFonts w:ascii="Times New Roman" w:hAnsi="Times New Roman" w:cs="Times New Roman"/>
          <w:sz w:val="24"/>
          <w:szCs w:val="24"/>
        </w:rPr>
        <w:t xml:space="preserve">energy </w:t>
      </w:r>
      <w:r w:rsidR="00D209BA" w:rsidRPr="003E4298">
        <w:rPr>
          <w:rFonts w:ascii="Times New Roman" w:hAnsi="Times New Roman" w:cs="Times New Roman"/>
          <w:sz w:val="24"/>
          <w:szCs w:val="24"/>
        </w:rPr>
        <w:t>actor is seen by its member states</w:t>
      </w:r>
      <w:r w:rsidR="00783220" w:rsidRPr="003E4298">
        <w:rPr>
          <w:rFonts w:ascii="Times New Roman" w:hAnsi="Times New Roman" w:cs="Times New Roman"/>
          <w:sz w:val="24"/>
          <w:szCs w:val="24"/>
        </w:rPr>
        <w:t xml:space="preserve"> when their local media looks to external events. Following from this special issue</w:t>
      </w:r>
      <w:r w:rsidR="009238A6" w:rsidRPr="003E4298">
        <w:rPr>
          <w:rFonts w:ascii="Times New Roman" w:hAnsi="Times New Roman" w:cs="Times New Roman"/>
          <w:sz w:val="24"/>
          <w:szCs w:val="24"/>
        </w:rPr>
        <w:t>’</w:t>
      </w:r>
      <w:r w:rsidR="00783220" w:rsidRPr="003E4298">
        <w:rPr>
          <w:rFonts w:ascii="Times New Roman" w:hAnsi="Times New Roman" w:cs="Times New Roman"/>
          <w:sz w:val="24"/>
          <w:szCs w:val="24"/>
        </w:rPr>
        <w:t xml:space="preserve">s </w:t>
      </w:r>
      <w:r w:rsidR="009238A6" w:rsidRPr="003E4298">
        <w:rPr>
          <w:rFonts w:ascii="Times New Roman" w:hAnsi="Times New Roman" w:cs="Times New Roman"/>
          <w:sz w:val="24"/>
          <w:szCs w:val="24"/>
        </w:rPr>
        <w:t xml:space="preserve">interest in determining the EU’s ‘capable’ frames, </w:t>
      </w:r>
      <w:r w:rsidR="0082186B" w:rsidRPr="003E4298">
        <w:rPr>
          <w:rFonts w:ascii="Times New Roman" w:hAnsi="Times New Roman" w:cs="Times New Roman"/>
          <w:sz w:val="24"/>
          <w:szCs w:val="24"/>
        </w:rPr>
        <w:t xml:space="preserve">our </w:t>
      </w:r>
      <w:r w:rsidR="009238A6" w:rsidRPr="003E4298">
        <w:rPr>
          <w:rFonts w:ascii="Times New Roman" w:hAnsi="Times New Roman" w:cs="Times New Roman"/>
          <w:sz w:val="24"/>
          <w:szCs w:val="24"/>
        </w:rPr>
        <w:t>analysis explores the visibility of the EU</w:t>
      </w:r>
      <w:r w:rsidR="003F5F35" w:rsidRPr="003E4298">
        <w:rPr>
          <w:rFonts w:ascii="Times New Roman" w:hAnsi="Times New Roman" w:cs="Times New Roman"/>
          <w:sz w:val="24"/>
          <w:szCs w:val="24"/>
        </w:rPr>
        <w:t xml:space="preserve"> and it</w:t>
      </w:r>
      <w:r w:rsidR="009238A6" w:rsidRPr="003E4298">
        <w:rPr>
          <w:rFonts w:ascii="Times New Roman" w:hAnsi="Times New Roman" w:cs="Times New Roman"/>
          <w:sz w:val="24"/>
          <w:szCs w:val="24"/>
        </w:rPr>
        <w:t xml:space="preserve">s three normative energy frames </w:t>
      </w:r>
      <w:r w:rsidR="00D209BA" w:rsidRPr="003E4298">
        <w:rPr>
          <w:rFonts w:ascii="Times New Roman" w:hAnsi="Times New Roman" w:cs="Times New Roman"/>
          <w:sz w:val="24"/>
          <w:szCs w:val="24"/>
        </w:rPr>
        <w:t xml:space="preserve">(sustainability, security of supply and competitiveness) </w:t>
      </w:r>
      <w:r w:rsidR="009238A6" w:rsidRPr="003E4298">
        <w:rPr>
          <w:rFonts w:ascii="Times New Roman" w:hAnsi="Times New Roman" w:cs="Times New Roman"/>
          <w:sz w:val="24"/>
          <w:szCs w:val="24"/>
        </w:rPr>
        <w:t>as well as its evaluation as a coherent actor</w:t>
      </w:r>
      <w:r w:rsidR="00D209BA" w:rsidRPr="003E4298">
        <w:rPr>
          <w:rFonts w:ascii="Times New Roman" w:hAnsi="Times New Roman" w:cs="Times New Roman"/>
          <w:sz w:val="24"/>
          <w:szCs w:val="24"/>
        </w:rPr>
        <w:t>.</w:t>
      </w:r>
    </w:p>
    <w:p w14:paraId="5F5C2EF1" w14:textId="77777777" w:rsidR="003E4298" w:rsidRPr="003E4298" w:rsidRDefault="003E4298" w:rsidP="003E4298">
      <w:pPr>
        <w:spacing w:line="480" w:lineRule="auto"/>
        <w:contextualSpacing/>
        <w:rPr>
          <w:rFonts w:ascii="Times New Roman" w:hAnsi="Times New Roman" w:cs="Times New Roman"/>
          <w:b/>
          <w:bCs/>
          <w:sz w:val="24"/>
          <w:szCs w:val="24"/>
        </w:rPr>
      </w:pPr>
    </w:p>
    <w:p w14:paraId="77607DB0" w14:textId="6FE92C7A" w:rsidR="00D209BA" w:rsidRPr="003E4298" w:rsidRDefault="003E4298" w:rsidP="003E4298">
      <w:pPr>
        <w:spacing w:line="480" w:lineRule="auto"/>
        <w:contextualSpacing/>
        <w:rPr>
          <w:rFonts w:ascii="Times New Roman" w:hAnsi="Times New Roman" w:cs="Times New Roman"/>
          <w:b/>
          <w:bCs/>
          <w:sz w:val="24"/>
          <w:szCs w:val="24"/>
        </w:rPr>
      </w:pPr>
      <w:r>
        <w:rPr>
          <w:rFonts w:ascii="Times New Roman" w:hAnsi="Times New Roman" w:cs="Times New Roman"/>
          <w:b/>
          <w:bCs/>
          <w:sz w:val="24"/>
          <w:szCs w:val="24"/>
        </w:rPr>
        <w:t xml:space="preserve">4. </w:t>
      </w:r>
      <w:r w:rsidR="009238A6" w:rsidRPr="003E4298">
        <w:rPr>
          <w:rFonts w:ascii="Times New Roman" w:hAnsi="Times New Roman" w:cs="Times New Roman"/>
          <w:b/>
          <w:bCs/>
          <w:sz w:val="24"/>
          <w:szCs w:val="24"/>
        </w:rPr>
        <w:t xml:space="preserve">‘Domestic’ Energy </w:t>
      </w:r>
      <w:r w:rsidR="00D209BA" w:rsidRPr="003E4298">
        <w:rPr>
          <w:rFonts w:ascii="Times New Roman" w:hAnsi="Times New Roman" w:cs="Times New Roman"/>
          <w:b/>
          <w:bCs/>
          <w:sz w:val="24"/>
          <w:szCs w:val="24"/>
        </w:rPr>
        <w:t>Context</w:t>
      </w:r>
      <w:r w:rsidR="009238A6" w:rsidRPr="003E4298">
        <w:rPr>
          <w:rFonts w:ascii="Times New Roman" w:hAnsi="Times New Roman" w:cs="Times New Roman"/>
          <w:b/>
          <w:bCs/>
          <w:sz w:val="24"/>
          <w:szCs w:val="24"/>
        </w:rPr>
        <w:t xml:space="preserve">s: </w:t>
      </w:r>
      <w:r w:rsidR="006427F2" w:rsidRPr="003E4298">
        <w:rPr>
          <w:rFonts w:ascii="Times New Roman" w:hAnsi="Times New Roman" w:cs="Times New Roman"/>
          <w:b/>
          <w:bCs/>
          <w:sz w:val="24"/>
          <w:szCs w:val="24"/>
        </w:rPr>
        <w:t>UK</w:t>
      </w:r>
      <w:r w:rsidR="009238A6" w:rsidRPr="003E4298">
        <w:rPr>
          <w:rFonts w:ascii="Times New Roman" w:hAnsi="Times New Roman" w:cs="Times New Roman"/>
          <w:b/>
          <w:bCs/>
          <w:sz w:val="24"/>
          <w:szCs w:val="24"/>
        </w:rPr>
        <w:t>, France and Germany</w:t>
      </w:r>
    </w:p>
    <w:p w14:paraId="6E81BFAB" w14:textId="77777777" w:rsidR="003E4298" w:rsidRDefault="003E4298" w:rsidP="003E4298">
      <w:pPr>
        <w:spacing w:line="480" w:lineRule="auto"/>
        <w:contextualSpacing/>
        <w:rPr>
          <w:rFonts w:ascii="Times New Roman" w:hAnsi="Times New Roman" w:cs="Times New Roman"/>
          <w:sz w:val="24"/>
          <w:szCs w:val="24"/>
        </w:rPr>
      </w:pPr>
    </w:p>
    <w:p w14:paraId="4BC2B9A1" w14:textId="66828DF6" w:rsidR="009238A6" w:rsidRPr="003E4298" w:rsidRDefault="009238A6" w:rsidP="003E4298">
      <w:pPr>
        <w:spacing w:line="480" w:lineRule="auto"/>
        <w:contextualSpacing/>
        <w:rPr>
          <w:rFonts w:ascii="Times New Roman" w:hAnsi="Times New Roman" w:cs="Times New Roman"/>
          <w:sz w:val="24"/>
          <w:szCs w:val="24"/>
        </w:rPr>
      </w:pPr>
      <w:r w:rsidRPr="003E4298">
        <w:rPr>
          <w:rFonts w:ascii="Times New Roman" w:hAnsi="Times New Roman" w:cs="Times New Roman"/>
          <w:sz w:val="24"/>
          <w:szCs w:val="24"/>
        </w:rPr>
        <w:t xml:space="preserve">After spending most of the last 30 years as a net energy exporter, since 2004, </w:t>
      </w:r>
      <w:r w:rsidR="00577FFC" w:rsidRPr="003E4298">
        <w:rPr>
          <w:rFonts w:ascii="Times New Roman" w:hAnsi="Times New Roman" w:cs="Times New Roman"/>
          <w:sz w:val="24"/>
          <w:szCs w:val="24"/>
        </w:rPr>
        <w:t xml:space="preserve">the </w:t>
      </w:r>
      <w:r w:rsidR="006427F2" w:rsidRPr="003E4298">
        <w:rPr>
          <w:rFonts w:ascii="Times New Roman" w:hAnsi="Times New Roman" w:cs="Times New Roman"/>
          <w:sz w:val="24"/>
          <w:szCs w:val="24"/>
        </w:rPr>
        <w:t>UK</w:t>
      </w:r>
      <w:r w:rsidRPr="003E4298">
        <w:rPr>
          <w:rFonts w:ascii="Times New Roman" w:hAnsi="Times New Roman" w:cs="Times New Roman"/>
          <w:sz w:val="24"/>
          <w:szCs w:val="24"/>
        </w:rPr>
        <w:t xml:space="preserve"> has </w:t>
      </w:r>
      <w:r w:rsidR="003D2C8E" w:rsidRPr="003E4298">
        <w:rPr>
          <w:rFonts w:ascii="Times New Roman" w:hAnsi="Times New Roman" w:cs="Times New Roman"/>
          <w:sz w:val="24"/>
          <w:szCs w:val="24"/>
        </w:rPr>
        <w:t xml:space="preserve">become </w:t>
      </w:r>
      <w:r w:rsidRPr="003E4298">
        <w:rPr>
          <w:rFonts w:ascii="Times New Roman" w:hAnsi="Times New Roman" w:cs="Times New Roman"/>
          <w:sz w:val="24"/>
          <w:szCs w:val="24"/>
        </w:rPr>
        <w:t xml:space="preserve">dependent on energy imports. Traditional </w:t>
      </w:r>
      <w:r w:rsidR="00BA66A7" w:rsidRPr="003E4298">
        <w:rPr>
          <w:rFonts w:ascii="Times New Roman" w:hAnsi="Times New Roman" w:cs="Times New Roman"/>
          <w:sz w:val="24"/>
          <w:szCs w:val="24"/>
        </w:rPr>
        <w:t>fossil fuels</w:t>
      </w:r>
      <w:r w:rsidRPr="003E4298">
        <w:rPr>
          <w:rFonts w:ascii="Times New Roman" w:hAnsi="Times New Roman" w:cs="Times New Roman"/>
          <w:sz w:val="24"/>
          <w:szCs w:val="24"/>
        </w:rPr>
        <w:t xml:space="preserve"> continue to dominant the </w:t>
      </w:r>
      <w:r w:rsidR="00FC1A77" w:rsidRPr="003E4298">
        <w:rPr>
          <w:rFonts w:ascii="Times New Roman" w:hAnsi="Times New Roman" w:cs="Times New Roman"/>
          <w:sz w:val="24"/>
          <w:szCs w:val="24"/>
        </w:rPr>
        <w:t xml:space="preserve">British </w:t>
      </w:r>
      <w:r w:rsidRPr="003E4298">
        <w:rPr>
          <w:rFonts w:ascii="Times New Roman" w:hAnsi="Times New Roman" w:cs="Times New Roman"/>
          <w:sz w:val="24"/>
          <w:szCs w:val="24"/>
        </w:rPr>
        <w:t xml:space="preserve">energy mix, accounting for 87.5% of supply, </w:t>
      </w:r>
      <w:r w:rsidR="00FC1A77" w:rsidRPr="003E4298">
        <w:rPr>
          <w:rFonts w:ascii="Times New Roman" w:hAnsi="Times New Roman" w:cs="Times New Roman"/>
          <w:sz w:val="24"/>
          <w:szCs w:val="24"/>
        </w:rPr>
        <w:t xml:space="preserve">with </w:t>
      </w:r>
      <w:r w:rsidRPr="003E4298">
        <w:rPr>
          <w:rFonts w:ascii="Times New Roman" w:hAnsi="Times New Roman" w:cs="Times New Roman"/>
          <w:sz w:val="24"/>
          <w:szCs w:val="24"/>
        </w:rPr>
        <w:t xml:space="preserve">low carbon sources including nuclear and renewables accounting for 12% </w:t>
      </w:r>
      <w:r w:rsidR="006F1935" w:rsidRPr="003E4298">
        <w:rPr>
          <w:rFonts w:ascii="Times New Roman" w:hAnsi="Times New Roman" w:cs="Times New Roman"/>
          <w:sz w:val="24"/>
          <w:szCs w:val="24"/>
        </w:rPr>
        <w:t>(</w:t>
      </w:r>
      <w:r w:rsidR="00806C1E" w:rsidRPr="003E4298">
        <w:rPr>
          <w:rFonts w:ascii="Times New Roman" w:hAnsi="Times New Roman" w:cs="Times New Roman"/>
          <w:sz w:val="24"/>
          <w:szCs w:val="24"/>
        </w:rPr>
        <w:t xml:space="preserve">Department of Energy and Climate Change, </w:t>
      </w:r>
      <w:r w:rsidR="006F1935" w:rsidRPr="003E4298">
        <w:rPr>
          <w:rFonts w:ascii="Times New Roman" w:hAnsi="Times New Roman" w:cs="Times New Roman"/>
          <w:sz w:val="24"/>
          <w:szCs w:val="24"/>
        </w:rPr>
        <w:t>2012)</w:t>
      </w:r>
      <w:r w:rsidRPr="003E4298">
        <w:rPr>
          <w:rFonts w:ascii="Times New Roman" w:hAnsi="Times New Roman" w:cs="Times New Roman"/>
          <w:sz w:val="24"/>
          <w:szCs w:val="24"/>
        </w:rPr>
        <w:t xml:space="preserve">. The context of the recession has played a part in shaping </w:t>
      </w:r>
      <w:r w:rsidR="00FC1A77" w:rsidRPr="003E4298">
        <w:rPr>
          <w:rFonts w:ascii="Times New Roman" w:hAnsi="Times New Roman" w:cs="Times New Roman"/>
          <w:sz w:val="24"/>
          <w:szCs w:val="24"/>
        </w:rPr>
        <w:t xml:space="preserve">British energy policy </w:t>
      </w:r>
      <w:r w:rsidRPr="003E4298">
        <w:rPr>
          <w:rFonts w:ascii="Times New Roman" w:hAnsi="Times New Roman" w:cs="Times New Roman"/>
          <w:sz w:val="24"/>
          <w:szCs w:val="24"/>
        </w:rPr>
        <w:t xml:space="preserve">documents </w:t>
      </w:r>
      <w:r w:rsidR="003D2C8E" w:rsidRPr="003E4298">
        <w:rPr>
          <w:rFonts w:ascii="Times New Roman" w:hAnsi="Times New Roman" w:cs="Times New Roman"/>
          <w:sz w:val="24"/>
          <w:szCs w:val="24"/>
        </w:rPr>
        <w:t xml:space="preserve">which </w:t>
      </w:r>
      <w:r w:rsidRPr="003E4298">
        <w:rPr>
          <w:rFonts w:ascii="Times New Roman" w:hAnsi="Times New Roman" w:cs="Times New Roman"/>
          <w:sz w:val="24"/>
          <w:szCs w:val="24"/>
        </w:rPr>
        <w:t xml:space="preserve">depict a country preoccupied with competitiveness in the energy sector: </w:t>
      </w:r>
      <w:r w:rsidRPr="003E4298">
        <w:rPr>
          <w:rFonts w:ascii="Times New Roman" w:hAnsi="Times New Roman" w:cs="Times New Roman"/>
          <w:sz w:val="24"/>
          <w:szCs w:val="24"/>
        </w:rPr>
        <w:lastRenderedPageBreak/>
        <w:t xml:space="preserve">both as a means of ensuring a stable </w:t>
      </w:r>
      <w:r w:rsidR="00FC1A77" w:rsidRPr="003E4298">
        <w:rPr>
          <w:rFonts w:ascii="Times New Roman" w:hAnsi="Times New Roman" w:cs="Times New Roman"/>
          <w:sz w:val="24"/>
          <w:szCs w:val="24"/>
        </w:rPr>
        <w:t xml:space="preserve">and affordable </w:t>
      </w:r>
      <w:r w:rsidRPr="003E4298">
        <w:rPr>
          <w:rFonts w:ascii="Times New Roman" w:hAnsi="Times New Roman" w:cs="Times New Roman"/>
          <w:sz w:val="24"/>
          <w:szCs w:val="24"/>
        </w:rPr>
        <w:t xml:space="preserve">energy supply, </w:t>
      </w:r>
      <w:r w:rsidR="00FC1A77" w:rsidRPr="003E4298">
        <w:rPr>
          <w:rFonts w:ascii="Times New Roman" w:hAnsi="Times New Roman" w:cs="Times New Roman"/>
          <w:sz w:val="24"/>
          <w:szCs w:val="24"/>
        </w:rPr>
        <w:t>and</w:t>
      </w:r>
      <w:r w:rsidRPr="003E4298">
        <w:rPr>
          <w:rFonts w:ascii="Times New Roman" w:hAnsi="Times New Roman" w:cs="Times New Roman"/>
          <w:sz w:val="24"/>
          <w:szCs w:val="24"/>
        </w:rPr>
        <w:t xml:space="preserve"> as a means of driving economic recovery. </w:t>
      </w:r>
      <w:r w:rsidR="00577FFC" w:rsidRPr="003E4298">
        <w:rPr>
          <w:rFonts w:ascii="Times New Roman" w:hAnsi="Times New Roman" w:cs="Times New Roman"/>
          <w:sz w:val="24"/>
          <w:szCs w:val="24"/>
        </w:rPr>
        <w:t>The 2012</w:t>
      </w:r>
      <w:r w:rsidR="003D2C8E" w:rsidRPr="003E4298">
        <w:rPr>
          <w:rFonts w:ascii="Times New Roman" w:hAnsi="Times New Roman" w:cs="Times New Roman"/>
          <w:sz w:val="24"/>
          <w:szCs w:val="24"/>
        </w:rPr>
        <w:t xml:space="preserve"> Energy Bill</w:t>
      </w:r>
      <w:r w:rsidR="00577FFC" w:rsidRPr="003E4298">
        <w:rPr>
          <w:rFonts w:ascii="Times New Roman" w:hAnsi="Times New Roman" w:cs="Times New Roman"/>
          <w:sz w:val="24"/>
          <w:szCs w:val="24"/>
        </w:rPr>
        <w:t xml:space="preserve"> featured</w:t>
      </w:r>
      <w:r w:rsidR="003D2C8E" w:rsidRPr="003E4298">
        <w:rPr>
          <w:rFonts w:ascii="Times New Roman" w:hAnsi="Times New Roman" w:cs="Times New Roman"/>
          <w:sz w:val="24"/>
          <w:szCs w:val="24"/>
        </w:rPr>
        <w:t xml:space="preserve"> </w:t>
      </w:r>
      <w:r w:rsidRPr="003E4298">
        <w:rPr>
          <w:rFonts w:ascii="Times New Roman" w:hAnsi="Times New Roman" w:cs="Times New Roman"/>
          <w:sz w:val="24"/>
          <w:szCs w:val="24"/>
        </w:rPr>
        <w:t>a renew</w:t>
      </w:r>
      <w:r w:rsidR="003D2C8E" w:rsidRPr="003E4298">
        <w:rPr>
          <w:rFonts w:ascii="Times New Roman" w:hAnsi="Times New Roman" w:cs="Times New Roman"/>
          <w:sz w:val="24"/>
          <w:szCs w:val="24"/>
        </w:rPr>
        <w:t>ed investment in nuclear energy</w:t>
      </w:r>
      <w:r w:rsidR="00577FFC" w:rsidRPr="003E4298">
        <w:rPr>
          <w:rFonts w:ascii="Times New Roman" w:hAnsi="Times New Roman" w:cs="Times New Roman"/>
          <w:sz w:val="24"/>
          <w:szCs w:val="24"/>
        </w:rPr>
        <w:t xml:space="preserve"> and while</w:t>
      </w:r>
      <w:r w:rsidR="00752553" w:rsidRPr="003E4298">
        <w:rPr>
          <w:rFonts w:ascii="Times New Roman" w:hAnsi="Times New Roman" w:cs="Times New Roman"/>
          <w:sz w:val="24"/>
          <w:szCs w:val="24"/>
        </w:rPr>
        <w:t xml:space="preserve"> </w:t>
      </w:r>
      <w:r w:rsidR="00577FFC" w:rsidRPr="003E4298">
        <w:rPr>
          <w:rFonts w:ascii="Times New Roman" w:hAnsi="Times New Roman" w:cs="Times New Roman"/>
          <w:sz w:val="24"/>
          <w:szCs w:val="24"/>
        </w:rPr>
        <w:t>f</w:t>
      </w:r>
      <w:r w:rsidRPr="003E4298">
        <w:rPr>
          <w:rFonts w:ascii="Times New Roman" w:hAnsi="Times New Roman" w:cs="Times New Roman"/>
          <w:sz w:val="24"/>
          <w:szCs w:val="24"/>
        </w:rPr>
        <w:t>racking has been a source of controversy</w:t>
      </w:r>
      <w:r w:rsidR="00577FFC" w:rsidRPr="003E4298">
        <w:rPr>
          <w:rFonts w:ascii="Times New Roman" w:hAnsi="Times New Roman" w:cs="Times New Roman"/>
          <w:sz w:val="24"/>
          <w:szCs w:val="24"/>
        </w:rPr>
        <w:t xml:space="preserve"> (with a brief embargo in 2011)</w:t>
      </w:r>
      <w:r w:rsidRPr="003E4298">
        <w:rPr>
          <w:rFonts w:ascii="Times New Roman" w:hAnsi="Times New Roman" w:cs="Times New Roman"/>
          <w:sz w:val="24"/>
          <w:szCs w:val="24"/>
        </w:rPr>
        <w:t xml:space="preserve">, in 2013 fracking began again with </w:t>
      </w:r>
      <w:r w:rsidR="00D64F58" w:rsidRPr="003E4298">
        <w:rPr>
          <w:rFonts w:ascii="Times New Roman" w:hAnsi="Times New Roman" w:cs="Times New Roman"/>
          <w:sz w:val="24"/>
          <w:szCs w:val="24"/>
        </w:rPr>
        <w:t>U</w:t>
      </w:r>
      <w:r w:rsidR="00577FFC" w:rsidRPr="003E4298">
        <w:rPr>
          <w:rFonts w:ascii="Times New Roman" w:hAnsi="Times New Roman" w:cs="Times New Roman"/>
          <w:sz w:val="24"/>
          <w:szCs w:val="24"/>
        </w:rPr>
        <w:t xml:space="preserve">K </w:t>
      </w:r>
      <w:r w:rsidRPr="003E4298">
        <w:rPr>
          <w:rFonts w:ascii="Times New Roman" w:hAnsi="Times New Roman" w:cs="Times New Roman"/>
          <w:sz w:val="24"/>
          <w:szCs w:val="24"/>
        </w:rPr>
        <w:t>government support.</w:t>
      </w:r>
    </w:p>
    <w:p w14:paraId="5C2E81B3" w14:textId="4A2E29A9" w:rsidR="000F645D" w:rsidRPr="003E4298" w:rsidRDefault="000F645D" w:rsidP="00BF515E">
      <w:pPr>
        <w:pStyle w:val="ListParagraph"/>
        <w:spacing w:line="480" w:lineRule="auto"/>
        <w:ind w:left="0" w:firstLine="720"/>
        <w:rPr>
          <w:rFonts w:ascii="Times New Roman" w:hAnsi="Times New Roman" w:cs="Times New Roman"/>
          <w:sz w:val="24"/>
          <w:szCs w:val="24"/>
        </w:rPr>
      </w:pPr>
      <w:r w:rsidRPr="003E4298">
        <w:rPr>
          <w:rFonts w:ascii="Times New Roman" w:hAnsi="Times New Roman" w:cs="Times New Roman"/>
          <w:sz w:val="24"/>
          <w:szCs w:val="24"/>
        </w:rPr>
        <w:t xml:space="preserve">Historically, France has relied heavily on nuclear energy as a means to reduce its dependence on </w:t>
      </w:r>
      <w:r w:rsidR="0082186B" w:rsidRPr="003E4298">
        <w:rPr>
          <w:rFonts w:ascii="Times New Roman" w:hAnsi="Times New Roman" w:cs="Times New Roman"/>
          <w:sz w:val="24"/>
          <w:szCs w:val="24"/>
        </w:rPr>
        <w:t>fossil</w:t>
      </w:r>
      <w:r w:rsidRPr="003E4298">
        <w:rPr>
          <w:rFonts w:ascii="Times New Roman" w:hAnsi="Times New Roman" w:cs="Times New Roman"/>
          <w:sz w:val="24"/>
          <w:szCs w:val="24"/>
        </w:rPr>
        <w:t xml:space="preserve"> imports</w:t>
      </w:r>
      <w:r w:rsidR="00855082" w:rsidRPr="003E4298">
        <w:rPr>
          <w:rFonts w:ascii="Times New Roman" w:hAnsi="Times New Roman" w:cs="Times New Roman"/>
          <w:sz w:val="24"/>
          <w:szCs w:val="24"/>
        </w:rPr>
        <w:t xml:space="preserve"> (Petit</w:t>
      </w:r>
      <w:r w:rsidR="00B054E8" w:rsidRPr="003E4298">
        <w:rPr>
          <w:rFonts w:ascii="Times New Roman" w:hAnsi="Times New Roman" w:cs="Times New Roman"/>
          <w:sz w:val="24"/>
          <w:szCs w:val="24"/>
        </w:rPr>
        <w:t>,</w:t>
      </w:r>
      <w:r w:rsidR="00855082" w:rsidRPr="003E4298">
        <w:rPr>
          <w:rFonts w:ascii="Times New Roman" w:hAnsi="Times New Roman" w:cs="Times New Roman"/>
          <w:sz w:val="24"/>
          <w:szCs w:val="24"/>
        </w:rPr>
        <w:t xml:space="preserve"> 2013)</w:t>
      </w:r>
      <w:r w:rsidR="0082186B" w:rsidRPr="003E4298">
        <w:rPr>
          <w:rFonts w:ascii="Times New Roman" w:hAnsi="Times New Roman" w:cs="Times New Roman"/>
          <w:sz w:val="24"/>
          <w:szCs w:val="24"/>
        </w:rPr>
        <w:t xml:space="preserve"> and </w:t>
      </w:r>
      <w:r w:rsidRPr="003E4298">
        <w:rPr>
          <w:rFonts w:ascii="Times New Roman" w:hAnsi="Times New Roman" w:cs="Times New Roman"/>
          <w:sz w:val="24"/>
          <w:szCs w:val="24"/>
        </w:rPr>
        <w:t>remains France’s main source of energy</w:t>
      </w:r>
      <w:r w:rsidR="00855082" w:rsidRPr="003E4298">
        <w:rPr>
          <w:rFonts w:ascii="Times New Roman" w:hAnsi="Times New Roman" w:cs="Times New Roman"/>
          <w:sz w:val="24"/>
          <w:szCs w:val="24"/>
        </w:rPr>
        <w:t xml:space="preserve"> (RTE</w:t>
      </w:r>
      <w:r w:rsidR="00B054E8" w:rsidRPr="003E4298">
        <w:rPr>
          <w:rFonts w:ascii="Times New Roman" w:hAnsi="Times New Roman" w:cs="Times New Roman"/>
          <w:sz w:val="24"/>
          <w:szCs w:val="24"/>
        </w:rPr>
        <w:t>,</w:t>
      </w:r>
      <w:r w:rsidR="00855082" w:rsidRPr="003E4298">
        <w:rPr>
          <w:rFonts w:ascii="Times New Roman" w:hAnsi="Times New Roman" w:cs="Times New Roman"/>
          <w:sz w:val="24"/>
          <w:szCs w:val="24"/>
        </w:rPr>
        <w:t xml:space="preserve"> 2014)</w:t>
      </w:r>
      <w:r w:rsidR="0082186B" w:rsidRPr="003E4298">
        <w:rPr>
          <w:rFonts w:ascii="Times New Roman" w:hAnsi="Times New Roman" w:cs="Times New Roman"/>
          <w:sz w:val="24"/>
          <w:szCs w:val="24"/>
        </w:rPr>
        <w:t>.</w:t>
      </w:r>
      <w:r w:rsidR="00FC2B0A">
        <w:rPr>
          <w:rFonts w:ascii="Times New Roman" w:hAnsi="Times New Roman" w:cs="Times New Roman"/>
          <w:sz w:val="24"/>
          <w:szCs w:val="24"/>
        </w:rPr>
        <w:t xml:space="preserve"> </w:t>
      </w:r>
      <w:r w:rsidR="0082186B" w:rsidRPr="003E4298">
        <w:rPr>
          <w:rFonts w:ascii="Times New Roman" w:hAnsi="Times New Roman" w:cs="Times New Roman"/>
          <w:sz w:val="24"/>
          <w:szCs w:val="24"/>
        </w:rPr>
        <w:t>H</w:t>
      </w:r>
      <w:r w:rsidRPr="003E4298">
        <w:rPr>
          <w:rFonts w:ascii="Times New Roman" w:hAnsi="Times New Roman" w:cs="Times New Roman"/>
          <w:sz w:val="24"/>
          <w:szCs w:val="24"/>
        </w:rPr>
        <w:t>owever, since the incid</w:t>
      </w:r>
      <w:r w:rsidR="00BA66A7">
        <w:rPr>
          <w:rFonts w:ascii="Times New Roman" w:hAnsi="Times New Roman" w:cs="Times New Roman"/>
          <w:sz w:val="24"/>
          <w:szCs w:val="24"/>
        </w:rPr>
        <w:t>ent in Fukushima there has been</w:t>
      </w:r>
      <w:r w:rsidRPr="003E4298">
        <w:rPr>
          <w:rFonts w:ascii="Times New Roman" w:hAnsi="Times New Roman" w:cs="Times New Roman"/>
          <w:sz w:val="24"/>
          <w:szCs w:val="24"/>
        </w:rPr>
        <w:t xml:space="preserve"> a growing concern regarding </w:t>
      </w:r>
      <w:r w:rsidR="00467DB4" w:rsidRPr="003E4298">
        <w:rPr>
          <w:rFonts w:ascii="Times New Roman" w:hAnsi="Times New Roman" w:cs="Times New Roman"/>
          <w:sz w:val="24"/>
          <w:szCs w:val="24"/>
        </w:rPr>
        <w:t>this type of energy production</w:t>
      </w:r>
      <w:r w:rsidR="0082186B" w:rsidRPr="003E4298">
        <w:rPr>
          <w:rFonts w:ascii="Times New Roman" w:hAnsi="Times New Roman" w:cs="Times New Roman"/>
          <w:sz w:val="24"/>
          <w:szCs w:val="24"/>
        </w:rPr>
        <w:t>.</w:t>
      </w:r>
      <w:r w:rsidR="007709C3" w:rsidRPr="003E4298">
        <w:rPr>
          <w:rFonts w:ascii="Times New Roman" w:hAnsi="Times New Roman" w:cs="Times New Roman"/>
          <w:sz w:val="24"/>
          <w:szCs w:val="24"/>
        </w:rPr>
        <w:t xml:space="preserve"> </w:t>
      </w:r>
      <w:r w:rsidR="0082186B" w:rsidRPr="003E4298">
        <w:rPr>
          <w:rFonts w:ascii="Times New Roman" w:hAnsi="Times New Roman" w:cs="Times New Roman"/>
          <w:sz w:val="24"/>
          <w:szCs w:val="24"/>
        </w:rPr>
        <w:t>B</w:t>
      </w:r>
      <w:r w:rsidRPr="003E4298">
        <w:rPr>
          <w:rFonts w:ascii="Times New Roman" w:hAnsi="Times New Roman" w:cs="Times New Roman"/>
          <w:sz w:val="24"/>
          <w:szCs w:val="24"/>
        </w:rPr>
        <w:t>efore being elected in 2012, Fran</w:t>
      </w:r>
      <w:r w:rsidR="00CB3432" w:rsidRPr="003E4298">
        <w:rPr>
          <w:rFonts w:ascii="Times New Roman" w:hAnsi="Times New Roman" w:cs="Times New Roman"/>
          <w:sz w:val="24"/>
          <w:szCs w:val="24"/>
        </w:rPr>
        <w:t>ç</w:t>
      </w:r>
      <w:r w:rsidRPr="003E4298">
        <w:rPr>
          <w:rFonts w:ascii="Times New Roman" w:hAnsi="Times New Roman" w:cs="Times New Roman"/>
          <w:sz w:val="24"/>
          <w:szCs w:val="24"/>
        </w:rPr>
        <w:t>ois Hollande vowed to reduce the proportion of nuclear in France’s energy mix from 75% to 50% by 2025</w:t>
      </w:r>
      <w:r w:rsidR="00855082" w:rsidRPr="003E4298">
        <w:rPr>
          <w:rFonts w:ascii="Times New Roman" w:hAnsi="Times New Roman" w:cs="Times New Roman"/>
          <w:sz w:val="24"/>
          <w:szCs w:val="24"/>
        </w:rPr>
        <w:t xml:space="preserve"> (Schneider</w:t>
      </w:r>
      <w:r w:rsidR="00D75556" w:rsidRPr="003E4298">
        <w:rPr>
          <w:rFonts w:ascii="Times New Roman" w:hAnsi="Times New Roman" w:cs="Times New Roman"/>
          <w:sz w:val="24"/>
          <w:szCs w:val="24"/>
        </w:rPr>
        <w:t xml:space="preserve">, </w:t>
      </w:r>
      <w:r w:rsidR="00855082" w:rsidRPr="003E4298">
        <w:rPr>
          <w:rFonts w:ascii="Times New Roman" w:hAnsi="Times New Roman" w:cs="Times New Roman"/>
          <w:sz w:val="24"/>
          <w:szCs w:val="24"/>
        </w:rPr>
        <w:t>2013)</w:t>
      </w:r>
      <w:r w:rsidRPr="003E4298">
        <w:rPr>
          <w:rFonts w:ascii="Times New Roman" w:hAnsi="Times New Roman" w:cs="Times New Roman"/>
          <w:sz w:val="24"/>
          <w:szCs w:val="24"/>
        </w:rPr>
        <w:t>.</w:t>
      </w:r>
      <w:r w:rsidR="00FC2B0A">
        <w:rPr>
          <w:rFonts w:ascii="Times New Roman" w:hAnsi="Times New Roman" w:cs="Times New Roman"/>
          <w:sz w:val="24"/>
          <w:szCs w:val="24"/>
        </w:rPr>
        <w:t xml:space="preserve"> </w:t>
      </w:r>
      <w:r w:rsidRPr="003E4298">
        <w:rPr>
          <w:rFonts w:ascii="Times New Roman" w:hAnsi="Times New Roman" w:cs="Times New Roman"/>
          <w:sz w:val="24"/>
          <w:szCs w:val="24"/>
        </w:rPr>
        <w:t>France’s second largest energy source is hydro power which represented 13.8% of France energy mix in 2013</w:t>
      </w:r>
      <w:r w:rsidR="00855082" w:rsidRPr="003E4298">
        <w:rPr>
          <w:rFonts w:ascii="Times New Roman" w:hAnsi="Times New Roman" w:cs="Times New Roman"/>
          <w:sz w:val="24"/>
          <w:szCs w:val="24"/>
        </w:rPr>
        <w:t xml:space="preserve"> (RTE 2014)</w:t>
      </w:r>
      <w:r w:rsidR="00467DB4" w:rsidRPr="003E4298">
        <w:rPr>
          <w:rFonts w:ascii="Times New Roman" w:hAnsi="Times New Roman" w:cs="Times New Roman"/>
          <w:sz w:val="24"/>
          <w:szCs w:val="24"/>
        </w:rPr>
        <w:t xml:space="preserve">, but </w:t>
      </w:r>
      <w:r w:rsidRPr="003E4298">
        <w:rPr>
          <w:rFonts w:ascii="Times New Roman" w:hAnsi="Times New Roman" w:cs="Times New Roman"/>
          <w:sz w:val="24"/>
          <w:szCs w:val="24"/>
        </w:rPr>
        <w:t>shares of other renewabl</w:t>
      </w:r>
      <w:r w:rsidR="00467DB4" w:rsidRPr="003E4298">
        <w:rPr>
          <w:rFonts w:ascii="Times New Roman" w:hAnsi="Times New Roman" w:cs="Times New Roman"/>
          <w:sz w:val="24"/>
          <w:szCs w:val="24"/>
        </w:rPr>
        <w:t>e energies tend to be modest while f</w:t>
      </w:r>
      <w:r w:rsidRPr="003E4298">
        <w:rPr>
          <w:rFonts w:ascii="Times New Roman" w:hAnsi="Times New Roman" w:cs="Times New Roman"/>
          <w:sz w:val="24"/>
          <w:szCs w:val="24"/>
        </w:rPr>
        <w:t>ossil fuel-wise, gas represents 3.5% of France’s energy mix while coal and oil represent 3.6% and 1 % respectively</w:t>
      </w:r>
      <w:r w:rsidR="00855082" w:rsidRPr="003E4298">
        <w:rPr>
          <w:rFonts w:ascii="Times New Roman" w:hAnsi="Times New Roman" w:cs="Times New Roman"/>
          <w:sz w:val="24"/>
          <w:szCs w:val="24"/>
        </w:rPr>
        <w:t xml:space="preserve"> (RTE 2014)</w:t>
      </w:r>
      <w:r w:rsidR="00467DB4" w:rsidRPr="003E4298">
        <w:rPr>
          <w:rFonts w:ascii="Times New Roman" w:hAnsi="Times New Roman" w:cs="Times New Roman"/>
          <w:sz w:val="24"/>
          <w:szCs w:val="24"/>
        </w:rPr>
        <w:t xml:space="preserve">. </w:t>
      </w:r>
      <w:r w:rsidRPr="003E4298">
        <w:rPr>
          <w:rFonts w:ascii="Times New Roman" w:hAnsi="Times New Roman" w:cs="Times New Roman"/>
          <w:sz w:val="24"/>
          <w:szCs w:val="24"/>
        </w:rPr>
        <w:t xml:space="preserve">Unlike </w:t>
      </w:r>
      <w:r w:rsidR="00BA66A7">
        <w:rPr>
          <w:rFonts w:ascii="Times New Roman" w:hAnsi="Times New Roman" w:cs="Times New Roman"/>
          <w:sz w:val="24"/>
          <w:szCs w:val="24"/>
        </w:rPr>
        <w:t>the UK</w:t>
      </w:r>
      <w:r w:rsidRPr="003E4298">
        <w:rPr>
          <w:rFonts w:ascii="Times New Roman" w:hAnsi="Times New Roman" w:cs="Times New Roman"/>
          <w:sz w:val="24"/>
          <w:szCs w:val="24"/>
        </w:rPr>
        <w:t>, France has banned the exploration and exploitation of shale oil and gas. This decision</w:t>
      </w:r>
      <w:r w:rsidR="0082186B" w:rsidRPr="003E4298">
        <w:rPr>
          <w:rFonts w:ascii="Times New Roman" w:hAnsi="Times New Roman" w:cs="Times New Roman"/>
          <w:sz w:val="24"/>
          <w:szCs w:val="24"/>
        </w:rPr>
        <w:t>,</w:t>
      </w:r>
      <w:r w:rsidRPr="003E4298">
        <w:rPr>
          <w:rFonts w:ascii="Times New Roman" w:hAnsi="Times New Roman" w:cs="Times New Roman"/>
          <w:sz w:val="24"/>
          <w:szCs w:val="24"/>
        </w:rPr>
        <w:t xml:space="preserve"> made in July </w:t>
      </w:r>
      <w:r w:rsidR="00BA66A7" w:rsidRPr="003E4298">
        <w:rPr>
          <w:rFonts w:ascii="Times New Roman" w:hAnsi="Times New Roman" w:cs="Times New Roman"/>
          <w:sz w:val="24"/>
          <w:szCs w:val="24"/>
        </w:rPr>
        <w:t>2012,</w:t>
      </w:r>
      <w:r w:rsidR="0082186B" w:rsidRPr="003E4298">
        <w:rPr>
          <w:rFonts w:ascii="Times New Roman" w:hAnsi="Times New Roman" w:cs="Times New Roman"/>
          <w:sz w:val="24"/>
          <w:szCs w:val="24"/>
        </w:rPr>
        <w:t xml:space="preserve"> </w:t>
      </w:r>
      <w:r w:rsidRPr="003E4298">
        <w:rPr>
          <w:rFonts w:ascii="Times New Roman" w:hAnsi="Times New Roman" w:cs="Times New Roman"/>
          <w:sz w:val="24"/>
          <w:szCs w:val="24"/>
        </w:rPr>
        <w:t xml:space="preserve">remains </w:t>
      </w:r>
      <w:r w:rsidR="0082186B" w:rsidRPr="003E4298">
        <w:rPr>
          <w:rFonts w:ascii="Times New Roman" w:hAnsi="Times New Roman" w:cs="Times New Roman"/>
          <w:sz w:val="24"/>
          <w:szCs w:val="24"/>
        </w:rPr>
        <w:t>controversial</w:t>
      </w:r>
      <w:r w:rsidRPr="003E4298">
        <w:rPr>
          <w:rFonts w:ascii="Times New Roman" w:hAnsi="Times New Roman" w:cs="Times New Roman"/>
          <w:sz w:val="24"/>
          <w:szCs w:val="24"/>
        </w:rPr>
        <w:t>.</w:t>
      </w:r>
    </w:p>
    <w:p w14:paraId="2A3418E9" w14:textId="0C507788" w:rsidR="00F71BB7" w:rsidRPr="003E4298" w:rsidRDefault="00F71BB7" w:rsidP="003E4298">
      <w:pPr>
        <w:pStyle w:val="ListParagraph"/>
        <w:spacing w:line="480" w:lineRule="auto"/>
        <w:ind w:left="0" w:firstLine="720"/>
        <w:rPr>
          <w:rFonts w:ascii="Times New Roman" w:hAnsi="Times New Roman" w:cs="Times New Roman"/>
          <w:sz w:val="24"/>
          <w:szCs w:val="24"/>
        </w:rPr>
      </w:pPr>
      <w:r w:rsidRPr="003E4298">
        <w:rPr>
          <w:rFonts w:ascii="Times New Roman" w:hAnsi="Times New Roman" w:cs="Times New Roman"/>
          <w:sz w:val="24"/>
          <w:szCs w:val="24"/>
        </w:rPr>
        <w:t xml:space="preserve">Germany’s energy policy has in the last years not only gained increasing attention within Germany (and hence also in the German press), but also </w:t>
      </w:r>
      <w:r w:rsidR="00467DB4" w:rsidRPr="003E4298">
        <w:rPr>
          <w:rFonts w:ascii="Times New Roman" w:hAnsi="Times New Roman" w:cs="Times New Roman"/>
          <w:sz w:val="24"/>
          <w:szCs w:val="24"/>
        </w:rPr>
        <w:t>from foreign actors who view Germany as a pioneer</w:t>
      </w:r>
      <w:r w:rsidRPr="003E4298">
        <w:rPr>
          <w:rFonts w:ascii="Times New Roman" w:hAnsi="Times New Roman" w:cs="Times New Roman"/>
          <w:sz w:val="24"/>
          <w:szCs w:val="24"/>
        </w:rPr>
        <w:t xml:space="preserve"> within the field of renewables and energy transition</w:t>
      </w:r>
      <w:r w:rsidRPr="003E4298">
        <w:rPr>
          <w:rFonts w:ascii="Times New Roman" w:hAnsi="Times New Roman" w:cs="Times New Roman"/>
          <w:iCs/>
          <w:sz w:val="24"/>
          <w:szCs w:val="24"/>
        </w:rPr>
        <w:t>.</w:t>
      </w:r>
      <w:r w:rsidR="00252413" w:rsidRPr="003E4298">
        <w:rPr>
          <w:rFonts w:ascii="Times New Roman" w:hAnsi="Times New Roman" w:cs="Times New Roman"/>
          <w:sz w:val="24"/>
          <w:szCs w:val="24"/>
        </w:rPr>
        <w:t xml:space="preserve"> </w:t>
      </w:r>
      <w:r w:rsidRPr="003E4298">
        <w:rPr>
          <w:rFonts w:ascii="Times New Roman" w:hAnsi="Times New Roman" w:cs="Times New Roman"/>
          <w:sz w:val="24"/>
          <w:szCs w:val="24"/>
        </w:rPr>
        <w:t xml:space="preserve">The cause is the so-called </w:t>
      </w:r>
      <w:proofErr w:type="spellStart"/>
      <w:r w:rsidRPr="003E4298">
        <w:rPr>
          <w:rFonts w:ascii="Times New Roman" w:hAnsi="Times New Roman" w:cs="Times New Roman"/>
          <w:i/>
          <w:iCs/>
          <w:sz w:val="24"/>
          <w:szCs w:val="24"/>
        </w:rPr>
        <w:t>Energiewende</w:t>
      </w:r>
      <w:proofErr w:type="spellEnd"/>
      <w:r w:rsidRPr="003E4298">
        <w:rPr>
          <w:rFonts w:ascii="Times New Roman" w:hAnsi="Times New Roman" w:cs="Times New Roman"/>
          <w:i/>
          <w:iCs/>
          <w:sz w:val="24"/>
          <w:szCs w:val="24"/>
        </w:rPr>
        <w:t xml:space="preserve"> </w:t>
      </w:r>
      <w:r w:rsidRPr="003E4298">
        <w:rPr>
          <w:rFonts w:ascii="Times New Roman" w:hAnsi="Times New Roman" w:cs="Times New Roman"/>
          <w:iCs/>
          <w:sz w:val="24"/>
          <w:szCs w:val="24"/>
        </w:rPr>
        <w:t>– an energy transition away from nuclear power towards renewable energies</w:t>
      </w:r>
      <w:r w:rsidR="009574F5" w:rsidRPr="003E4298">
        <w:rPr>
          <w:rFonts w:ascii="Times New Roman" w:hAnsi="Times New Roman" w:cs="Times New Roman"/>
          <w:iCs/>
          <w:sz w:val="24"/>
          <w:szCs w:val="24"/>
        </w:rPr>
        <w:t xml:space="preserve"> (</w:t>
      </w:r>
      <w:r w:rsidR="00752553" w:rsidRPr="003E4298">
        <w:rPr>
          <w:rFonts w:ascii="Times New Roman" w:hAnsi="Times New Roman" w:cs="Times New Roman"/>
          <w:iCs/>
          <w:sz w:val="24"/>
          <w:szCs w:val="24"/>
        </w:rPr>
        <w:t xml:space="preserve">decided in </w:t>
      </w:r>
      <w:r w:rsidR="009574F5" w:rsidRPr="003E4298">
        <w:rPr>
          <w:rFonts w:ascii="Times New Roman" w:hAnsi="Times New Roman" w:cs="Times New Roman"/>
          <w:iCs/>
          <w:sz w:val="24"/>
          <w:szCs w:val="24"/>
        </w:rPr>
        <w:t>2011)</w:t>
      </w:r>
      <w:r w:rsidRPr="003E4298">
        <w:rPr>
          <w:rFonts w:ascii="Times New Roman" w:hAnsi="Times New Roman" w:cs="Times New Roman"/>
          <w:iCs/>
          <w:sz w:val="24"/>
          <w:szCs w:val="24"/>
        </w:rPr>
        <w:t xml:space="preserve">. Yet, the rapid phase-out of nuclear (by 2022) also possesses great challenges to </w:t>
      </w:r>
      <w:r w:rsidRPr="003E4298">
        <w:rPr>
          <w:rFonts w:ascii="Times New Roman" w:hAnsi="Times New Roman" w:cs="Times New Roman"/>
          <w:sz w:val="24"/>
          <w:szCs w:val="24"/>
        </w:rPr>
        <w:t>German energy policy concerning infrastructure, subsidies and rising prices for consumers. The EU has criticized high subsidies to energy-intensive industries, which are counter to EU competition policies</w:t>
      </w:r>
      <w:r w:rsidR="00752553" w:rsidRPr="003E4298">
        <w:rPr>
          <w:rFonts w:ascii="Times New Roman" w:hAnsi="Times New Roman" w:cs="Times New Roman"/>
          <w:sz w:val="24"/>
          <w:szCs w:val="24"/>
        </w:rPr>
        <w:t xml:space="preserve"> (Pop, 2014)</w:t>
      </w:r>
      <w:r w:rsidRPr="003E4298">
        <w:rPr>
          <w:rFonts w:ascii="Times New Roman" w:hAnsi="Times New Roman" w:cs="Times New Roman"/>
          <w:sz w:val="24"/>
          <w:szCs w:val="24"/>
        </w:rPr>
        <w:t>.</w:t>
      </w:r>
      <w:r w:rsidR="00DE0DA7" w:rsidRPr="003E4298">
        <w:rPr>
          <w:rFonts w:ascii="Times New Roman" w:hAnsi="Times New Roman" w:cs="Times New Roman"/>
          <w:sz w:val="24"/>
          <w:szCs w:val="24"/>
        </w:rPr>
        <w:t xml:space="preserve"> </w:t>
      </w:r>
      <w:r w:rsidR="00102D5B" w:rsidRPr="003E4298">
        <w:rPr>
          <w:rFonts w:ascii="Times New Roman" w:hAnsi="Times New Roman" w:cs="Times New Roman"/>
          <w:sz w:val="24"/>
          <w:szCs w:val="24"/>
        </w:rPr>
        <w:t xml:space="preserve">It remains to be seen whether the </w:t>
      </w:r>
      <w:r w:rsidRPr="003E4298">
        <w:rPr>
          <w:rFonts w:ascii="Times New Roman" w:hAnsi="Times New Roman" w:cs="Times New Roman"/>
          <w:sz w:val="24"/>
          <w:szCs w:val="24"/>
        </w:rPr>
        <w:t>reform of the Renewable Energy Act</w:t>
      </w:r>
      <w:r w:rsidR="00752553" w:rsidRPr="003E4298">
        <w:rPr>
          <w:rFonts w:ascii="Times New Roman" w:hAnsi="Times New Roman" w:cs="Times New Roman"/>
          <w:sz w:val="24"/>
          <w:szCs w:val="24"/>
        </w:rPr>
        <w:t xml:space="preserve"> </w:t>
      </w:r>
      <w:r w:rsidR="00102D5B" w:rsidRPr="003E4298">
        <w:rPr>
          <w:rFonts w:ascii="Times New Roman" w:hAnsi="Times New Roman" w:cs="Times New Roman"/>
          <w:sz w:val="24"/>
          <w:szCs w:val="24"/>
        </w:rPr>
        <w:t>from August 2014</w:t>
      </w:r>
      <w:r w:rsidRPr="003E4298">
        <w:rPr>
          <w:rFonts w:ascii="Times New Roman" w:hAnsi="Times New Roman" w:cs="Times New Roman"/>
          <w:sz w:val="24"/>
          <w:szCs w:val="24"/>
        </w:rPr>
        <w:t xml:space="preserve"> will solve these issues. In addition, renewables only account for 12.3 percent of the total energy consumption</w:t>
      </w:r>
      <w:r w:rsidR="00D23682" w:rsidRPr="003E4298">
        <w:rPr>
          <w:rFonts w:ascii="Times New Roman" w:hAnsi="Times New Roman" w:cs="Times New Roman"/>
          <w:sz w:val="24"/>
          <w:szCs w:val="24"/>
        </w:rPr>
        <w:t xml:space="preserve"> (</w:t>
      </w:r>
      <w:r w:rsidR="000B04FF" w:rsidRPr="003E4298">
        <w:rPr>
          <w:rFonts w:ascii="Times New Roman" w:hAnsi="Times New Roman" w:cs="Times New Roman"/>
          <w:sz w:val="24"/>
          <w:szCs w:val="24"/>
        </w:rPr>
        <w:t>AGEE-Stat</w:t>
      </w:r>
      <w:r w:rsidR="00D23682" w:rsidRPr="003E4298">
        <w:rPr>
          <w:rFonts w:ascii="Times New Roman" w:hAnsi="Times New Roman" w:cs="Times New Roman"/>
          <w:sz w:val="24"/>
          <w:szCs w:val="24"/>
        </w:rPr>
        <w:t>, 2014)</w:t>
      </w:r>
      <w:r w:rsidR="00BA66A7" w:rsidRPr="003E4298">
        <w:rPr>
          <w:rFonts w:ascii="Times New Roman" w:hAnsi="Times New Roman" w:cs="Times New Roman"/>
          <w:sz w:val="24"/>
          <w:szCs w:val="24"/>
        </w:rPr>
        <w:t>;</w:t>
      </w:r>
      <w:r w:rsidR="00D75556" w:rsidRPr="003E4298">
        <w:rPr>
          <w:rFonts w:ascii="Times New Roman" w:hAnsi="Times New Roman" w:cs="Times New Roman"/>
          <w:sz w:val="24"/>
          <w:szCs w:val="24"/>
        </w:rPr>
        <w:t xml:space="preserve"> </w:t>
      </w:r>
      <w:r w:rsidRPr="003E4298">
        <w:rPr>
          <w:rFonts w:ascii="Times New Roman" w:hAnsi="Times New Roman" w:cs="Times New Roman"/>
          <w:sz w:val="24"/>
          <w:szCs w:val="24"/>
        </w:rPr>
        <w:t xml:space="preserve">hence </w:t>
      </w:r>
      <w:r w:rsidRPr="003E4298">
        <w:rPr>
          <w:rFonts w:ascii="Times New Roman" w:hAnsi="Times New Roman" w:cs="Times New Roman"/>
          <w:sz w:val="24"/>
          <w:szCs w:val="24"/>
        </w:rPr>
        <w:lastRenderedPageBreak/>
        <w:t>Germany remains largely dependent on import of oil and gas (over 50 percent of the energy supply). In this regard, Russia can be considered as the most important energy partner in Germany, which has a great influence on the overall relations between Russia and Germany.</w:t>
      </w:r>
    </w:p>
    <w:p w14:paraId="5A292115" w14:textId="78D260A2" w:rsidR="00D209BA" w:rsidRPr="008567BB" w:rsidRDefault="00D209BA" w:rsidP="008567BB">
      <w:pPr>
        <w:spacing w:line="480" w:lineRule="auto"/>
        <w:ind w:firstLine="720"/>
        <w:contextualSpacing/>
        <w:rPr>
          <w:rFonts w:ascii="Times New Roman" w:hAnsi="Times New Roman" w:cs="Times New Roman"/>
          <w:sz w:val="24"/>
          <w:szCs w:val="24"/>
        </w:rPr>
      </w:pPr>
      <w:r w:rsidRPr="003E4298">
        <w:rPr>
          <w:rFonts w:ascii="Times New Roman" w:hAnsi="Times New Roman" w:cs="Times New Roman"/>
          <w:sz w:val="24"/>
          <w:szCs w:val="24"/>
        </w:rPr>
        <w:t xml:space="preserve">The findings are now </w:t>
      </w:r>
      <w:r w:rsidR="00E55769" w:rsidRPr="003E4298">
        <w:rPr>
          <w:rFonts w:ascii="Times New Roman" w:hAnsi="Times New Roman" w:cs="Times New Roman"/>
          <w:sz w:val="24"/>
          <w:szCs w:val="24"/>
        </w:rPr>
        <w:t>discussed</w:t>
      </w:r>
      <w:r w:rsidRPr="003E4298">
        <w:rPr>
          <w:rFonts w:ascii="Times New Roman" w:hAnsi="Times New Roman" w:cs="Times New Roman"/>
          <w:sz w:val="24"/>
          <w:szCs w:val="24"/>
        </w:rPr>
        <w:t xml:space="preserve"> using the framework of capable frames </w:t>
      </w:r>
      <w:r w:rsidR="00E55769" w:rsidRPr="003E4298">
        <w:rPr>
          <w:rFonts w:ascii="Times New Roman" w:hAnsi="Times New Roman" w:cs="Times New Roman"/>
          <w:sz w:val="24"/>
          <w:szCs w:val="24"/>
        </w:rPr>
        <w:t>presented in the</w:t>
      </w:r>
      <w:r w:rsidRPr="003E4298">
        <w:rPr>
          <w:rFonts w:ascii="Times New Roman" w:hAnsi="Times New Roman" w:cs="Times New Roman"/>
          <w:sz w:val="24"/>
          <w:szCs w:val="24"/>
        </w:rPr>
        <w:t xml:space="preserve"> introduction</w:t>
      </w:r>
      <w:r w:rsidR="00E55769" w:rsidRPr="003E4298">
        <w:rPr>
          <w:rFonts w:ascii="Times New Roman" w:hAnsi="Times New Roman" w:cs="Times New Roman"/>
          <w:sz w:val="24"/>
          <w:szCs w:val="24"/>
        </w:rPr>
        <w:t xml:space="preserve"> to this special issue:</w:t>
      </w:r>
      <w:r w:rsidRPr="003E4298">
        <w:rPr>
          <w:rFonts w:ascii="Times New Roman" w:hAnsi="Times New Roman" w:cs="Times New Roman"/>
          <w:sz w:val="24"/>
          <w:szCs w:val="24"/>
        </w:rPr>
        <w:t xml:space="preserve"> </w:t>
      </w:r>
      <w:r w:rsidR="00D847F9" w:rsidRPr="003E4298">
        <w:rPr>
          <w:rFonts w:ascii="Times New Roman" w:hAnsi="Times New Roman" w:cs="Times New Roman"/>
          <w:sz w:val="24"/>
          <w:szCs w:val="24"/>
        </w:rPr>
        <w:t>t</w:t>
      </w:r>
      <w:r w:rsidR="00E55769" w:rsidRPr="003E4298">
        <w:rPr>
          <w:rFonts w:ascii="Times New Roman" w:hAnsi="Times New Roman" w:cs="Times New Roman"/>
          <w:sz w:val="24"/>
          <w:szCs w:val="24"/>
        </w:rPr>
        <w:t>hat is, i</w:t>
      </w:r>
      <w:r w:rsidRPr="003E4298">
        <w:rPr>
          <w:rFonts w:ascii="Times New Roman" w:hAnsi="Times New Roman" w:cs="Times New Roman"/>
          <w:sz w:val="24"/>
          <w:szCs w:val="24"/>
        </w:rPr>
        <w:t>n terms o</w:t>
      </w:r>
      <w:r w:rsidR="00E55769" w:rsidRPr="003E4298">
        <w:rPr>
          <w:rFonts w:ascii="Times New Roman" w:hAnsi="Times New Roman" w:cs="Times New Roman"/>
          <w:sz w:val="24"/>
          <w:szCs w:val="24"/>
        </w:rPr>
        <w:t>f</w:t>
      </w:r>
      <w:r w:rsidRPr="003E4298">
        <w:rPr>
          <w:rFonts w:ascii="Times New Roman" w:hAnsi="Times New Roman" w:cs="Times New Roman"/>
          <w:sz w:val="24"/>
          <w:szCs w:val="24"/>
        </w:rPr>
        <w:t xml:space="preserve"> </w:t>
      </w:r>
      <w:r w:rsidR="00E55769" w:rsidRPr="003E4298">
        <w:rPr>
          <w:rFonts w:ascii="Times New Roman" w:hAnsi="Times New Roman" w:cs="Times New Roman"/>
          <w:sz w:val="24"/>
          <w:szCs w:val="24"/>
        </w:rPr>
        <w:t xml:space="preserve">the EU’s </w:t>
      </w:r>
      <w:r w:rsidRPr="003E4298">
        <w:rPr>
          <w:rFonts w:ascii="Times New Roman" w:hAnsi="Times New Roman" w:cs="Times New Roman"/>
          <w:sz w:val="24"/>
          <w:szCs w:val="24"/>
        </w:rPr>
        <w:t xml:space="preserve">visibility, </w:t>
      </w:r>
      <w:r w:rsidR="00E55769" w:rsidRPr="003E4298">
        <w:rPr>
          <w:rFonts w:ascii="Times New Roman" w:hAnsi="Times New Roman" w:cs="Times New Roman"/>
          <w:sz w:val="24"/>
          <w:szCs w:val="24"/>
        </w:rPr>
        <w:t xml:space="preserve">comprehensibility </w:t>
      </w:r>
      <w:r w:rsidRPr="003E4298">
        <w:rPr>
          <w:rFonts w:ascii="Times New Roman" w:hAnsi="Times New Roman" w:cs="Times New Roman"/>
          <w:sz w:val="24"/>
          <w:szCs w:val="24"/>
        </w:rPr>
        <w:t>and emotional charge.</w:t>
      </w:r>
    </w:p>
    <w:p w14:paraId="436171DC" w14:textId="77777777" w:rsidR="003E4298" w:rsidRPr="003E4298" w:rsidRDefault="003E4298" w:rsidP="003E4298">
      <w:pPr>
        <w:spacing w:line="480" w:lineRule="auto"/>
        <w:contextualSpacing/>
        <w:rPr>
          <w:rFonts w:ascii="Times New Roman" w:hAnsi="Times New Roman" w:cs="Times New Roman"/>
          <w:b/>
          <w:bCs/>
          <w:i/>
          <w:iCs/>
          <w:sz w:val="24"/>
          <w:szCs w:val="24"/>
        </w:rPr>
      </w:pPr>
    </w:p>
    <w:p w14:paraId="76E6FC51" w14:textId="02A30773" w:rsidR="00D209BA" w:rsidRPr="003E4298" w:rsidRDefault="003E4298" w:rsidP="003E4298">
      <w:pPr>
        <w:spacing w:line="480" w:lineRule="auto"/>
        <w:contextualSpacing/>
        <w:rPr>
          <w:rFonts w:ascii="Times New Roman" w:hAnsi="Times New Roman" w:cs="Times New Roman"/>
          <w:b/>
          <w:bCs/>
          <w:iCs/>
          <w:sz w:val="24"/>
          <w:szCs w:val="24"/>
        </w:rPr>
      </w:pPr>
      <w:r>
        <w:rPr>
          <w:rFonts w:ascii="Times New Roman" w:hAnsi="Times New Roman" w:cs="Times New Roman"/>
          <w:b/>
          <w:bCs/>
          <w:iCs/>
          <w:sz w:val="24"/>
          <w:szCs w:val="24"/>
        </w:rPr>
        <w:t xml:space="preserve">5. </w:t>
      </w:r>
      <w:r w:rsidR="00757C48" w:rsidRPr="003E4298">
        <w:rPr>
          <w:rFonts w:ascii="Times New Roman" w:hAnsi="Times New Roman" w:cs="Times New Roman"/>
          <w:b/>
          <w:bCs/>
          <w:iCs/>
          <w:sz w:val="24"/>
          <w:szCs w:val="24"/>
        </w:rPr>
        <w:t xml:space="preserve">Findings: </w:t>
      </w:r>
      <w:r w:rsidR="00D209BA" w:rsidRPr="003E4298">
        <w:rPr>
          <w:rFonts w:ascii="Times New Roman" w:hAnsi="Times New Roman" w:cs="Times New Roman"/>
          <w:b/>
          <w:bCs/>
          <w:iCs/>
          <w:sz w:val="24"/>
          <w:szCs w:val="24"/>
        </w:rPr>
        <w:t>Visibility</w:t>
      </w:r>
    </w:p>
    <w:p w14:paraId="71504A28" w14:textId="77777777" w:rsidR="003E4298" w:rsidRDefault="003E4298" w:rsidP="003E4298">
      <w:pPr>
        <w:spacing w:line="480" w:lineRule="auto"/>
        <w:contextualSpacing/>
        <w:rPr>
          <w:rFonts w:ascii="Times New Roman" w:hAnsi="Times New Roman" w:cs="Times New Roman"/>
          <w:i/>
          <w:iCs/>
          <w:sz w:val="24"/>
          <w:szCs w:val="24"/>
        </w:rPr>
      </w:pPr>
    </w:p>
    <w:p w14:paraId="12908B50" w14:textId="77777777" w:rsidR="00D209BA" w:rsidRPr="003E4298" w:rsidRDefault="00D209BA" w:rsidP="003E4298">
      <w:pPr>
        <w:spacing w:line="480" w:lineRule="auto"/>
        <w:contextualSpacing/>
        <w:rPr>
          <w:rFonts w:ascii="Times New Roman" w:hAnsi="Times New Roman" w:cs="Times New Roman"/>
          <w:i/>
          <w:iCs/>
          <w:sz w:val="24"/>
          <w:szCs w:val="24"/>
        </w:rPr>
      </w:pPr>
      <w:r w:rsidRPr="003E4298">
        <w:rPr>
          <w:rFonts w:ascii="Times New Roman" w:hAnsi="Times New Roman" w:cs="Times New Roman"/>
          <w:i/>
          <w:iCs/>
          <w:sz w:val="24"/>
          <w:szCs w:val="24"/>
        </w:rPr>
        <w:t>Volume of Coverage</w:t>
      </w:r>
    </w:p>
    <w:p w14:paraId="4E3D498A" w14:textId="6DEAC48A" w:rsidR="00D209BA" w:rsidRPr="003E4298" w:rsidRDefault="00D209BA" w:rsidP="003E4298">
      <w:pPr>
        <w:spacing w:line="480" w:lineRule="auto"/>
        <w:contextualSpacing/>
        <w:rPr>
          <w:rFonts w:ascii="Times New Roman" w:hAnsi="Times New Roman" w:cs="Times New Roman"/>
          <w:sz w:val="24"/>
          <w:szCs w:val="24"/>
        </w:rPr>
      </w:pPr>
      <w:r w:rsidRPr="003E4298">
        <w:rPr>
          <w:rFonts w:ascii="Times New Roman" w:hAnsi="Times New Roman" w:cs="Times New Roman"/>
          <w:sz w:val="24"/>
          <w:szCs w:val="24"/>
        </w:rPr>
        <w:t xml:space="preserve">Coverage of energy issues in the three member states’ press yielded a relatively high volume of stories across all monitored newspapers. A total of 879 articles were coded in the French sample, 772 articles were coded in the German sample and 753 articles were coded in the </w:t>
      </w:r>
      <w:r w:rsidR="00D936AD" w:rsidRPr="003E4298">
        <w:rPr>
          <w:rFonts w:ascii="Times New Roman" w:hAnsi="Times New Roman" w:cs="Times New Roman"/>
          <w:sz w:val="24"/>
          <w:szCs w:val="24"/>
        </w:rPr>
        <w:t>British</w:t>
      </w:r>
      <w:r w:rsidRPr="003E4298">
        <w:rPr>
          <w:rFonts w:ascii="Times New Roman" w:hAnsi="Times New Roman" w:cs="Times New Roman"/>
          <w:sz w:val="24"/>
          <w:szCs w:val="24"/>
        </w:rPr>
        <w:t xml:space="preserve"> sample across all five years’ sampling periods. The dominance of coverage in 2009 relates in large part to the attention given to the Copenhagen Climate Change Convention</w:t>
      </w:r>
      <w:r w:rsidR="007709C3" w:rsidRPr="003E4298">
        <w:rPr>
          <w:rFonts w:ascii="Times New Roman" w:hAnsi="Times New Roman" w:cs="Times New Roman"/>
          <w:sz w:val="24"/>
          <w:szCs w:val="24"/>
        </w:rPr>
        <w:t xml:space="preserve"> (CCC)</w:t>
      </w:r>
      <w:r w:rsidRPr="003E4298">
        <w:rPr>
          <w:rFonts w:ascii="Times New Roman" w:hAnsi="Times New Roman" w:cs="Times New Roman"/>
          <w:sz w:val="24"/>
          <w:szCs w:val="24"/>
        </w:rPr>
        <w:t xml:space="preserve">, while later </w:t>
      </w:r>
      <w:r w:rsidR="007709C3" w:rsidRPr="003E4298">
        <w:rPr>
          <w:rFonts w:ascii="Times New Roman" w:hAnsi="Times New Roman" w:cs="Times New Roman"/>
          <w:sz w:val="24"/>
          <w:szCs w:val="24"/>
        </w:rPr>
        <w:t>CCCs</w:t>
      </w:r>
      <w:r w:rsidRPr="003E4298">
        <w:rPr>
          <w:rFonts w:ascii="Times New Roman" w:hAnsi="Times New Roman" w:cs="Times New Roman"/>
          <w:sz w:val="24"/>
          <w:szCs w:val="24"/>
        </w:rPr>
        <w:t xml:space="preserve"> were awarded much less visibility, perhaps in part as a result of the failures of Copenhagen.</w:t>
      </w:r>
    </w:p>
    <w:p w14:paraId="203B05EE" w14:textId="77777777" w:rsidR="00D209BA" w:rsidRPr="003E4298" w:rsidRDefault="00D209BA" w:rsidP="003E4298">
      <w:pPr>
        <w:spacing w:line="480" w:lineRule="auto"/>
        <w:contextualSpacing/>
        <w:rPr>
          <w:rFonts w:ascii="Times New Roman" w:hAnsi="Times New Roman" w:cs="Times New Roman"/>
          <w:sz w:val="24"/>
          <w:szCs w:val="24"/>
        </w:rPr>
      </w:pPr>
    </w:p>
    <w:p w14:paraId="135F4A4A" w14:textId="77777777" w:rsidR="007A3C28" w:rsidRPr="003E4298" w:rsidRDefault="003F5F35" w:rsidP="003E4298">
      <w:pPr>
        <w:spacing w:line="480" w:lineRule="auto"/>
        <w:contextualSpacing/>
        <w:rPr>
          <w:rFonts w:ascii="Times New Roman" w:hAnsi="Times New Roman" w:cs="Times New Roman"/>
          <w:sz w:val="24"/>
          <w:szCs w:val="24"/>
        </w:rPr>
      </w:pPr>
      <w:r w:rsidRPr="003E4298">
        <w:rPr>
          <w:rFonts w:ascii="Times New Roman" w:hAnsi="Times New Roman" w:cs="Times New Roman"/>
          <w:noProof/>
          <w:sz w:val="24"/>
          <w:szCs w:val="24"/>
          <w:lang w:eastAsia="en-GB"/>
        </w:rPr>
        <w:lastRenderedPageBreak/>
        <w:drawing>
          <wp:inline distT="0" distB="0" distL="0" distR="0" wp14:anchorId="373CE527" wp14:editId="0984672D">
            <wp:extent cx="5495925" cy="3209925"/>
            <wp:effectExtent l="0" t="0" r="9525" b="9525"/>
            <wp:docPr id="30"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753004C" w14:textId="33632D39" w:rsidR="00D209BA" w:rsidRDefault="00D209BA" w:rsidP="003E4298">
      <w:pPr>
        <w:spacing w:line="480" w:lineRule="auto"/>
        <w:contextualSpacing/>
        <w:rPr>
          <w:rFonts w:ascii="Times New Roman" w:hAnsi="Times New Roman" w:cs="Times New Roman"/>
          <w:b/>
          <w:bCs/>
          <w:sz w:val="24"/>
          <w:szCs w:val="24"/>
        </w:rPr>
      </w:pPr>
      <w:r w:rsidRPr="003E4298">
        <w:rPr>
          <w:rFonts w:ascii="Times New Roman" w:hAnsi="Times New Roman" w:cs="Times New Roman"/>
          <w:b/>
          <w:bCs/>
          <w:sz w:val="24"/>
          <w:szCs w:val="24"/>
        </w:rPr>
        <w:t>Figure 1. Total Volumes of Energy Coverage in Fr</w:t>
      </w:r>
      <w:r w:rsidR="007823FA" w:rsidRPr="003E4298">
        <w:rPr>
          <w:rFonts w:ascii="Times New Roman" w:hAnsi="Times New Roman" w:cs="Times New Roman"/>
          <w:b/>
          <w:bCs/>
          <w:sz w:val="24"/>
          <w:szCs w:val="24"/>
        </w:rPr>
        <w:t>ance</w:t>
      </w:r>
      <w:r w:rsidRPr="003E4298">
        <w:rPr>
          <w:rFonts w:ascii="Times New Roman" w:hAnsi="Times New Roman" w:cs="Times New Roman"/>
          <w:b/>
          <w:bCs/>
          <w:sz w:val="24"/>
          <w:szCs w:val="24"/>
        </w:rPr>
        <w:t>, G</w:t>
      </w:r>
      <w:r w:rsidR="007823FA" w:rsidRPr="003E4298">
        <w:rPr>
          <w:rFonts w:ascii="Times New Roman" w:hAnsi="Times New Roman" w:cs="Times New Roman"/>
          <w:b/>
          <w:bCs/>
          <w:sz w:val="24"/>
          <w:szCs w:val="24"/>
        </w:rPr>
        <w:t>ermany and the</w:t>
      </w:r>
      <w:r w:rsidRPr="003E4298">
        <w:rPr>
          <w:rFonts w:ascii="Times New Roman" w:hAnsi="Times New Roman" w:cs="Times New Roman"/>
          <w:b/>
          <w:bCs/>
          <w:sz w:val="24"/>
          <w:szCs w:val="24"/>
        </w:rPr>
        <w:t xml:space="preserve"> UK by Year</w:t>
      </w:r>
    </w:p>
    <w:p w14:paraId="7ECAB36D" w14:textId="77777777" w:rsidR="00E24D78" w:rsidRPr="00E24D78" w:rsidRDefault="00E24D78" w:rsidP="003E4298">
      <w:pPr>
        <w:spacing w:line="480" w:lineRule="auto"/>
        <w:contextualSpacing/>
        <w:rPr>
          <w:rFonts w:ascii="Times New Roman" w:hAnsi="Times New Roman" w:cs="Times New Roman"/>
          <w:b/>
          <w:bCs/>
          <w:sz w:val="24"/>
          <w:szCs w:val="24"/>
        </w:rPr>
      </w:pPr>
    </w:p>
    <w:p w14:paraId="063F4253" w14:textId="7BDE7BCE" w:rsidR="00D209BA" w:rsidRPr="003E4298" w:rsidRDefault="00D209BA" w:rsidP="003E4298">
      <w:pPr>
        <w:spacing w:line="480" w:lineRule="auto"/>
        <w:contextualSpacing/>
        <w:rPr>
          <w:rFonts w:ascii="Times New Roman" w:hAnsi="Times New Roman" w:cs="Times New Roman"/>
          <w:sz w:val="24"/>
          <w:szCs w:val="24"/>
        </w:rPr>
      </w:pPr>
      <w:r w:rsidRPr="003E4298">
        <w:rPr>
          <w:rFonts w:ascii="Times New Roman" w:hAnsi="Times New Roman" w:cs="Times New Roman"/>
          <w:sz w:val="24"/>
          <w:szCs w:val="24"/>
        </w:rPr>
        <w:t xml:space="preserve">Figure 2, presents the results of the category of domesticity. As can be seen, energy news relating to events outside the EU dominated in </w:t>
      </w:r>
      <w:r w:rsidR="007823FA" w:rsidRPr="003E4298">
        <w:rPr>
          <w:rFonts w:ascii="Times New Roman" w:hAnsi="Times New Roman" w:cs="Times New Roman"/>
          <w:sz w:val="24"/>
          <w:szCs w:val="24"/>
        </w:rPr>
        <w:t xml:space="preserve">the media coverage in </w:t>
      </w:r>
      <w:r w:rsidRPr="003E4298">
        <w:rPr>
          <w:rFonts w:ascii="Times New Roman" w:hAnsi="Times New Roman" w:cs="Times New Roman"/>
          <w:sz w:val="24"/>
          <w:szCs w:val="24"/>
        </w:rPr>
        <w:t>all three member states.</w:t>
      </w:r>
    </w:p>
    <w:p w14:paraId="43E00E0B" w14:textId="77777777" w:rsidR="00D209BA" w:rsidRPr="003E4298" w:rsidRDefault="00D209BA" w:rsidP="003E4298">
      <w:pPr>
        <w:spacing w:line="480" w:lineRule="auto"/>
        <w:contextualSpacing/>
        <w:rPr>
          <w:rFonts w:ascii="Times New Roman" w:hAnsi="Times New Roman" w:cs="Times New Roman"/>
          <w:sz w:val="24"/>
          <w:szCs w:val="24"/>
        </w:rPr>
      </w:pPr>
    </w:p>
    <w:p w14:paraId="214090BD" w14:textId="415266FE" w:rsidR="007709C3" w:rsidRPr="00E24D78" w:rsidRDefault="003F5F35" w:rsidP="003E4298">
      <w:pPr>
        <w:spacing w:line="480" w:lineRule="auto"/>
        <w:contextualSpacing/>
        <w:rPr>
          <w:rFonts w:ascii="Times New Roman" w:hAnsi="Times New Roman" w:cs="Times New Roman"/>
          <w:sz w:val="24"/>
          <w:szCs w:val="24"/>
        </w:rPr>
      </w:pPr>
      <w:r w:rsidRPr="003E4298">
        <w:rPr>
          <w:rFonts w:ascii="Times New Roman" w:hAnsi="Times New Roman" w:cs="Times New Roman"/>
          <w:noProof/>
          <w:sz w:val="24"/>
          <w:szCs w:val="24"/>
          <w:lang w:eastAsia="en-GB"/>
        </w:rPr>
        <w:drawing>
          <wp:inline distT="0" distB="0" distL="0" distR="0" wp14:anchorId="66DC8D1F" wp14:editId="0D53A572">
            <wp:extent cx="5505450" cy="3209925"/>
            <wp:effectExtent l="0" t="0" r="19050" b="9525"/>
            <wp:docPr id="7"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D94A407" w14:textId="77777777" w:rsidR="00D209BA" w:rsidRPr="003E4298" w:rsidRDefault="00D209BA" w:rsidP="003E4298">
      <w:pPr>
        <w:spacing w:line="480" w:lineRule="auto"/>
        <w:contextualSpacing/>
        <w:rPr>
          <w:rFonts w:ascii="Times New Roman" w:hAnsi="Times New Roman" w:cs="Times New Roman"/>
          <w:b/>
          <w:sz w:val="24"/>
          <w:szCs w:val="24"/>
        </w:rPr>
      </w:pPr>
      <w:r w:rsidRPr="003E4298">
        <w:rPr>
          <w:rFonts w:ascii="Times New Roman" w:hAnsi="Times New Roman" w:cs="Times New Roman"/>
          <w:b/>
          <w:sz w:val="24"/>
          <w:szCs w:val="24"/>
        </w:rPr>
        <w:t xml:space="preserve">Figure 2: </w:t>
      </w:r>
      <w:r w:rsidR="00172CB0" w:rsidRPr="003E4298">
        <w:rPr>
          <w:rFonts w:ascii="Times New Roman" w:hAnsi="Times New Roman" w:cs="Times New Roman"/>
          <w:b/>
          <w:sz w:val="24"/>
          <w:szCs w:val="24"/>
        </w:rPr>
        <w:t xml:space="preserve">Foci of Domesticity </w:t>
      </w:r>
    </w:p>
    <w:p w14:paraId="3039C875" w14:textId="77777777" w:rsidR="003E4298" w:rsidRDefault="003E4298" w:rsidP="003E4298">
      <w:pPr>
        <w:spacing w:line="480" w:lineRule="auto"/>
        <w:contextualSpacing/>
        <w:rPr>
          <w:rFonts w:ascii="Times New Roman" w:hAnsi="Times New Roman" w:cs="Times New Roman"/>
          <w:sz w:val="24"/>
          <w:szCs w:val="24"/>
        </w:rPr>
      </w:pPr>
    </w:p>
    <w:p w14:paraId="70294963" w14:textId="2BA400BB" w:rsidR="00D209BA" w:rsidRPr="003E4298" w:rsidRDefault="00172CB0" w:rsidP="003E4298">
      <w:pPr>
        <w:spacing w:line="480" w:lineRule="auto"/>
        <w:contextualSpacing/>
        <w:rPr>
          <w:rFonts w:ascii="Times New Roman" w:hAnsi="Times New Roman" w:cs="Times New Roman"/>
          <w:sz w:val="24"/>
          <w:szCs w:val="24"/>
        </w:rPr>
      </w:pPr>
      <w:r w:rsidRPr="003E4298">
        <w:rPr>
          <w:rFonts w:ascii="Times New Roman" w:hAnsi="Times New Roman" w:cs="Times New Roman"/>
          <w:sz w:val="24"/>
          <w:szCs w:val="24"/>
        </w:rPr>
        <w:t xml:space="preserve">In the </w:t>
      </w:r>
      <w:r w:rsidR="004019F5" w:rsidRPr="003E4298">
        <w:rPr>
          <w:rFonts w:ascii="Times New Roman" w:hAnsi="Times New Roman" w:cs="Times New Roman"/>
          <w:sz w:val="24"/>
          <w:szCs w:val="24"/>
        </w:rPr>
        <w:t xml:space="preserve">UK </w:t>
      </w:r>
      <w:r w:rsidR="00215691">
        <w:rPr>
          <w:rFonts w:ascii="Times New Roman" w:hAnsi="Times New Roman" w:cs="Times New Roman"/>
          <w:sz w:val="24"/>
          <w:szCs w:val="24"/>
        </w:rPr>
        <w:t>data</w:t>
      </w:r>
      <w:r w:rsidR="00215691" w:rsidRPr="003E4298">
        <w:rPr>
          <w:rFonts w:ascii="Times New Roman" w:hAnsi="Times New Roman" w:cs="Times New Roman"/>
          <w:sz w:val="24"/>
          <w:szCs w:val="24"/>
        </w:rPr>
        <w:t>set</w:t>
      </w:r>
      <w:r w:rsidR="00D209BA" w:rsidRPr="003E4298">
        <w:rPr>
          <w:rFonts w:ascii="Times New Roman" w:hAnsi="Times New Roman" w:cs="Times New Roman"/>
          <w:sz w:val="24"/>
          <w:szCs w:val="24"/>
        </w:rPr>
        <w:t>, 67</w:t>
      </w:r>
      <w:r w:rsidR="005001D1" w:rsidRPr="003E4298">
        <w:rPr>
          <w:rFonts w:ascii="Times New Roman" w:hAnsi="Times New Roman" w:cs="Times New Roman"/>
          <w:sz w:val="24"/>
          <w:szCs w:val="24"/>
        </w:rPr>
        <w:t>%</w:t>
      </w:r>
      <w:r w:rsidR="00D209BA" w:rsidRPr="003E4298">
        <w:rPr>
          <w:rFonts w:ascii="Times New Roman" w:hAnsi="Times New Roman" w:cs="Times New Roman"/>
          <w:sz w:val="24"/>
          <w:szCs w:val="24"/>
        </w:rPr>
        <w:t xml:space="preserve"> reflected the ‘external’ energy dimension (meaning they were framed from either a global or third country perspective). Similarly, in France, 63% of the coverage was presented from </w:t>
      </w:r>
      <w:r w:rsidR="004A421F" w:rsidRPr="003E4298">
        <w:rPr>
          <w:rFonts w:ascii="Times New Roman" w:hAnsi="Times New Roman" w:cs="Times New Roman"/>
          <w:sz w:val="24"/>
          <w:szCs w:val="24"/>
        </w:rPr>
        <w:t>the external</w:t>
      </w:r>
      <w:r w:rsidR="00D209BA" w:rsidRPr="003E4298">
        <w:rPr>
          <w:rFonts w:ascii="Times New Roman" w:hAnsi="Times New Roman" w:cs="Times New Roman"/>
          <w:sz w:val="24"/>
          <w:szCs w:val="24"/>
        </w:rPr>
        <w:t xml:space="preserve"> perspective; while in Germany 57% were located externally. When taken together, the global and </w:t>
      </w:r>
      <w:r w:rsidR="007823FA" w:rsidRPr="003E4298">
        <w:rPr>
          <w:rFonts w:ascii="Times New Roman" w:hAnsi="Times New Roman" w:cs="Times New Roman"/>
          <w:sz w:val="24"/>
          <w:szCs w:val="24"/>
        </w:rPr>
        <w:t xml:space="preserve">third </w:t>
      </w:r>
      <w:r w:rsidR="00D209BA" w:rsidRPr="003E4298">
        <w:rPr>
          <w:rFonts w:ascii="Times New Roman" w:hAnsi="Times New Roman" w:cs="Times New Roman"/>
          <w:sz w:val="24"/>
          <w:szCs w:val="24"/>
        </w:rPr>
        <w:t>country perspectives clearly dominate the framing of energy issues in all three countries</w:t>
      </w:r>
      <w:r w:rsidR="007823FA" w:rsidRPr="003E4298">
        <w:rPr>
          <w:rFonts w:ascii="Times New Roman" w:hAnsi="Times New Roman" w:cs="Times New Roman"/>
          <w:sz w:val="24"/>
          <w:szCs w:val="24"/>
        </w:rPr>
        <w:t>. T</w:t>
      </w:r>
      <w:r w:rsidR="00D209BA" w:rsidRPr="003E4298">
        <w:rPr>
          <w:rFonts w:ascii="Times New Roman" w:hAnsi="Times New Roman" w:cs="Times New Roman"/>
          <w:sz w:val="24"/>
          <w:szCs w:val="24"/>
        </w:rPr>
        <w:t xml:space="preserve">he </w:t>
      </w:r>
      <w:r w:rsidR="00215691" w:rsidRPr="003E4298">
        <w:rPr>
          <w:rFonts w:ascii="Times New Roman" w:hAnsi="Times New Roman" w:cs="Times New Roman"/>
          <w:sz w:val="24"/>
          <w:szCs w:val="24"/>
        </w:rPr>
        <w:t>data that falls within the latter two categories</w:t>
      </w:r>
      <w:r w:rsidR="00D209BA" w:rsidRPr="003E4298">
        <w:rPr>
          <w:rFonts w:ascii="Times New Roman" w:hAnsi="Times New Roman" w:cs="Times New Roman"/>
          <w:sz w:val="24"/>
          <w:szCs w:val="24"/>
        </w:rPr>
        <w:t xml:space="preserve"> </w:t>
      </w:r>
      <w:r w:rsidR="007823FA" w:rsidRPr="003E4298">
        <w:rPr>
          <w:rFonts w:ascii="Times New Roman" w:hAnsi="Times New Roman" w:cs="Times New Roman"/>
          <w:sz w:val="24"/>
          <w:szCs w:val="24"/>
        </w:rPr>
        <w:t>are</w:t>
      </w:r>
      <w:r w:rsidR="00D209BA" w:rsidRPr="003E4298">
        <w:rPr>
          <w:rFonts w:ascii="Times New Roman" w:hAnsi="Times New Roman" w:cs="Times New Roman"/>
          <w:sz w:val="24"/>
          <w:szCs w:val="24"/>
        </w:rPr>
        <w:t xml:space="preserve"> the focus of the remainder of this paper. The total figures of this external ‘subset’ are: France, 555 articles; Germany, 439 articles; UK, 503 articles. By narrowing in on this subset, our paper explores in depth how the EU is framed as a global energy actor</w:t>
      </w:r>
      <w:r w:rsidR="00D76583" w:rsidRPr="003E4298">
        <w:rPr>
          <w:rFonts w:ascii="Times New Roman" w:hAnsi="Times New Roman" w:cs="Times New Roman"/>
          <w:sz w:val="24"/>
          <w:szCs w:val="24"/>
        </w:rPr>
        <w:t xml:space="preserve"> and whether these frames facilitate an image of the EU as a capable and normative energy ‘power’</w:t>
      </w:r>
      <w:r w:rsidR="00D209BA" w:rsidRPr="003E4298">
        <w:rPr>
          <w:rFonts w:ascii="Times New Roman" w:hAnsi="Times New Roman" w:cs="Times New Roman"/>
          <w:sz w:val="24"/>
          <w:szCs w:val="24"/>
        </w:rPr>
        <w:t>.</w:t>
      </w:r>
    </w:p>
    <w:p w14:paraId="7AF14283" w14:textId="77777777" w:rsidR="00D209BA" w:rsidRPr="003E4298" w:rsidRDefault="00D209BA" w:rsidP="003E4298">
      <w:pPr>
        <w:spacing w:line="480" w:lineRule="auto"/>
        <w:contextualSpacing/>
        <w:rPr>
          <w:rFonts w:ascii="Times New Roman" w:hAnsi="Times New Roman" w:cs="Times New Roman"/>
          <w:sz w:val="24"/>
          <w:szCs w:val="24"/>
        </w:rPr>
      </w:pPr>
    </w:p>
    <w:p w14:paraId="0D78C26A" w14:textId="77777777" w:rsidR="007709C3" w:rsidRPr="003E4298" w:rsidRDefault="00D209BA" w:rsidP="003E4298">
      <w:pPr>
        <w:spacing w:line="480" w:lineRule="auto"/>
        <w:contextualSpacing/>
        <w:rPr>
          <w:rFonts w:ascii="Times New Roman" w:hAnsi="Times New Roman" w:cs="Times New Roman"/>
          <w:i/>
          <w:iCs/>
          <w:sz w:val="24"/>
          <w:szCs w:val="24"/>
        </w:rPr>
      </w:pPr>
      <w:r w:rsidRPr="003E4298">
        <w:rPr>
          <w:rFonts w:ascii="Times New Roman" w:hAnsi="Times New Roman" w:cs="Times New Roman"/>
          <w:i/>
          <w:iCs/>
          <w:sz w:val="24"/>
          <w:szCs w:val="24"/>
        </w:rPr>
        <w:t>Degree of centrality</w:t>
      </w:r>
    </w:p>
    <w:p w14:paraId="31408A6D" w14:textId="6CC70C3D" w:rsidR="00D209BA" w:rsidRPr="003E4298" w:rsidRDefault="00D209BA" w:rsidP="003E4298">
      <w:pPr>
        <w:spacing w:line="480" w:lineRule="auto"/>
        <w:contextualSpacing/>
        <w:rPr>
          <w:rFonts w:ascii="Times New Roman" w:hAnsi="Times New Roman" w:cs="Times New Roman"/>
          <w:i/>
          <w:iCs/>
          <w:sz w:val="24"/>
          <w:szCs w:val="24"/>
        </w:rPr>
      </w:pPr>
      <w:r w:rsidRPr="003E4298">
        <w:rPr>
          <w:rFonts w:ascii="Times New Roman" w:hAnsi="Times New Roman" w:cs="Times New Roman"/>
          <w:sz w:val="24"/>
          <w:szCs w:val="24"/>
        </w:rPr>
        <w:t>One of the first questions to ask of the data, then, relates to the visibility of the EU – how often is the EU visible when member states’ news media cover global and external energy issues? Figure 3 illustrates the visibility of the EU as compared to other energy actors.</w:t>
      </w:r>
    </w:p>
    <w:p w14:paraId="140B3C63" w14:textId="77777777" w:rsidR="00D209BA" w:rsidRPr="003E4298" w:rsidRDefault="00D209BA" w:rsidP="003E4298">
      <w:pPr>
        <w:spacing w:line="480" w:lineRule="auto"/>
        <w:contextualSpacing/>
        <w:rPr>
          <w:rFonts w:ascii="Times New Roman" w:hAnsi="Times New Roman" w:cs="Times New Roman"/>
          <w:sz w:val="24"/>
          <w:szCs w:val="24"/>
        </w:rPr>
        <w:sectPr w:rsidR="00D209BA" w:rsidRPr="003E4298">
          <w:pgSz w:w="11906" w:h="16838"/>
          <w:pgMar w:top="1440" w:right="1440" w:bottom="1440" w:left="1440" w:header="708" w:footer="708" w:gutter="0"/>
          <w:cols w:space="708"/>
          <w:docGrid w:linePitch="360"/>
        </w:sectPr>
      </w:pPr>
    </w:p>
    <w:p w14:paraId="0E184BB4" w14:textId="77777777" w:rsidR="00D209BA" w:rsidRPr="003E4298" w:rsidRDefault="00D209BA" w:rsidP="003E4298">
      <w:pPr>
        <w:spacing w:line="480" w:lineRule="auto"/>
        <w:contextualSpacing/>
        <w:rPr>
          <w:rFonts w:ascii="Times New Roman" w:hAnsi="Times New Roman" w:cs="Times New Roman"/>
          <w:sz w:val="24"/>
          <w:szCs w:val="24"/>
        </w:rPr>
        <w:sectPr w:rsidR="00D209BA" w:rsidRPr="003E4298" w:rsidSect="00C958BC">
          <w:type w:val="continuous"/>
          <w:pgSz w:w="11906" w:h="16838"/>
          <w:pgMar w:top="1440" w:right="1440" w:bottom="1440" w:left="1440" w:header="708" w:footer="708" w:gutter="0"/>
          <w:cols w:space="708"/>
          <w:docGrid w:linePitch="360"/>
        </w:sectPr>
      </w:pPr>
    </w:p>
    <w:p w14:paraId="529149CF" w14:textId="20BDD7D8" w:rsidR="006D326C" w:rsidRPr="003E4298" w:rsidRDefault="00806C1E" w:rsidP="003E4298">
      <w:pPr>
        <w:spacing w:line="480" w:lineRule="auto"/>
        <w:contextualSpacing/>
        <w:rPr>
          <w:rFonts w:ascii="Times New Roman" w:hAnsi="Times New Roman" w:cs="Times New Roman"/>
          <w:b/>
          <w:bCs/>
          <w:sz w:val="24"/>
          <w:szCs w:val="24"/>
        </w:rPr>
      </w:pPr>
      <w:r w:rsidRPr="003E4298">
        <w:rPr>
          <w:rFonts w:ascii="Times New Roman" w:hAnsi="Times New Roman" w:cs="Times New Roman"/>
          <w:noProof/>
          <w:sz w:val="24"/>
          <w:szCs w:val="24"/>
          <w:lang w:eastAsia="en-GB"/>
        </w:rPr>
        <w:lastRenderedPageBreak/>
        <w:drawing>
          <wp:inline distT="0" distB="0" distL="0" distR="0" wp14:anchorId="2E0E2BE6" wp14:editId="1626BC78">
            <wp:extent cx="8801100" cy="53340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AC97473" w14:textId="77777777" w:rsidR="00D209BA" w:rsidRPr="003E4298" w:rsidRDefault="00D209BA" w:rsidP="003E4298">
      <w:pPr>
        <w:spacing w:line="480" w:lineRule="auto"/>
        <w:contextualSpacing/>
        <w:rPr>
          <w:rFonts w:ascii="Times New Roman" w:hAnsi="Times New Roman" w:cs="Times New Roman"/>
          <w:b/>
          <w:bCs/>
          <w:sz w:val="24"/>
          <w:szCs w:val="24"/>
        </w:rPr>
        <w:sectPr w:rsidR="00D209BA" w:rsidRPr="003E4298" w:rsidSect="00C958BC">
          <w:pgSz w:w="16838" w:h="11906" w:orient="landscape"/>
          <w:pgMar w:top="1440" w:right="1440" w:bottom="1440" w:left="1440" w:header="708" w:footer="708" w:gutter="0"/>
          <w:cols w:space="708"/>
          <w:docGrid w:linePitch="360"/>
        </w:sectPr>
      </w:pPr>
      <w:r w:rsidRPr="003E4298">
        <w:rPr>
          <w:rFonts w:ascii="Times New Roman" w:hAnsi="Times New Roman" w:cs="Times New Roman"/>
          <w:b/>
          <w:bCs/>
          <w:sz w:val="24"/>
          <w:szCs w:val="24"/>
        </w:rPr>
        <w:t>Figure 3: Visibility of Energy Actors in EU member states’ Press in terms of degree of centrality</w:t>
      </w:r>
    </w:p>
    <w:p w14:paraId="0D8528FC" w14:textId="68E2B296" w:rsidR="00D209BA" w:rsidRPr="003E4298" w:rsidRDefault="00D209BA" w:rsidP="003E4298">
      <w:pPr>
        <w:spacing w:line="480" w:lineRule="auto"/>
        <w:contextualSpacing/>
        <w:rPr>
          <w:rFonts w:ascii="Times New Roman" w:hAnsi="Times New Roman" w:cs="Times New Roman"/>
          <w:sz w:val="24"/>
          <w:szCs w:val="24"/>
        </w:rPr>
      </w:pPr>
      <w:r w:rsidRPr="003E4298">
        <w:rPr>
          <w:rFonts w:ascii="Times New Roman" w:hAnsi="Times New Roman" w:cs="Times New Roman"/>
          <w:sz w:val="24"/>
          <w:szCs w:val="24"/>
        </w:rPr>
        <w:lastRenderedPageBreak/>
        <w:t>China is framed a</w:t>
      </w:r>
      <w:r w:rsidR="00FC6B6C" w:rsidRPr="003E4298">
        <w:rPr>
          <w:rFonts w:ascii="Times New Roman" w:hAnsi="Times New Roman" w:cs="Times New Roman"/>
          <w:sz w:val="24"/>
          <w:szCs w:val="24"/>
        </w:rPr>
        <w:t>s a</w:t>
      </w:r>
      <w:r w:rsidRPr="003E4298">
        <w:rPr>
          <w:rFonts w:ascii="Times New Roman" w:hAnsi="Times New Roman" w:cs="Times New Roman"/>
          <w:sz w:val="24"/>
          <w:szCs w:val="24"/>
        </w:rPr>
        <w:t xml:space="preserve"> </w:t>
      </w:r>
      <w:r w:rsidR="00882EB5">
        <w:rPr>
          <w:rFonts w:ascii="Times New Roman" w:hAnsi="Times New Roman" w:cs="Times New Roman"/>
          <w:sz w:val="24"/>
          <w:szCs w:val="24"/>
        </w:rPr>
        <w:t>major</w:t>
      </w:r>
      <w:r w:rsidR="00882EB5" w:rsidRPr="003E4298">
        <w:rPr>
          <w:rFonts w:ascii="Times New Roman" w:hAnsi="Times New Roman" w:cs="Times New Roman"/>
          <w:sz w:val="24"/>
          <w:szCs w:val="24"/>
        </w:rPr>
        <w:t xml:space="preserve"> </w:t>
      </w:r>
      <w:r w:rsidRPr="003E4298">
        <w:rPr>
          <w:rFonts w:ascii="Times New Roman" w:hAnsi="Times New Roman" w:cs="Times New Roman"/>
          <w:sz w:val="24"/>
          <w:szCs w:val="24"/>
        </w:rPr>
        <w:t>actor in all three countries’ coverage. It is the clear ‘leader’</w:t>
      </w:r>
      <w:r w:rsidR="00882EB5">
        <w:rPr>
          <w:rFonts w:ascii="Times New Roman" w:hAnsi="Times New Roman" w:cs="Times New Roman"/>
          <w:sz w:val="24"/>
          <w:szCs w:val="24"/>
        </w:rPr>
        <w:t xml:space="preserve"> in terms of volume of coverage and centrality</w:t>
      </w:r>
      <w:r w:rsidRPr="003E4298">
        <w:rPr>
          <w:rFonts w:ascii="Times New Roman" w:hAnsi="Times New Roman" w:cs="Times New Roman"/>
          <w:sz w:val="24"/>
          <w:szCs w:val="24"/>
        </w:rPr>
        <w:t xml:space="preserve"> in the French and German coverage, while in the UK it is balance</w:t>
      </w:r>
      <w:r w:rsidR="00215691">
        <w:rPr>
          <w:rFonts w:ascii="Times New Roman" w:hAnsi="Times New Roman" w:cs="Times New Roman"/>
          <w:sz w:val="24"/>
          <w:szCs w:val="24"/>
        </w:rPr>
        <w:t>d</w:t>
      </w:r>
      <w:r w:rsidRPr="003E4298">
        <w:rPr>
          <w:rFonts w:ascii="Times New Roman" w:hAnsi="Times New Roman" w:cs="Times New Roman"/>
          <w:sz w:val="24"/>
          <w:szCs w:val="24"/>
        </w:rPr>
        <w:t xml:space="preserve"> with coverage of the US. It </w:t>
      </w:r>
      <w:r w:rsidR="00215691">
        <w:rPr>
          <w:rFonts w:ascii="Times New Roman" w:hAnsi="Times New Roman" w:cs="Times New Roman"/>
          <w:sz w:val="24"/>
          <w:szCs w:val="24"/>
        </w:rPr>
        <w:t xml:space="preserve">is </w:t>
      </w:r>
      <w:r w:rsidRPr="003E4298">
        <w:rPr>
          <w:rFonts w:ascii="Times New Roman" w:hAnsi="Times New Roman" w:cs="Times New Roman"/>
          <w:sz w:val="24"/>
          <w:szCs w:val="24"/>
        </w:rPr>
        <w:t>important to note here, however, that the data for this paper comes from a project concerned primarily with the EU</w:t>
      </w:r>
      <w:r w:rsidR="00D64F58" w:rsidRPr="003E4298">
        <w:rPr>
          <w:rFonts w:ascii="Times New Roman" w:hAnsi="Times New Roman" w:cs="Times New Roman"/>
          <w:sz w:val="24"/>
          <w:szCs w:val="24"/>
        </w:rPr>
        <w:t>-</w:t>
      </w:r>
      <w:r w:rsidRPr="003E4298">
        <w:rPr>
          <w:rFonts w:ascii="Times New Roman" w:hAnsi="Times New Roman" w:cs="Times New Roman"/>
          <w:sz w:val="24"/>
          <w:szCs w:val="24"/>
        </w:rPr>
        <w:t xml:space="preserve">BRICS interactions. As such, </w:t>
      </w:r>
      <w:r w:rsidR="007823FA" w:rsidRPr="003E4298">
        <w:rPr>
          <w:rFonts w:ascii="Times New Roman" w:hAnsi="Times New Roman" w:cs="Times New Roman"/>
          <w:sz w:val="24"/>
          <w:szCs w:val="24"/>
        </w:rPr>
        <w:t>no specific search was done on</w:t>
      </w:r>
      <w:r w:rsidRPr="003E4298">
        <w:rPr>
          <w:rFonts w:ascii="Times New Roman" w:hAnsi="Times New Roman" w:cs="Times New Roman"/>
          <w:sz w:val="24"/>
          <w:szCs w:val="24"/>
        </w:rPr>
        <w:t xml:space="preserve"> </w:t>
      </w:r>
      <w:r w:rsidR="007823FA" w:rsidRPr="003E4298">
        <w:rPr>
          <w:rFonts w:ascii="Times New Roman" w:hAnsi="Times New Roman" w:cs="Times New Roman"/>
          <w:sz w:val="24"/>
          <w:szCs w:val="24"/>
        </w:rPr>
        <w:t>‘</w:t>
      </w:r>
      <w:r w:rsidRPr="003E4298">
        <w:rPr>
          <w:rFonts w:ascii="Times New Roman" w:hAnsi="Times New Roman" w:cs="Times New Roman"/>
          <w:sz w:val="24"/>
          <w:szCs w:val="24"/>
        </w:rPr>
        <w:t>U</w:t>
      </w:r>
      <w:r w:rsidR="007823FA" w:rsidRPr="003E4298">
        <w:rPr>
          <w:rFonts w:ascii="Times New Roman" w:hAnsi="Times New Roman" w:cs="Times New Roman"/>
          <w:sz w:val="24"/>
          <w:szCs w:val="24"/>
        </w:rPr>
        <w:t>nited States</w:t>
      </w:r>
      <w:r w:rsidR="00391C3B" w:rsidRPr="003E4298">
        <w:rPr>
          <w:rFonts w:ascii="Times New Roman" w:hAnsi="Times New Roman" w:cs="Times New Roman"/>
          <w:sz w:val="24"/>
          <w:szCs w:val="24"/>
        </w:rPr>
        <w:t>’ or ‘US’</w:t>
      </w:r>
      <w:r w:rsidRPr="003E4298">
        <w:rPr>
          <w:rFonts w:ascii="Times New Roman" w:hAnsi="Times New Roman" w:cs="Times New Roman"/>
          <w:sz w:val="24"/>
          <w:szCs w:val="24"/>
        </w:rPr>
        <w:t xml:space="preserve"> </w:t>
      </w:r>
      <w:r w:rsidR="00391C3B" w:rsidRPr="003E4298">
        <w:rPr>
          <w:rFonts w:ascii="Times New Roman" w:hAnsi="Times New Roman" w:cs="Times New Roman"/>
          <w:sz w:val="24"/>
          <w:szCs w:val="24"/>
        </w:rPr>
        <w:t xml:space="preserve">as a </w:t>
      </w:r>
      <w:r w:rsidRPr="003E4298">
        <w:rPr>
          <w:rFonts w:ascii="Times New Roman" w:hAnsi="Times New Roman" w:cs="Times New Roman"/>
          <w:sz w:val="24"/>
          <w:szCs w:val="24"/>
        </w:rPr>
        <w:t>search term (i</w:t>
      </w:r>
      <w:r w:rsidR="00391C3B" w:rsidRPr="003E4298">
        <w:rPr>
          <w:rFonts w:ascii="Times New Roman" w:hAnsi="Times New Roman" w:cs="Times New Roman"/>
          <w:sz w:val="24"/>
          <w:szCs w:val="24"/>
        </w:rPr>
        <w:t>.</w:t>
      </w:r>
      <w:r w:rsidRPr="003E4298">
        <w:rPr>
          <w:rFonts w:ascii="Times New Roman" w:hAnsi="Times New Roman" w:cs="Times New Roman"/>
          <w:sz w:val="24"/>
          <w:szCs w:val="24"/>
        </w:rPr>
        <w:t>e. energy stories relating to the US alone were not included in the dataset), but the US was coded where it appeared in a story</w:t>
      </w:r>
      <w:r w:rsidR="00215691">
        <w:rPr>
          <w:rFonts w:ascii="Times New Roman" w:hAnsi="Times New Roman" w:cs="Times New Roman"/>
          <w:sz w:val="24"/>
          <w:szCs w:val="24"/>
        </w:rPr>
        <w:t>,</w:t>
      </w:r>
      <w:r w:rsidRPr="003E4298">
        <w:rPr>
          <w:rFonts w:ascii="Times New Roman" w:hAnsi="Times New Roman" w:cs="Times New Roman"/>
          <w:sz w:val="24"/>
          <w:szCs w:val="24"/>
        </w:rPr>
        <w:t xml:space="preserve"> which referenced any of the BRICS or the EU in relation to an energy matter. It is likely, therefore, that if the US had been sampled individually, that its dominance would have been much higher, but as it is, </w:t>
      </w:r>
      <w:r w:rsidR="00391C3B" w:rsidRPr="003E4298">
        <w:rPr>
          <w:rFonts w:ascii="Times New Roman" w:hAnsi="Times New Roman" w:cs="Times New Roman"/>
          <w:sz w:val="24"/>
          <w:szCs w:val="24"/>
        </w:rPr>
        <w:t>the US</w:t>
      </w:r>
      <w:r w:rsidRPr="003E4298">
        <w:rPr>
          <w:rFonts w:ascii="Times New Roman" w:hAnsi="Times New Roman" w:cs="Times New Roman"/>
          <w:sz w:val="24"/>
          <w:szCs w:val="24"/>
        </w:rPr>
        <w:t xml:space="preserve"> remains an important reference point on energy issues.</w:t>
      </w:r>
    </w:p>
    <w:p w14:paraId="40CA9C34" w14:textId="194FF8EC" w:rsidR="00D209BA" w:rsidRPr="003E4298" w:rsidRDefault="00E67018" w:rsidP="003E4298">
      <w:pPr>
        <w:spacing w:line="480" w:lineRule="auto"/>
        <w:ind w:firstLine="720"/>
        <w:contextualSpacing/>
        <w:rPr>
          <w:rFonts w:ascii="Times New Roman" w:hAnsi="Times New Roman" w:cs="Times New Roman"/>
          <w:sz w:val="24"/>
          <w:szCs w:val="24"/>
        </w:rPr>
      </w:pPr>
      <w:r w:rsidRPr="003E4298">
        <w:rPr>
          <w:rFonts w:ascii="Times New Roman" w:hAnsi="Times New Roman" w:cs="Times New Roman"/>
          <w:sz w:val="24"/>
          <w:szCs w:val="24"/>
        </w:rPr>
        <w:t>In order for a frame to be ‘capable’ within the cascading activation model used in this project</w:t>
      </w:r>
      <w:r w:rsidR="000519CF">
        <w:rPr>
          <w:rFonts w:ascii="Times New Roman" w:hAnsi="Times New Roman" w:cs="Times New Roman"/>
          <w:sz w:val="24"/>
          <w:szCs w:val="24"/>
        </w:rPr>
        <w:t xml:space="preserve"> (see the I</w:t>
      </w:r>
      <w:r w:rsidR="00163B45" w:rsidRPr="003E4298">
        <w:rPr>
          <w:rFonts w:ascii="Times New Roman" w:hAnsi="Times New Roman" w:cs="Times New Roman"/>
          <w:sz w:val="24"/>
          <w:szCs w:val="24"/>
        </w:rPr>
        <w:t xml:space="preserve">ntroduction </w:t>
      </w:r>
      <w:r w:rsidR="000519CF">
        <w:rPr>
          <w:rFonts w:ascii="Times New Roman" w:hAnsi="Times New Roman" w:cs="Times New Roman"/>
          <w:sz w:val="24"/>
          <w:szCs w:val="24"/>
        </w:rPr>
        <w:t xml:space="preserve">of this Special Issue </w:t>
      </w:r>
      <w:r w:rsidR="00163B45" w:rsidRPr="003E4298">
        <w:rPr>
          <w:rFonts w:ascii="Times New Roman" w:hAnsi="Times New Roman" w:cs="Times New Roman"/>
          <w:sz w:val="24"/>
          <w:szCs w:val="24"/>
        </w:rPr>
        <w:t>for more detail)</w:t>
      </w:r>
      <w:r w:rsidRPr="003E4298">
        <w:rPr>
          <w:rFonts w:ascii="Times New Roman" w:hAnsi="Times New Roman" w:cs="Times New Roman"/>
          <w:sz w:val="24"/>
          <w:szCs w:val="24"/>
        </w:rPr>
        <w:t xml:space="preserve">, it must be ‘noticeable’ and </w:t>
      </w:r>
      <w:r w:rsidR="000519CF">
        <w:rPr>
          <w:rFonts w:ascii="Times New Roman" w:hAnsi="Times New Roman" w:cs="Times New Roman"/>
          <w:sz w:val="24"/>
          <w:szCs w:val="24"/>
        </w:rPr>
        <w:t>‘</w:t>
      </w:r>
      <w:r w:rsidRPr="003E4298">
        <w:rPr>
          <w:rFonts w:ascii="Times New Roman" w:hAnsi="Times New Roman" w:cs="Times New Roman"/>
          <w:sz w:val="24"/>
          <w:szCs w:val="24"/>
        </w:rPr>
        <w:t>visible</w:t>
      </w:r>
      <w:r w:rsidR="000519CF">
        <w:rPr>
          <w:rFonts w:ascii="Times New Roman" w:hAnsi="Times New Roman" w:cs="Times New Roman"/>
          <w:sz w:val="24"/>
          <w:szCs w:val="24"/>
        </w:rPr>
        <w:t>’</w:t>
      </w:r>
      <w:r w:rsidRPr="003E4298">
        <w:rPr>
          <w:rFonts w:ascii="Times New Roman" w:hAnsi="Times New Roman" w:cs="Times New Roman"/>
          <w:sz w:val="24"/>
          <w:szCs w:val="24"/>
        </w:rPr>
        <w:t xml:space="preserve">. </w:t>
      </w:r>
      <w:r w:rsidR="00D209BA" w:rsidRPr="003E4298">
        <w:rPr>
          <w:rFonts w:ascii="Times New Roman" w:hAnsi="Times New Roman" w:cs="Times New Roman"/>
          <w:sz w:val="24"/>
          <w:szCs w:val="24"/>
        </w:rPr>
        <w:t>Sheer volume is not the only measure of visibility</w:t>
      </w:r>
      <w:r w:rsidR="00287B2A" w:rsidRPr="003E4298">
        <w:rPr>
          <w:rFonts w:ascii="Times New Roman" w:hAnsi="Times New Roman" w:cs="Times New Roman"/>
          <w:sz w:val="24"/>
          <w:szCs w:val="24"/>
        </w:rPr>
        <w:t xml:space="preserve"> </w:t>
      </w:r>
      <w:r w:rsidR="00D209BA" w:rsidRPr="003E4298">
        <w:rPr>
          <w:rFonts w:ascii="Times New Roman" w:hAnsi="Times New Roman" w:cs="Times New Roman"/>
          <w:sz w:val="24"/>
          <w:szCs w:val="24"/>
        </w:rPr>
        <w:t>and our study employs a tripartite framework for a more detailed picture. All references to the above actors were noted in the analysis, whether the actor was mentioned only once or peripherally (minor), whether it was seen in a story with other actors where the coverage of each was balanced and neither dominated (secondary), or whether the actor was the lead</w:t>
      </w:r>
      <w:r w:rsidR="00D64F58" w:rsidRPr="003E4298">
        <w:rPr>
          <w:rFonts w:ascii="Times New Roman" w:hAnsi="Times New Roman" w:cs="Times New Roman"/>
          <w:sz w:val="24"/>
          <w:szCs w:val="24"/>
        </w:rPr>
        <w:t>ing</w:t>
      </w:r>
      <w:r w:rsidR="00D209BA" w:rsidRPr="003E4298">
        <w:rPr>
          <w:rFonts w:ascii="Times New Roman" w:hAnsi="Times New Roman" w:cs="Times New Roman"/>
          <w:sz w:val="24"/>
          <w:szCs w:val="24"/>
        </w:rPr>
        <w:t xml:space="preserve"> actor of the story (major). </w:t>
      </w:r>
      <w:r w:rsidR="00D64F58" w:rsidRPr="003E4298">
        <w:rPr>
          <w:rFonts w:ascii="Times New Roman" w:hAnsi="Times New Roman" w:cs="Times New Roman"/>
          <w:sz w:val="24"/>
          <w:szCs w:val="24"/>
        </w:rPr>
        <w:t>M</w:t>
      </w:r>
      <w:r w:rsidRPr="003E4298">
        <w:rPr>
          <w:rFonts w:ascii="Times New Roman" w:hAnsi="Times New Roman" w:cs="Times New Roman"/>
          <w:sz w:val="24"/>
          <w:szCs w:val="24"/>
        </w:rPr>
        <w:t xml:space="preserve">ajor degrees of visibility would be the most capable frame likely to resonate with concepts of actorness and influence. </w:t>
      </w:r>
      <w:r w:rsidR="00D209BA" w:rsidRPr="003E4298">
        <w:rPr>
          <w:rFonts w:ascii="Times New Roman" w:hAnsi="Times New Roman" w:cs="Times New Roman"/>
          <w:sz w:val="24"/>
          <w:szCs w:val="24"/>
        </w:rPr>
        <w:t xml:space="preserve">As </w:t>
      </w:r>
      <w:r w:rsidR="00E921AA">
        <w:rPr>
          <w:rFonts w:ascii="Times New Roman" w:hAnsi="Times New Roman" w:cs="Times New Roman"/>
          <w:sz w:val="24"/>
          <w:szCs w:val="24"/>
        </w:rPr>
        <w:t>F</w:t>
      </w:r>
      <w:r w:rsidRPr="003E4298">
        <w:rPr>
          <w:rFonts w:ascii="Times New Roman" w:hAnsi="Times New Roman" w:cs="Times New Roman"/>
          <w:sz w:val="24"/>
          <w:szCs w:val="24"/>
        </w:rPr>
        <w:t>igure 3</w:t>
      </w:r>
      <w:r w:rsidR="00D209BA" w:rsidRPr="003E4298">
        <w:rPr>
          <w:rFonts w:ascii="Times New Roman" w:hAnsi="Times New Roman" w:cs="Times New Roman"/>
          <w:sz w:val="24"/>
          <w:szCs w:val="24"/>
        </w:rPr>
        <w:t xml:space="preserve"> highlights, while the overall volumes for some actors may not have been the highest, the intensity of their visibility offers a different picture. Russia, for example, in the French case may have been only the third most visible energy actor, yet it was seen as a major actor on many occasions</w:t>
      </w:r>
      <w:r w:rsidRPr="003E4298">
        <w:rPr>
          <w:rFonts w:ascii="Times New Roman" w:hAnsi="Times New Roman" w:cs="Times New Roman"/>
          <w:sz w:val="24"/>
          <w:szCs w:val="24"/>
        </w:rPr>
        <w:t>, thus the intensity of its image is stronger</w:t>
      </w:r>
      <w:r w:rsidR="00D209BA" w:rsidRPr="003E4298">
        <w:rPr>
          <w:rFonts w:ascii="Times New Roman" w:hAnsi="Times New Roman" w:cs="Times New Roman"/>
          <w:sz w:val="24"/>
          <w:szCs w:val="24"/>
        </w:rPr>
        <w:t>. China also has a high number of ‘major’ references in the French dataset, but it is more often seen as a minor actor overall, as it is in the case of both the German and UK coverage.</w:t>
      </w:r>
    </w:p>
    <w:p w14:paraId="578C26C6" w14:textId="6C106598" w:rsidR="00D209BA" w:rsidRPr="003E4298" w:rsidRDefault="00D209BA" w:rsidP="003E4298">
      <w:pPr>
        <w:spacing w:line="480" w:lineRule="auto"/>
        <w:ind w:firstLine="720"/>
        <w:contextualSpacing/>
        <w:rPr>
          <w:rFonts w:ascii="Times New Roman" w:hAnsi="Times New Roman" w:cs="Times New Roman"/>
          <w:sz w:val="24"/>
          <w:szCs w:val="24"/>
        </w:rPr>
      </w:pPr>
      <w:r w:rsidRPr="003E4298">
        <w:rPr>
          <w:rFonts w:ascii="Times New Roman" w:hAnsi="Times New Roman" w:cs="Times New Roman"/>
          <w:sz w:val="24"/>
          <w:szCs w:val="24"/>
        </w:rPr>
        <w:lastRenderedPageBreak/>
        <w:t xml:space="preserve">For the EU, what Figure 3 highlights is perhaps a problematic picture for an </w:t>
      </w:r>
      <w:r w:rsidR="00E921AA" w:rsidRPr="003E4298">
        <w:rPr>
          <w:rFonts w:ascii="Times New Roman" w:hAnsi="Times New Roman" w:cs="Times New Roman"/>
          <w:sz w:val="24"/>
          <w:szCs w:val="24"/>
        </w:rPr>
        <w:t>actor that</w:t>
      </w:r>
      <w:r w:rsidRPr="003E4298">
        <w:rPr>
          <w:rFonts w:ascii="Times New Roman" w:hAnsi="Times New Roman" w:cs="Times New Roman"/>
          <w:sz w:val="24"/>
          <w:szCs w:val="24"/>
        </w:rPr>
        <w:t xml:space="preserve"> seeks to play a leading role in world energy relations. Even </w:t>
      </w:r>
      <w:r w:rsidRPr="003E4298">
        <w:rPr>
          <w:rFonts w:ascii="Times New Roman" w:hAnsi="Times New Roman" w:cs="Times New Roman"/>
          <w:i/>
          <w:sz w:val="24"/>
          <w:szCs w:val="24"/>
        </w:rPr>
        <w:t>within</w:t>
      </w:r>
      <w:r w:rsidRPr="003E4298">
        <w:rPr>
          <w:rFonts w:ascii="Times New Roman" w:hAnsi="Times New Roman" w:cs="Times New Roman"/>
          <w:sz w:val="24"/>
          <w:szCs w:val="24"/>
        </w:rPr>
        <w:t xml:space="preserve"> the EU’s </w:t>
      </w:r>
      <w:r w:rsidR="00E921AA">
        <w:rPr>
          <w:rFonts w:ascii="Times New Roman" w:hAnsi="Times New Roman" w:cs="Times New Roman"/>
          <w:sz w:val="24"/>
          <w:szCs w:val="24"/>
        </w:rPr>
        <w:t>‘</w:t>
      </w:r>
      <w:r w:rsidR="0082186B" w:rsidRPr="003E4298">
        <w:rPr>
          <w:rFonts w:ascii="Times New Roman" w:hAnsi="Times New Roman" w:cs="Times New Roman"/>
          <w:sz w:val="24"/>
          <w:szCs w:val="24"/>
        </w:rPr>
        <w:t>big 3</w:t>
      </w:r>
      <w:r w:rsidR="00E921AA">
        <w:rPr>
          <w:rFonts w:ascii="Times New Roman" w:hAnsi="Times New Roman" w:cs="Times New Roman"/>
          <w:sz w:val="24"/>
          <w:szCs w:val="24"/>
        </w:rPr>
        <w:t>’</w:t>
      </w:r>
      <w:r w:rsidRPr="003E4298">
        <w:rPr>
          <w:rFonts w:ascii="Times New Roman" w:hAnsi="Times New Roman" w:cs="Times New Roman"/>
          <w:sz w:val="24"/>
          <w:szCs w:val="24"/>
        </w:rPr>
        <w:t xml:space="preserve">, there is limited visibility of the EU’s external energy actions. The EU is </w:t>
      </w:r>
      <w:r w:rsidR="00241DD4" w:rsidRPr="003E4298">
        <w:rPr>
          <w:rFonts w:ascii="Times New Roman" w:hAnsi="Times New Roman" w:cs="Times New Roman"/>
          <w:sz w:val="24"/>
          <w:szCs w:val="24"/>
        </w:rPr>
        <w:t xml:space="preserve">typically </w:t>
      </w:r>
      <w:r w:rsidRPr="003E4298">
        <w:rPr>
          <w:rFonts w:ascii="Times New Roman" w:hAnsi="Times New Roman" w:cs="Times New Roman"/>
          <w:sz w:val="24"/>
          <w:szCs w:val="24"/>
        </w:rPr>
        <w:t xml:space="preserve">outranked by both the US and China, and in the case of France’s coverage, the EU is also ‘beaten’ in visibility terms by India. </w:t>
      </w:r>
      <w:r w:rsidR="00241DD4" w:rsidRPr="003E4298">
        <w:rPr>
          <w:rFonts w:ascii="Times New Roman" w:hAnsi="Times New Roman" w:cs="Times New Roman"/>
          <w:sz w:val="24"/>
          <w:szCs w:val="24"/>
        </w:rPr>
        <w:t>M</w:t>
      </w:r>
      <w:r w:rsidRPr="003E4298">
        <w:rPr>
          <w:rFonts w:ascii="Times New Roman" w:hAnsi="Times New Roman" w:cs="Times New Roman"/>
          <w:sz w:val="24"/>
          <w:szCs w:val="24"/>
        </w:rPr>
        <w:t>ore</w:t>
      </w:r>
      <w:r w:rsidR="005001D1" w:rsidRPr="003E4298">
        <w:rPr>
          <w:rFonts w:ascii="Times New Roman" w:hAnsi="Times New Roman" w:cs="Times New Roman"/>
          <w:sz w:val="24"/>
          <w:szCs w:val="24"/>
        </w:rPr>
        <w:t xml:space="preserve"> </w:t>
      </w:r>
      <w:r w:rsidR="00241DD4" w:rsidRPr="003E4298">
        <w:rPr>
          <w:rFonts w:ascii="Times New Roman" w:hAnsi="Times New Roman" w:cs="Times New Roman"/>
          <w:sz w:val="24"/>
          <w:szCs w:val="24"/>
        </w:rPr>
        <w:t>revealingly</w:t>
      </w:r>
      <w:r w:rsidRPr="003E4298">
        <w:rPr>
          <w:rFonts w:ascii="Times New Roman" w:hAnsi="Times New Roman" w:cs="Times New Roman"/>
          <w:sz w:val="24"/>
          <w:szCs w:val="24"/>
        </w:rPr>
        <w:t xml:space="preserve">, however, is the limited level of ‘major’ coverage for the EU. In the UK and Germany, there are only </w:t>
      </w:r>
      <w:r w:rsidR="00391C3B" w:rsidRPr="003E4298">
        <w:rPr>
          <w:rFonts w:ascii="Times New Roman" w:hAnsi="Times New Roman" w:cs="Times New Roman"/>
          <w:sz w:val="24"/>
          <w:szCs w:val="24"/>
        </w:rPr>
        <w:t>five</w:t>
      </w:r>
      <w:r w:rsidRPr="003E4298">
        <w:rPr>
          <w:rFonts w:ascii="Times New Roman" w:hAnsi="Times New Roman" w:cs="Times New Roman"/>
          <w:sz w:val="24"/>
          <w:szCs w:val="24"/>
        </w:rPr>
        <w:t xml:space="preserve"> and </w:t>
      </w:r>
      <w:r w:rsidR="00391C3B" w:rsidRPr="003E4298">
        <w:rPr>
          <w:rFonts w:ascii="Times New Roman" w:hAnsi="Times New Roman" w:cs="Times New Roman"/>
          <w:sz w:val="24"/>
          <w:szCs w:val="24"/>
        </w:rPr>
        <w:t>two</w:t>
      </w:r>
      <w:r w:rsidRPr="003E4298">
        <w:rPr>
          <w:rFonts w:ascii="Times New Roman" w:hAnsi="Times New Roman" w:cs="Times New Roman"/>
          <w:sz w:val="24"/>
          <w:szCs w:val="24"/>
        </w:rPr>
        <w:t xml:space="preserve"> stories </w:t>
      </w:r>
      <w:r w:rsidR="00E921AA" w:rsidRPr="003E4298">
        <w:rPr>
          <w:rFonts w:ascii="Times New Roman" w:hAnsi="Times New Roman" w:cs="Times New Roman"/>
          <w:sz w:val="24"/>
          <w:szCs w:val="24"/>
        </w:rPr>
        <w:t>respectively,</w:t>
      </w:r>
      <w:r w:rsidRPr="003E4298">
        <w:rPr>
          <w:rFonts w:ascii="Times New Roman" w:hAnsi="Times New Roman" w:cs="Times New Roman"/>
          <w:sz w:val="24"/>
          <w:szCs w:val="24"/>
        </w:rPr>
        <w:t xml:space="preserve"> in which the EU appears as a major external energy actor. In the French coverage the story is somewhat stronger with </w:t>
      </w:r>
      <w:r w:rsidR="00391C3B" w:rsidRPr="003E4298">
        <w:rPr>
          <w:rFonts w:ascii="Times New Roman" w:hAnsi="Times New Roman" w:cs="Times New Roman"/>
          <w:sz w:val="24"/>
          <w:szCs w:val="24"/>
        </w:rPr>
        <w:t>eleven</w:t>
      </w:r>
      <w:r w:rsidRPr="003E4298">
        <w:rPr>
          <w:rFonts w:ascii="Times New Roman" w:hAnsi="Times New Roman" w:cs="Times New Roman"/>
          <w:sz w:val="24"/>
          <w:szCs w:val="24"/>
        </w:rPr>
        <w:t xml:space="preserve"> stories featuring a major EU appearance, but overall this is not an </w:t>
      </w:r>
      <w:r w:rsidR="00E921AA" w:rsidRPr="003E4298">
        <w:rPr>
          <w:rFonts w:ascii="Times New Roman" w:hAnsi="Times New Roman" w:cs="Times New Roman"/>
          <w:sz w:val="24"/>
          <w:szCs w:val="24"/>
        </w:rPr>
        <w:t>image that</w:t>
      </w:r>
      <w:r w:rsidRPr="003E4298">
        <w:rPr>
          <w:rFonts w:ascii="Times New Roman" w:hAnsi="Times New Roman" w:cs="Times New Roman"/>
          <w:sz w:val="24"/>
          <w:szCs w:val="24"/>
        </w:rPr>
        <w:t xml:space="preserve"> denotes a strong level of EU leadership. </w:t>
      </w:r>
      <w:r w:rsidR="00E67018" w:rsidRPr="003E4298">
        <w:rPr>
          <w:rFonts w:ascii="Times New Roman" w:hAnsi="Times New Roman" w:cs="Times New Roman"/>
          <w:sz w:val="24"/>
          <w:szCs w:val="24"/>
        </w:rPr>
        <w:t xml:space="preserve">Stated simply, the EU is not framed </w:t>
      </w:r>
      <w:r w:rsidR="00E11F24" w:rsidRPr="003E4298">
        <w:rPr>
          <w:rFonts w:ascii="Times New Roman" w:hAnsi="Times New Roman" w:cs="Times New Roman"/>
          <w:sz w:val="24"/>
          <w:szCs w:val="24"/>
        </w:rPr>
        <w:t xml:space="preserve">by its member states’ press </w:t>
      </w:r>
      <w:r w:rsidR="00E67018" w:rsidRPr="003E4298">
        <w:rPr>
          <w:rFonts w:ascii="Times New Roman" w:hAnsi="Times New Roman" w:cs="Times New Roman"/>
          <w:sz w:val="24"/>
          <w:szCs w:val="24"/>
        </w:rPr>
        <w:t xml:space="preserve">as a </w:t>
      </w:r>
      <w:r w:rsidR="00E11F24" w:rsidRPr="003E4298">
        <w:rPr>
          <w:rFonts w:ascii="Times New Roman" w:hAnsi="Times New Roman" w:cs="Times New Roman"/>
          <w:sz w:val="24"/>
          <w:szCs w:val="24"/>
        </w:rPr>
        <w:t xml:space="preserve">highly </w:t>
      </w:r>
      <w:r w:rsidR="00E67018" w:rsidRPr="003E4298">
        <w:rPr>
          <w:rFonts w:ascii="Times New Roman" w:hAnsi="Times New Roman" w:cs="Times New Roman"/>
          <w:sz w:val="24"/>
          <w:szCs w:val="24"/>
        </w:rPr>
        <w:t xml:space="preserve">noticeable actor in world energy relations. </w:t>
      </w:r>
      <w:r w:rsidR="00E921AA">
        <w:rPr>
          <w:rFonts w:ascii="Times New Roman" w:hAnsi="Times New Roman" w:cs="Times New Roman"/>
          <w:sz w:val="24"/>
          <w:szCs w:val="24"/>
        </w:rPr>
        <w:t>However, w</w:t>
      </w:r>
      <w:r w:rsidRPr="003E4298">
        <w:rPr>
          <w:rFonts w:ascii="Times New Roman" w:hAnsi="Times New Roman" w:cs="Times New Roman"/>
          <w:sz w:val="24"/>
          <w:szCs w:val="24"/>
        </w:rPr>
        <w:t>hat th</w:t>
      </w:r>
      <w:r w:rsidR="00E11F24" w:rsidRPr="003E4298">
        <w:rPr>
          <w:rFonts w:ascii="Times New Roman" w:hAnsi="Times New Roman" w:cs="Times New Roman"/>
          <w:sz w:val="24"/>
          <w:szCs w:val="24"/>
        </w:rPr>
        <w:t>is</w:t>
      </w:r>
      <w:r w:rsidR="00E921AA">
        <w:rPr>
          <w:rFonts w:ascii="Times New Roman" w:hAnsi="Times New Roman" w:cs="Times New Roman"/>
          <w:sz w:val="24"/>
          <w:szCs w:val="24"/>
        </w:rPr>
        <w:t xml:space="preserve"> picture does indicate</w:t>
      </w:r>
      <w:r w:rsidRPr="003E4298">
        <w:rPr>
          <w:rFonts w:ascii="Times New Roman" w:hAnsi="Times New Roman" w:cs="Times New Roman"/>
          <w:sz w:val="24"/>
          <w:szCs w:val="24"/>
        </w:rPr>
        <w:t xml:space="preserve"> is that the EU is a regular presence </w:t>
      </w:r>
      <w:r w:rsidRPr="003E4298">
        <w:rPr>
          <w:rFonts w:ascii="Times New Roman" w:hAnsi="Times New Roman" w:cs="Times New Roman"/>
          <w:i/>
          <w:iCs/>
          <w:sz w:val="24"/>
          <w:szCs w:val="24"/>
        </w:rPr>
        <w:t>alongside</w:t>
      </w:r>
      <w:r w:rsidRPr="003E4298">
        <w:rPr>
          <w:rFonts w:ascii="Times New Roman" w:hAnsi="Times New Roman" w:cs="Times New Roman"/>
          <w:sz w:val="24"/>
          <w:szCs w:val="24"/>
        </w:rPr>
        <w:t xml:space="preserve"> other energy actors, arguably engaged in partnerships with other key global energy ‘players’.</w:t>
      </w:r>
    </w:p>
    <w:p w14:paraId="36B84F0D" w14:textId="77777777" w:rsidR="00D209BA" w:rsidRDefault="00D209BA" w:rsidP="003E4298">
      <w:pPr>
        <w:spacing w:line="480" w:lineRule="auto"/>
        <w:contextualSpacing/>
        <w:rPr>
          <w:rFonts w:ascii="Times New Roman" w:hAnsi="Times New Roman" w:cs="Times New Roman"/>
          <w:sz w:val="24"/>
          <w:szCs w:val="24"/>
        </w:rPr>
      </w:pPr>
    </w:p>
    <w:p w14:paraId="7E3C28D4" w14:textId="77777777" w:rsidR="003E4298" w:rsidRPr="003E4298" w:rsidRDefault="003E4298" w:rsidP="003E4298">
      <w:pPr>
        <w:spacing w:line="480" w:lineRule="auto"/>
        <w:contextualSpacing/>
        <w:rPr>
          <w:rFonts w:ascii="Times New Roman" w:hAnsi="Times New Roman" w:cs="Times New Roman"/>
          <w:sz w:val="24"/>
          <w:szCs w:val="24"/>
        </w:rPr>
      </w:pPr>
    </w:p>
    <w:p w14:paraId="57BD6662" w14:textId="33CC07F2" w:rsidR="00D209BA" w:rsidRPr="003E4298" w:rsidRDefault="003E4298" w:rsidP="003E4298">
      <w:pPr>
        <w:spacing w:line="480" w:lineRule="auto"/>
        <w:contextualSpacing/>
        <w:rPr>
          <w:rFonts w:ascii="Times New Roman" w:hAnsi="Times New Roman" w:cs="Times New Roman"/>
          <w:b/>
          <w:bCs/>
          <w:iCs/>
          <w:sz w:val="24"/>
          <w:szCs w:val="24"/>
        </w:rPr>
      </w:pPr>
      <w:r>
        <w:rPr>
          <w:rFonts w:ascii="Times New Roman" w:hAnsi="Times New Roman" w:cs="Times New Roman"/>
          <w:b/>
          <w:bCs/>
          <w:iCs/>
          <w:sz w:val="24"/>
          <w:szCs w:val="24"/>
        </w:rPr>
        <w:t xml:space="preserve">6. </w:t>
      </w:r>
      <w:r w:rsidR="00E641FC" w:rsidRPr="003E4298">
        <w:rPr>
          <w:rFonts w:ascii="Times New Roman" w:hAnsi="Times New Roman" w:cs="Times New Roman"/>
          <w:b/>
          <w:bCs/>
          <w:iCs/>
          <w:sz w:val="24"/>
          <w:szCs w:val="24"/>
        </w:rPr>
        <w:t>Comprehensibility</w:t>
      </w:r>
    </w:p>
    <w:p w14:paraId="4B866777" w14:textId="77777777" w:rsidR="003E4298" w:rsidRPr="00E921AA" w:rsidRDefault="003E4298" w:rsidP="003E4298">
      <w:pPr>
        <w:spacing w:line="480" w:lineRule="auto"/>
        <w:contextualSpacing/>
        <w:rPr>
          <w:rFonts w:ascii="Times New Roman" w:hAnsi="Times New Roman" w:cs="Times New Roman"/>
          <w:iCs/>
          <w:sz w:val="24"/>
          <w:szCs w:val="24"/>
        </w:rPr>
      </w:pPr>
    </w:p>
    <w:p w14:paraId="60D009AC" w14:textId="77777777" w:rsidR="00D209BA" w:rsidRPr="003E4298" w:rsidRDefault="00D209BA" w:rsidP="003E4298">
      <w:pPr>
        <w:spacing w:line="480" w:lineRule="auto"/>
        <w:contextualSpacing/>
        <w:rPr>
          <w:rFonts w:ascii="Times New Roman" w:hAnsi="Times New Roman" w:cs="Times New Roman"/>
          <w:i/>
          <w:iCs/>
          <w:sz w:val="24"/>
          <w:szCs w:val="24"/>
        </w:rPr>
      </w:pPr>
      <w:r w:rsidRPr="003E4298">
        <w:rPr>
          <w:rFonts w:ascii="Times New Roman" w:hAnsi="Times New Roman" w:cs="Times New Roman"/>
          <w:i/>
          <w:iCs/>
          <w:sz w:val="24"/>
          <w:szCs w:val="24"/>
        </w:rPr>
        <w:t>Thematic frames</w:t>
      </w:r>
    </w:p>
    <w:p w14:paraId="280FF549" w14:textId="12EF6BE4" w:rsidR="00D209BA" w:rsidRPr="003E4298" w:rsidRDefault="00D209BA" w:rsidP="003E4298">
      <w:pPr>
        <w:spacing w:line="480" w:lineRule="auto"/>
        <w:contextualSpacing/>
        <w:rPr>
          <w:rFonts w:ascii="Times New Roman" w:hAnsi="Times New Roman" w:cs="Times New Roman"/>
          <w:sz w:val="24"/>
          <w:szCs w:val="24"/>
        </w:rPr>
      </w:pPr>
      <w:r w:rsidRPr="003E4298">
        <w:rPr>
          <w:rFonts w:ascii="Times New Roman" w:hAnsi="Times New Roman" w:cs="Times New Roman"/>
          <w:sz w:val="24"/>
          <w:szCs w:val="24"/>
        </w:rPr>
        <w:t>One of the leading questions of this project is to what extent – if at all – there is evidence of an EU normative agenda on global energy matters</w:t>
      </w:r>
      <w:r w:rsidR="00E40F50" w:rsidRPr="003E4298">
        <w:rPr>
          <w:rFonts w:ascii="Times New Roman" w:hAnsi="Times New Roman" w:cs="Times New Roman"/>
          <w:sz w:val="24"/>
          <w:szCs w:val="24"/>
        </w:rPr>
        <w:t xml:space="preserve"> depicted in the print news media of various countries</w:t>
      </w:r>
      <w:r w:rsidRPr="003E4298">
        <w:rPr>
          <w:rFonts w:ascii="Times New Roman" w:hAnsi="Times New Roman" w:cs="Times New Roman"/>
          <w:sz w:val="24"/>
          <w:szCs w:val="24"/>
        </w:rPr>
        <w:t xml:space="preserve">. The EU’s external energy policy hinges around three specific energy ‘frames’ and if it </w:t>
      </w:r>
      <w:r w:rsidR="000519CF">
        <w:rPr>
          <w:rFonts w:ascii="Times New Roman" w:hAnsi="Times New Roman" w:cs="Times New Roman"/>
          <w:sz w:val="24"/>
          <w:szCs w:val="24"/>
        </w:rPr>
        <w:t>were</w:t>
      </w:r>
      <w:r w:rsidRPr="003E4298">
        <w:rPr>
          <w:rFonts w:ascii="Times New Roman" w:hAnsi="Times New Roman" w:cs="Times New Roman"/>
          <w:sz w:val="24"/>
          <w:szCs w:val="24"/>
        </w:rPr>
        <w:t xml:space="preserve"> to become a normative energy power, it would be expected that its specific energy framework would shape how three of its member states’ press would present world energy issues and the actors associated with those. Figure 4, presents the results of this analysis.</w:t>
      </w:r>
    </w:p>
    <w:p w14:paraId="7F20FCC0" w14:textId="77777777" w:rsidR="00D209BA" w:rsidRPr="003E4298" w:rsidRDefault="00D209BA" w:rsidP="003E4298">
      <w:pPr>
        <w:spacing w:line="480" w:lineRule="auto"/>
        <w:contextualSpacing/>
        <w:rPr>
          <w:rFonts w:ascii="Times New Roman" w:hAnsi="Times New Roman" w:cs="Times New Roman"/>
          <w:sz w:val="24"/>
          <w:szCs w:val="24"/>
        </w:rPr>
        <w:sectPr w:rsidR="00D209BA" w:rsidRPr="003E4298" w:rsidSect="00C958BC">
          <w:pgSz w:w="11906" w:h="16838"/>
          <w:pgMar w:top="1440" w:right="1440" w:bottom="1440" w:left="1440" w:header="708" w:footer="708" w:gutter="0"/>
          <w:cols w:space="708"/>
          <w:docGrid w:linePitch="360"/>
        </w:sectPr>
      </w:pPr>
    </w:p>
    <w:p w14:paraId="4EFEC1C9" w14:textId="77777777" w:rsidR="00D209BA" w:rsidRPr="003E4298" w:rsidRDefault="00D209BA" w:rsidP="003E4298">
      <w:pPr>
        <w:spacing w:line="480" w:lineRule="auto"/>
        <w:contextualSpacing/>
        <w:rPr>
          <w:rFonts w:ascii="Times New Roman" w:hAnsi="Times New Roman" w:cs="Times New Roman"/>
          <w:b/>
          <w:bCs/>
          <w:sz w:val="24"/>
          <w:szCs w:val="24"/>
        </w:rPr>
      </w:pPr>
    </w:p>
    <w:p w14:paraId="4B53DC2B" w14:textId="14A189B0" w:rsidR="00533C57" w:rsidRDefault="00533C57" w:rsidP="003E4298">
      <w:pPr>
        <w:spacing w:line="480" w:lineRule="auto"/>
        <w:contextualSpacing/>
        <w:rPr>
          <w:rFonts w:ascii="Times New Roman" w:hAnsi="Times New Roman" w:cs="Times New Roman"/>
          <w:b/>
          <w:bCs/>
          <w:sz w:val="24"/>
          <w:szCs w:val="24"/>
        </w:rPr>
      </w:pPr>
      <w:r>
        <w:rPr>
          <w:noProof/>
          <w:lang w:eastAsia="en-GB"/>
        </w:rPr>
        <w:drawing>
          <wp:inline distT="0" distB="0" distL="0" distR="0" wp14:anchorId="0075E967" wp14:editId="142BF171">
            <wp:extent cx="6248400" cy="354330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6D9CB09" w14:textId="77777777" w:rsidR="00D209BA" w:rsidRPr="003E4298" w:rsidRDefault="00D209BA" w:rsidP="003E4298">
      <w:pPr>
        <w:spacing w:line="480" w:lineRule="auto"/>
        <w:contextualSpacing/>
        <w:rPr>
          <w:rFonts w:ascii="Times New Roman" w:hAnsi="Times New Roman" w:cs="Times New Roman"/>
          <w:b/>
          <w:bCs/>
          <w:sz w:val="24"/>
          <w:szCs w:val="24"/>
        </w:rPr>
      </w:pPr>
      <w:r w:rsidRPr="003E4298">
        <w:rPr>
          <w:rFonts w:ascii="Times New Roman" w:hAnsi="Times New Roman" w:cs="Times New Roman"/>
          <w:b/>
          <w:bCs/>
          <w:sz w:val="24"/>
          <w:szCs w:val="24"/>
        </w:rPr>
        <w:t>Figure 4: Frames of Energy Actors</w:t>
      </w:r>
    </w:p>
    <w:p w14:paraId="5D7E24BA" w14:textId="77777777" w:rsidR="00533C57" w:rsidRDefault="00533C57" w:rsidP="003E4298">
      <w:pPr>
        <w:spacing w:line="480" w:lineRule="auto"/>
        <w:contextualSpacing/>
        <w:rPr>
          <w:rFonts w:ascii="Times New Roman" w:hAnsi="Times New Roman" w:cs="Times New Roman"/>
          <w:sz w:val="24"/>
          <w:szCs w:val="24"/>
        </w:rPr>
      </w:pPr>
    </w:p>
    <w:p w14:paraId="2022FA73" w14:textId="5483C168" w:rsidR="00D209BA" w:rsidRPr="003E4298" w:rsidRDefault="00163B45" w:rsidP="003E4298">
      <w:pPr>
        <w:spacing w:line="480" w:lineRule="auto"/>
        <w:contextualSpacing/>
        <w:rPr>
          <w:rFonts w:ascii="Times New Roman" w:hAnsi="Times New Roman" w:cs="Times New Roman"/>
          <w:sz w:val="24"/>
          <w:szCs w:val="24"/>
        </w:rPr>
      </w:pPr>
      <w:r w:rsidRPr="003E4298">
        <w:rPr>
          <w:rFonts w:ascii="Times New Roman" w:hAnsi="Times New Roman" w:cs="Times New Roman"/>
          <w:sz w:val="24"/>
          <w:szCs w:val="24"/>
        </w:rPr>
        <w:t>As can be seen</w:t>
      </w:r>
      <w:r w:rsidR="00A92FA0" w:rsidRPr="003E4298">
        <w:rPr>
          <w:rFonts w:ascii="Times New Roman" w:hAnsi="Times New Roman" w:cs="Times New Roman"/>
          <w:sz w:val="24"/>
          <w:szCs w:val="24"/>
        </w:rPr>
        <w:t xml:space="preserve"> in </w:t>
      </w:r>
      <w:r w:rsidR="00E921AA">
        <w:rPr>
          <w:rFonts w:ascii="Times New Roman" w:hAnsi="Times New Roman" w:cs="Times New Roman"/>
          <w:sz w:val="24"/>
          <w:szCs w:val="24"/>
        </w:rPr>
        <w:t>F</w:t>
      </w:r>
      <w:r w:rsidR="00A92FA0" w:rsidRPr="003E4298">
        <w:rPr>
          <w:rFonts w:ascii="Times New Roman" w:hAnsi="Times New Roman" w:cs="Times New Roman"/>
          <w:sz w:val="24"/>
          <w:szCs w:val="24"/>
        </w:rPr>
        <w:t>igure 4</w:t>
      </w:r>
      <w:r w:rsidRPr="003E4298">
        <w:rPr>
          <w:rFonts w:ascii="Times New Roman" w:hAnsi="Times New Roman" w:cs="Times New Roman"/>
          <w:sz w:val="24"/>
          <w:szCs w:val="24"/>
        </w:rPr>
        <w:t xml:space="preserve">, the frame of sustainability is highly visible overall and for the EU in particular. </w:t>
      </w:r>
      <w:r w:rsidR="00D209BA" w:rsidRPr="003E4298">
        <w:rPr>
          <w:rFonts w:ascii="Times New Roman" w:hAnsi="Times New Roman" w:cs="Times New Roman"/>
          <w:sz w:val="24"/>
          <w:szCs w:val="24"/>
        </w:rPr>
        <w:t>In part</w:t>
      </w:r>
      <w:r w:rsidR="00C324A1" w:rsidRPr="003E4298">
        <w:rPr>
          <w:rFonts w:ascii="Times New Roman" w:hAnsi="Times New Roman" w:cs="Times New Roman"/>
          <w:sz w:val="24"/>
          <w:szCs w:val="24"/>
        </w:rPr>
        <w:t>,</w:t>
      </w:r>
      <w:r w:rsidR="00D209BA" w:rsidRPr="003E4298">
        <w:rPr>
          <w:rFonts w:ascii="Times New Roman" w:hAnsi="Times New Roman" w:cs="Times New Roman"/>
          <w:sz w:val="24"/>
          <w:szCs w:val="24"/>
        </w:rPr>
        <w:t xml:space="preserve"> this can be explained by the sampling period</w:t>
      </w:r>
      <w:r w:rsidR="00C324A1" w:rsidRPr="003E4298">
        <w:rPr>
          <w:rFonts w:ascii="Times New Roman" w:hAnsi="Times New Roman" w:cs="Times New Roman"/>
          <w:sz w:val="24"/>
          <w:szCs w:val="24"/>
        </w:rPr>
        <w:t>,</w:t>
      </w:r>
      <w:r w:rsidR="00D209BA" w:rsidRPr="003E4298">
        <w:rPr>
          <w:rFonts w:ascii="Times New Roman" w:hAnsi="Times New Roman" w:cs="Times New Roman"/>
          <w:sz w:val="24"/>
          <w:szCs w:val="24"/>
        </w:rPr>
        <w:t xml:space="preserve"> which targeted the month around the </w:t>
      </w:r>
      <w:r w:rsidR="004019F5" w:rsidRPr="003E4298">
        <w:rPr>
          <w:rFonts w:ascii="Times New Roman" w:hAnsi="Times New Roman" w:cs="Times New Roman"/>
          <w:sz w:val="24"/>
          <w:szCs w:val="24"/>
        </w:rPr>
        <w:t>climate change conventions (CCCs)</w:t>
      </w:r>
      <w:r w:rsidR="000271A0" w:rsidRPr="003E4298">
        <w:rPr>
          <w:rFonts w:ascii="Times New Roman" w:hAnsi="Times New Roman" w:cs="Times New Roman"/>
          <w:sz w:val="24"/>
          <w:szCs w:val="24"/>
        </w:rPr>
        <w:t xml:space="preserve">. </w:t>
      </w:r>
      <w:r w:rsidR="00D209BA" w:rsidRPr="003E4298">
        <w:rPr>
          <w:rFonts w:ascii="Times New Roman" w:hAnsi="Times New Roman" w:cs="Times New Roman"/>
          <w:sz w:val="24"/>
          <w:szCs w:val="24"/>
        </w:rPr>
        <w:t>However, it is a more dominant frame for the US and EU than for their Russian, Indian and Chinese counterparts. South Africa, too, has a relatively high level of ‘sustainability’ evident in its framing in the French and UK coverage, however, it is important to note that the numbers overall for South Africa are very small</w:t>
      </w:r>
      <w:r w:rsidR="000271A0" w:rsidRPr="003E4298">
        <w:rPr>
          <w:rFonts w:ascii="Times New Roman" w:hAnsi="Times New Roman" w:cs="Times New Roman"/>
          <w:sz w:val="24"/>
          <w:szCs w:val="24"/>
        </w:rPr>
        <w:t xml:space="preserve">. In addition, it hosted the </w:t>
      </w:r>
      <w:r w:rsidR="00A92FA0" w:rsidRPr="003E4298">
        <w:rPr>
          <w:rFonts w:ascii="Times New Roman" w:hAnsi="Times New Roman" w:cs="Times New Roman"/>
          <w:sz w:val="24"/>
          <w:szCs w:val="24"/>
        </w:rPr>
        <w:t xml:space="preserve">CCC </w:t>
      </w:r>
      <w:r w:rsidR="000271A0" w:rsidRPr="003E4298">
        <w:rPr>
          <w:rFonts w:ascii="Times New Roman" w:hAnsi="Times New Roman" w:cs="Times New Roman"/>
          <w:sz w:val="24"/>
          <w:szCs w:val="24"/>
        </w:rPr>
        <w:t xml:space="preserve">in 2011 (Durban). </w:t>
      </w:r>
      <w:r w:rsidR="00D209BA" w:rsidRPr="003E4298">
        <w:rPr>
          <w:rFonts w:ascii="Times New Roman" w:hAnsi="Times New Roman" w:cs="Times New Roman"/>
          <w:sz w:val="24"/>
          <w:szCs w:val="24"/>
        </w:rPr>
        <w:t xml:space="preserve">For the EU and the US, sustainability is a more consistent frame for their energy whereas competitiveness emerges as a more common framework for Brazil, Russia and China, at least in the </w:t>
      </w:r>
      <w:r w:rsidR="004019F5" w:rsidRPr="003E4298">
        <w:rPr>
          <w:rFonts w:ascii="Times New Roman" w:hAnsi="Times New Roman" w:cs="Times New Roman"/>
          <w:sz w:val="24"/>
          <w:szCs w:val="24"/>
        </w:rPr>
        <w:t xml:space="preserve">UK </w:t>
      </w:r>
      <w:r w:rsidR="00D209BA" w:rsidRPr="003E4298">
        <w:rPr>
          <w:rFonts w:ascii="Times New Roman" w:hAnsi="Times New Roman" w:cs="Times New Roman"/>
          <w:sz w:val="24"/>
          <w:szCs w:val="24"/>
        </w:rPr>
        <w:t xml:space="preserve">and German press. </w:t>
      </w:r>
      <w:r w:rsidR="00974F1A">
        <w:rPr>
          <w:rFonts w:ascii="Times New Roman" w:hAnsi="Times New Roman" w:cs="Times New Roman"/>
          <w:sz w:val="24"/>
          <w:szCs w:val="24"/>
        </w:rPr>
        <w:t>For the cases of the EU and the US t</w:t>
      </w:r>
      <w:r w:rsidR="00D209BA" w:rsidRPr="003E4298">
        <w:rPr>
          <w:rFonts w:ascii="Times New Roman" w:hAnsi="Times New Roman" w:cs="Times New Roman"/>
          <w:sz w:val="24"/>
          <w:szCs w:val="24"/>
        </w:rPr>
        <w:t>his may</w:t>
      </w:r>
      <w:r w:rsidR="00595F3A">
        <w:rPr>
          <w:rFonts w:ascii="Times New Roman" w:hAnsi="Times New Roman" w:cs="Times New Roman"/>
          <w:sz w:val="24"/>
          <w:szCs w:val="24"/>
        </w:rPr>
        <w:t xml:space="preserve"> reflect a more highly perceived actorness at the CCCs </w:t>
      </w:r>
      <w:r w:rsidR="00974F1A">
        <w:rPr>
          <w:rFonts w:ascii="Times New Roman" w:hAnsi="Times New Roman" w:cs="Times New Roman"/>
          <w:sz w:val="24"/>
          <w:szCs w:val="24"/>
        </w:rPr>
        <w:t>and therefore may suggest portrayals of the EU taking on the norm of sustainability and promoting it externally</w:t>
      </w:r>
      <w:r w:rsidR="00595F3A">
        <w:rPr>
          <w:rFonts w:ascii="Times New Roman" w:hAnsi="Times New Roman" w:cs="Times New Roman"/>
          <w:sz w:val="24"/>
          <w:szCs w:val="24"/>
        </w:rPr>
        <w:t>.</w:t>
      </w:r>
      <w:r w:rsidR="0077354F">
        <w:rPr>
          <w:rFonts w:ascii="Times New Roman" w:hAnsi="Times New Roman" w:cs="Times New Roman"/>
          <w:sz w:val="24"/>
          <w:szCs w:val="24"/>
        </w:rPr>
        <w:t xml:space="preserve"> </w:t>
      </w:r>
      <w:r w:rsidR="00595F3A">
        <w:rPr>
          <w:rFonts w:ascii="Times New Roman" w:hAnsi="Times New Roman" w:cs="Times New Roman"/>
          <w:sz w:val="24"/>
          <w:szCs w:val="24"/>
        </w:rPr>
        <w:t xml:space="preserve">It may also </w:t>
      </w:r>
      <w:r w:rsidR="00D209BA" w:rsidRPr="003E4298">
        <w:rPr>
          <w:rFonts w:ascii="Times New Roman" w:hAnsi="Times New Roman" w:cs="Times New Roman"/>
          <w:sz w:val="24"/>
          <w:szCs w:val="24"/>
        </w:rPr>
        <w:t xml:space="preserve">be a reflection of </w:t>
      </w:r>
      <w:r w:rsidR="00974F1A" w:rsidRPr="003E4298">
        <w:rPr>
          <w:rFonts w:ascii="Times New Roman" w:hAnsi="Times New Roman" w:cs="Times New Roman"/>
          <w:sz w:val="24"/>
          <w:szCs w:val="24"/>
        </w:rPr>
        <w:t>Brazil, Russia and China</w:t>
      </w:r>
      <w:r w:rsidR="00974F1A">
        <w:rPr>
          <w:rFonts w:ascii="Times New Roman" w:hAnsi="Times New Roman" w:cs="Times New Roman"/>
          <w:sz w:val="24"/>
          <w:szCs w:val="24"/>
        </w:rPr>
        <w:t>’s</w:t>
      </w:r>
      <w:r w:rsidR="00D209BA" w:rsidRPr="003E4298">
        <w:rPr>
          <w:rFonts w:ascii="Times New Roman" w:hAnsi="Times New Roman" w:cs="Times New Roman"/>
          <w:sz w:val="24"/>
          <w:szCs w:val="24"/>
        </w:rPr>
        <w:t xml:space="preserve"> drive for </w:t>
      </w:r>
      <w:r w:rsidR="00D209BA" w:rsidRPr="003E4298">
        <w:rPr>
          <w:rFonts w:ascii="Times New Roman" w:hAnsi="Times New Roman" w:cs="Times New Roman"/>
          <w:sz w:val="24"/>
          <w:szCs w:val="24"/>
        </w:rPr>
        <w:lastRenderedPageBreak/>
        <w:t xml:space="preserve">economic growth, and thus their concern on matters of energy is typically shaped by competition. </w:t>
      </w:r>
      <w:r w:rsidR="005B1E5C">
        <w:rPr>
          <w:rFonts w:ascii="Times New Roman" w:hAnsi="Times New Roman" w:cs="Times New Roman"/>
          <w:sz w:val="24"/>
          <w:szCs w:val="24"/>
        </w:rPr>
        <w:t xml:space="preserve">It is also notable that in the case of the US, sustainability is not always a positive frame, but can instead hold negative connotations (the US as an actor at times obstructing sustainable progress). </w:t>
      </w:r>
      <w:r w:rsidR="00D209BA" w:rsidRPr="003E4298">
        <w:rPr>
          <w:rFonts w:ascii="Times New Roman" w:hAnsi="Times New Roman" w:cs="Times New Roman"/>
          <w:sz w:val="24"/>
          <w:szCs w:val="24"/>
        </w:rPr>
        <w:t>For Russia, this often related to critiques of the Russian economy’s over-reliance on oil and gas exports</w:t>
      </w:r>
      <w:r w:rsidR="000271A0" w:rsidRPr="003E4298">
        <w:rPr>
          <w:rFonts w:ascii="Times New Roman" w:hAnsi="Times New Roman" w:cs="Times New Roman"/>
          <w:sz w:val="24"/>
          <w:szCs w:val="24"/>
        </w:rPr>
        <w:t>,</w:t>
      </w:r>
      <w:r w:rsidR="00D209BA" w:rsidRPr="003E4298">
        <w:rPr>
          <w:rFonts w:ascii="Times New Roman" w:hAnsi="Times New Roman" w:cs="Times New Roman"/>
          <w:sz w:val="24"/>
          <w:szCs w:val="24"/>
        </w:rPr>
        <w:t xml:space="preserve"> which the European press appeared to view as a weakness</w:t>
      </w:r>
      <w:r w:rsidR="00A92FA0" w:rsidRPr="003E4298">
        <w:rPr>
          <w:rFonts w:ascii="Times New Roman" w:hAnsi="Times New Roman" w:cs="Times New Roman"/>
          <w:sz w:val="24"/>
          <w:szCs w:val="24"/>
        </w:rPr>
        <w:t>.</w:t>
      </w:r>
      <w:r w:rsidR="00D209BA" w:rsidRPr="003E4298">
        <w:rPr>
          <w:rFonts w:ascii="Times New Roman" w:hAnsi="Times New Roman" w:cs="Times New Roman"/>
          <w:sz w:val="24"/>
          <w:szCs w:val="24"/>
        </w:rPr>
        <w:t xml:space="preserve"> Collaborations or partnerships with the EU on oil and gas also shaped the Russian framing in all three member states’ press. Brazil, with its strong use of more ‘green’ energy sources was presumed to emerge as a ‘sustainability’ actor, yet the above chart highlights that in fact it was framed more consistently through the angle of competitiveness (with the exception of the French coverage). In part</w:t>
      </w:r>
      <w:r w:rsidR="000271A0" w:rsidRPr="003E4298">
        <w:rPr>
          <w:rFonts w:ascii="Times New Roman" w:hAnsi="Times New Roman" w:cs="Times New Roman"/>
          <w:sz w:val="24"/>
          <w:szCs w:val="24"/>
        </w:rPr>
        <w:t>,</w:t>
      </w:r>
      <w:r w:rsidR="00D209BA" w:rsidRPr="003E4298">
        <w:rPr>
          <w:rFonts w:ascii="Times New Roman" w:hAnsi="Times New Roman" w:cs="Times New Roman"/>
          <w:sz w:val="24"/>
          <w:szCs w:val="24"/>
        </w:rPr>
        <w:t xml:space="preserve"> this relates to a framing of Brazil as a potential market for investment opportunities, especially since its recent discovery and exploitation of oil</w:t>
      </w:r>
      <w:r w:rsidR="000271A0" w:rsidRPr="003E4298">
        <w:rPr>
          <w:rFonts w:ascii="Times New Roman" w:hAnsi="Times New Roman" w:cs="Times New Roman"/>
          <w:sz w:val="24"/>
          <w:szCs w:val="24"/>
        </w:rPr>
        <w:t xml:space="preserve">, </w:t>
      </w:r>
      <w:r w:rsidR="00D209BA" w:rsidRPr="003E4298">
        <w:rPr>
          <w:rFonts w:ascii="Times New Roman" w:hAnsi="Times New Roman" w:cs="Times New Roman"/>
          <w:sz w:val="24"/>
          <w:szCs w:val="24"/>
        </w:rPr>
        <w:t xml:space="preserve">which was seen as a potential opportunity for outside investors. In the French case, Brazil’s involvement in the </w:t>
      </w:r>
      <w:r w:rsidR="00DC233F" w:rsidRPr="003E4298">
        <w:rPr>
          <w:rFonts w:ascii="Times New Roman" w:hAnsi="Times New Roman" w:cs="Times New Roman"/>
          <w:sz w:val="24"/>
          <w:szCs w:val="24"/>
        </w:rPr>
        <w:t xml:space="preserve">CCCs </w:t>
      </w:r>
      <w:r w:rsidR="00D209BA" w:rsidRPr="003E4298">
        <w:rPr>
          <w:rFonts w:ascii="Times New Roman" w:hAnsi="Times New Roman" w:cs="Times New Roman"/>
          <w:sz w:val="24"/>
          <w:szCs w:val="24"/>
        </w:rPr>
        <w:t>was highlighted, accounting for the higher volume of sustainability framing there.</w:t>
      </w:r>
    </w:p>
    <w:p w14:paraId="7CDCF0BC" w14:textId="31FD9A42" w:rsidR="00D209BA" w:rsidRPr="003E4298" w:rsidRDefault="00D209BA" w:rsidP="003E4298">
      <w:pPr>
        <w:spacing w:line="480" w:lineRule="auto"/>
        <w:ind w:firstLine="720"/>
        <w:contextualSpacing/>
        <w:rPr>
          <w:rFonts w:ascii="Times New Roman" w:hAnsi="Times New Roman" w:cs="Times New Roman"/>
          <w:sz w:val="24"/>
          <w:szCs w:val="24"/>
        </w:rPr>
      </w:pPr>
      <w:r w:rsidRPr="003E4298">
        <w:rPr>
          <w:rFonts w:ascii="Times New Roman" w:hAnsi="Times New Roman" w:cs="Times New Roman"/>
          <w:sz w:val="24"/>
          <w:szCs w:val="24"/>
        </w:rPr>
        <w:t xml:space="preserve">India is the actor which appears to present some confusion for the European news media. There is no clear pattern across our three countries in terms of India’s framing as an energy actor. Arguably this </w:t>
      </w:r>
      <w:r w:rsidR="00A92FA0" w:rsidRPr="003E4298">
        <w:rPr>
          <w:rFonts w:ascii="Times New Roman" w:hAnsi="Times New Roman" w:cs="Times New Roman"/>
          <w:sz w:val="24"/>
          <w:szCs w:val="24"/>
        </w:rPr>
        <w:t xml:space="preserve">may </w:t>
      </w:r>
      <w:r w:rsidRPr="003E4298">
        <w:rPr>
          <w:rFonts w:ascii="Times New Roman" w:hAnsi="Times New Roman" w:cs="Times New Roman"/>
          <w:sz w:val="24"/>
          <w:szCs w:val="24"/>
        </w:rPr>
        <w:t>be accounted for by India’s unique case – a former colony with vast economic disparities, India only stopped receiving overseas development assistance from the UK in 2013. Yet</w:t>
      </w:r>
      <w:r w:rsidR="006A48AD" w:rsidRPr="003E4298">
        <w:rPr>
          <w:rFonts w:ascii="Times New Roman" w:hAnsi="Times New Roman" w:cs="Times New Roman"/>
          <w:sz w:val="24"/>
          <w:szCs w:val="24"/>
        </w:rPr>
        <w:t>,</w:t>
      </w:r>
      <w:r w:rsidRPr="003E4298">
        <w:rPr>
          <w:rFonts w:ascii="Times New Roman" w:hAnsi="Times New Roman" w:cs="Times New Roman"/>
          <w:sz w:val="24"/>
          <w:szCs w:val="24"/>
        </w:rPr>
        <w:t xml:space="preserve"> it is an actor that is beginning to ‘flex its muscles’, becoming an increasingly vocal member of the BRICS quintet on climate change negotiations as well as global political concerns. For the UK press, it was India’s involvement in pushing against Western actors at the </w:t>
      </w:r>
      <w:r w:rsidR="00DC233F" w:rsidRPr="003E4298">
        <w:rPr>
          <w:rFonts w:ascii="Times New Roman" w:hAnsi="Times New Roman" w:cs="Times New Roman"/>
          <w:sz w:val="24"/>
          <w:szCs w:val="24"/>
        </w:rPr>
        <w:t xml:space="preserve">CCCs </w:t>
      </w:r>
      <w:r w:rsidRPr="003E4298">
        <w:rPr>
          <w:rFonts w:ascii="Times New Roman" w:hAnsi="Times New Roman" w:cs="Times New Roman"/>
          <w:sz w:val="24"/>
          <w:szCs w:val="24"/>
        </w:rPr>
        <w:t xml:space="preserve">which shaped much of its framing, thus India was viewed overall as an actor shaped by sustainability concerns. While again India’s sustainability framing reflects its appearance at the </w:t>
      </w:r>
      <w:r w:rsidR="00DC233F" w:rsidRPr="003E4298">
        <w:rPr>
          <w:rFonts w:ascii="Times New Roman" w:hAnsi="Times New Roman" w:cs="Times New Roman"/>
          <w:sz w:val="24"/>
          <w:szCs w:val="24"/>
        </w:rPr>
        <w:t>CCCs</w:t>
      </w:r>
      <w:r w:rsidRPr="003E4298">
        <w:rPr>
          <w:rFonts w:ascii="Times New Roman" w:hAnsi="Times New Roman" w:cs="Times New Roman"/>
          <w:sz w:val="24"/>
          <w:szCs w:val="24"/>
        </w:rPr>
        <w:t>, a number of articles in the French case focused on India’s turn towards nuclear energy</w:t>
      </w:r>
      <w:r w:rsidR="00AC4525" w:rsidRPr="003E4298">
        <w:rPr>
          <w:rFonts w:ascii="Times New Roman" w:hAnsi="Times New Roman" w:cs="Times New Roman"/>
          <w:sz w:val="24"/>
          <w:szCs w:val="24"/>
        </w:rPr>
        <w:t>, specifically</w:t>
      </w:r>
      <w:r w:rsidRPr="003E4298">
        <w:rPr>
          <w:rFonts w:ascii="Times New Roman" w:hAnsi="Times New Roman" w:cs="Times New Roman"/>
          <w:sz w:val="24"/>
          <w:szCs w:val="24"/>
        </w:rPr>
        <w:t xml:space="preserve"> on a deal that would allow </w:t>
      </w:r>
      <w:proofErr w:type="spellStart"/>
      <w:r w:rsidRPr="003E4298">
        <w:rPr>
          <w:rFonts w:ascii="Times New Roman" w:hAnsi="Times New Roman" w:cs="Times New Roman"/>
          <w:sz w:val="24"/>
          <w:szCs w:val="24"/>
        </w:rPr>
        <w:t>Areva</w:t>
      </w:r>
      <w:proofErr w:type="spellEnd"/>
      <w:r w:rsidRPr="003E4298">
        <w:rPr>
          <w:rFonts w:ascii="Times New Roman" w:hAnsi="Times New Roman" w:cs="Times New Roman"/>
          <w:sz w:val="24"/>
          <w:szCs w:val="24"/>
        </w:rPr>
        <w:t xml:space="preserve"> (a F</w:t>
      </w:r>
      <w:r w:rsidR="00E82F69">
        <w:rPr>
          <w:rFonts w:ascii="Times New Roman" w:hAnsi="Times New Roman" w:cs="Times New Roman"/>
          <w:sz w:val="24"/>
          <w:szCs w:val="24"/>
        </w:rPr>
        <w:t xml:space="preserve">rench energy </w:t>
      </w:r>
      <w:r w:rsidR="00E82F69">
        <w:rPr>
          <w:rFonts w:ascii="Times New Roman" w:hAnsi="Times New Roman" w:cs="Times New Roman"/>
          <w:sz w:val="24"/>
          <w:szCs w:val="24"/>
        </w:rPr>
        <w:lastRenderedPageBreak/>
        <w:t>company) to build two</w:t>
      </w:r>
      <w:r w:rsidRPr="003E4298">
        <w:rPr>
          <w:rFonts w:ascii="Times New Roman" w:hAnsi="Times New Roman" w:cs="Times New Roman"/>
          <w:sz w:val="24"/>
          <w:szCs w:val="24"/>
        </w:rPr>
        <w:t xml:space="preserve"> nuclear reactor</w:t>
      </w:r>
      <w:r w:rsidR="00BD512A" w:rsidRPr="003E4298">
        <w:rPr>
          <w:rFonts w:ascii="Times New Roman" w:hAnsi="Times New Roman" w:cs="Times New Roman"/>
          <w:sz w:val="24"/>
          <w:szCs w:val="24"/>
        </w:rPr>
        <w:t>s</w:t>
      </w:r>
      <w:r w:rsidRPr="003E4298">
        <w:rPr>
          <w:rFonts w:ascii="Times New Roman" w:hAnsi="Times New Roman" w:cs="Times New Roman"/>
          <w:sz w:val="24"/>
          <w:szCs w:val="24"/>
        </w:rPr>
        <w:t>. For Germany, the focus was on issues around India’s need to secure its energy future, especially at a time when its domestic energy demands are growing.</w:t>
      </w:r>
    </w:p>
    <w:p w14:paraId="430C60B2" w14:textId="77777777" w:rsidR="00D209BA" w:rsidRPr="003E4298" w:rsidRDefault="00D209BA" w:rsidP="003E4298">
      <w:pPr>
        <w:spacing w:line="480" w:lineRule="auto"/>
        <w:contextualSpacing/>
        <w:rPr>
          <w:rFonts w:ascii="Times New Roman" w:hAnsi="Times New Roman" w:cs="Times New Roman"/>
          <w:sz w:val="24"/>
          <w:szCs w:val="24"/>
        </w:rPr>
      </w:pPr>
    </w:p>
    <w:p w14:paraId="4CE66501" w14:textId="77777777" w:rsidR="00D209BA" w:rsidRPr="003E4298" w:rsidRDefault="00D209BA" w:rsidP="003E4298">
      <w:pPr>
        <w:spacing w:line="480" w:lineRule="auto"/>
        <w:contextualSpacing/>
        <w:rPr>
          <w:rFonts w:ascii="Times New Roman" w:hAnsi="Times New Roman" w:cs="Times New Roman"/>
          <w:i/>
          <w:iCs/>
          <w:sz w:val="24"/>
          <w:szCs w:val="24"/>
        </w:rPr>
      </w:pPr>
      <w:r w:rsidRPr="003E4298">
        <w:rPr>
          <w:rFonts w:ascii="Times New Roman" w:hAnsi="Times New Roman" w:cs="Times New Roman"/>
          <w:i/>
          <w:iCs/>
          <w:sz w:val="24"/>
          <w:szCs w:val="24"/>
        </w:rPr>
        <w:t>Issues</w:t>
      </w:r>
    </w:p>
    <w:p w14:paraId="3DBDB71F" w14:textId="333467E1" w:rsidR="00D209BA" w:rsidRPr="003E4298" w:rsidRDefault="00D209BA" w:rsidP="003E4298">
      <w:pPr>
        <w:spacing w:line="480" w:lineRule="auto"/>
        <w:contextualSpacing/>
        <w:rPr>
          <w:rFonts w:ascii="Times New Roman" w:hAnsi="Times New Roman" w:cs="Times New Roman"/>
          <w:sz w:val="24"/>
          <w:szCs w:val="24"/>
        </w:rPr>
      </w:pPr>
      <w:r w:rsidRPr="003E4298">
        <w:rPr>
          <w:rFonts w:ascii="Times New Roman" w:hAnsi="Times New Roman" w:cs="Times New Roman"/>
          <w:sz w:val="24"/>
          <w:szCs w:val="24"/>
        </w:rPr>
        <w:t xml:space="preserve">While the climate change conventions are not the primary focus of this project, the EU’s normative role in </w:t>
      </w:r>
      <w:r w:rsidR="00163B45" w:rsidRPr="003E4298">
        <w:rPr>
          <w:rFonts w:ascii="Times New Roman" w:hAnsi="Times New Roman" w:cs="Times New Roman"/>
          <w:sz w:val="24"/>
          <w:szCs w:val="24"/>
        </w:rPr>
        <w:t>climate politics</w:t>
      </w:r>
      <w:r w:rsidRPr="003E4298">
        <w:rPr>
          <w:rFonts w:ascii="Times New Roman" w:hAnsi="Times New Roman" w:cs="Times New Roman"/>
          <w:sz w:val="24"/>
          <w:szCs w:val="24"/>
        </w:rPr>
        <w:t xml:space="preserve"> and in attempting to establish a post-Kyoto agreement have been important parts of its global actions in energy, and it is clear that this is an area which resonates with the European news media, albeit negatively in the UK and German cases</w:t>
      </w:r>
      <w:r w:rsidR="005001D1" w:rsidRPr="003E4298">
        <w:rPr>
          <w:rFonts w:ascii="Times New Roman" w:hAnsi="Times New Roman" w:cs="Times New Roman"/>
          <w:sz w:val="24"/>
          <w:szCs w:val="24"/>
        </w:rPr>
        <w:t>.</w:t>
      </w:r>
    </w:p>
    <w:p w14:paraId="1D1EC011" w14:textId="734A89B3" w:rsidR="00D209BA" w:rsidRPr="003E4298" w:rsidRDefault="00D209BA" w:rsidP="003E4298">
      <w:pPr>
        <w:spacing w:line="480" w:lineRule="auto"/>
        <w:ind w:firstLine="720"/>
        <w:contextualSpacing/>
        <w:rPr>
          <w:rFonts w:ascii="Times New Roman" w:hAnsi="Times New Roman" w:cs="Times New Roman"/>
          <w:sz w:val="24"/>
          <w:szCs w:val="24"/>
        </w:rPr>
      </w:pPr>
      <w:r w:rsidRPr="003E4298">
        <w:rPr>
          <w:rFonts w:ascii="Times New Roman" w:hAnsi="Times New Roman" w:cs="Times New Roman"/>
          <w:sz w:val="24"/>
          <w:szCs w:val="24"/>
        </w:rPr>
        <w:t xml:space="preserve">In fact, the inclusion of other dimensions when discussing global energy was a common practice across the media coverage in each of our three countries. Figure 6 presents the results of this category of analysis, in which it was determined whether a story was a ‘pure’ energy policy story, or whether the energy issue was contextualised within another policy area. </w:t>
      </w:r>
      <w:r w:rsidR="00AC4525" w:rsidRPr="003E4298">
        <w:rPr>
          <w:rFonts w:ascii="Times New Roman" w:hAnsi="Times New Roman" w:cs="Times New Roman"/>
          <w:sz w:val="24"/>
          <w:szCs w:val="24"/>
        </w:rPr>
        <w:t xml:space="preserve">The link to other issues helps us to determine how comprehensible the energy frames were within this coverage. </w:t>
      </w:r>
      <w:r w:rsidRPr="003E4298">
        <w:rPr>
          <w:rFonts w:ascii="Times New Roman" w:hAnsi="Times New Roman" w:cs="Times New Roman"/>
          <w:sz w:val="24"/>
          <w:szCs w:val="24"/>
        </w:rPr>
        <w:t>As can be seen, the climate change dimension was an important one in the UK coverage. Again, this most likely reflects the sampling periods more than perhaps the agenda on global energy specifically, however, it is clear that climate change concerns and energy matters are conceptualised collectively to some degree in the press</w:t>
      </w:r>
      <w:r w:rsidR="00163B45" w:rsidRPr="003E4298">
        <w:rPr>
          <w:rFonts w:ascii="Times New Roman" w:hAnsi="Times New Roman" w:cs="Times New Roman"/>
          <w:sz w:val="24"/>
          <w:szCs w:val="24"/>
        </w:rPr>
        <w:t xml:space="preserve"> of all three countries</w:t>
      </w:r>
      <w:r w:rsidRPr="003E4298">
        <w:rPr>
          <w:rFonts w:ascii="Times New Roman" w:hAnsi="Times New Roman" w:cs="Times New Roman"/>
          <w:sz w:val="24"/>
          <w:szCs w:val="24"/>
        </w:rPr>
        <w:t>. What is more surprising, given the frames discussed in Figure 4</w:t>
      </w:r>
      <w:r w:rsidR="00AC4525" w:rsidRPr="003E4298">
        <w:rPr>
          <w:rFonts w:ascii="Times New Roman" w:hAnsi="Times New Roman" w:cs="Times New Roman"/>
          <w:sz w:val="24"/>
          <w:szCs w:val="24"/>
        </w:rPr>
        <w:t xml:space="preserve"> and the dominance of sustainability over issues of competitiveness</w:t>
      </w:r>
      <w:r w:rsidRPr="003E4298">
        <w:rPr>
          <w:rFonts w:ascii="Times New Roman" w:hAnsi="Times New Roman" w:cs="Times New Roman"/>
          <w:sz w:val="24"/>
          <w:szCs w:val="24"/>
        </w:rPr>
        <w:t>, is the strongly economic ‘slant’ given to coverage of energy matters. Over 30% (and as high as 40%) of all the news items in this analysis presented energy matters within the context of the economy. In part this can be attributed to our inclusion of a business newspaper in each of the three countries, and the emphasis of these papers on the markets (and particularly the commodit</w:t>
      </w:r>
      <w:r w:rsidR="00CD46F1" w:rsidRPr="003E4298">
        <w:rPr>
          <w:rFonts w:ascii="Times New Roman" w:hAnsi="Times New Roman" w:cs="Times New Roman"/>
          <w:sz w:val="24"/>
          <w:szCs w:val="24"/>
        </w:rPr>
        <w:t>y prices</w:t>
      </w:r>
      <w:r w:rsidRPr="003E4298">
        <w:rPr>
          <w:rFonts w:ascii="Times New Roman" w:hAnsi="Times New Roman" w:cs="Times New Roman"/>
          <w:sz w:val="24"/>
          <w:szCs w:val="24"/>
        </w:rPr>
        <w:t xml:space="preserve"> within those), but it very likely also reflects ‘domestic’ concerns with rebuilding damaged European </w:t>
      </w:r>
      <w:r w:rsidRPr="003E4298">
        <w:rPr>
          <w:rFonts w:ascii="Times New Roman" w:hAnsi="Times New Roman" w:cs="Times New Roman"/>
          <w:sz w:val="24"/>
          <w:szCs w:val="24"/>
        </w:rPr>
        <w:lastRenderedPageBreak/>
        <w:t xml:space="preserve">economies. Politics, too, is clearly an important frame from which to consider energy matters, and this is important for the EU. Many of its energy partnerships and negotiations are shaped by a political dimension. </w:t>
      </w:r>
      <w:r w:rsidR="00CD46F1" w:rsidRPr="003E4298">
        <w:rPr>
          <w:rFonts w:ascii="Times New Roman" w:hAnsi="Times New Roman" w:cs="Times New Roman"/>
          <w:sz w:val="24"/>
          <w:szCs w:val="24"/>
        </w:rPr>
        <w:t xml:space="preserve">More generally, we suggest that this finding highlights the importance of energy as a global, </w:t>
      </w:r>
      <w:r w:rsidR="00E77633">
        <w:rPr>
          <w:rFonts w:ascii="Times New Roman" w:hAnsi="Times New Roman" w:cs="Times New Roman"/>
          <w:sz w:val="24"/>
          <w:szCs w:val="24"/>
        </w:rPr>
        <w:t>crosscutting</w:t>
      </w:r>
      <w:r w:rsidR="00CD46F1" w:rsidRPr="003E4298">
        <w:rPr>
          <w:rFonts w:ascii="Times New Roman" w:hAnsi="Times New Roman" w:cs="Times New Roman"/>
          <w:sz w:val="24"/>
          <w:szCs w:val="24"/>
        </w:rPr>
        <w:t xml:space="preserve"> issue. E</w:t>
      </w:r>
      <w:r w:rsidRPr="003E4298">
        <w:rPr>
          <w:rFonts w:ascii="Times New Roman" w:hAnsi="Times New Roman" w:cs="Times New Roman"/>
          <w:sz w:val="24"/>
          <w:szCs w:val="24"/>
        </w:rPr>
        <w:t xml:space="preserve">nergy was </w:t>
      </w:r>
      <w:r w:rsidR="00CD46F1" w:rsidRPr="003E4298">
        <w:rPr>
          <w:rFonts w:ascii="Times New Roman" w:hAnsi="Times New Roman" w:cs="Times New Roman"/>
          <w:sz w:val="24"/>
          <w:szCs w:val="24"/>
        </w:rPr>
        <w:t xml:space="preserve">consistently </w:t>
      </w:r>
      <w:r w:rsidRPr="003E4298">
        <w:rPr>
          <w:rFonts w:ascii="Times New Roman" w:hAnsi="Times New Roman" w:cs="Times New Roman"/>
          <w:sz w:val="24"/>
          <w:szCs w:val="24"/>
        </w:rPr>
        <w:t xml:space="preserve">presented </w:t>
      </w:r>
      <w:r w:rsidR="00CD46F1" w:rsidRPr="003E4298">
        <w:rPr>
          <w:rFonts w:ascii="Times New Roman" w:hAnsi="Times New Roman" w:cs="Times New Roman"/>
          <w:sz w:val="24"/>
          <w:szCs w:val="24"/>
        </w:rPr>
        <w:t xml:space="preserve">in our data </w:t>
      </w:r>
      <w:r w:rsidRPr="003E4298">
        <w:rPr>
          <w:rFonts w:ascii="Times New Roman" w:hAnsi="Times New Roman" w:cs="Times New Roman"/>
          <w:sz w:val="24"/>
          <w:szCs w:val="24"/>
        </w:rPr>
        <w:t xml:space="preserve">within the context of another dimension: in only a very small percentage of stories </w:t>
      </w:r>
      <w:proofErr w:type="gramStart"/>
      <w:r w:rsidRPr="003E4298">
        <w:rPr>
          <w:rFonts w:ascii="Times New Roman" w:hAnsi="Times New Roman" w:cs="Times New Roman"/>
          <w:sz w:val="24"/>
          <w:szCs w:val="24"/>
        </w:rPr>
        <w:t>was</w:t>
      </w:r>
      <w:proofErr w:type="gramEnd"/>
      <w:r w:rsidRPr="003E4298">
        <w:rPr>
          <w:rFonts w:ascii="Times New Roman" w:hAnsi="Times New Roman" w:cs="Times New Roman"/>
          <w:sz w:val="24"/>
          <w:szCs w:val="24"/>
        </w:rPr>
        <w:t xml:space="preserve"> energy discussed as a pure energy story with no other angle.</w:t>
      </w:r>
    </w:p>
    <w:p w14:paraId="3FBB11A2" w14:textId="7B9767D6" w:rsidR="00D209BA" w:rsidRPr="003E4298" w:rsidRDefault="00202585" w:rsidP="003E4298">
      <w:pPr>
        <w:spacing w:line="480" w:lineRule="auto"/>
        <w:contextualSpacing/>
        <w:rPr>
          <w:rFonts w:ascii="Times New Roman" w:hAnsi="Times New Roman" w:cs="Times New Roman"/>
          <w:sz w:val="24"/>
          <w:szCs w:val="24"/>
        </w:rPr>
      </w:pPr>
      <w:r>
        <w:rPr>
          <w:noProof/>
          <w:lang w:eastAsia="en-GB"/>
        </w:rPr>
        <w:drawing>
          <wp:inline distT="0" distB="0" distL="0" distR="0" wp14:anchorId="7A778974" wp14:editId="1A3A4EA0">
            <wp:extent cx="5731510" cy="3106405"/>
            <wp:effectExtent l="0" t="0" r="21590" b="1841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6A05C4E" w14:textId="74DA40FB" w:rsidR="00D209BA" w:rsidRPr="003E4298" w:rsidRDefault="00D209BA" w:rsidP="003E4298">
      <w:pPr>
        <w:spacing w:line="480" w:lineRule="auto"/>
        <w:contextualSpacing/>
        <w:rPr>
          <w:rFonts w:ascii="Times New Roman" w:hAnsi="Times New Roman" w:cs="Times New Roman"/>
          <w:sz w:val="24"/>
          <w:szCs w:val="24"/>
        </w:rPr>
      </w:pPr>
      <w:r w:rsidRPr="003E4298">
        <w:rPr>
          <w:rFonts w:ascii="Times New Roman" w:hAnsi="Times New Roman" w:cs="Times New Roman"/>
          <w:b/>
          <w:bCs/>
          <w:sz w:val="24"/>
          <w:szCs w:val="24"/>
        </w:rPr>
        <w:t>Figure 6: Other Dimensions in Energy News Coverage</w:t>
      </w:r>
    </w:p>
    <w:p w14:paraId="49E70D0B" w14:textId="77777777" w:rsidR="00202585" w:rsidRPr="003E4298" w:rsidRDefault="00202585" w:rsidP="003E4298">
      <w:pPr>
        <w:spacing w:line="480" w:lineRule="auto"/>
        <w:contextualSpacing/>
        <w:rPr>
          <w:rFonts w:ascii="Times New Roman" w:hAnsi="Times New Roman" w:cs="Times New Roman"/>
          <w:sz w:val="24"/>
          <w:szCs w:val="24"/>
        </w:rPr>
      </w:pPr>
    </w:p>
    <w:p w14:paraId="3B9A0028" w14:textId="6264DC2E" w:rsidR="002A1393" w:rsidRPr="003E4298" w:rsidRDefault="003E4298" w:rsidP="003E4298">
      <w:pPr>
        <w:spacing w:line="480" w:lineRule="auto"/>
        <w:contextualSpacing/>
        <w:rPr>
          <w:rFonts w:ascii="Times New Roman" w:hAnsi="Times New Roman" w:cs="Times New Roman"/>
          <w:b/>
          <w:bCs/>
          <w:iCs/>
          <w:sz w:val="24"/>
          <w:szCs w:val="24"/>
        </w:rPr>
      </w:pPr>
      <w:r>
        <w:rPr>
          <w:rFonts w:ascii="Times New Roman" w:hAnsi="Times New Roman" w:cs="Times New Roman"/>
          <w:b/>
          <w:bCs/>
          <w:iCs/>
          <w:sz w:val="24"/>
          <w:szCs w:val="24"/>
        </w:rPr>
        <w:t xml:space="preserve">7. </w:t>
      </w:r>
      <w:r w:rsidR="00D209BA" w:rsidRPr="003E4298">
        <w:rPr>
          <w:rFonts w:ascii="Times New Roman" w:hAnsi="Times New Roman" w:cs="Times New Roman"/>
          <w:b/>
          <w:bCs/>
          <w:iCs/>
          <w:sz w:val="24"/>
          <w:szCs w:val="24"/>
        </w:rPr>
        <w:t>Emotional charge</w:t>
      </w:r>
    </w:p>
    <w:p w14:paraId="612EFB20" w14:textId="77777777" w:rsidR="003E4298" w:rsidRDefault="003E4298" w:rsidP="003E4298">
      <w:pPr>
        <w:spacing w:line="480" w:lineRule="auto"/>
        <w:contextualSpacing/>
        <w:rPr>
          <w:rFonts w:ascii="Times New Roman" w:hAnsi="Times New Roman" w:cs="Times New Roman"/>
          <w:i/>
          <w:sz w:val="24"/>
          <w:szCs w:val="24"/>
        </w:rPr>
      </w:pPr>
    </w:p>
    <w:p w14:paraId="1E04D4A0" w14:textId="77777777" w:rsidR="00D209BA" w:rsidRPr="003E4298" w:rsidRDefault="002A1393" w:rsidP="003E4298">
      <w:pPr>
        <w:spacing w:line="480" w:lineRule="auto"/>
        <w:contextualSpacing/>
        <w:rPr>
          <w:rFonts w:ascii="Times New Roman" w:hAnsi="Times New Roman" w:cs="Times New Roman"/>
          <w:i/>
          <w:sz w:val="24"/>
          <w:szCs w:val="24"/>
        </w:rPr>
      </w:pPr>
      <w:r w:rsidRPr="003E4298">
        <w:rPr>
          <w:rFonts w:ascii="Times New Roman" w:hAnsi="Times New Roman" w:cs="Times New Roman"/>
          <w:i/>
          <w:sz w:val="24"/>
          <w:szCs w:val="24"/>
        </w:rPr>
        <w:t xml:space="preserve">Generic </w:t>
      </w:r>
      <w:r w:rsidR="00D209BA" w:rsidRPr="003E4298">
        <w:rPr>
          <w:rFonts w:ascii="Times New Roman" w:hAnsi="Times New Roman" w:cs="Times New Roman"/>
          <w:i/>
          <w:sz w:val="24"/>
          <w:szCs w:val="24"/>
        </w:rPr>
        <w:t>Evaluation</w:t>
      </w:r>
    </w:p>
    <w:p w14:paraId="3A5DCCA7" w14:textId="1E8CEAF2" w:rsidR="00D209BA" w:rsidRPr="003E4298" w:rsidRDefault="00AC4525" w:rsidP="003E4298">
      <w:pPr>
        <w:spacing w:line="480" w:lineRule="auto"/>
        <w:contextualSpacing/>
        <w:rPr>
          <w:rFonts w:ascii="Times New Roman" w:hAnsi="Times New Roman" w:cs="Times New Roman"/>
          <w:sz w:val="24"/>
          <w:szCs w:val="24"/>
        </w:rPr>
      </w:pPr>
      <w:r w:rsidRPr="003E4298">
        <w:rPr>
          <w:rFonts w:ascii="Times New Roman" w:hAnsi="Times New Roman" w:cs="Times New Roman"/>
          <w:sz w:val="24"/>
          <w:szCs w:val="24"/>
        </w:rPr>
        <w:t>In exploring the ‘capable frames’ of EU external energy activity, determining the emotional charge or evaluation of an actor’s role is important.</w:t>
      </w:r>
      <w:r w:rsidR="00D209BA" w:rsidRPr="003E4298">
        <w:rPr>
          <w:rFonts w:ascii="Times New Roman" w:hAnsi="Times New Roman" w:cs="Times New Roman"/>
          <w:sz w:val="24"/>
          <w:szCs w:val="24"/>
        </w:rPr>
        <w:t xml:space="preserve"> Figure </w:t>
      </w:r>
      <w:r w:rsidRPr="003E4298">
        <w:rPr>
          <w:rFonts w:ascii="Times New Roman" w:hAnsi="Times New Roman" w:cs="Times New Roman"/>
          <w:sz w:val="24"/>
          <w:szCs w:val="24"/>
        </w:rPr>
        <w:t>7</w:t>
      </w:r>
      <w:r w:rsidR="00D209BA" w:rsidRPr="003E4298">
        <w:rPr>
          <w:rFonts w:ascii="Times New Roman" w:hAnsi="Times New Roman" w:cs="Times New Roman"/>
          <w:sz w:val="24"/>
          <w:szCs w:val="24"/>
        </w:rPr>
        <w:t xml:space="preserve"> presents the results of </w:t>
      </w:r>
      <w:r w:rsidRPr="003E4298">
        <w:rPr>
          <w:rFonts w:ascii="Times New Roman" w:hAnsi="Times New Roman" w:cs="Times New Roman"/>
          <w:sz w:val="24"/>
          <w:szCs w:val="24"/>
        </w:rPr>
        <w:t xml:space="preserve">our evaluation </w:t>
      </w:r>
      <w:r w:rsidR="00D209BA" w:rsidRPr="003E4298">
        <w:rPr>
          <w:rFonts w:ascii="Times New Roman" w:hAnsi="Times New Roman" w:cs="Times New Roman"/>
          <w:sz w:val="24"/>
          <w:szCs w:val="24"/>
        </w:rPr>
        <w:t>analysis and highlights the comparison between the EU’s evaluation and that of other global energy actors.</w:t>
      </w:r>
    </w:p>
    <w:p w14:paraId="7E77C4F6" w14:textId="77777777" w:rsidR="003629A9" w:rsidRDefault="003629A9" w:rsidP="003E4298">
      <w:pPr>
        <w:spacing w:line="480" w:lineRule="auto"/>
        <w:contextualSpacing/>
        <w:rPr>
          <w:rFonts w:ascii="Times New Roman" w:hAnsi="Times New Roman" w:cs="Times New Roman"/>
          <w:sz w:val="24"/>
          <w:szCs w:val="24"/>
        </w:rPr>
        <w:sectPr w:rsidR="003629A9" w:rsidSect="001138D3">
          <w:pgSz w:w="11906" w:h="16838"/>
          <w:pgMar w:top="1440" w:right="1440" w:bottom="1440" w:left="1440" w:header="708" w:footer="708" w:gutter="0"/>
          <w:cols w:space="708"/>
          <w:docGrid w:linePitch="360"/>
        </w:sectPr>
      </w:pPr>
    </w:p>
    <w:p w14:paraId="3B80E3EE" w14:textId="47FAE032" w:rsidR="00D209BA" w:rsidRPr="003E4298" w:rsidRDefault="00D209BA" w:rsidP="003E4298">
      <w:pPr>
        <w:spacing w:line="480" w:lineRule="auto"/>
        <w:contextualSpacing/>
        <w:rPr>
          <w:rFonts w:ascii="Times New Roman" w:hAnsi="Times New Roman" w:cs="Times New Roman"/>
          <w:sz w:val="24"/>
          <w:szCs w:val="24"/>
        </w:rPr>
      </w:pPr>
    </w:p>
    <w:p w14:paraId="5AB50351" w14:textId="395B2AC6" w:rsidR="00D209BA" w:rsidRPr="003E4298" w:rsidRDefault="00202585" w:rsidP="003629A9">
      <w:pPr>
        <w:spacing w:line="480" w:lineRule="auto"/>
        <w:contextualSpacing/>
        <w:jc w:val="center"/>
        <w:rPr>
          <w:rFonts w:ascii="Times New Roman" w:hAnsi="Times New Roman" w:cs="Times New Roman"/>
          <w:sz w:val="24"/>
          <w:szCs w:val="24"/>
        </w:rPr>
      </w:pPr>
      <w:r>
        <w:rPr>
          <w:noProof/>
          <w:lang w:eastAsia="en-GB"/>
        </w:rPr>
        <w:drawing>
          <wp:inline distT="0" distB="0" distL="0" distR="0" wp14:anchorId="7984C1C5" wp14:editId="0CB1E33F">
            <wp:extent cx="7515225" cy="3933825"/>
            <wp:effectExtent l="0" t="0" r="9525" b="952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D4D1CCE" w14:textId="6330826E" w:rsidR="00D209BA" w:rsidRPr="003E4298" w:rsidRDefault="00D209BA" w:rsidP="003E4298">
      <w:pPr>
        <w:spacing w:line="480" w:lineRule="auto"/>
        <w:contextualSpacing/>
        <w:rPr>
          <w:rFonts w:ascii="Times New Roman" w:hAnsi="Times New Roman" w:cs="Times New Roman"/>
          <w:sz w:val="24"/>
          <w:szCs w:val="24"/>
        </w:rPr>
      </w:pPr>
      <w:r w:rsidRPr="003E4298">
        <w:rPr>
          <w:rFonts w:ascii="Times New Roman" w:hAnsi="Times New Roman" w:cs="Times New Roman"/>
          <w:sz w:val="24"/>
          <w:szCs w:val="24"/>
        </w:rPr>
        <w:t xml:space="preserve"> </w:t>
      </w:r>
      <w:r w:rsidR="003629A9">
        <w:rPr>
          <w:rFonts w:ascii="Times New Roman" w:hAnsi="Times New Roman" w:cs="Times New Roman"/>
          <w:sz w:val="24"/>
          <w:szCs w:val="24"/>
        </w:rPr>
        <w:tab/>
      </w:r>
      <w:r w:rsidR="003629A9">
        <w:rPr>
          <w:rFonts w:ascii="Times New Roman" w:hAnsi="Times New Roman" w:cs="Times New Roman"/>
          <w:sz w:val="24"/>
          <w:szCs w:val="24"/>
        </w:rPr>
        <w:tab/>
      </w:r>
      <w:r w:rsidRPr="003E4298">
        <w:rPr>
          <w:rFonts w:ascii="Times New Roman" w:hAnsi="Times New Roman" w:cs="Times New Roman"/>
          <w:b/>
          <w:bCs/>
          <w:sz w:val="24"/>
          <w:szCs w:val="24"/>
        </w:rPr>
        <w:t xml:space="preserve">Figure </w:t>
      </w:r>
      <w:r w:rsidR="00AC4525" w:rsidRPr="003E4298">
        <w:rPr>
          <w:rFonts w:ascii="Times New Roman" w:hAnsi="Times New Roman" w:cs="Times New Roman"/>
          <w:b/>
          <w:bCs/>
          <w:sz w:val="24"/>
          <w:szCs w:val="24"/>
        </w:rPr>
        <w:t>7</w:t>
      </w:r>
      <w:r w:rsidRPr="003E4298">
        <w:rPr>
          <w:rFonts w:ascii="Times New Roman" w:hAnsi="Times New Roman" w:cs="Times New Roman"/>
          <w:b/>
          <w:bCs/>
          <w:sz w:val="24"/>
          <w:szCs w:val="24"/>
        </w:rPr>
        <w:t>: Energy Actors’ Evaluations</w:t>
      </w:r>
    </w:p>
    <w:p w14:paraId="525FBD95" w14:textId="77777777" w:rsidR="003E4298" w:rsidRDefault="003E4298" w:rsidP="003E4298">
      <w:pPr>
        <w:spacing w:line="480" w:lineRule="auto"/>
        <w:contextualSpacing/>
        <w:rPr>
          <w:rFonts w:ascii="Times New Roman" w:hAnsi="Times New Roman" w:cs="Times New Roman"/>
          <w:sz w:val="24"/>
          <w:szCs w:val="24"/>
        </w:rPr>
      </w:pPr>
    </w:p>
    <w:p w14:paraId="03CB603C" w14:textId="77777777" w:rsidR="003629A9" w:rsidRDefault="00D209BA" w:rsidP="003E4298">
      <w:pPr>
        <w:spacing w:line="480" w:lineRule="auto"/>
        <w:contextualSpacing/>
        <w:rPr>
          <w:rFonts w:ascii="Times New Roman" w:hAnsi="Times New Roman" w:cs="Times New Roman"/>
          <w:sz w:val="24"/>
          <w:szCs w:val="24"/>
        </w:rPr>
        <w:sectPr w:rsidR="003629A9" w:rsidSect="003629A9">
          <w:pgSz w:w="16838" w:h="11906" w:orient="landscape"/>
          <w:pgMar w:top="1440" w:right="1440" w:bottom="1440" w:left="1440" w:header="708" w:footer="708" w:gutter="0"/>
          <w:cols w:space="708"/>
          <w:docGrid w:linePitch="360"/>
        </w:sectPr>
      </w:pPr>
      <w:r w:rsidRPr="003E4298">
        <w:rPr>
          <w:rFonts w:ascii="Times New Roman" w:hAnsi="Times New Roman" w:cs="Times New Roman"/>
          <w:sz w:val="24"/>
          <w:szCs w:val="24"/>
        </w:rPr>
        <w:t xml:space="preserve">As can be seen </w:t>
      </w:r>
      <w:r w:rsidR="00AC4525" w:rsidRPr="003E4298">
        <w:rPr>
          <w:rFonts w:ascii="Times New Roman" w:hAnsi="Times New Roman" w:cs="Times New Roman"/>
          <w:sz w:val="24"/>
          <w:szCs w:val="24"/>
        </w:rPr>
        <w:t>in Figure 7,</w:t>
      </w:r>
      <w:r w:rsidR="00E6101A" w:rsidRPr="003E4298">
        <w:rPr>
          <w:rFonts w:ascii="Times New Roman" w:hAnsi="Times New Roman" w:cs="Times New Roman"/>
          <w:sz w:val="24"/>
          <w:szCs w:val="24"/>
        </w:rPr>
        <w:t xml:space="preserve"> </w:t>
      </w:r>
      <w:r w:rsidRPr="003E4298">
        <w:rPr>
          <w:rFonts w:ascii="Times New Roman" w:hAnsi="Times New Roman" w:cs="Times New Roman"/>
          <w:sz w:val="24"/>
          <w:szCs w:val="24"/>
        </w:rPr>
        <w:t xml:space="preserve">the neutral category dominates in all three countries’ media coverage, but this is not </w:t>
      </w:r>
      <w:r w:rsidR="00AC4525" w:rsidRPr="003E4298">
        <w:rPr>
          <w:rFonts w:ascii="Times New Roman" w:hAnsi="Times New Roman" w:cs="Times New Roman"/>
          <w:sz w:val="24"/>
          <w:szCs w:val="24"/>
        </w:rPr>
        <w:t>unexpected</w:t>
      </w:r>
      <w:r w:rsidRPr="003E4298">
        <w:rPr>
          <w:rFonts w:ascii="Times New Roman" w:hAnsi="Times New Roman" w:cs="Times New Roman"/>
          <w:sz w:val="24"/>
          <w:szCs w:val="24"/>
        </w:rPr>
        <w:t xml:space="preserve">. The objectivity of the quality press necessarily means that a neutral approach to reporting any issue will always be prioritised. Thus, it is often in the less clear-cut </w:t>
      </w:r>
    </w:p>
    <w:p w14:paraId="1D66D1CD" w14:textId="5708B317" w:rsidR="00D209BA" w:rsidRPr="003E4298" w:rsidRDefault="00D209BA" w:rsidP="003E4298">
      <w:pPr>
        <w:spacing w:line="480" w:lineRule="auto"/>
        <w:contextualSpacing/>
        <w:rPr>
          <w:rFonts w:ascii="Times New Roman" w:hAnsi="Times New Roman" w:cs="Times New Roman"/>
          <w:sz w:val="24"/>
          <w:szCs w:val="24"/>
        </w:rPr>
      </w:pPr>
      <w:proofErr w:type="gramStart"/>
      <w:r w:rsidRPr="003E4298">
        <w:rPr>
          <w:rFonts w:ascii="Times New Roman" w:hAnsi="Times New Roman" w:cs="Times New Roman"/>
          <w:sz w:val="24"/>
          <w:szCs w:val="24"/>
        </w:rPr>
        <w:lastRenderedPageBreak/>
        <w:t>categories</w:t>
      </w:r>
      <w:proofErr w:type="gramEnd"/>
      <w:r w:rsidRPr="003E4298">
        <w:rPr>
          <w:rFonts w:ascii="Times New Roman" w:hAnsi="Times New Roman" w:cs="Times New Roman"/>
          <w:sz w:val="24"/>
          <w:szCs w:val="24"/>
        </w:rPr>
        <w:t xml:space="preserve"> where we can see greater evidence of ‘evaluation’. The categories of ‘neutral-to-positive’ and ‘neutral-to-negative’ highlight that the EU is presented in a somewhat balanced manner in the UK and German press, although negativity is slightly more prominent with almost 30% of the total coverage in both countries. One of the main reasons for this negativity </w:t>
      </w:r>
      <w:r w:rsidR="002A7CE0" w:rsidRPr="003E4298">
        <w:rPr>
          <w:rFonts w:ascii="Times New Roman" w:hAnsi="Times New Roman" w:cs="Times New Roman"/>
          <w:sz w:val="24"/>
          <w:szCs w:val="24"/>
        </w:rPr>
        <w:t>may</w:t>
      </w:r>
      <w:r w:rsidRPr="003E4298">
        <w:rPr>
          <w:rFonts w:ascii="Times New Roman" w:hAnsi="Times New Roman" w:cs="Times New Roman"/>
          <w:sz w:val="24"/>
          <w:szCs w:val="24"/>
        </w:rPr>
        <w:t xml:space="preserve"> be attributed to the EU’s poor performance at the Copenhagen </w:t>
      </w:r>
      <w:r w:rsidR="0032560E" w:rsidRPr="003E4298">
        <w:rPr>
          <w:rFonts w:ascii="Times New Roman" w:hAnsi="Times New Roman" w:cs="Times New Roman"/>
          <w:sz w:val="24"/>
          <w:szCs w:val="24"/>
        </w:rPr>
        <w:t>CCC</w:t>
      </w:r>
      <w:r w:rsidRPr="003E4298">
        <w:rPr>
          <w:rFonts w:ascii="Times New Roman" w:hAnsi="Times New Roman" w:cs="Times New Roman"/>
          <w:sz w:val="24"/>
          <w:szCs w:val="24"/>
        </w:rPr>
        <w:t>, where it was described as ‘failing’ to secure a follow-up agreement to Kyoto.</w:t>
      </w:r>
    </w:p>
    <w:p w14:paraId="5D891E47" w14:textId="43960CEB" w:rsidR="00D209BA" w:rsidRPr="003E4298" w:rsidRDefault="00D209BA" w:rsidP="003E4298">
      <w:pPr>
        <w:spacing w:line="480" w:lineRule="auto"/>
        <w:ind w:firstLine="720"/>
        <w:contextualSpacing/>
        <w:rPr>
          <w:rFonts w:ascii="Times New Roman" w:hAnsi="Times New Roman" w:cs="Times New Roman"/>
          <w:sz w:val="24"/>
          <w:szCs w:val="24"/>
        </w:rPr>
      </w:pPr>
      <w:r w:rsidRPr="003E4298">
        <w:rPr>
          <w:rFonts w:ascii="Times New Roman" w:hAnsi="Times New Roman" w:cs="Times New Roman"/>
          <w:sz w:val="24"/>
          <w:szCs w:val="24"/>
        </w:rPr>
        <w:t xml:space="preserve">For the French press, however, the EU’s image overall is a more positive one, with neutral-to-positive and positive evaluations occupying just under 50% of the total EU evaluations. This is largely due to its involvement in the </w:t>
      </w:r>
      <w:r w:rsidR="00657BD7" w:rsidRPr="003E4298">
        <w:rPr>
          <w:rFonts w:ascii="Times New Roman" w:hAnsi="Times New Roman" w:cs="Times New Roman"/>
          <w:sz w:val="24"/>
          <w:szCs w:val="24"/>
        </w:rPr>
        <w:t>CCCs</w:t>
      </w:r>
      <w:r w:rsidRPr="003E4298">
        <w:rPr>
          <w:rFonts w:ascii="Times New Roman" w:hAnsi="Times New Roman" w:cs="Times New Roman"/>
          <w:sz w:val="24"/>
          <w:szCs w:val="24"/>
        </w:rPr>
        <w:t xml:space="preserve">. In the French coverage, the EU, unlike its Chinese, Indian and American counterparts is seen as fighting climate change and trying to engage and cooperate with other actors. Some articles did highlight its involvement in the conferences in negative terms often arguing that the EU’s expectations were unrealistic. However, overall it is often portrayed as the only ‘driving force’ pushing for change and that is seen positively. The </w:t>
      </w:r>
      <w:proofErr w:type="spellStart"/>
      <w:r w:rsidRPr="003E4298">
        <w:rPr>
          <w:rFonts w:ascii="Times New Roman" w:hAnsi="Times New Roman" w:cs="Times New Roman"/>
          <w:sz w:val="24"/>
          <w:szCs w:val="24"/>
        </w:rPr>
        <w:t>Nabucco</w:t>
      </w:r>
      <w:proofErr w:type="spellEnd"/>
      <w:r w:rsidRPr="003E4298">
        <w:rPr>
          <w:rFonts w:ascii="Times New Roman" w:hAnsi="Times New Roman" w:cs="Times New Roman"/>
          <w:sz w:val="24"/>
          <w:szCs w:val="24"/>
        </w:rPr>
        <w:t xml:space="preserve"> pipeline project led by the EU was also viewed in a positive light as a way for Europe to tackle its energy dependence on Russia. While a large portion of France’s energy mix is provided by nuclear energy, and even th</w:t>
      </w:r>
      <w:r w:rsidR="00113AE3">
        <w:rPr>
          <w:rFonts w:ascii="Times New Roman" w:hAnsi="Times New Roman" w:cs="Times New Roman"/>
          <w:sz w:val="24"/>
          <w:szCs w:val="24"/>
        </w:rPr>
        <w:t>ough Russia is only France’s</w:t>
      </w:r>
      <w:r w:rsidRPr="003E4298">
        <w:rPr>
          <w:rFonts w:ascii="Times New Roman" w:hAnsi="Times New Roman" w:cs="Times New Roman"/>
          <w:sz w:val="24"/>
          <w:szCs w:val="24"/>
        </w:rPr>
        <w:t xml:space="preserve"> third provider of gas after Norway and </w:t>
      </w:r>
      <w:r w:rsidR="00974405" w:rsidRPr="003E4298">
        <w:rPr>
          <w:rFonts w:ascii="Times New Roman" w:hAnsi="Times New Roman" w:cs="Times New Roman"/>
          <w:sz w:val="24"/>
          <w:szCs w:val="24"/>
        </w:rPr>
        <w:t>the Netherlands (International Energy Agency, 2014)</w:t>
      </w:r>
      <w:r w:rsidRPr="003E4298">
        <w:rPr>
          <w:rFonts w:ascii="Times New Roman" w:hAnsi="Times New Roman" w:cs="Times New Roman"/>
          <w:sz w:val="24"/>
          <w:szCs w:val="24"/>
        </w:rPr>
        <w:t>, a number of articles still mention Europe’s need to diversify its gas sources and alleviate its reliance on Russia.</w:t>
      </w:r>
    </w:p>
    <w:p w14:paraId="4738C780" w14:textId="2C37A056" w:rsidR="002A7CE0" w:rsidRDefault="00D209BA" w:rsidP="003629A9">
      <w:pPr>
        <w:spacing w:line="480" w:lineRule="auto"/>
        <w:ind w:firstLine="720"/>
        <w:contextualSpacing/>
        <w:rPr>
          <w:rFonts w:ascii="Times New Roman" w:hAnsi="Times New Roman" w:cs="Times New Roman"/>
          <w:sz w:val="24"/>
          <w:szCs w:val="24"/>
        </w:rPr>
      </w:pPr>
      <w:r w:rsidRPr="003E4298">
        <w:rPr>
          <w:rFonts w:ascii="Times New Roman" w:hAnsi="Times New Roman" w:cs="Times New Roman"/>
          <w:sz w:val="24"/>
          <w:szCs w:val="24"/>
        </w:rPr>
        <w:t xml:space="preserve">Comparing the EU’s evaluation by the news media of its member states to those of other energy actors, we can see that in fact the EU would appear to come out ‘on top’ in the UK and French cases in particular. Russia is the clear ‘bad guy’ for the UK press, with the highest number of explicitly negative evaluations and negative-neutral evaluations, while the confusing picture of India is also one for </w:t>
      </w:r>
      <w:r w:rsidR="00806C1E" w:rsidRPr="003E4298">
        <w:rPr>
          <w:rFonts w:ascii="Times New Roman" w:hAnsi="Times New Roman" w:cs="Times New Roman"/>
          <w:sz w:val="24"/>
          <w:szCs w:val="24"/>
        </w:rPr>
        <w:t xml:space="preserve">the </w:t>
      </w:r>
      <w:r w:rsidR="006427F2" w:rsidRPr="003E4298">
        <w:rPr>
          <w:rFonts w:ascii="Times New Roman" w:hAnsi="Times New Roman" w:cs="Times New Roman"/>
          <w:sz w:val="24"/>
          <w:szCs w:val="24"/>
        </w:rPr>
        <w:t>UK</w:t>
      </w:r>
      <w:r w:rsidRPr="003E4298">
        <w:rPr>
          <w:rFonts w:ascii="Times New Roman" w:hAnsi="Times New Roman" w:cs="Times New Roman"/>
          <w:sz w:val="24"/>
          <w:szCs w:val="24"/>
        </w:rPr>
        <w:t xml:space="preserve"> that is tarnished with negativity. China and </w:t>
      </w:r>
      <w:r w:rsidRPr="003E4298">
        <w:rPr>
          <w:rFonts w:ascii="Times New Roman" w:hAnsi="Times New Roman" w:cs="Times New Roman"/>
          <w:sz w:val="24"/>
          <w:szCs w:val="24"/>
        </w:rPr>
        <w:lastRenderedPageBreak/>
        <w:t>Russia are the most ‘maligned’ actors for th</w:t>
      </w:r>
      <w:r w:rsidR="002A7CE0" w:rsidRPr="003E4298">
        <w:rPr>
          <w:rFonts w:ascii="Times New Roman" w:hAnsi="Times New Roman" w:cs="Times New Roman"/>
          <w:sz w:val="24"/>
          <w:szCs w:val="24"/>
        </w:rPr>
        <w:t>e French case, while in Germany</w:t>
      </w:r>
      <w:r w:rsidRPr="003E4298">
        <w:rPr>
          <w:rFonts w:ascii="Times New Roman" w:hAnsi="Times New Roman" w:cs="Times New Roman"/>
          <w:sz w:val="24"/>
          <w:szCs w:val="24"/>
        </w:rPr>
        <w:t xml:space="preserve"> the EU is viewed most negatively</w:t>
      </w:r>
      <w:r w:rsidR="002E7CE7" w:rsidRPr="003E4298">
        <w:rPr>
          <w:rFonts w:ascii="Times New Roman" w:hAnsi="Times New Roman" w:cs="Times New Roman"/>
          <w:sz w:val="24"/>
          <w:szCs w:val="24"/>
        </w:rPr>
        <w:t>.</w:t>
      </w:r>
      <w:bookmarkStart w:id="1" w:name="_MON_1470724507"/>
      <w:bookmarkEnd w:id="1"/>
    </w:p>
    <w:p w14:paraId="0DEB9ED0" w14:textId="77777777" w:rsidR="003E4298" w:rsidRPr="003E4298" w:rsidRDefault="003E4298" w:rsidP="003E4298">
      <w:pPr>
        <w:spacing w:line="480" w:lineRule="auto"/>
        <w:contextualSpacing/>
        <w:rPr>
          <w:rFonts w:ascii="Times New Roman" w:hAnsi="Times New Roman" w:cs="Times New Roman"/>
          <w:sz w:val="24"/>
          <w:szCs w:val="24"/>
        </w:rPr>
      </w:pPr>
    </w:p>
    <w:p w14:paraId="6CDFF1D6" w14:textId="3DF8D40C" w:rsidR="00D209BA" w:rsidRPr="003E4298" w:rsidRDefault="003E4298" w:rsidP="003E4298">
      <w:pPr>
        <w:spacing w:line="480" w:lineRule="auto"/>
        <w:contextualSpacing/>
        <w:rPr>
          <w:rFonts w:ascii="Times New Roman" w:hAnsi="Times New Roman" w:cs="Times New Roman"/>
          <w:b/>
          <w:bCs/>
          <w:sz w:val="24"/>
          <w:szCs w:val="24"/>
        </w:rPr>
      </w:pPr>
      <w:r>
        <w:rPr>
          <w:rFonts w:ascii="Times New Roman" w:hAnsi="Times New Roman" w:cs="Times New Roman"/>
          <w:b/>
          <w:bCs/>
          <w:sz w:val="24"/>
          <w:szCs w:val="24"/>
        </w:rPr>
        <w:t xml:space="preserve">8. </w:t>
      </w:r>
      <w:r w:rsidR="004019F5" w:rsidRPr="003E4298">
        <w:rPr>
          <w:rFonts w:ascii="Times New Roman" w:hAnsi="Times New Roman" w:cs="Times New Roman"/>
          <w:b/>
          <w:bCs/>
          <w:sz w:val="24"/>
          <w:szCs w:val="24"/>
        </w:rPr>
        <w:t>Conclusions</w:t>
      </w:r>
    </w:p>
    <w:p w14:paraId="23384BDC" w14:textId="77777777" w:rsidR="003E4298" w:rsidRDefault="003E4298" w:rsidP="003E4298">
      <w:pPr>
        <w:spacing w:line="480" w:lineRule="auto"/>
        <w:contextualSpacing/>
        <w:rPr>
          <w:rFonts w:ascii="Times New Roman" w:hAnsi="Times New Roman" w:cs="Times New Roman"/>
          <w:sz w:val="24"/>
          <w:szCs w:val="24"/>
        </w:rPr>
      </w:pPr>
    </w:p>
    <w:p w14:paraId="664D8385" w14:textId="060ACD31" w:rsidR="00D209BA" w:rsidRPr="003E4298" w:rsidRDefault="002A7CE0" w:rsidP="003E4298">
      <w:pPr>
        <w:spacing w:line="480" w:lineRule="auto"/>
        <w:contextualSpacing/>
        <w:rPr>
          <w:rFonts w:ascii="Times New Roman" w:hAnsi="Times New Roman" w:cs="Times New Roman"/>
          <w:sz w:val="24"/>
          <w:szCs w:val="24"/>
        </w:rPr>
      </w:pPr>
      <w:r w:rsidRPr="003E4298">
        <w:rPr>
          <w:rFonts w:ascii="Times New Roman" w:hAnsi="Times New Roman" w:cs="Times New Roman"/>
          <w:sz w:val="24"/>
          <w:szCs w:val="24"/>
        </w:rPr>
        <w:t xml:space="preserve">As can be seen from the above findings, </w:t>
      </w:r>
      <w:r w:rsidR="00611B21" w:rsidRPr="003E4298">
        <w:rPr>
          <w:rFonts w:ascii="Times New Roman" w:hAnsi="Times New Roman" w:cs="Times New Roman"/>
          <w:sz w:val="24"/>
          <w:szCs w:val="24"/>
        </w:rPr>
        <w:t>t</w:t>
      </w:r>
      <w:r w:rsidR="00D209BA" w:rsidRPr="003E4298">
        <w:rPr>
          <w:rFonts w:ascii="Times New Roman" w:hAnsi="Times New Roman" w:cs="Times New Roman"/>
          <w:sz w:val="24"/>
          <w:szCs w:val="24"/>
        </w:rPr>
        <w:t xml:space="preserve">he overall trajectory of EU external energy </w:t>
      </w:r>
      <w:r w:rsidR="00A67B4E" w:rsidRPr="003E4298">
        <w:rPr>
          <w:rFonts w:ascii="Times New Roman" w:hAnsi="Times New Roman" w:cs="Times New Roman"/>
          <w:sz w:val="24"/>
          <w:szCs w:val="24"/>
        </w:rPr>
        <w:t>visibility appears</w:t>
      </w:r>
      <w:r w:rsidR="00D209BA" w:rsidRPr="003E4298">
        <w:rPr>
          <w:rFonts w:ascii="Times New Roman" w:hAnsi="Times New Roman" w:cs="Times New Roman"/>
          <w:sz w:val="24"/>
          <w:szCs w:val="24"/>
        </w:rPr>
        <w:t xml:space="preserve"> to be decreasing. </w:t>
      </w:r>
      <w:r w:rsidRPr="003E4298">
        <w:rPr>
          <w:rFonts w:ascii="Times New Roman" w:hAnsi="Times New Roman" w:cs="Times New Roman"/>
          <w:sz w:val="24"/>
          <w:szCs w:val="24"/>
        </w:rPr>
        <w:t>We have seen</w:t>
      </w:r>
      <w:r w:rsidR="00D209BA" w:rsidRPr="003E4298">
        <w:rPr>
          <w:rFonts w:ascii="Times New Roman" w:hAnsi="Times New Roman" w:cs="Times New Roman"/>
          <w:sz w:val="24"/>
          <w:szCs w:val="24"/>
        </w:rPr>
        <w:t xml:space="preserve"> a high level of externalization when discussing energy coverage within the public discourses of our three member states, however</w:t>
      </w:r>
      <w:r w:rsidR="002406B5" w:rsidRPr="003E4298">
        <w:rPr>
          <w:rFonts w:ascii="Times New Roman" w:hAnsi="Times New Roman" w:cs="Times New Roman"/>
          <w:sz w:val="24"/>
          <w:szCs w:val="24"/>
        </w:rPr>
        <w:t xml:space="preserve">, </w:t>
      </w:r>
      <w:r w:rsidR="00D209BA" w:rsidRPr="003E4298">
        <w:rPr>
          <w:rFonts w:ascii="Times New Roman" w:hAnsi="Times New Roman" w:cs="Times New Roman"/>
          <w:sz w:val="24"/>
          <w:szCs w:val="24"/>
        </w:rPr>
        <w:t xml:space="preserve">it appears that European energy questions are of much less interest for the press in </w:t>
      </w:r>
      <w:r w:rsidR="004019F5" w:rsidRPr="003E4298">
        <w:rPr>
          <w:rFonts w:ascii="Times New Roman" w:hAnsi="Times New Roman" w:cs="Times New Roman"/>
          <w:sz w:val="24"/>
          <w:szCs w:val="24"/>
        </w:rPr>
        <w:t xml:space="preserve">the </w:t>
      </w:r>
      <w:r w:rsidR="006427F2" w:rsidRPr="003E4298">
        <w:rPr>
          <w:rFonts w:ascii="Times New Roman" w:hAnsi="Times New Roman" w:cs="Times New Roman"/>
          <w:sz w:val="24"/>
          <w:szCs w:val="24"/>
        </w:rPr>
        <w:t>UK</w:t>
      </w:r>
      <w:r w:rsidR="00D209BA" w:rsidRPr="003E4298">
        <w:rPr>
          <w:rFonts w:ascii="Times New Roman" w:hAnsi="Times New Roman" w:cs="Times New Roman"/>
          <w:sz w:val="24"/>
          <w:szCs w:val="24"/>
        </w:rPr>
        <w:t xml:space="preserve">, France and Germany than global </w:t>
      </w:r>
      <w:r w:rsidR="002406B5" w:rsidRPr="003E4298">
        <w:rPr>
          <w:rFonts w:ascii="Times New Roman" w:hAnsi="Times New Roman" w:cs="Times New Roman"/>
          <w:sz w:val="24"/>
          <w:szCs w:val="24"/>
        </w:rPr>
        <w:t>energy issues</w:t>
      </w:r>
      <w:r w:rsidR="00D209BA" w:rsidRPr="003E4298">
        <w:rPr>
          <w:rFonts w:ascii="Times New Roman" w:hAnsi="Times New Roman" w:cs="Times New Roman"/>
          <w:sz w:val="24"/>
          <w:szCs w:val="24"/>
        </w:rPr>
        <w:t xml:space="preserve">. Similarly, </w:t>
      </w:r>
      <w:r w:rsidR="002406B5" w:rsidRPr="003E4298">
        <w:rPr>
          <w:rFonts w:ascii="Times New Roman" w:hAnsi="Times New Roman" w:cs="Times New Roman"/>
          <w:sz w:val="24"/>
          <w:szCs w:val="24"/>
        </w:rPr>
        <w:t>it was</w:t>
      </w:r>
      <w:r w:rsidR="00D209BA" w:rsidRPr="003E4298">
        <w:rPr>
          <w:rFonts w:ascii="Times New Roman" w:hAnsi="Times New Roman" w:cs="Times New Roman"/>
          <w:sz w:val="24"/>
          <w:szCs w:val="24"/>
        </w:rPr>
        <w:t xml:space="preserve"> highlighted that the EU is not the most important actor connected to energy coverage in our three countries: the EU was instead routinely topped by coverage afforded to </w:t>
      </w:r>
      <w:r w:rsidR="002406B5" w:rsidRPr="003E4298">
        <w:rPr>
          <w:rFonts w:ascii="Times New Roman" w:hAnsi="Times New Roman" w:cs="Times New Roman"/>
          <w:sz w:val="24"/>
          <w:szCs w:val="24"/>
        </w:rPr>
        <w:t xml:space="preserve">China and </w:t>
      </w:r>
      <w:r w:rsidR="00D209BA" w:rsidRPr="003E4298">
        <w:rPr>
          <w:rFonts w:ascii="Times New Roman" w:hAnsi="Times New Roman" w:cs="Times New Roman"/>
          <w:sz w:val="24"/>
          <w:szCs w:val="24"/>
        </w:rPr>
        <w:t>USA. Th</w:t>
      </w:r>
      <w:r w:rsidR="002406B5" w:rsidRPr="003E4298">
        <w:rPr>
          <w:rFonts w:ascii="Times New Roman" w:hAnsi="Times New Roman" w:cs="Times New Roman"/>
          <w:sz w:val="24"/>
          <w:szCs w:val="24"/>
        </w:rPr>
        <w:t>ese</w:t>
      </w:r>
      <w:r w:rsidR="00D209BA" w:rsidRPr="003E4298">
        <w:rPr>
          <w:rFonts w:ascii="Times New Roman" w:hAnsi="Times New Roman" w:cs="Times New Roman"/>
          <w:sz w:val="24"/>
          <w:szCs w:val="24"/>
        </w:rPr>
        <w:t xml:space="preserve"> finding</w:t>
      </w:r>
      <w:r w:rsidR="002406B5" w:rsidRPr="003E4298">
        <w:rPr>
          <w:rFonts w:ascii="Times New Roman" w:hAnsi="Times New Roman" w:cs="Times New Roman"/>
          <w:sz w:val="24"/>
          <w:szCs w:val="24"/>
        </w:rPr>
        <w:t>s</w:t>
      </w:r>
      <w:r w:rsidR="00D209BA" w:rsidRPr="003E4298">
        <w:rPr>
          <w:rFonts w:ascii="Times New Roman" w:hAnsi="Times New Roman" w:cs="Times New Roman"/>
          <w:sz w:val="24"/>
          <w:szCs w:val="24"/>
        </w:rPr>
        <w:t xml:space="preserve"> suggest that our EU member states are not looking directly towards the EU when matters of global energy policy are discussed in the mainstream press. More problematically for the EU, is that its own member states’ media do not </w:t>
      </w:r>
      <w:r w:rsidR="00611B21" w:rsidRPr="003E4298">
        <w:rPr>
          <w:rFonts w:ascii="Times New Roman" w:hAnsi="Times New Roman" w:cs="Times New Roman"/>
          <w:sz w:val="24"/>
          <w:szCs w:val="24"/>
        </w:rPr>
        <w:t xml:space="preserve">construct </w:t>
      </w:r>
      <w:r w:rsidR="00D209BA" w:rsidRPr="003E4298">
        <w:rPr>
          <w:rFonts w:ascii="Times New Roman" w:hAnsi="Times New Roman" w:cs="Times New Roman"/>
          <w:sz w:val="24"/>
          <w:szCs w:val="24"/>
        </w:rPr>
        <w:t>it as a major actor. The EU is present and engaged in global partnerships and negotiations, but it is seldom framed as leading the way. Certainly</w:t>
      </w:r>
      <w:r w:rsidR="002406B5" w:rsidRPr="003E4298">
        <w:rPr>
          <w:rFonts w:ascii="Times New Roman" w:hAnsi="Times New Roman" w:cs="Times New Roman"/>
          <w:sz w:val="24"/>
          <w:szCs w:val="24"/>
        </w:rPr>
        <w:t>,</w:t>
      </w:r>
      <w:r w:rsidR="00D209BA" w:rsidRPr="003E4298">
        <w:rPr>
          <w:rFonts w:ascii="Times New Roman" w:hAnsi="Times New Roman" w:cs="Times New Roman"/>
          <w:sz w:val="24"/>
          <w:szCs w:val="24"/>
        </w:rPr>
        <w:t xml:space="preserve"> multilateral engagement is necessary in the contemporary environment, but for an actor with a self-image as a normative power, a stronger level of independent leadership would be needed for this image to resonate externally. Yet even its own member states appear to challenge this self-perception.</w:t>
      </w:r>
    </w:p>
    <w:p w14:paraId="1F047EC6" w14:textId="700CCD6F" w:rsidR="00D209BA" w:rsidRPr="003E4298" w:rsidRDefault="00823990" w:rsidP="003E4298">
      <w:pPr>
        <w:spacing w:line="480" w:lineRule="auto"/>
        <w:ind w:firstLine="720"/>
        <w:contextualSpacing/>
        <w:rPr>
          <w:rFonts w:ascii="Times New Roman" w:hAnsi="Times New Roman" w:cs="Times New Roman"/>
          <w:sz w:val="24"/>
          <w:szCs w:val="24"/>
        </w:rPr>
      </w:pPr>
      <w:r w:rsidRPr="003E4298">
        <w:rPr>
          <w:rFonts w:ascii="Times New Roman" w:hAnsi="Times New Roman" w:cs="Times New Roman"/>
          <w:sz w:val="24"/>
          <w:szCs w:val="24"/>
        </w:rPr>
        <w:t>In terms of the comprehensibility of the EU energy ‘image’, t</w:t>
      </w:r>
      <w:r w:rsidR="00D209BA" w:rsidRPr="003E4298">
        <w:rPr>
          <w:rFonts w:ascii="Times New Roman" w:hAnsi="Times New Roman" w:cs="Times New Roman"/>
          <w:sz w:val="24"/>
          <w:szCs w:val="24"/>
        </w:rPr>
        <w:t xml:space="preserve">he EU’s identity does appear to be closely connected to issues of sustainability, from the viewpoint of its member states’ media at least. While competitiveness was an important energy frame for presenting the energy concerns of other global actors, the EU was linked strongly with issues of sustainability and arguably it is in this area of external energy relations where the EU may be </w:t>
      </w:r>
      <w:r w:rsidR="00D209BA" w:rsidRPr="003E4298">
        <w:rPr>
          <w:rFonts w:ascii="Times New Roman" w:hAnsi="Times New Roman" w:cs="Times New Roman"/>
          <w:sz w:val="24"/>
          <w:szCs w:val="24"/>
        </w:rPr>
        <w:lastRenderedPageBreak/>
        <w:t>seen to occupy a specific</w:t>
      </w:r>
      <w:r w:rsidRPr="003E4298">
        <w:rPr>
          <w:rFonts w:ascii="Times New Roman" w:hAnsi="Times New Roman" w:cs="Times New Roman"/>
          <w:sz w:val="24"/>
          <w:szCs w:val="24"/>
        </w:rPr>
        <w:t>ally</w:t>
      </w:r>
      <w:r w:rsidR="00D209BA" w:rsidRPr="003E4298">
        <w:rPr>
          <w:rFonts w:ascii="Times New Roman" w:hAnsi="Times New Roman" w:cs="Times New Roman"/>
          <w:sz w:val="24"/>
          <w:szCs w:val="24"/>
        </w:rPr>
        <w:t xml:space="preserve"> normative position. However, our analysis revealed yet another point of disagreement amongst the three member states’ media, and this was in terms of evaluating the effectiveness of the EU as an external energy actor. The findings from our evaluation analysis reveal that while neutrality dominates, France viewed the EU with greater positivity, while Germany and the UK were more explicitly negative.</w:t>
      </w:r>
      <w:r w:rsidR="00FC2B0A">
        <w:rPr>
          <w:rFonts w:ascii="Times New Roman" w:hAnsi="Times New Roman" w:cs="Times New Roman"/>
          <w:sz w:val="24"/>
          <w:szCs w:val="24"/>
        </w:rPr>
        <w:t xml:space="preserve"> </w:t>
      </w:r>
      <w:r w:rsidR="00D209BA" w:rsidRPr="003E4298">
        <w:rPr>
          <w:rFonts w:ascii="Times New Roman" w:hAnsi="Times New Roman" w:cs="Times New Roman"/>
          <w:sz w:val="24"/>
          <w:szCs w:val="24"/>
        </w:rPr>
        <w:t>Taken together, the findings from this analysis provide the sense that</w:t>
      </w:r>
      <w:r w:rsidR="00D209BA" w:rsidRPr="003E4298">
        <w:rPr>
          <w:rFonts w:ascii="Times New Roman" w:hAnsi="Times New Roman" w:cs="Times New Roman"/>
          <w:i/>
          <w:iCs/>
          <w:sz w:val="24"/>
          <w:szCs w:val="24"/>
        </w:rPr>
        <w:t xml:space="preserve"> </w:t>
      </w:r>
      <w:r w:rsidR="00D209BA" w:rsidRPr="003E4298">
        <w:rPr>
          <w:rFonts w:ascii="Times New Roman" w:hAnsi="Times New Roman" w:cs="Times New Roman"/>
          <w:sz w:val="24"/>
          <w:szCs w:val="24"/>
        </w:rPr>
        <w:t>the EU is increasingly viewed by the European news media with a sense of frustration</w:t>
      </w:r>
      <w:r w:rsidR="0015463C">
        <w:rPr>
          <w:rFonts w:ascii="Times New Roman" w:hAnsi="Times New Roman" w:cs="Times New Roman"/>
          <w:sz w:val="24"/>
          <w:szCs w:val="24"/>
        </w:rPr>
        <w:t>, especially with regards to</w:t>
      </w:r>
      <w:r w:rsidR="00E33B32">
        <w:rPr>
          <w:rFonts w:ascii="Times New Roman" w:hAnsi="Times New Roman" w:cs="Times New Roman"/>
          <w:sz w:val="24"/>
          <w:szCs w:val="24"/>
        </w:rPr>
        <w:t xml:space="preserve"> the EU’s</w:t>
      </w:r>
      <w:r w:rsidR="0015463C">
        <w:rPr>
          <w:rFonts w:ascii="Times New Roman" w:hAnsi="Times New Roman" w:cs="Times New Roman"/>
          <w:sz w:val="24"/>
          <w:szCs w:val="24"/>
        </w:rPr>
        <w:t xml:space="preserve"> climate </w:t>
      </w:r>
      <w:r w:rsidR="00E33B32">
        <w:rPr>
          <w:rFonts w:ascii="Times New Roman" w:hAnsi="Times New Roman" w:cs="Times New Roman"/>
          <w:sz w:val="24"/>
          <w:szCs w:val="24"/>
        </w:rPr>
        <w:t>(in</w:t>
      </w:r>
      <w:proofErr w:type="gramStart"/>
      <w:r w:rsidR="00E33B32">
        <w:rPr>
          <w:rFonts w:ascii="Times New Roman" w:hAnsi="Times New Roman" w:cs="Times New Roman"/>
          <w:sz w:val="24"/>
          <w:szCs w:val="24"/>
        </w:rPr>
        <w:t>)</w:t>
      </w:r>
      <w:r w:rsidR="0015463C">
        <w:rPr>
          <w:rFonts w:ascii="Times New Roman" w:hAnsi="Times New Roman" w:cs="Times New Roman"/>
          <w:sz w:val="24"/>
          <w:szCs w:val="24"/>
        </w:rPr>
        <w:t>action</w:t>
      </w:r>
      <w:proofErr w:type="gramEnd"/>
      <w:r w:rsidR="0015463C">
        <w:rPr>
          <w:rFonts w:ascii="Times New Roman" w:hAnsi="Times New Roman" w:cs="Times New Roman"/>
          <w:sz w:val="24"/>
          <w:szCs w:val="24"/>
        </w:rPr>
        <w:t xml:space="preserve"> </w:t>
      </w:r>
      <w:r w:rsidR="00E33B32">
        <w:rPr>
          <w:rFonts w:ascii="Times New Roman" w:hAnsi="Times New Roman" w:cs="Times New Roman"/>
          <w:sz w:val="24"/>
          <w:szCs w:val="24"/>
        </w:rPr>
        <w:t xml:space="preserve"> at </w:t>
      </w:r>
      <w:r w:rsidR="0015463C">
        <w:rPr>
          <w:rFonts w:ascii="Times New Roman" w:hAnsi="Times New Roman" w:cs="Times New Roman"/>
          <w:sz w:val="24"/>
          <w:szCs w:val="24"/>
        </w:rPr>
        <w:t xml:space="preserve">the </w:t>
      </w:r>
      <w:r w:rsidR="0093501A">
        <w:rPr>
          <w:rFonts w:ascii="Times New Roman" w:hAnsi="Times New Roman" w:cs="Times New Roman"/>
          <w:sz w:val="24"/>
          <w:szCs w:val="24"/>
        </w:rPr>
        <w:t>CCCs</w:t>
      </w:r>
      <w:r w:rsidR="00D209BA" w:rsidRPr="003E4298">
        <w:rPr>
          <w:rFonts w:ascii="Times New Roman" w:hAnsi="Times New Roman" w:cs="Times New Roman"/>
          <w:sz w:val="24"/>
          <w:szCs w:val="24"/>
        </w:rPr>
        <w:t>.</w:t>
      </w:r>
      <w:r w:rsidR="00E33B32">
        <w:rPr>
          <w:rFonts w:ascii="Times New Roman" w:hAnsi="Times New Roman" w:cs="Times New Roman"/>
          <w:sz w:val="24"/>
          <w:szCs w:val="24"/>
        </w:rPr>
        <w:t xml:space="preserve"> After its earlier successes in negotiating Kyoto (Bretherton </w:t>
      </w:r>
      <w:r w:rsidR="00391756">
        <w:rPr>
          <w:rFonts w:ascii="Times New Roman" w:hAnsi="Times New Roman" w:cs="Times New Roman"/>
          <w:sz w:val="24"/>
          <w:szCs w:val="24"/>
        </w:rPr>
        <w:t>and</w:t>
      </w:r>
      <w:r w:rsidR="00E33B32">
        <w:rPr>
          <w:rFonts w:ascii="Times New Roman" w:hAnsi="Times New Roman" w:cs="Times New Roman"/>
          <w:sz w:val="24"/>
          <w:szCs w:val="24"/>
        </w:rPr>
        <w:t xml:space="preserve"> </w:t>
      </w:r>
      <w:proofErr w:type="spellStart"/>
      <w:r w:rsidR="00E33B32">
        <w:rPr>
          <w:rFonts w:ascii="Times New Roman" w:hAnsi="Times New Roman" w:cs="Times New Roman"/>
          <w:sz w:val="24"/>
          <w:szCs w:val="24"/>
        </w:rPr>
        <w:t>Vogler</w:t>
      </w:r>
      <w:proofErr w:type="spellEnd"/>
      <w:r w:rsidR="00E33B32">
        <w:rPr>
          <w:rFonts w:ascii="Times New Roman" w:hAnsi="Times New Roman" w:cs="Times New Roman"/>
          <w:sz w:val="24"/>
          <w:szCs w:val="24"/>
        </w:rPr>
        <w:t>, 200</w:t>
      </w:r>
      <w:r w:rsidR="006145AC">
        <w:rPr>
          <w:rFonts w:ascii="Times New Roman" w:hAnsi="Times New Roman" w:cs="Times New Roman"/>
          <w:sz w:val="24"/>
          <w:szCs w:val="24"/>
        </w:rPr>
        <w:t>6</w:t>
      </w:r>
      <w:r w:rsidR="00E33B32">
        <w:rPr>
          <w:rFonts w:ascii="Times New Roman" w:hAnsi="Times New Roman" w:cs="Times New Roman"/>
          <w:sz w:val="24"/>
          <w:szCs w:val="24"/>
        </w:rPr>
        <w:t xml:space="preserve">), the EU’s inability to successfully negotiate a follow-up agreement </w:t>
      </w:r>
      <w:r w:rsidR="006145AC">
        <w:rPr>
          <w:rFonts w:ascii="Times New Roman" w:hAnsi="Times New Roman" w:cs="Times New Roman"/>
          <w:sz w:val="24"/>
          <w:szCs w:val="24"/>
        </w:rPr>
        <w:t>is</w:t>
      </w:r>
      <w:r w:rsidR="00E33B32">
        <w:rPr>
          <w:rFonts w:ascii="Times New Roman" w:hAnsi="Times New Roman" w:cs="Times New Roman"/>
          <w:sz w:val="24"/>
          <w:szCs w:val="24"/>
        </w:rPr>
        <w:t xml:space="preserve"> arguably </w:t>
      </w:r>
      <w:r w:rsidR="006145AC">
        <w:rPr>
          <w:rFonts w:ascii="Times New Roman" w:hAnsi="Times New Roman" w:cs="Times New Roman"/>
          <w:sz w:val="24"/>
          <w:szCs w:val="24"/>
        </w:rPr>
        <w:t>increasingly viewed</w:t>
      </w:r>
      <w:r w:rsidR="00E33B32">
        <w:rPr>
          <w:rFonts w:ascii="Times New Roman" w:hAnsi="Times New Roman" w:cs="Times New Roman"/>
          <w:sz w:val="24"/>
          <w:szCs w:val="24"/>
        </w:rPr>
        <w:t xml:space="preserve"> by two of its big member states, as a failure.</w:t>
      </w:r>
      <w:r w:rsidR="00D209BA" w:rsidRPr="003E4298">
        <w:rPr>
          <w:rFonts w:ascii="Times New Roman" w:hAnsi="Times New Roman" w:cs="Times New Roman"/>
          <w:sz w:val="24"/>
          <w:szCs w:val="24"/>
        </w:rPr>
        <w:t xml:space="preserve"> </w:t>
      </w:r>
      <w:r w:rsidR="00E33B32">
        <w:rPr>
          <w:rFonts w:ascii="Times New Roman" w:hAnsi="Times New Roman" w:cs="Times New Roman"/>
          <w:sz w:val="24"/>
          <w:szCs w:val="24"/>
        </w:rPr>
        <w:t>The EU</w:t>
      </w:r>
      <w:r w:rsidR="00D209BA" w:rsidRPr="003E4298">
        <w:rPr>
          <w:rFonts w:ascii="Times New Roman" w:hAnsi="Times New Roman" w:cs="Times New Roman"/>
          <w:sz w:val="24"/>
          <w:szCs w:val="24"/>
        </w:rPr>
        <w:t xml:space="preserve"> may have the potential to be a normative leader, and </w:t>
      </w:r>
      <w:r w:rsidR="002A7CE0" w:rsidRPr="003E4298">
        <w:rPr>
          <w:rFonts w:ascii="Times New Roman" w:hAnsi="Times New Roman" w:cs="Times New Roman"/>
          <w:sz w:val="24"/>
          <w:szCs w:val="24"/>
        </w:rPr>
        <w:t>might see itself in that regard</w:t>
      </w:r>
      <w:r w:rsidR="00D209BA" w:rsidRPr="003E4298">
        <w:rPr>
          <w:rFonts w:ascii="Times New Roman" w:hAnsi="Times New Roman" w:cs="Times New Roman"/>
          <w:sz w:val="24"/>
          <w:szCs w:val="24"/>
        </w:rPr>
        <w:t xml:space="preserve"> </w:t>
      </w:r>
      <w:r w:rsidR="002A7CE0" w:rsidRPr="003E4298">
        <w:rPr>
          <w:rFonts w:ascii="Times New Roman" w:hAnsi="Times New Roman" w:cs="Times New Roman"/>
          <w:sz w:val="24"/>
          <w:szCs w:val="24"/>
        </w:rPr>
        <w:t>however</w:t>
      </w:r>
      <w:r w:rsidR="00BE754C" w:rsidRPr="003E4298">
        <w:rPr>
          <w:rFonts w:ascii="Times New Roman" w:hAnsi="Times New Roman" w:cs="Times New Roman"/>
          <w:sz w:val="24"/>
          <w:szCs w:val="24"/>
        </w:rPr>
        <w:t xml:space="preserve"> </w:t>
      </w:r>
      <w:r w:rsidR="00D209BA" w:rsidRPr="003E4298">
        <w:rPr>
          <w:rFonts w:ascii="Times New Roman" w:hAnsi="Times New Roman" w:cs="Times New Roman"/>
          <w:sz w:val="24"/>
          <w:szCs w:val="24"/>
        </w:rPr>
        <w:t>this image is not often reflected in the media coverage of even its own member states</w:t>
      </w:r>
      <w:r w:rsidR="00BE754C" w:rsidRPr="003E4298">
        <w:rPr>
          <w:rFonts w:ascii="Times New Roman" w:hAnsi="Times New Roman" w:cs="Times New Roman"/>
          <w:sz w:val="24"/>
          <w:szCs w:val="24"/>
        </w:rPr>
        <w:t>.</w:t>
      </w:r>
    </w:p>
    <w:p w14:paraId="713ED76A" w14:textId="3632002E" w:rsidR="001138D3" w:rsidRPr="003E4298" w:rsidRDefault="00D209BA" w:rsidP="003E4298">
      <w:pPr>
        <w:spacing w:line="480" w:lineRule="auto"/>
        <w:ind w:firstLine="720"/>
        <w:contextualSpacing/>
        <w:rPr>
          <w:rFonts w:ascii="Times New Roman" w:hAnsi="Times New Roman" w:cs="Times New Roman"/>
          <w:sz w:val="24"/>
          <w:szCs w:val="24"/>
        </w:rPr>
      </w:pPr>
      <w:r w:rsidRPr="003E4298">
        <w:rPr>
          <w:rFonts w:ascii="Times New Roman" w:hAnsi="Times New Roman" w:cs="Times New Roman"/>
          <w:sz w:val="24"/>
          <w:szCs w:val="24"/>
        </w:rPr>
        <w:t xml:space="preserve">How </w:t>
      </w:r>
      <w:r w:rsidR="00823990" w:rsidRPr="003E4298">
        <w:rPr>
          <w:rFonts w:ascii="Times New Roman" w:hAnsi="Times New Roman" w:cs="Times New Roman"/>
          <w:sz w:val="24"/>
          <w:szCs w:val="24"/>
        </w:rPr>
        <w:t xml:space="preserve">then </w:t>
      </w:r>
      <w:r w:rsidRPr="003E4298">
        <w:rPr>
          <w:rFonts w:ascii="Times New Roman" w:hAnsi="Times New Roman" w:cs="Times New Roman"/>
          <w:sz w:val="24"/>
          <w:szCs w:val="24"/>
        </w:rPr>
        <w:t>does the external</w:t>
      </w:r>
      <w:r w:rsidR="00357D18">
        <w:rPr>
          <w:rFonts w:ascii="Times New Roman" w:hAnsi="Times New Roman" w:cs="Times New Roman"/>
          <w:sz w:val="24"/>
          <w:szCs w:val="24"/>
        </w:rPr>
        <w:t>isation</w:t>
      </w:r>
      <w:r w:rsidR="0010781D">
        <w:rPr>
          <w:rFonts w:ascii="Times New Roman" w:hAnsi="Times New Roman" w:cs="Times New Roman"/>
          <w:sz w:val="24"/>
          <w:szCs w:val="24"/>
        </w:rPr>
        <w:t xml:space="preserve"> </w:t>
      </w:r>
      <w:r w:rsidRPr="003E4298">
        <w:rPr>
          <w:rFonts w:ascii="Times New Roman" w:hAnsi="Times New Roman" w:cs="Times New Roman"/>
          <w:sz w:val="24"/>
          <w:szCs w:val="24"/>
        </w:rPr>
        <w:t>o</w:t>
      </w:r>
      <w:r w:rsidR="00BE754C" w:rsidRPr="003E4298">
        <w:rPr>
          <w:rFonts w:ascii="Times New Roman" w:hAnsi="Times New Roman" w:cs="Times New Roman"/>
          <w:sz w:val="24"/>
          <w:szCs w:val="24"/>
        </w:rPr>
        <w:t xml:space="preserve">f </w:t>
      </w:r>
      <w:r w:rsidR="00357D18">
        <w:rPr>
          <w:rFonts w:ascii="Times New Roman" w:hAnsi="Times New Roman" w:cs="Times New Roman"/>
          <w:sz w:val="24"/>
          <w:szCs w:val="24"/>
        </w:rPr>
        <w:t>an issue specific policy area</w:t>
      </w:r>
      <w:r w:rsidR="008567BB">
        <w:rPr>
          <w:rFonts w:ascii="Times New Roman" w:hAnsi="Times New Roman" w:cs="Times New Roman"/>
          <w:sz w:val="24"/>
          <w:szCs w:val="24"/>
        </w:rPr>
        <w:t xml:space="preserve"> like energy</w:t>
      </w:r>
      <w:r w:rsidR="00140541">
        <w:rPr>
          <w:rFonts w:ascii="Times New Roman" w:hAnsi="Times New Roman" w:cs="Times New Roman"/>
          <w:sz w:val="24"/>
          <w:szCs w:val="24"/>
        </w:rPr>
        <w:t>,</w:t>
      </w:r>
      <w:r w:rsidR="00357D18">
        <w:rPr>
          <w:rFonts w:ascii="Times New Roman" w:hAnsi="Times New Roman" w:cs="Times New Roman"/>
          <w:sz w:val="24"/>
          <w:szCs w:val="24"/>
        </w:rPr>
        <w:t xml:space="preserve"> </w:t>
      </w:r>
      <w:r w:rsidRPr="003E4298">
        <w:rPr>
          <w:rFonts w:ascii="Times New Roman" w:hAnsi="Times New Roman" w:cs="Times New Roman"/>
          <w:sz w:val="24"/>
          <w:szCs w:val="24"/>
        </w:rPr>
        <w:t>as well as the multi-level context of the EU’s governance structure</w:t>
      </w:r>
      <w:r w:rsidR="00140541">
        <w:rPr>
          <w:rFonts w:ascii="Times New Roman" w:hAnsi="Times New Roman" w:cs="Times New Roman"/>
          <w:sz w:val="24"/>
          <w:szCs w:val="24"/>
        </w:rPr>
        <w:t>,</w:t>
      </w:r>
      <w:r w:rsidRPr="003E4298">
        <w:rPr>
          <w:rFonts w:ascii="Times New Roman" w:hAnsi="Times New Roman" w:cs="Times New Roman"/>
          <w:sz w:val="24"/>
          <w:szCs w:val="24"/>
        </w:rPr>
        <w:t xml:space="preserve"> contribute</w:t>
      </w:r>
      <w:r w:rsidR="008567BB">
        <w:rPr>
          <w:rFonts w:ascii="Times New Roman" w:hAnsi="Times New Roman" w:cs="Times New Roman"/>
          <w:sz w:val="24"/>
          <w:szCs w:val="24"/>
        </w:rPr>
        <w:t xml:space="preserve"> to</w:t>
      </w:r>
      <w:r w:rsidRPr="003E4298">
        <w:rPr>
          <w:rFonts w:ascii="Times New Roman" w:hAnsi="Times New Roman" w:cs="Times New Roman"/>
          <w:sz w:val="24"/>
          <w:szCs w:val="24"/>
        </w:rPr>
        <w:t xml:space="preserve"> (or challenge) the EU’s NP</w:t>
      </w:r>
      <w:r w:rsidR="000519CF">
        <w:rPr>
          <w:rFonts w:ascii="Times New Roman" w:hAnsi="Times New Roman" w:cs="Times New Roman"/>
          <w:sz w:val="24"/>
          <w:szCs w:val="24"/>
        </w:rPr>
        <w:t>E</w:t>
      </w:r>
      <w:r w:rsidRPr="003E4298">
        <w:rPr>
          <w:rFonts w:ascii="Times New Roman" w:hAnsi="Times New Roman" w:cs="Times New Roman"/>
          <w:sz w:val="24"/>
          <w:szCs w:val="24"/>
        </w:rPr>
        <w:t xml:space="preserve"> in the field of </w:t>
      </w:r>
      <w:r w:rsidR="001138D3" w:rsidRPr="003E4298">
        <w:rPr>
          <w:rFonts w:ascii="Times New Roman" w:hAnsi="Times New Roman" w:cs="Times New Roman"/>
          <w:sz w:val="24"/>
          <w:szCs w:val="24"/>
        </w:rPr>
        <w:t xml:space="preserve">energy? This project has highlighted the value that can be derived from exploring </w:t>
      </w:r>
      <w:r w:rsidR="00357D18">
        <w:rPr>
          <w:rFonts w:ascii="Times New Roman" w:hAnsi="Times New Roman" w:cs="Times New Roman"/>
          <w:sz w:val="24"/>
          <w:szCs w:val="24"/>
        </w:rPr>
        <w:t>issue specific</w:t>
      </w:r>
      <w:r w:rsidR="001138D3" w:rsidRPr="003E4298">
        <w:rPr>
          <w:rFonts w:ascii="Times New Roman" w:hAnsi="Times New Roman" w:cs="Times New Roman"/>
          <w:sz w:val="24"/>
          <w:szCs w:val="24"/>
        </w:rPr>
        <w:t xml:space="preserve"> policy areas </w:t>
      </w:r>
      <w:r w:rsidR="00357D18">
        <w:rPr>
          <w:rFonts w:ascii="Times New Roman" w:hAnsi="Times New Roman" w:cs="Times New Roman"/>
          <w:sz w:val="24"/>
          <w:szCs w:val="24"/>
        </w:rPr>
        <w:t xml:space="preserve">like energy </w:t>
      </w:r>
      <w:r w:rsidR="001138D3" w:rsidRPr="003E4298">
        <w:rPr>
          <w:rFonts w:ascii="Times New Roman" w:hAnsi="Times New Roman" w:cs="Times New Roman"/>
          <w:sz w:val="24"/>
          <w:szCs w:val="24"/>
        </w:rPr>
        <w:t>through a NPE framework. As discussed above, the nature of multi-level governance is that cooperation and coordination between the various decision-making participants is paramount, and this is argued to be necessary in the case of a shared area of competence like external energy policy. Yet, it is clear tha</w:t>
      </w:r>
      <w:r w:rsidR="000519CF">
        <w:rPr>
          <w:rFonts w:ascii="Times New Roman" w:hAnsi="Times New Roman" w:cs="Times New Roman"/>
          <w:sz w:val="24"/>
          <w:szCs w:val="24"/>
        </w:rPr>
        <w:t xml:space="preserve">t even </w:t>
      </w:r>
      <w:proofErr w:type="gramStart"/>
      <w:r w:rsidR="000519CF">
        <w:rPr>
          <w:rFonts w:ascii="Times New Roman" w:hAnsi="Times New Roman" w:cs="Times New Roman"/>
          <w:sz w:val="24"/>
          <w:szCs w:val="24"/>
        </w:rPr>
        <w:t xml:space="preserve">in </w:t>
      </w:r>
      <w:r w:rsidR="00357D18">
        <w:rPr>
          <w:rFonts w:ascii="Times New Roman" w:hAnsi="Times New Roman" w:cs="Times New Roman"/>
          <w:sz w:val="24"/>
          <w:szCs w:val="24"/>
        </w:rPr>
        <w:t xml:space="preserve"> the</w:t>
      </w:r>
      <w:proofErr w:type="gramEnd"/>
      <w:r w:rsidR="00357D18">
        <w:rPr>
          <w:rFonts w:ascii="Times New Roman" w:hAnsi="Times New Roman" w:cs="Times New Roman"/>
          <w:sz w:val="24"/>
          <w:szCs w:val="24"/>
        </w:rPr>
        <w:t xml:space="preserve"> area of</w:t>
      </w:r>
      <w:r w:rsidR="001138D3" w:rsidRPr="003E4298">
        <w:rPr>
          <w:rFonts w:ascii="Times New Roman" w:hAnsi="Times New Roman" w:cs="Times New Roman"/>
          <w:sz w:val="24"/>
          <w:szCs w:val="24"/>
        </w:rPr>
        <w:t xml:space="preserve"> </w:t>
      </w:r>
      <w:r w:rsidR="00A67B4E" w:rsidRPr="003E4298">
        <w:rPr>
          <w:rFonts w:ascii="Times New Roman" w:hAnsi="Times New Roman" w:cs="Times New Roman"/>
          <w:sz w:val="24"/>
          <w:szCs w:val="24"/>
        </w:rPr>
        <w:t>energy</w:t>
      </w:r>
      <w:r w:rsidR="00357D18">
        <w:rPr>
          <w:rFonts w:ascii="Times New Roman" w:hAnsi="Times New Roman" w:cs="Times New Roman"/>
          <w:sz w:val="24"/>
          <w:szCs w:val="24"/>
        </w:rPr>
        <w:t xml:space="preserve"> issues,</w:t>
      </w:r>
      <w:r w:rsidR="00357D18" w:rsidRPr="003E4298">
        <w:rPr>
          <w:rFonts w:ascii="Times New Roman" w:hAnsi="Times New Roman" w:cs="Times New Roman"/>
          <w:sz w:val="24"/>
          <w:szCs w:val="24"/>
        </w:rPr>
        <w:t xml:space="preserve"> </w:t>
      </w:r>
      <w:r w:rsidR="001138D3" w:rsidRPr="003E4298">
        <w:rPr>
          <w:rFonts w:ascii="Times New Roman" w:hAnsi="Times New Roman" w:cs="Times New Roman"/>
          <w:sz w:val="24"/>
          <w:szCs w:val="24"/>
          <w:lang w:eastAsia="de-DE"/>
        </w:rPr>
        <w:t>a lack of coherence within the EU is impacting on how the EU is presented externally. This</w:t>
      </w:r>
      <w:r w:rsidR="00BE754C" w:rsidRPr="003E4298">
        <w:rPr>
          <w:rFonts w:ascii="Times New Roman" w:hAnsi="Times New Roman" w:cs="Times New Roman"/>
          <w:sz w:val="24"/>
          <w:szCs w:val="24"/>
          <w:lang w:eastAsia="de-DE"/>
        </w:rPr>
        <w:t xml:space="preserve"> </w:t>
      </w:r>
      <w:r w:rsidR="001138D3" w:rsidRPr="003E4298">
        <w:rPr>
          <w:rFonts w:ascii="Times New Roman" w:hAnsi="Times New Roman" w:cs="Times New Roman"/>
          <w:sz w:val="24"/>
          <w:szCs w:val="24"/>
          <w:lang w:eastAsia="de-DE"/>
        </w:rPr>
        <w:t>arguably</w:t>
      </w:r>
      <w:r w:rsidR="00BE754C" w:rsidRPr="003E4298">
        <w:rPr>
          <w:rFonts w:ascii="Times New Roman" w:hAnsi="Times New Roman" w:cs="Times New Roman"/>
          <w:sz w:val="24"/>
          <w:szCs w:val="24"/>
          <w:lang w:eastAsia="de-DE"/>
        </w:rPr>
        <w:t xml:space="preserve"> </w:t>
      </w:r>
      <w:r w:rsidR="001138D3" w:rsidRPr="003E4298">
        <w:rPr>
          <w:rFonts w:ascii="Times New Roman" w:hAnsi="Times New Roman" w:cs="Times New Roman"/>
          <w:sz w:val="24"/>
          <w:szCs w:val="24"/>
          <w:lang w:eastAsia="de-DE"/>
        </w:rPr>
        <w:t xml:space="preserve">also impacts on the degree to which the EU is able to occupy a position as a normative power in this sphere. </w:t>
      </w:r>
    </w:p>
    <w:p w14:paraId="7701B853" w14:textId="6A30092B" w:rsidR="001138D3" w:rsidRPr="003E4298" w:rsidRDefault="00391C3B" w:rsidP="003E4298">
      <w:pPr>
        <w:spacing w:line="480" w:lineRule="auto"/>
        <w:ind w:firstLine="720"/>
        <w:contextualSpacing/>
        <w:rPr>
          <w:rFonts w:ascii="Times New Roman" w:hAnsi="Times New Roman" w:cs="Times New Roman"/>
          <w:sz w:val="24"/>
          <w:szCs w:val="24"/>
        </w:rPr>
      </w:pPr>
      <w:r w:rsidRPr="003E4298">
        <w:rPr>
          <w:rFonts w:ascii="Times New Roman" w:hAnsi="Times New Roman" w:cs="Times New Roman"/>
          <w:sz w:val="24"/>
          <w:szCs w:val="24"/>
        </w:rPr>
        <w:t>T</w:t>
      </w:r>
      <w:r w:rsidR="001138D3" w:rsidRPr="003E4298">
        <w:rPr>
          <w:rFonts w:ascii="Times New Roman" w:hAnsi="Times New Roman" w:cs="Times New Roman"/>
          <w:sz w:val="24"/>
          <w:szCs w:val="24"/>
        </w:rPr>
        <w:t xml:space="preserve">wo key moments may have contributed to this portrayal of the EU as a relatively weak normative force on external energy. One such moment – an internal concern – is the Eurozone crisis. The events of the crisis have forced the member states to look internally </w:t>
      </w:r>
      <w:r w:rsidR="001138D3" w:rsidRPr="003E4298">
        <w:rPr>
          <w:rFonts w:ascii="Times New Roman" w:hAnsi="Times New Roman" w:cs="Times New Roman"/>
          <w:sz w:val="24"/>
          <w:szCs w:val="24"/>
        </w:rPr>
        <w:lastRenderedPageBreak/>
        <w:t xml:space="preserve">(both within their own economies as well as the </w:t>
      </w:r>
      <w:r w:rsidR="00DF6ED1" w:rsidRPr="003E4298">
        <w:rPr>
          <w:rFonts w:ascii="Times New Roman" w:hAnsi="Times New Roman" w:cs="Times New Roman"/>
          <w:sz w:val="24"/>
          <w:szCs w:val="24"/>
        </w:rPr>
        <w:t>E</w:t>
      </w:r>
      <w:r w:rsidR="001138D3" w:rsidRPr="003E4298">
        <w:rPr>
          <w:rFonts w:ascii="Times New Roman" w:hAnsi="Times New Roman" w:cs="Times New Roman"/>
          <w:sz w:val="24"/>
          <w:szCs w:val="24"/>
        </w:rPr>
        <w:t>urozone more widely), and arguably this has weakened the degree to which there is coherence and coordination amongst the actors involved</w:t>
      </w:r>
      <w:r w:rsidR="008915B7" w:rsidRPr="003E4298">
        <w:rPr>
          <w:rFonts w:ascii="Times New Roman" w:hAnsi="Times New Roman" w:cs="Times New Roman"/>
          <w:sz w:val="24"/>
          <w:szCs w:val="24"/>
        </w:rPr>
        <w:t xml:space="preserve"> (Verdun, 2013)</w:t>
      </w:r>
      <w:r w:rsidR="001138D3" w:rsidRPr="003E4298">
        <w:rPr>
          <w:rFonts w:ascii="Times New Roman" w:hAnsi="Times New Roman" w:cs="Times New Roman"/>
          <w:sz w:val="24"/>
          <w:szCs w:val="24"/>
        </w:rPr>
        <w:t xml:space="preserve">. The second moment is a predominantly external matter: the apparent failure of the EU to secure a post-Kyoto agreement </w:t>
      </w:r>
      <w:r w:rsidR="008915B7" w:rsidRPr="003E4298">
        <w:rPr>
          <w:rFonts w:ascii="Times New Roman" w:hAnsi="Times New Roman" w:cs="Times New Roman"/>
          <w:sz w:val="24"/>
          <w:szCs w:val="24"/>
        </w:rPr>
        <w:t xml:space="preserve">(Lehmann, 2010) </w:t>
      </w:r>
      <w:r w:rsidR="001138D3" w:rsidRPr="003E4298">
        <w:rPr>
          <w:rFonts w:ascii="Times New Roman" w:hAnsi="Times New Roman" w:cs="Times New Roman"/>
          <w:sz w:val="24"/>
          <w:szCs w:val="24"/>
        </w:rPr>
        <w:t>can be seen to have impacted on the normative weight of Europe. While the EU continues to be presented as a ‘sustainability’ actor – arguably the most value-laden of the three energy ‘frames’ – coverage of global energy matters has declined since 2009, and the EU is not seen as a ‘major’ energy force even by its own member states.</w:t>
      </w:r>
    </w:p>
    <w:p w14:paraId="7D1C95B0" w14:textId="62EE5DE7" w:rsidR="00D209BA" w:rsidRDefault="00D209BA" w:rsidP="003E4298">
      <w:pPr>
        <w:spacing w:line="480" w:lineRule="auto"/>
        <w:ind w:firstLine="720"/>
        <w:contextualSpacing/>
        <w:rPr>
          <w:rFonts w:ascii="Times New Roman" w:hAnsi="Times New Roman" w:cs="Times New Roman"/>
          <w:sz w:val="24"/>
          <w:szCs w:val="24"/>
        </w:rPr>
      </w:pPr>
      <w:r w:rsidRPr="003E4298">
        <w:rPr>
          <w:rFonts w:ascii="Times New Roman" w:hAnsi="Times New Roman" w:cs="Times New Roman"/>
          <w:sz w:val="24"/>
          <w:szCs w:val="24"/>
        </w:rPr>
        <w:t xml:space="preserve">As discussed earlier in this paper, we argue that it is </w:t>
      </w:r>
      <w:r w:rsidR="002A7CE0" w:rsidRPr="003E4298">
        <w:rPr>
          <w:rFonts w:ascii="Times New Roman" w:hAnsi="Times New Roman" w:cs="Times New Roman"/>
          <w:sz w:val="24"/>
          <w:szCs w:val="24"/>
        </w:rPr>
        <w:t>essential</w:t>
      </w:r>
      <w:r w:rsidRPr="003E4298">
        <w:rPr>
          <w:rFonts w:ascii="Times New Roman" w:hAnsi="Times New Roman" w:cs="Times New Roman"/>
          <w:sz w:val="24"/>
          <w:szCs w:val="24"/>
        </w:rPr>
        <w:t xml:space="preserve"> to discussions of the EU’s normative power that we also consider a non-Eurocentric position. From our findings, the lack of coherence within the EU must </w:t>
      </w:r>
      <w:r w:rsidR="00DF6ED1" w:rsidRPr="003E4298">
        <w:rPr>
          <w:rFonts w:ascii="Times New Roman" w:hAnsi="Times New Roman" w:cs="Times New Roman"/>
          <w:sz w:val="24"/>
          <w:szCs w:val="24"/>
        </w:rPr>
        <w:t>necessarily</w:t>
      </w:r>
      <w:r w:rsidRPr="003E4298">
        <w:rPr>
          <w:rFonts w:ascii="Times New Roman" w:hAnsi="Times New Roman" w:cs="Times New Roman"/>
          <w:sz w:val="24"/>
          <w:szCs w:val="24"/>
        </w:rPr>
        <w:t xml:space="preserve"> impact on the efficacy of the EU as a normative ‘leader’. Other actors dominate energy coverage even when this is discussed by the member states themselves. </w:t>
      </w:r>
      <w:r w:rsidR="00254495" w:rsidRPr="003E4298">
        <w:rPr>
          <w:rFonts w:ascii="Times New Roman" w:hAnsi="Times New Roman" w:cs="Times New Roman"/>
          <w:sz w:val="24"/>
          <w:szCs w:val="24"/>
        </w:rPr>
        <w:t xml:space="preserve">The global energy sphere is constructed by the EU member states’ press as a polyphonic space – a marketplace of </w:t>
      </w:r>
      <w:r w:rsidR="009C5CA5" w:rsidRPr="003E4298">
        <w:rPr>
          <w:rFonts w:ascii="Times New Roman" w:hAnsi="Times New Roman" w:cs="Times New Roman"/>
          <w:sz w:val="24"/>
          <w:szCs w:val="24"/>
        </w:rPr>
        <w:t>often competing actors and ideas</w:t>
      </w:r>
      <w:r w:rsidR="001138D3" w:rsidRPr="003E4298">
        <w:rPr>
          <w:rFonts w:ascii="Times New Roman" w:hAnsi="Times New Roman" w:cs="Times New Roman"/>
          <w:sz w:val="24"/>
          <w:szCs w:val="24"/>
        </w:rPr>
        <w:t xml:space="preserve"> in which different positions are visible within single news texts (</w:t>
      </w:r>
      <w:proofErr w:type="spellStart"/>
      <w:r w:rsidR="001138D3" w:rsidRPr="003E4298">
        <w:rPr>
          <w:rFonts w:ascii="Times New Roman" w:hAnsi="Times New Roman" w:cs="Times New Roman"/>
          <w:sz w:val="24"/>
          <w:szCs w:val="24"/>
        </w:rPr>
        <w:t>Gjerstad</w:t>
      </w:r>
      <w:proofErr w:type="spellEnd"/>
      <w:r w:rsidR="001138D3" w:rsidRPr="003E4298">
        <w:rPr>
          <w:rFonts w:ascii="Times New Roman" w:hAnsi="Times New Roman" w:cs="Times New Roman"/>
          <w:sz w:val="24"/>
          <w:szCs w:val="24"/>
        </w:rPr>
        <w:t xml:space="preserve"> 2007, p. 61)</w:t>
      </w:r>
      <w:r w:rsidR="009C5CA5" w:rsidRPr="003E4298">
        <w:rPr>
          <w:rFonts w:ascii="Times New Roman" w:hAnsi="Times New Roman" w:cs="Times New Roman"/>
          <w:sz w:val="24"/>
          <w:szCs w:val="24"/>
        </w:rPr>
        <w:t xml:space="preserve">. </w:t>
      </w:r>
      <w:r w:rsidR="001138D3" w:rsidRPr="003E4298">
        <w:rPr>
          <w:rFonts w:ascii="Times New Roman" w:hAnsi="Times New Roman" w:cs="Times New Roman"/>
          <w:sz w:val="24"/>
          <w:szCs w:val="24"/>
        </w:rPr>
        <w:t>Further</w:t>
      </w:r>
      <w:r w:rsidR="00DF6ED1" w:rsidRPr="003E4298">
        <w:rPr>
          <w:rFonts w:ascii="Times New Roman" w:hAnsi="Times New Roman" w:cs="Times New Roman"/>
          <w:sz w:val="24"/>
          <w:szCs w:val="24"/>
        </w:rPr>
        <w:t>,</w:t>
      </w:r>
      <w:r w:rsidR="001138D3" w:rsidRPr="003E4298">
        <w:rPr>
          <w:rFonts w:ascii="Times New Roman" w:hAnsi="Times New Roman" w:cs="Times New Roman"/>
          <w:sz w:val="24"/>
          <w:szCs w:val="24"/>
        </w:rPr>
        <w:t xml:space="preserve"> energy itself as a global issue was seldom framed with any </w:t>
      </w:r>
      <w:r w:rsidR="00152A59" w:rsidRPr="003E4298">
        <w:rPr>
          <w:rFonts w:ascii="Times New Roman" w:hAnsi="Times New Roman" w:cs="Times New Roman"/>
          <w:sz w:val="24"/>
          <w:szCs w:val="24"/>
        </w:rPr>
        <w:t>clarity;</w:t>
      </w:r>
      <w:r w:rsidR="001138D3" w:rsidRPr="003E4298">
        <w:rPr>
          <w:rFonts w:ascii="Times New Roman" w:hAnsi="Times New Roman" w:cs="Times New Roman"/>
          <w:sz w:val="24"/>
          <w:szCs w:val="24"/>
        </w:rPr>
        <w:t xml:space="preserve"> instead </w:t>
      </w:r>
      <w:r w:rsidR="00DF6ED1" w:rsidRPr="003E4298">
        <w:rPr>
          <w:rFonts w:ascii="Times New Roman" w:hAnsi="Times New Roman" w:cs="Times New Roman"/>
          <w:sz w:val="24"/>
          <w:szCs w:val="24"/>
        </w:rPr>
        <w:t xml:space="preserve">it is </w:t>
      </w:r>
      <w:r w:rsidR="001138D3" w:rsidRPr="003E4298">
        <w:rPr>
          <w:rFonts w:ascii="Times New Roman" w:hAnsi="Times New Roman" w:cs="Times New Roman"/>
          <w:sz w:val="24"/>
          <w:szCs w:val="24"/>
        </w:rPr>
        <w:t xml:space="preserve">constructed as a topic linked to other political and economic dimensions. </w:t>
      </w:r>
      <w:proofErr w:type="spellStart"/>
      <w:r w:rsidR="001138D3" w:rsidRPr="003E4298">
        <w:rPr>
          <w:rFonts w:ascii="Times New Roman" w:hAnsi="Times New Roman" w:cs="Times New Roman"/>
          <w:sz w:val="24"/>
          <w:szCs w:val="24"/>
        </w:rPr>
        <w:t>Gjerstad</w:t>
      </w:r>
      <w:proofErr w:type="spellEnd"/>
      <w:r w:rsidR="001138D3" w:rsidRPr="003E4298">
        <w:rPr>
          <w:rFonts w:ascii="Times New Roman" w:hAnsi="Times New Roman" w:cs="Times New Roman"/>
          <w:sz w:val="24"/>
          <w:szCs w:val="24"/>
        </w:rPr>
        <w:t xml:space="preserve"> (2007</w:t>
      </w:r>
      <w:r w:rsidR="00A47F26">
        <w:rPr>
          <w:rFonts w:ascii="Times New Roman" w:hAnsi="Times New Roman" w:cs="Times New Roman"/>
          <w:sz w:val="24"/>
          <w:szCs w:val="24"/>
        </w:rPr>
        <w:t>,</w:t>
      </w:r>
      <w:r w:rsidR="001138D3" w:rsidRPr="003E4298">
        <w:rPr>
          <w:rFonts w:ascii="Times New Roman" w:hAnsi="Times New Roman" w:cs="Times New Roman"/>
          <w:sz w:val="24"/>
          <w:szCs w:val="24"/>
        </w:rPr>
        <w:t xml:space="preserve"> p. 62) notes that </w:t>
      </w:r>
      <w:r w:rsidR="004019F5" w:rsidRPr="003E4298">
        <w:rPr>
          <w:rFonts w:ascii="Times New Roman" w:hAnsi="Times New Roman" w:cs="Times New Roman"/>
          <w:sz w:val="24"/>
          <w:szCs w:val="24"/>
        </w:rPr>
        <w:t>‘</w:t>
      </w:r>
      <w:r w:rsidR="001138D3" w:rsidRPr="003E4298">
        <w:rPr>
          <w:rFonts w:ascii="Times New Roman" w:hAnsi="Times New Roman" w:cs="Times New Roman"/>
          <w:sz w:val="24"/>
          <w:szCs w:val="24"/>
        </w:rPr>
        <w:t>political discourse is particularly polyphonic in nature, an assumption which is justifiable by reference to the fact that this discourse normally relates to alternative points of view, both those of the opponents as well as those belonging to an often diversified public audience</w:t>
      </w:r>
      <w:r w:rsidR="004019F5" w:rsidRPr="003E4298">
        <w:rPr>
          <w:rFonts w:ascii="Times New Roman" w:hAnsi="Times New Roman" w:cs="Times New Roman"/>
          <w:sz w:val="24"/>
          <w:szCs w:val="24"/>
        </w:rPr>
        <w:t xml:space="preserve">’. </w:t>
      </w:r>
      <w:r w:rsidR="001138D3" w:rsidRPr="003E4298">
        <w:rPr>
          <w:rFonts w:ascii="Times New Roman" w:hAnsi="Times New Roman" w:cs="Times New Roman"/>
          <w:sz w:val="24"/>
          <w:szCs w:val="24"/>
        </w:rPr>
        <w:t xml:space="preserve">In the case of the EU’s normative agenda on global energy, this polyphonic discourse is </w:t>
      </w:r>
      <w:r w:rsidR="00113AE3" w:rsidRPr="003E4298">
        <w:rPr>
          <w:rFonts w:ascii="Times New Roman" w:hAnsi="Times New Roman" w:cs="Times New Roman"/>
          <w:sz w:val="24"/>
          <w:szCs w:val="24"/>
        </w:rPr>
        <w:t>problematic;</w:t>
      </w:r>
      <w:r w:rsidR="001138D3" w:rsidRPr="003E4298">
        <w:rPr>
          <w:rFonts w:ascii="Times New Roman" w:hAnsi="Times New Roman" w:cs="Times New Roman"/>
          <w:sz w:val="24"/>
          <w:szCs w:val="24"/>
        </w:rPr>
        <w:t xml:space="preserve"> as it results in the</w:t>
      </w:r>
      <w:r w:rsidRPr="003E4298">
        <w:rPr>
          <w:rFonts w:ascii="Times New Roman" w:hAnsi="Times New Roman" w:cs="Times New Roman"/>
          <w:sz w:val="24"/>
          <w:szCs w:val="24"/>
        </w:rPr>
        <w:t xml:space="preserve"> EU </w:t>
      </w:r>
      <w:r w:rsidR="001138D3" w:rsidRPr="003E4298">
        <w:rPr>
          <w:rFonts w:ascii="Times New Roman" w:hAnsi="Times New Roman" w:cs="Times New Roman"/>
          <w:sz w:val="24"/>
          <w:szCs w:val="24"/>
        </w:rPr>
        <w:t xml:space="preserve">being </w:t>
      </w:r>
      <w:r w:rsidRPr="003E4298">
        <w:rPr>
          <w:rFonts w:ascii="Times New Roman" w:hAnsi="Times New Roman" w:cs="Times New Roman"/>
          <w:sz w:val="24"/>
          <w:szCs w:val="24"/>
        </w:rPr>
        <w:t xml:space="preserve">seen by its own </w:t>
      </w:r>
      <w:r w:rsidR="002A7CE0" w:rsidRPr="003E4298">
        <w:rPr>
          <w:rFonts w:ascii="Times New Roman" w:hAnsi="Times New Roman" w:cs="Times New Roman"/>
          <w:sz w:val="24"/>
          <w:szCs w:val="24"/>
        </w:rPr>
        <w:t>member states</w:t>
      </w:r>
      <w:r w:rsidRPr="003E4298">
        <w:rPr>
          <w:rFonts w:ascii="Times New Roman" w:hAnsi="Times New Roman" w:cs="Times New Roman"/>
          <w:sz w:val="24"/>
          <w:szCs w:val="24"/>
        </w:rPr>
        <w:t xml:space="preserve"> as</w:t>
      </w:r>
      <w:r w:rsidR="009C5CA5" w:rsidRPr="003E4298">
        <w:rPr>
          <w:rFonts w:ascii="Times New Roman" w:hAnsi="Times New Roman" w:cs="Times New Roman"/>
          <w:sz w:val="24"/>
          <w:szCs w:val="24"/>
        </w:rPr>
        <w:t xml:space="preserve"> only</w:t>
      </w:r>
      <w:r w:rsidRPr="003E4298">
        <w:rPr>
          <w:rFonts w:ascii="Times New Roman" w:hAnsi="Times New Roman" w:cs="Times New Roman"/>
          <w:sz w:val="24"/>
          <w:szCs w:val="24"/>
        </w:rPr>
        <w:t xml:space="preserve"> ‘one of many’</w:t>
      </w:r>
      <w:r w:rsidR="001138D3" w:rsidRPr="003E4298">
        <w:rPr>
          <w:rFonts w:ascii="Times New Roman" w:hAnsi="Times New Roman" w:cs="Times New Roman"/>
          <w:sz w:val="24"/>
          <w:szCs w:val="24"/>
        </w:rPr>
        <w:t>. That is, it occupies</w:t>
      </w:r>
      <w:r w:rsidRPr="003E4298">
        <w:rPr>
          <w:rFonts w:ascii="Times New Roman" w:hAnsi="Times New Roman" w:cs="Times New Roman"/>
          <w:sz w:val="24"/>
          <w:szCs w:val="24"/>
        </w:rPr>
        <w:t xml:space="preserve"> an important role in an area </w:t>
      </w:r>
      <w:r w:rsidR="001138D3" w:rsidRPr="003E4298">
        <w:rPr>
          <w:rFonts w:ascii="Times New Roman" w:hAnsi="Times New Roman" w:cs="Times New Roman"/>
          <w:sz w:val="24"/>
          <w:szCs w:val="24"/>
        </w:rPr>
        <w:t>within the</w:t>
      </w:r>
      <w:r w:rsidRPr="003E4298">
        <w:rPr>
          <w:rFonts w:ascii="Times New Roman" w:hAnsi="Times New Roman" w:cs="Times New Roman"/>
          <w:sz w:val="24"/>
          <w:szCs w:val="24"/>
        </w:rPr>
        <w:t xml:space="preserve"> challenging and multi-issue </w:t>
      </w:r>
      <w:r w:rsidR="001138D3" w:rsidRPr="003E4298">
        <w:rPr>
          <w:rFonts w:ascii="Times New Roman" w:hAnsi="Times New Roman" w:cs="Times New Roman"/>
          <w:sz w:val="24"/>
          <w:szCs w:val="24"/>
        </w:rPr>
        <w:t>area of</w:t>
      </w:r>
      <w:r w:rsidRPr="003E4298">
        <w:rPr>
          <w:rFonts w:ascii="Times New Roman" w:hAnsi="Times New Roman" w:cs="Times New Roman"/>
          <w:sz w:val="24"/>
          <w:szCs w:val="24"/>
        </w:rPr>
        <w:t xml:space="preserve"> energy relations, but </w:t>
      </w:r>
      <w:r w:rsidR="001138D3" w:rsidRPr="003E4298">
        <w:rPr>
          <w:rFonts w:ascii="Times New Roman" w:hAnsi="Times New Roman" w:cs="Times New Roman"/>
          <w:sz w:val="24"/>
          <w:szCs w:val="24"/>
        </w:rPr>
        <w:t xml:space="preserve">it does not lead within this space. </w:t>
      </w:r>
      <w:r w:rsidR="009C5CA5" w:rsidRPr="003E4298">
        <w:rPr>
          <w:rFonts w:ascii="Times New Roman" w:hAnsi="Times New Roman" w:cs="Times New Roman"/>
          <w:sz w:val="24"/>
          <w:szCs w:val="24"/>
        </w:rPr>
        <w:t>O</w:t>
      </w:r>
      <w:r w:rsidRPr="003E4298">
        <w:rPr>
          <w:rFonts w:ascii="Times New Roman" w:hAnsi="Times New Roman" w:cs="Times New Roman"/>
          <w:sz w:val="24"/>
          <w:szCs w:val="24"/>
        </w:rPr>
        <w:t xml:space="preserve">ther actors – especially China and the US, although India and Russia and even Brazil are also increasingly visible – have </w:t>
      </w:r>
      <w:r w:rsidR="009C5CA5" w:rsidRPr="003E4298">
        <w:rPr>
          <w:rFonts w:ascii="Times New Roman" w:hAnsi="Times New Roman" w:cs="Times New Roman"/>
          <w:sz w:val="24"/>
          <w:szCs w:val="24"/>
        </w:rPr>
        <w:t xml:space="preserve">their own </w:t>
      </w:r>
      <w:r w:rsidR="009C5CA5" w:rsidRPr="003E4298">
        <w:rPr>
          <w:rFonts w:ascii="Times New Roman" w:hAnsi="Times New Roman" w:cs="Times New Roman"/>
          <w:sz w:val="24"/>
          <w:szCs w:val="24"/>
        </w:rPr>
        <w:lastRenderedPageBreak/>
        <w:t>positions on energy and their own normative agendas</w:t>
      </w:r>
      <w:r w:rsidR="00D5248A" w:rsidRPr="003E4298">
        <w:rPr>
          <w:rFonts w:ascii="Times New Roman" w:hAnsi="Times New Roman" w:cs="Times New Roman"/>
          <w:sz w:val="24"/>
          <w:szCs w:val="24"/>
        </w:rPr>
        <w:t>,</w:t>
      </w:r>
      <w:r w:rsidR="009C5CA5" w:rsidRPr="003E4298">
        <w:rPr>
          <w:rFonts w:ascii="Times New Roman" w:hAnsi="Times New Roman" w:cs="Times New Roman"/>
          <w:sz w:val="24"/>
          <w:szCs w:val="24"/>
        </w:rPr>
        <w:t xml:space="preserve"> </w:t>
      </w:r>
      <w:r w:rsidRPr="003E4298">
        <w:rPr>
          <w:rFonts w:ascii="Times New Roman" w:hAnsi="Times New Roman" w:cs="Times New Roman"/>
          <w:sz w:val="24"/>
          <w:szCs w:val="24"/>
        </w:rPr>
        <w:t xml:space="preserve">which are different </w:t>
      </w:r>
      <w:r w:rsidR="00D5248A" w:rsidRPr="003E4298">
        <w:rPr>
          <w:rFonts w:ascii="Times New Roman" w:hAnsi="Times New Roman" w:cs="Times New Roman"/>
          <w:sz w:val="24"/>
          <w:szCs w:val="24"/>
        </w:rPr>
        <w:t>from</w:t>
      </w:r>
      <w:r w:rsidR="009C5CA5" w:rsidRPr="003E4298">
        <w:rPr>
          <w:rFonts w:ascii="Times New Roman" w:hAnsi="Times New Roman" w:cs="Times New Roman"/>
          <w:sz w:val="24"/>
          <w:szCs w:val="24"/>
        </w:rPr>
        <w:t xml:space="preserve">, and often more visible than, those of the </w:t>
      </w:r>
      <w:r w:rsidRPr="003E4298">
        <w:rPr>
          <w:rFonts w:ascii="Times New Roman" w:hAnsi="Times New Roman" w:cs="Times New Roman"/>
          <w:sz w:val="24"/>
          <w:szCs w:val="24"/>
        </w:rPr>
        <w:t>EU</w:t>
      </w:r>
      <w:r w:rsidR="001138D3" w:rsidRPr="003E4298">
        <w:rPr>
          <w:rFonts w:ascii="Times New Roman" w:hAnsi="Times New Roman" w:cs="Times New Roman"/>
          <w:sz w:val="24"/>
          <w:szCs w:val="24"/>
        </w:rPr>
        <w:t xml:space="preserve"> (</w:t>
      </w:r>
      <w:proofErr w:type="spellStart"/>
      <w:r w:rsidR="001138D3" w:rsidRPr="003E4298">
        <w:rPr>
          <w:rFonts w:ascii="Times New Roman" w:hAnsi="Times New Roman" w:cs="Times New Roman"/>
          <w:sz w:val="24"/>
          <w:szCs w:val="24"/>
        </w:rPr>
        <w:t>Tocci</w:t>
      </w:r>
      <w:proofErr w:type="spellEnd"/>
      <w:r w:rsidR="00113AE3">
        <w:rPr>
          <w:rFonts w:ascii="Times New Roman" w:hAnsi="Times New Roman" w:cs="Times New Roman"/>
          <w:sz w:val="24"/>
          <w:szCs w:val="24"/>
        </w:rPr>
        <w:t>,</w:t>
      </w:r>
      <w:r w:rsidR="001138D3" w:rsidRPr="003E4298">
        <w:rPr>
          <w:rFonts w:ascii="Times New Roman" w:hAnsi="Times New Roman" w:cs="Times New Roman"/>
          <w:sz w:val="24"/>
          <w:szCs w:val="24"/>
        </w:rPr>
        <w:t xml:space="preserve"> 2008)</w:t>
      </w:r>
      <w:r w:rsidRPr="003E4298">
        <w:rPr>
          <w:rFonts w:ascii="Times New Roman" w:hAnsi="Times New Roman" w:cs="Times New Roman"/>
          <w:sz w:val="24"/>
          <w:szCs w:val="24"/>
        </w:rPr>
        <w:t xml:space="preserve">. Failure to be aware of its own </w:t>
      </w:r>
      <w:r w:rsidR="001138D3" w:rsidRPr="003E4298">
        <w:rPr>
          <w:rFonts w:ascii="Times New Roman" w:hAnsi="Times New Roman" w:cs="Times New Roman"/>
          <w:sz w:val="24"/>
          <w:szCs w:val="24"/>
        </w:rPr>
        <w:t xml:space="preserve">relatively fractured </w:t>
      </w:r>
      <w:r w:rsidR="009C5CA5" w:rsidRPr="003E4298">
        <w:rPr>
          <w:rFonts w:ascii="Times New Roman" w:hAnsi="Times New Roman" w:cs="Times New Roman"/>
          <w:sz w:val="24"/>
          <w:szCs w:val="24"/>
        </w:rPr>
        <w:t xml:space="preserve">image </w:t>
      </w:r>
      <w:r w:rsidRPr="003E4298">
        <w:rPr>
          <w:rFonts w:ascii="Times New Roman" w:hAnsi="Times New Roman" w:cs="Times New Roman"/>
          <w:sz w:val="24"/>
          <w:szCs w:val="24"/>
        </w:rPr>
        <w:t xml:space="preserve">within this international context will likely present </w:t>
      </w:r>
      <w:r w:rsidR="001138D3" w:rsidRPr="003E4298">
        <w:rPr>
          <w:rFonts w:ascii="Times New Roman" w:hAnsi="Times New Roman" w:cs="Times New Roman"/>
          <w:sz w:val="24"/>
          <w:szCs w:val="24"/>
        </w:rPr>
        <w:t xml:space="preserve">a </w:t>
      </w:r>
      <w:r w:rsidRPr="003E4298">
        <w:rPr>
          <w:rFonts w:ascii="Times New Roman" w:hAnsi="Times New Roman" w:cs="Times New Roman"/>
          <w:sz w:val="24"/>
          <w:szCs w:val="24"/>
        </w:rPr>
        <w:t xml:space="preserve">major challenge </w:t>
      </w:r>
      <w:r w:rsidR="009C5CA5" w:rsidRPr="003E4298">
        <w:rPr>
          <w:rFonts w:ascii="Times New Roman" w:hAnsi="Times New Roman" w:cs="Times New Roman"/>
          <w:sz w:val="24"/>
          <w:szCs w:val="24"/>
        </w:rPr>
        <w:t xml:space="preserve">for the EU </w:t>
      </w:r>
      <w:r w:rsidRPr="003E4298">
        <w:rPr>
          <w:rFonts w:ascii="Times New Roman" w:hAnsi="Times New Roman" w:cs="Times New Roman"/>
          <w:sz w:val="24"/>
          <w:szCs w:val="24"/>
        </w:rPr>
        <w:t xml:space="preserve">in any global interactions. Within its own member states, </w:t>
      </w:r>
      <w:r w:rsidR="00385E4A" w:rsidRPr="003E4298">
        <w:rPr>
          <w:rFonts w:ascii="Times New Roman" w:hAnsi="Times New Roman" w:cs="Times New Roman"/>
          <w:sz w:val="24"/>
          <w:szCs w:val="24"/>
        </w:rPr>
        <w:t>t</w:t>
      </w:r>
      <w:r w:rsidRPr="003E4298">
        <w:rPr>
          <w:rFonts w:ascii="Times New Roman" w:hAnsi="Times New Roman" w:cs="Times New Roman"/>
          <w:sz w:val="24"/>
          <w:szCs w:val="24"/>
        </w:rPr>
        <w:t xml:space="preserve">he EU occupies a strong </w:t>
      </w:r>
      <w:r w:rsidR="001138D3" w:rsidRPr="003E4298">
        <w:rPr>
          <w:rFonts w:ascii="Times New Roman" w:hAnsi="Times New Roman" w:cs="Times New Roman"/>
          <w:sz w:val="24"/>
          <w:szCs w:val="24"/>
        </w:rPr>
        <w:t>image</w:t>
      </w:r>
      <w:r w:rsidRPr="003E4298">
        <w:rPr>
          <w:rFonts w:ascii="Times New Roman" w:hAnsi="Times New Roman" w:cs="Times New Roman"/>
          <w:sz w:val="24"/>
          <w:szCs w:val="24"/>
        </w:rPr>
        <w:t xml:space="preserve"> as an energy actor concerned with sustainability</w:t>
      </w:r>
      <w:r w:rsidR="00D5248A" w:rsidRPr="003E4298">
        <w:rPr>
          <w:rFonts w:ascii="Times New Roman" w:hAnsi="Times New Roman" w:cs="Times New Roman"/>
          <w:sz w:val="24"/>
          <w:szCs w:val="24"/>
        </w:rPr>
        <w:t>.</w:t>
      </w:r>
      <w:r w:rsidRPr="003E4298">
        <w:rPr>
          <w:rFonts w:ascii="Times New Roman" w:hAnsi="Times New Roman" w:cs="Times New Roman"/>
          <w:sz w:val="24"/>
          <w:szCs w:val="24"/>
        </w:rPr>
        <w:t xml:space="preserve"> </w:t>
      </w:r>
      <w:r w:rsidR="00D5248A" w:rsidRPr="003E4298">
        <w:rPr>
          <w:rFonts w:ascii="Times New Roman" w:hAnsi="Times New Roman" w:cs="Times New Roman"/>
          <w:sz w:val="24"/>
          <w:szCs w:val="24"/>
        </w:rPr>
        <w:t>Y</w:t>
      </w:r>
      <w:r w:rsidRPr="003E4298">
        <w:rPr>
          <w:rFonts w:ascii="Times New Roman" w:hAnsi="Times New Roman" w:cs="Times New Roman"/>
          <w:sz w:val="24"/>
          <w:szCs w:val="24"/>
        </w:rPr>
        <w:t xml:space="preserve">et </w:t>
      </w:r>
      <w:r w:rsidR="004019F5" w:rsidRPr="003E4298">
        <w:rPr>
          <w:rFonts w:ascii="Times New Roman" w:hAnsi="Times New Roman" w:cs="Times New Roman"/>
          <w:sz w:val="24"/>
          <w:szCs w:val="24"/>
        </w:rPr>
        <w:t xml:space="preserve">this image </w:t>
      </w:r>
      <w:r w:rsidR="00385E4A" w:rsidRPr="003E4298">
        <w:rPr>
          <w:rFonts w:ascii="Times New Roman" w:hAnsi="Times New Roman" w:cs="Times New Roman"/>
          <w:sz w:val="24"/>
          <w:szCs w:val="24"/>
        </w:rPr>
        <w:t>does not appear to be</w:t>
      </w:r>
      <w:r w:rsidRPr="003E4298">
        <w:rPr>
          <w:rFonts w:ascii="Times New Roman" w:hAnsi="Times New Roman" w:cs="Times New Roman"/>
          <w:sz w:val="24"/>
          <w:szCs w:val="24"/>
        </w:rPr>
        <w:t xml:space="preserve"> the primary concern </w:t>
      </w:r>
      <w:r w:rsidR="00113AE3" w:rsidRPr="003E4298">
        <w:rPr>
          <w:rFonts w:ascii="Times New Roman" w:hAnsi="Times New Roman" w:cs="Times New Roman"/>
          <w:sz w:val="24"/>
          <w:szCs w:val="24"/>
        </w:rPr>
        <w:t>neither of its own member states (who are separately concerned with issues of security and competitiveness), nor</w:t>
      </w:r>
      <w:r w:rsidRPr="003E4298">
        <w:rPr>
          <w:rFonts w:ascii="Times New Roman" w:hAnsi="Times New Roman" w:cs="Times New Roman"/>
          <w:sz w:val="24"/>
          <w:szCs w:val="24"/>
        </w:rPr>
        <w:t xml:space="preserve"> of its global partners (who are similarly framed from predominantly competitiveness or security of supply perspectives).</w:t>
      </w:r>
      <w:r w:rsidR="00D21831" w:rsidRPr="003E4298">
        <w:rPr>
          <w:rFonts w:ascii="Times New Roman" w:hAnsi="Times New Roman" w:cs="Times New Roman"/>
          <w:sz w:val="24"/>
          <w:szCs w:val="24"/>
        </w:rPr>
        <w:t xml:space="preserve"> </w:t>
      </w:r>
      <w:r w:rsidR="00385E4A" w:rsidRPr="003E4298">
        <w:rPr>
          <w:rFonts w:ascii="Times New Roman" w:hAnsi="Times New Roman" w:cs="Times New Roman"/>
          <w:sz w:val="24"/>
          <w:szCs w:val="24"/>
        </w:rPr>
        <w:t xml:space="preserve">For normative influence to be exerted, an actor’s voice needs to be coherent, visible, comprehensible and </w:t>
      </w:r>
      <w:r w:rsidR="009B521A" w:rsidRPr="003E4298">
        <w:rPr>
          <w:rFonts w:ascii="Times New Roman" w:hAnsi="Times New Roman" w:cs="Times New Roman"/>
          <w:sz w:val="24"/>
          <w:szCs w:val="24"/>
        </w:rPr>
        <w:t>emotionally charged</w:t>
      </w:r>
      <w:r w:rsidR="00385E4A" w:rsidRPr="003E4298">
        <w:rPr>
          <w:rFonts w:ascii="Times New Roman" w:hAnsi="Times New Roman" w:cs="Times New Roman"/>
          <w:sz w:val="24"/>
          <w:szCs w:val="24"/>
        </w:rPr>
        <w:t xml:space="preserve">, and importantly, that voice needs to be heard. </w:t>
      </w:r>
      <w:r w:rsidR="00D5248A" w:rsidRPr="003E4298">
        <w:rPr>
          <w:rFonts w:ascii="Times New Roman" w:hAnsi="Times New Roman" w:cs="Times New Roman"/>
          <w:sz w:val="24"/>
          <w:szCs w:val="24"/>
        </w:rPr>
        <w:t>T</w:t>
      </w:r>
      <w:r w:rsidR="00385E4A" w:rsidRPr="003E4298">
        <w:rPr>
          <w:rFonts w:ascii="Times New Roman" w:hAnsi="Times New Roman" w:cs="Times New Roman"/>
          <w:sz w:val="24"/>
          <w:szCs w:val="24"/>
        </w:rPr>
        <w:t xml:space="preserve">he results of this analysis </w:t>
      </w:r>
      <w:r w:rsidR="00D5248A" w:rsidRPr="003E4298">
        <w:rPr>
          <w:rFonts w:ascii="Times New Roman" w:hAnsi="Times New Roman" w:cs="Times New Roman"/>
          <w:sz w:val="24"/>
          <w:szCs w:val="24"/>
        </w:rPr>
        <w:t xml:space="preserve">could </w:t>
      </w:r>
      <w:r w:rsidR="00385E4A" w:rsidRPr="003E4298">
        <w:rPr>
          <w:rFonts w:ascii="Times New Roman" w:hAnsi="Times New Roman" w:cs="Times New Roman"/>
          <w:sz w:val="24"/>
          <w:szCs w:val="24"/>
        </w:rPr>
        <w:t xml:space="preserve">suggest that in the polyphonic marketplace of global energy relations, many actors </w:t>
      </w:r>
      <w:r w:rsidR="00D5248A" w:rsidRPr="003E4298">
        <w:rPr>
          <w:rFonts w:ascii="Times New Roman" w:hAnsi="Times New Roman" w:cs="Times New Roman"/>
          <w:sz w:val="24"/>
          <w:szCs w:val="24"/>
        </w:rPr>
        <w:t xml:space="preserve">are </w:t>
      </w:r>
      <w:r w:rsidR="00385E4A" w:rsidRPr="003E4298">
        <w:rPr>
          <w:rFonts w:ascii="Times New Roman" w:hAnsi="Times New Roman" w:cs="Times New Roman"/>
          <w:sz w:val="24"/>
          <w:szCs w:val="24"/>
        </w:rPr>
        <w:t>speaking</w:t>
      </w:r>
      <w:r w:rsidR="00D5248A" w:rsidRPr="003E4298">
        <w:rPr>
          <w:rFonts w:ascii="Times New Roman" w:hAnsi="Times New Roman" w:cs="Times New Roman"/>
          <w:sz w:val="24"/>
          <w:szCs w:val="24"/>
        </w:rPr>
        <w:t>.</w:t>
      </w:r>
      <w:r w:rsidR="00385E4A" w:rsidRPr="003E4298">
        <w:rPr>
          <w:rFonts w:ascii="Times New Roman" w:hAnsi="Times New Roman" w:cs="Times New Roman"/>
          <w:sz w:val="24"/>
          <w:szCs w:val="24"/>
        </w:rPr>
        <w:t xml:space="preserve"> </w:t>
      </w:r>
      <w:r w:rsidR="00D5248A" w:rsidRPr="003E4298">
        <w:rPr>
          <w:rFonts w:ascii="Times New Roman" w:hAnsi="Times New Roman" w:cs="Times New Roman"/>
          <w:sz w:val="24"/>
          <w:szCs w:val="24"/>
        </w:rPr>
        <w:t>Yet</w:t>
      </w:r>
      <w:r w:rsidR="00385E4A" w:rsidRPr="003E4298">
        <w:rPr>
          <w:rFonts w:ascii="Times New Roman" w:hAnsi="Times New Roman" w:cs="Times New Roman"/>
          <w:sz w:val="24"/>
          <w:szCs w:val="24"/>
        </w:rPr>
        <w:t xml:space="preserve"> it remains unclear whether they are listening to each other. Certainly it appears that even for its own member states, the EU’s normative voice </w:t>
      </w:r>
      <w:r w:rsidR="001138D3" w:rsidRPr="003E4298">
        <w:rPr>
          <w:rFonts w:ascii="Times New Roman" w:hAnsi="Times New Roman" w:cs="Times New Roman"/>
          <w:sz w:val="24"/>
          <w:szCs w:val="24"/>
        </w:rPr>
        <w:t xml:space="preserve">on external energy policy </w:t>
      </w:r>
      <w:r w:rsidR="00385E4A" w:rsidRPr="003E4298">
        <w:rPr>
          <w:rFonts w:ascii="Times New Roman" w:hAnsi="Times New Roman" w:cs="Times New Roman"/>
          <w:sz w:val="24"/>
          <w:szCs w:val="24"/>
        </w:rPr>
        <w:t>is being drowned out.</w:t>
      </w:r>
    </w:p>
    <w:p w14:paraId="51654C51" w14:textId="77777777" w:rsidR="000519CF" w:rsidRDefault="000519CF" w:rsidP="003E4298">
      <w:pPr>
        <w:spacing w:line="480" w:lineRule="auto"/>
        <w:ind w:firstLine="720"/>
        <w:contextualSpacing/>
        <w:rPr>
          <w:rFonts w:ascii="Times New Roman" w:hAnsi="Times New Roman" w:cs="Times New Roman"/>
          <w:sz w:val="24"/>
          <w:szCs w:val="24"/>
        </w:rPr>
      </w:pPr>
    </w:p>
    <w:p w14:paraId="362DAA0D" w14:textId="77777777" w:rsidR="000519CF" w:rsidRPr="003E4298" w:rsidRDefault="000519CF" w:rsidP="003E4298">
      <w:pPr>
        <w:spacing w:line="480" w:lineRule="auto"/>
        <w:ind w:firstLine="720"/>
        <w:contextualSpacing/>
        <w:rPr>
          <w:rFonts w:ascii="Times New Roman" w:hAnsi="Times New Roman" w:cs="Times New Roman"/>
          <w:sz w:val="24"/>
          <w:szCs w:val="24"/>
        </w:rPr>
      </w:pPr>
    </w:p>
    <w:p w14:paraId="4F68193A" w14:textId="7FED65BF" w:rsidR="00D209BA" w:rsidRPr="000519CF" w:rsidRDefault="00C5258A" w:rsidP="003E4298">
      <w:pPr>
        <w:spacing w:line="480" w:lineRule="auto"/>
        <w:contextualSpacing/>
        <w:rPr>
          <w:rFonts w:ascii="Times New Roman" w:hAnsi="Times New Roman" w:cs="Times New Roman"/>
          <w:sz w:val="24"/>
          <w:szCs w:val="24"/>
        </w:rPr>
      </w:pPr>
      <w:r w:rsidRPr="003E4298">
        <w:rPr>
          <w:rFonts w:ascii="Times New Roman" w:hAnsi="Times New Roman" w:cs="Times New Roman"/>
          <w:b/>
          <w:sz w:val="24"/>
          <w:szCs w:val="24"/>
        </w:rPr>
        <w:t>References</w:t>
      </w:r>
    </w:p>
    <w:p w14:paraId="41094E28" w14:textId="3F948E76" w:rsidR="00156DF4" w:rsidRPr="003E4298" w:rsidRDefault="00156DF4" w:rsidP="00BF515E">
      <w:pPr>
        <w:spacing w:line="480" w:lineRule="auto"/>
        <w:ind w:left="720" w:hanging="720"/>
        <w:contextualSpacing/>
        <w:rPr>
          <w:rFonts w:ascii="Times New Roman" w:hAnsi="Times New Roman" w:cs="Times New Roman"/>
          <w:sz w:val="24"/>
          <w:szCs w:val="24"/>
        </w:rPr>
      </w:pPr>
      <w:proofErr w:type="spellStart"/>
      <w:r w:rsidRPr="003E4298">
        <w:rPr>
          <w:rFonts w:ascii="Times New Roman" w:hAnsi="Times New Roman" w:cs="Times New Roman"/>
          <w:sz w:val="24"/>
          <w:szCs w:val="24"/>
        </w:rPr>
        <w:t>Arbeitsgruppe</w:t>
      </w:r>
      <w:proofErr w:type="spellEnd"/>
      <w:r w:rsidRPr="003E4298">
        <w:rPr>
          <w:rFonts w:ascii="Times New Roman" w:hAnsi="Times New Roman" w:cs="Times New Roman"/>
          <w:sz w:val="24"/>
          <w:szCs w:val="24"/>
        </w:rPr>
        <w:t xml:space="preserve"> </w:t>
      </w:r>
      <w:proofErr w:type="spellStart"/>
      <w:r w:rsidRPr="003E4298">
        <w:rPr>
          <w:rFonts w:ascii="Times New Roman" w:hAnsi="Times New Roman" w:cs="Times New Roman"/>
          <w:sz w:val="24"/>
          <w:szCs w:val="24"/>
        </w:rPr>
        <w:t>Erneuerbare</w:t>
      </w:r>
      <w:proofErr w:type="spellEnd"/>
      <w:r w:rsidRPr="003E4298">
        <w:rPr>
          <w:rFonts w:ascii="Times New Roman" w:hAnsi="Times New Roman" w:cs="Times New Roman"/>
          <w:sz w:val="24"/>
          <w:szCs w:val="24"/>
        </w:rPr>
        <w:t xml:space="preserve"> </w:t>
      </w:r>
      <w:proofErr w:type="spellStart"/>
      <w:r w:rsidRPr="003E4298">
        <w:rPr>
          <w:rFonts w:ascii="Times New Roman" w:hAnsi="Times New Roman" w:cs="Times New Roman"/>
          <w:sz w:val="24"/>
          <w:szCs w:val="24"/>
        </w:rPr>
        <w:t>Energien-Statistik</w:t>
      </w:r>
      <w:proofErr w:type="spellEnd"/>
      <w:r w:rsidRPr="003E4298">
        <w:rPr>
          <w:rFonts w:ascii="Times New Roman" w:hAnsi="Times New Roman" w:cs="Times New Roman"/>
          <w:sz w:val="24"/>
          <w:szCs w:val="24"/>
        </w:rPr>
        <w:t xml:space="preserve"> (AGEE-Stat) (2014) </w:t>
      </w:r>
      <w:proofErr w:type="spellStart"/>
      <w:r w:rsidRPr="003E4298">
        <w:rPr>
          <w:rFonts w:ascii="Times New Roman" w:hAnsi="Times New Roman" w:cs="Times New Roman"/>
          <w:color w:val="262626"/>
          <w:sz w:val="24"/>
          <w:szCs w:val="24"/>
          <w:lang w:eastAsia="de-DE"/>
        </w:rPr>
        <w:t>Rekord</w:t>
      </w:r>
      <w:proofErr w:type="spellEnd"/>
      <w:r w:rsidRPr="003E4298">
        <w:rPr>
          <w:rFonts w:ascii="Times New Roman" w:hAnsi="Times New Roman" w:cs="Times New Roman"/>
          <w:color w:val="262626"/>
          <w:sz w:val="24"/>
          <w:szCs w:val="24"/>
          <w:lang w:eastAsia="de-DE"/>
        </w:rPr>
        <w:t xml:space="preserve">: </w:t>
      </w:r>
      <w:proofErr w:type="spellStart"/>
      <w:r w:rsidRPr="003E4298">
        <w:rPr>
          <w:rFonts w:ascii="Times New Roman" w:hAnsi="Times New Roman" w:cs="Times New Roman"/>
          <w:color w:val="262626"/>
          <w:sz w:val="24"/>
          <w:szCs w:val="24"/>
          <w:lang w:eastAsia="de-DE"/>
        </w:rPr>
        <w:t>Mehr</w:t>
      </w:r>
      <w:proofErr w:type="spellEnd"/>
      <w:r w:rsidRPr="003E4298">
        <w:rPr>
          <w:rFonts w:ascii="Times New Roman" w:hAnsi="Times New Roman" w:cs="Times New Roman"/>
          <w:color w:val="262626"/>
          <w:sz w:val="24"/>
          <w:szCs w:val="24"/>
          <w:lang w:eastAsia="de-DE"/>
        </w:rPr>
        <w:t xml:space="preserve"> </w:t>
      </w:r>
      <w:proofErr w:type="spellStart"/>
      <w:proofErr w:type="gramStart"/>
      <w:r w:rsidRPr="003E4298">
        <w:rPr>
          <w:rFonts w:ascii="Times New Roman" w:hAnsi="Times New Roman" w:cs="Times New Roman"/>
          <w:color w:val="262626"/>
          <w:sz w:val="24"/>
          <w:szCs w:val="24"/>
          <w:lang w:eastAsia="de-DE"/>
        </w:rPr>
        <w:t>als</w:t>
      </w:r>
      <w:proofErr w:type="spellEnd"/>
      <w:proofErr w:type="gramEnd"/>
      <w:r w:rsidRPr="003E4298">
        <w:rPr>
          <w:rFonts w:ascii="Times New Roman" w:hAnsi="Times New Roman" w:cs="Times New Roman"/>
          <w:color w:val="262626"/>
          <w:sz w:val="24"/>
          <w:szCs w:val="24"/>
          <w:lang w:eastAsia="de-DE"/>
        </w:rPr>
        <w:t xml:space="preserve"> 25 </w:t>
      </w:r>
      <w:proofErr w:type="spellStart"/>
      <w:r w:rsidRPr="003E4298">
        <w:rPr>
          <w:rFonts w:ascii="Times New Roman" w:hAnsi="Times New Roman" w:cs="Times New Roman"/>
          <w:color w:val="262626"/>
          <w:sz w:val="24"/>
          <w:szCs w:val="24"/>
          <w:lang w:eastAsia="de-DE"/>
        </w:rPr>
        <w:t>Prozent</w:t>
      </w:r>
      <w:proofErr w:type="spellEnd"/>
      <w:r w:rsidRPr="003E4298">
        <w:rPr>
          <w:rFonts w:ascii="Times New Roman" w:hAnsi="Times New Roman" w:cs="Times New Roman"/>
          <w:color w:val="262626"/>
          <w:sz w:val="24"/>
          <w:szCs w:val="24"/>
          <w:lang w:eastAsia="de-DE"/>
        </w:rPr>
        <w:t xml:space="preserve"> </w:t>
      </w:r>
      <w:proofErr w:type="spellStart"/>
      <w:r w:rsidRPr="003E4298">
        <w:rPr>
          <w:rFonts w:ascii="Times New Roman" w:hAnsi="Times New Roman" w:cs="Times New Roman"/>
          <w:color w:val="262626"/>
          <w:sz w:val="24"/>
          <w:szCs w:val="24"/>
          <w:lang w:eastAsia="de-DE"/>
        </w:rPr>
        <w:t>erneuerbare</w:t>
      </w:r>
      <w:proofErr w:type="spellEnd"/>
      <w:r w:rsidRPr="003E4298">
        <w:rPr>
          <w:rFonts w:ascii="Times New Roman" w:hAnsi="Times New Roman" w:cs="Times New Roman"/>
          <w:color w:val="262626"/>
          <w:sz w:val="24"/>
          <w:szCs w:val="24"/>
          <w:lang w:eastAsia="de-DE"/>
        </w:rPr>
        <w:t xml:space="preserve"> </w:t>
      </w:r>
      <w:proofErr w:type="spellStart"/>
      <w:r w:rsidRPr="003E4298">
        <w:rPr>
          <w:rFonts w:ascii="Times New Roman" w:hAnsi="Times New Roman" w:cs="Times New Roman"/>
          <w:color w:val="262626"/>
          <w:sz w:val="24"/>
          <w:szCs w:val="24"/>
          <w:lang w:eastAsia="de-DE"/>
        </w:rPr>
        <w:t>Energien</w:t>
      </w:r>
      <w:proofErr w:type="spellEnd"/>
      <w:r w:rsidRPr="003E4298">
        <w:rPr>
          <w:rFonts w:ascii="Times New Roman" w:hAnsi="Times New Roman" w:cs="Times New Roman"/>
          <w:color w:val="262626"/>
          <w:sz w:val="24"/>
          <w:szCs w:val="24"/>
          <w:lang w:eastAsia="de-DE"/>
        </w:rPr>
        <w:t xml:space="preserve"> </w:t>
      </w:r>
      <w:proofErr w:type="spellStart"/>
      <w:r w:rsidRPr="003E4298">
        <w:rPr>
          <w:rFonts w:ascii="Times New Roman" w:hAnsi="Times New Roman" w:cs="Times New Roman"/>
          <w:color w:val="262626"/>
          <w:sz w:val="24"/>
          <w:szCs w:val="24"/>
          <w:lang w:eastAsia="de-DE"/>
        </w:rPr>
        <w:t>im</w:t>
      </w:r>
      <w:proofErr w:type="spellEnd"/>
      <w:r w:rsidRPr="003E4298">
        <w:rPr>
          <w:rFonts w:ascii="Times New Roman" w:hAnsi="Times New Roman" w:cs="Times New Roman"/>
          <w:color w:val="262626"/>
          <w:sz w:val="24"/>
          <w:szCs w:val="24"/>
          <w:lang w:eastAsia="de-DE"/>
        </w:rPr>
        <w:t xml:space="preserve"> </w:t>
      </w:r>
      <w:proofErr w:type="spellStart"/>
      <w:r w:rsidRPr="003E4298">
        <w:rPr>
          <w:rFonts w:ascii="Times New Roman" w:hAnsi="Times New Roman" w:cs="Times New Roman"/>
          <w:color w:val="262626"/>
          <w:sz w:val="24"/>
          <w:szCs w:val="24"/>
          <w:lang w:eastAsia="de-DE"/>
        </w:rPr>
        <w:t>deutschen</w:t>
      </w:r>
      <w:proofErr w:type="spellEnd"/>
      <w:r w:rsidRPr="003E4298">
        <w:rPr>
          <w:rFonts w:ascii="Times New Roman" w:hAnsi="Times New Roman" w:cs="Times New Roman"/>
          <w:color w:val="262626"/>
          <w:sz w:val="24"/>
          <w:szCs w:val="24"/>
          <w:lang w:eastAsia="de-DE"/>
        </w:rPr>
        <w:t xml:space="preserve"> </w:t>
      </w:r>
      <w:proofErr w:type="spellStart"/>
      <w:r w:rsidRPr="003E4298">
        <w:rPr>
          <w:rFonts w:ascii="Times New Roman" w:hAnsi="Times New Roman" w:cs="Times New Roman"/>
          <w:color w:val="262626"/>
          <w:sz w:val="24"/>
          <w:szCs w:val="24"/>
          <w:lang w:eastAsia="de-DE"/>
        </w:rPr>
        <w:t>Strommix</w:t>
      </w:r>
      <w:proofErr w:type="spellEnd"/>
      <w:r w:rsidRPr="003E4298">
        <w:rPr>
          <w:rFonts w:ascii="Times New Roman" w:hAnsi="Times New Roman" w:cs="Times New Roman"/>
          <w:color w:val="262626"/>
          <w:sz w:val="24"/>
          <w:szCs w:val="24"/>
          <w:lang w:eastAsia="de-DE"/>
        </w:rPr>
        <w:t xml:space="preserve">, </w:t>
      </w:r>
      <w:r w:rsidRPr="00334E1E">
        <w:rPr>
          <w:rFonts w:ascii="Times New Roman" w:hAnsi="Times New Roman" w:cs="Times New Roman"/>
          <w:sz w:val="24"/>
          <w:szCs w:val="24"/>
          <w:lang w:eastAsia="de-DE"/>
        </w:rPr>
        <w:t>http://www.bmwi.de/DE/Themen/Energie/Energiedaten-und-analysen/arbeitsgruppe-erneuerbare-energien-statistik,did=629806.html;%2031%20October%202014</w:t>
      </w:r>
      <w:r w:rsidRPr="003E4298">
        <w:rPr>
          <w:rFonts w:ascii="Times New Roman" w:hAnsi="Times New Roman" w:cs="Times New Roman"/>
          <w:color w:val="262626"/>
          <w:sz w:val="24"/>
          <w:szCs w:val="24"/>
          <w:lang w:eastAsia="de-DE"/>
        </w:rPr>
        <w:t>, accessed 20 November 2014.</w:t>
      </w:r>
    </w:p>
    <w:p w14:paraId="1D0826CE" w14:textId="223354D4" w:rsidR="00156DF4" w:rsidRPr="003E4298" w:rsidRDefault="00156DF4" w:rsidP="00BF515E">
      <w:pPr>
        <w:spacing w:line="480" w:lineRule="auto"/>
        <w:ind w:left="720" w:hanging="720"/>
        <w:contextualSpacing/>
        <w:rPr>
          <w:rFonts w:ascii="Times New Roman" w:hAnsi="Times New Roman" w:cs="Times New Roman"/>
          <w:sz w:val="24"/>
          <w:szCs w:val="24"/>
          <w:lang w:eastAsia="de-DE"/>
        </w:rPr>
      </w:pPr>
      <w:r w:rsidRPr="003E4298">
        <w:rPr>
          <w:rFonts w:ascii="Times New Roman" w:hAnsi="Times New Roman" w:cs="Times New Roman"/>
          <w:sz w:val="24"/>
          <w:szCs w:val="24"/>
          <w:lang w:eastAsia="de-DE"/>
        </w:rPr>
        <w:t xml:space="preserve">Benz, A. (2000) </w:t>
      </w:r>
      <w:proofErr w:type="spellStart"/>
      <w:r w:rsidRPr="003E4298">
        <w:rPr>
          <w:rFonts w:ascii="Times New Roman" w:hAnsi="Times New Roman" w:cs="Times New Roman"/>
          <w:sz w:val="24"/>
          <w:szCs w:val="24"/>
          <w:lang w:eastAsia="de-DE"/>
        </w:rPr>
        <w:t>Politische</w:t>
      </w:r>
      <w:proofErr w:type="spellEnd"/>
      <w:r w:rsidRPr="003E4298">
        <w:rPr>
          <w:rFonts w:ascii="Times New Roman" w:hAnsi="Times New Roman" w:cs="Times New Roman"/>
          <w:sz w:val="24"/>
          <w:szCs w:val="24"/>
          <w:lang w:eastAsia="de-DE"/>
        </w:rPr>
        <w:t xml:space="preserve"> </w:t>
      </w:r>
      <w:proofErr w:type="spellStart"/>
      <w:r w:rsidRPr="003E4298">
        <w:rPr>
          <w:rFonts w:ascii="Times New Roman" w:hAnsi="Times New Roman" w:cs="Times New Roman"/>
          <w:sz w:val="24"/>
          <w:szCs w:val="24"/>
          <w:lang w:eastAsia="de-DE"/>
        </w:rPr>
        <w:t>Steuerung</w:t>
      </w:r>
      <w:proofErr w:type="spellEnd"/>
      <w:r w:rsidRPr="003E4298">
        <w:rPr>
          <w:rFonts w:ascii="Times New Roman" w:hAnsi="Times New Roman" w:cs="Times New Roman"/>
          <w:sz w:val="24"/>
          <w:szCs w:val="24"/>
          <w:lang w:eastAsia="de-DE"/>
        </w:rPr>
        <w:t xml:space="preserve"> in </w:t>
      </w:r>
      <w:proofErr w:type="gramStart"/>
      <w:r w:rsidRPr="003E4298">
        <w:rPr>
          <w:rFonts w:ascii="Times New Roman" w:hAnsi="Times New Roman" w:cs="Times New Roman"/>
          <w:sz w:val="24"/>
          <w:szCs w:val="24"/>
          <w:lang w:eastAsia="de-DE"/>
        </w:rPr>
        <w:t>lose</w:t>
      </w:r>
      <w:proofErr w:type="gramEnd"/>
      <w:r w:rsidRPr="003E4298">
        <w:rPr>
          <w:rFonts w:ascii="Times New Roman" w:hAnsi="Times New Roman" w:cs="Times New Roman"/>
          <w:sz w:val="24"/>
          <w:szCs w:val="24"/>
          <w:lang w:eastAsia="de-DE"/>
        </w:rPr>
        <w:t xml:space="preserve"> </w:t>
      </w:r>
      <w:proofErr w:type="spellStart"/>
      <w:r w:rsidRPr="003E4298">
        <w:rPr>
          <w:rFonts w:ascii="Times New Roman" w:hAnsi="Times New Roman" w:cs="Times New Roman"/>
          <w:sz w:val="24"/>
          <w:szCs w:val="24"/>
          <w:lang w:eastAsia="de-DE"/>
        </w:rPr>
        <w:t>gekoppelten</w:t>
      </w:r>
      <w:proofErr w:type="spellEnd"/>
      <w:r w:rsidRPr="003E4298">
        <w:rPr>
          <w:rFonts w:ascii="Times New Roman" w:hAnsi="Times New Roman" w:cs="Times New Roman"/>
          <w:sz w:val="24"/>
          <w:szCs w:val="24"/>
          <w:lang w:eastAsia="de-DE"/>
        </w:rPr>
        <w:t xml:space="preserve"> </w:t>
      </w:r>
      <w:proofErr w:type="spellStart"/>
      <w:r w:rsidRPr="003E4298">
        <w:rPr>
          <w:rFonts w:ascii="Times New Roman" w:hAnsi="Times New Roman" w:cs="Times New Roman"/>
          <w:sz w:val="24"/>
          <w:szCs w:val="24"/>
          <w:lang w:eastAsia="de-DE"/>
        </w:rPr>
        <w:t>Mehrebenensystemen</w:t>
      </w:r>
      <w:proofErr w:type="spellEnd"/>
      <w:r w:rsidRPr="003E4298">
        <w:rPr>
          <w:rFonts w:ascii="Times New Roman" w:hAnsi="Times New Roman" w:cs="Times New Roman"/>
          <w:sz w:val="24"/>
          <w:szCs w:val="24"/>
          <w:lang w:eastAsia="de-DE"/>
        </w:rPr>
        <w:t xml:space="preserve">. In: </w:t>
      </w:r>
      <w:proofErr w:type="spellStart"/>
      <w:r w:rsidRPr="003E4298">
        <w:rPr>
          <w:rFonts w:ascii="Times New Roman" w:hAnsi="Times New Roman" w:cs="Times New Roman"/>
          <w:sz w:val="24"/>
          <w:szCs w:val="24"/>
          <w:lang w:eastAsia="de-DE"/>
        </w:rPr>
        <w:t>Werle</w:t>
      </w:r>
      <w:proofErr w:type="spellEnd"/>
      <w:r w:rsidRPr="003E4298">
        <w:rPr>
          <w:rFonts w:ascii="Times New Roman" w:hAnsi="Times New Roman" w:cs="Times New Roman"/>
          <w:sz w:val="24"/>
          <w:szCs w:val="24"/>
          <w:lang w:eastAsia="de-DE"/>
        </w:rPr>
        <w:t xml:space="preserve">, R. </w:t>
      </w:r>
      <w:r w:rsidR="00391756">
        <w:rPr>
          <w:rFonts w:ascii="Times New Roman" w:hAnsi="Times New Roman" w:cs="Times New Roman"/>
          <w:sz w:val="24"/>
          <w:szCs w:val="24"/>
          <w:lang w:eastAsia="de-DE"/>
        </w:rPr>
        <w:t xml:space="preserve">and </w:t>
      </w:r>
      <w:proofErr w:type="spellStart"/>
      <w:r w:rsidRPr="003E4298">
        <w:rPr>
          <w:rFonts w:ascii="Times New Roman" w:hAnsi="Times New Roman" w:cs="Times New Roman"/>
          <w:sz w:val="24"/>
          <w:szCs w:val="24"/>
          <w:lang w:eastAsia="de-DE"/>
        </w:rPr>
        <w:t>Schimank</w:t>
      </w:r>
      <w:proofErr w:type="spellEnd"/>
      <w:r w:rsidRPr="003E4298">
        <w:rPr>
          <w:rFonts w:ascii="Times New Roman" w:hAnsi="Times New Roman" w:cs="Times New Roman"/>
          <w:sz w:val="24"/>
          <w:szCs w:val="24"/>
          <w:lang w:eastAsia="de-DE"/>
        </w:rPr>
        <w:t>, U. (</w:t>
      </w:r>
      <w:proofErr w:type="spellStart"/>
      <w:proofErr w:type="gramStart"/>
      <w:r w:rsidRPr="003E4298">
        <w:rPr>
          <w:rFonts w:ascii="Times New Roman" w:hAnsi="Times New Roman" w:cs="Times New Roman"/>
          <w:sz w:val="24"/>
          <w:szCs w:val="24"/>
          <w:lang w:eastAsia="de-DE"/>
        </w:rPr>
        <w:t>eds</w:t>
      </w:r>
      <w:proofErr w:type="spellEnd"/>
      <w:proofErr w:type="gramEnd"/>
      <w:r w:rsidRPr="003E4298">
        <w:rPr>
          <w:rFonts w:ascii="Times New Roman" w:hAnsi="Times New Roman" w:cs="Times New Roman"/>
          <w:sz w:val="24"/>
          <w:szCs w:val="24"/>
          <w:lang w:eastAsia="de-DE"/>
        </w:rPr>
        <w:t xml:space="preserve">) </w:t>
      </w:r>
      <w:proofErr w:type="spellStart"/>
      <w:r w:rsidRPr="003E4298">
        <w:rPr>
          <w:rFonts w:ascii="Times New Roman" w:hAnsi="Times New Roman" w:cs="Times New Roman"/>
          <w:i/>
          <w:sz w:val="24"/>
          <w:szCs w:val="24"/>
          <w:lang w:eastAsia="de-DE"/>
        </w:rPr>
        <w:t>Gesellschaftliche</w:t>
      </w:r>
      <w:proofErr w:type="spellEnd"/>
      <w:r w:rsidRPr="003E4298">
        <w:rPr>
          <w:rFonts w:ascii="Times New Roman" w:hAnsi="Times New Roman" w:cs="Times New Roman"/>
          <w:i/>
          <w:sz w:val="24"/>
          <w:szCs w:val="24"/>
          <w:lang w:eastAsia="de-DE"/>
        </w:rPr>
        <w:t xml:space="preserve"> </w:t>
      </w:r>
      <w:proofErr w:type="spellStart"/>
      <w:r w:rsidRPr="003E4298">
        <w:rPr>
          <w:rFonts w:ascii="Times New Roman" w:hAnsi="Times New Roman" w:cs="Times New Roman"/>
          <w:i/>
          <w:sz w:val="24"/>
          <w:szCs w:val="24"/>
          <w:lang w:eastAsia="de-DE"/>
        </w:rPr>
        <w:t>Komplexität</w:t>
      </w:r>
      <w:proofErr w:type="spellEnd"/>
      <w:r w:rsidRPr="003E4298">
        <w:rPr>
          <w:rFonts w:ascii="Times New Roman" w:hAnsi="Times New Roman" w:cs="Times New Roman"/>
          <w:i/>
          <w:sz w:val="24"/>
          <w:szCs w:val="24"/>
          <w:lang w:eastAsia="de-DE"/>
        </w:rPr>
        <w:t xml:space="preserve"> und </w:t>
      </w:r>
      <w:proofErr w:type="spellStart"/>
      <w:r w:rsidRPr="003E4298">
        <w:rPr>
          <w:rFonts w:ascii="Times New Roman" w:hAnsi="Times New Roman" w:cs="Times New Roman"/>
          <w:i/>
          <w:sz w:val="24"/>
          <w:szCs w:val="24"/>
          <w:lang w:eastAsia="de-DE"/>
        </w:rPr>
        <w:t>kollektive</w:t>
      </w:r>
      <w:proofErr w:type="spellEnd"/>
      <w:r w:rsidRPr="003E4298">
        <w:rPr>
          <w:rFonts w:ascii="Times New Roman" w:hAnsi="Times New Roman" w:cs="Times New Roman"/>
          <w:i/>
          <w:sz w:val="24"/>
          <w:szCs w:val="24"/>
          <w:lang w:eastAsia="de-DE"/>
        </w:rPr>
        <w:t xml:space="preserve"> </w:t>
      </w:r>
      <w:proofErr w:type="spellStart"/>
      <w:r w:rsidRPr="003E4298">
        <w:rPr>
          <w:rFonts w:ascii="Times New Roman" w:hAnsi="Times New Roman" w:cs="Times New Roman"/>
          <w:i/>
          <w:sz w:val="24"/>
          <w:szCs w:val="24"/>
          <w:lang w:eastAsia="de-DE"/>
        </w:rPr>
        <w:t>Handlungsfähigkeit</w:t>
      </w:r>
      <w:proofErr w:type="spellEnd"/>
      <w:r w:rsidRPr="003E4298">
        <w:rPr>
          <w:rFonts w:ascii="Times New Roman" w:hAnsi="Times New Roman" w:cs="Times New Roman"/>
          <w:sz w:val="24"/>
          <w:szCs w:val="24"/>
          <w:lang w:eastAsia="de-DE"/>
        </w:rPr>
        <w:t xml:space="preserve">. Frankfurt </w:t>
      </w:r>
      <w:r w:rsidR="00391756">
        <w:rPr>
          <w:rFonts w:ascii="Times New Roman" w:hAnsi="Times New Roman" w:cs="Times New Roman"/>
          <w:sz w:val="24"/>
          <w:szCs w:val="24"/>
          <w:lang w:eastAsia="de-DE"/>
        </w:rPr>
        <w:t xml:space="preserve">and </w:t>
      </w:r>
      <w:r w:rsidRPr="003E4298">
        <w:rPr>
          <w:rFonts w:ascii="Times New Roman" w:hAnsi="Times New Roman" w:cs="Times New Roman"/>
          <w:sz w:val="24"/>
          <w:szCs w:val="24"/>
          <w:lang w:eastAsia="de-DE"/>
        </w:rPr>
        <w:t>New York: Campus, pp. 99-126.</w:t>
      </w:r>
    </w:p>
    <w:p w14:paraId="5CC5713E" w14:textId="2C2B8F93" w:rsidR="00156DF4" w:rsidRPr="003E4298" w:rsidRDefault="00156DF4" w:rsidP="00BF515E">
      <w:pPr>
        <w:spacing w:line="480" w:lineRule="auto"/>
        <w:ind w:left="720" w:hanging="720"/>
        <w:contextualSpacing/>
        <w:rPr>
          <w:rFonts w:ascii="Times New Roman" w:hAnsi="Times New Roman" w:cs="Times New Roman"/>
          <w:sz w:val="24"/>
          <w:szCs w:val="24"/>
          <w:lang w:eastAsia="de-DE"/>
        </w:rPr>
      </w:pPr>
      <w:proofErr w:type="spellStart"/>
      <w:r w:rsidRPr="003E4298">
        <w:rPr>
          <w:rFonts w:ascii="Times New Roman" w:hAnsi="Times New Roman" w:cs="Times New Roman"/>
          <w:sz w:val="24"/>
          <w:szCs w:val="24"/>
          <w:lang w:eastAsia="de-DE"/>
        </w:rPr>
        <w:lastRenderedPageBreak/>
        <w:t>Bersick</w:t>
      </w:r>
      <w:proofErr w:type="spellEnd"/>
      <w:r w:rsidRPr="003E4298">
        <w:rPr>
          <w:rFonts w:ascii="Times New Roman" w:hAnsi="Times New Roman" w:cs="Times New Roman"/>
          <w:sz w:val="24"/>
          <w:szCs w:val="24"/>
          <w:lang w:eastAsia="de-DE"/>
        </w:rPr>
        <w:t xml:space="preserve">, S., </w:t>
      </w:r>
      <w:proofErr w:type="spellStart"/>
      <w:r w:rsidRPr="003E4298">
        <w:rPr>
          <w:rFonts w:ascii="Times New Roman" w:hAnsi="Times New Roman" w:cs="Times New Roman"/>
          <w:sz w:val="24"/>
          <w:szCs w:val="24"/>
          <w:lang w:eastAsia="de-DE"/>
        </w:rPr>
        <w:t>Bruter</w:t>
      </w:r>
      <w:proofErr w:type="spellEnd"/>
      <w:r w:rsidRPr="003E4298">
        <w:rPr>
          <w:rFonts w:ascii="Times New Roman" w:hAnsi="Times New Roman" w:cs="Times New Roman"/>
          <w:sz w:val="24"/>
          <w:szCs w:val="24"/>
          <w:lang w:eastAsia="de-DE"/>
        </w:rPr>
        <w:t xml:space="preserve">, M., Chaban, N., Iglesias, S., </w:t>
      </w:r>
      <w:r w:rsidR="00E15357">
        <w:rPr>
          <w:rFonts w:ascii="Times New Roman" w:hAnsi="Times New Roman" w:cs="Times New Roman"/>
          <w:sz w:val="24"/>
          <w:szCs w:val="24"/>
          <w:lang w:eastAsia="de-DE"/>
        </w:rPr>
        <w:t xml:space="preserve">and </w:t>
      </w:r>
      <w:proofErr w:type="spellStart"/>
      <w:r w:rsidRPr="003E4298">
        <w:rPr>
          <w:rFonts w:ascii="Times New Roman" w:hAnsi="Times New Roman" w:cs="Times New Roman"/>
          <w:sz w:val="24"/>
          <w:szCs w:val="24"/>
          <w:lang w:eastAsia="de-DE"/>
        </w:rPr>
        <w:t>Lenihan</w:t>
      </w:r>
      <w:proofErr w:type="spellEnd"/>
      <w:r w:rsidRPr="003E4298">
        <w:rPr>
          <w:rFonts w:ascii="Times New Roman" w:hAnsi="Times New Roman" w:cs="Times New Roman"/>
          <w:sz w:val="24"/>
          <w:szCs w:val="24"/>
          <w:lang w:eastAsia="de-DE"/>
        </w:rPr>
        <w:t xml:space="preserve">, R. (2012) </w:t>
      </w:r>
      <w:r w:rsidRPr="003E4298">
        <w:rPr>
          <w:rFonts w:ascii="Times New Roman" w:hAnsi="Times New Roman" w:cs="Times New Roman"/>
          <w:i/>
          <w:sz w:val="24"/>
          <w:szCs w:val="24"/>
          <w:lang w:eastAsia="de-DE"/>
        </w:rPr>
        <w:t xml:space="preserve">Asia in the Eyes of Europe. </w:t>
      </w:r>
      <w:proofErr w:type="gramStart"/>
      <w:r w:rsidRPr="003E4298">
        <w:rPr>
          <w:rFonts w:ascii="Times New Roman" w:hAnsi="Times New Roman" w:cs="Times New Roman"/>
          <w:i/>
          <w:sz w:val="24"/>
          <w:szCs w:val="24"/>
          <w:lang w:eastAsia="de-DE"/>
        </w:rPr>
        <w:t>Images of a Rising Giant</w:t>
      </w:r>
      <w:r w:rsidRPr="003E4298">
        <w:rPr>
          <w:rFonts w:ascii="Times New Roman" w:hAnsi="Times New Roman" w:cs="Times New Roman"/>
          <w:sz w:val="24"/>
          <w:szCs w:val="24"/>
          <w:lang w:eastAsia="de-DE"/>
        </w:rPr>
        <w:t>.</w:t>
      </w:r>
      <w:proofErr w:type="gramEnd"/>
      <w:r w:rsidRPr="003E4298">
        <w:rPr>
          <w:rFonts w:ascii="Times New Roman" w:hAnsi="Times New Roman" w:cs="Times New Roman"/>
          <w:sz w:val="24"/>
          <w:szCs w:val="24"/>
          <w:lang w:eastAsia="de-DE"/>
        </w:rPr>
        <w:t xml:space="preserve"> Baden-Baden: Nomos </w:t>
      </w:r>
      <w:proofErr w:type="spellStart"/>
      <w:r w:rsidRPr="003E4298">
        <w:rPr>
          <w:rFonts w:ascii="Times New Roman" w:hAnsi="Times New Roman" w:cs="Times New Roman"/>
          <w:sz w:val="24"/>
          <w:szCs w:val="24"/>
          <w:lang w:eastAsia="de-DE"/>
        </w:rPr>
        <w:t>Verlag</w:t>
      </w:r>
      <w:proofErr w:type="spellEnd"/>
      <w:r w:rsidRPr="003E4298">
        <w:rPr>
          <w:rFonts w:ascii="Times New Roman" w:hAnsi="Times New Roman" w:cs="Times New Roman"/>
          <w:sz w:val="24"/>
          <w:szCs w:val="24"/>
          <w:lang w:eastAsia="de-DE"/>
        </w:rPr>
        <w:t>.</w:t>
      </w:r>
    </w:p>
    <w:p w14:paraId="1D965182" w14:textId="1A3E417F" w:rsidR="00156DF4" w:rsidRPr="003E4298" w:rsidRDefault="00156DF4" w:rsidP="00BF515E">
      <w:pPr>
        <w:spacing w:line="480" w:lineRule="auto"/>
        <w:ind w:left="720" w:hanging="720"/>
        <w:contextualSpacing/>
        <w:rPr>
          <w:rFonts w:ascii="Times New Roman" w:hAnsi="Times New Roman" w:cs="Times New Roman"/>
          <w:sz w:val="24"/>
          <w:szCs w:val="24"/>
        </w:rPr>
      </w:pPr>
      <w:proofErr w:type="spellStart"/>
      <w:r w:rsidRPr="003E4298">
        <w:rPr>
          <w:rFonts w:ascii="Times New Roman" w:hAnsi="Times New Roman" w:cs="Times New Roman"/>
          <w:sz w:val="24"/>
          <w:szCs w:val="24"/>
        </w:rPr>
        <w:t>Björkdahl</w:t>
      </w:r>
      <w:proofErr w:type="spellEnd"/>
      <w:r w:rsidRPr="003E4298">
        <w:rPr>
          <w:rFonts w:ascii="Times New Roman" w:hAnsi="Times New Roman" w:cs="Times New Roman"/>
          <w:sz w:val="24"/>
          <w:szCs w:val="24"/>
        </w:rPr>
        <w:t>, A., Chaban, N., Leslie, J. and Masselot, N. (</w:t>
      </w:r>
      <w:proofErr w:type="spellStart"/>
      <w:proofErr w:type="gramStart"/>
      <w:r w:rsidRPr="003E4298">
        <w:rPr>
          <w:rFonts w:ascii="Times New Roman" w:hAnsi="Times New Roman" w:cs="Times New Roman"/>
          <w:sz w:val="24"/>
          <w:szCs w:val="24"/>
        </w:rPr>
        <w:t>eds</w:t>
      </w:r>
      <w:proofErr w:type="spellEnd"/>
      <w:proofErr w:type="gramEnd"/>
      <w:r w:rsidRPr="003E4298">
        <w:rPr>
          <w:rFonts w:ascii="Times New Roman" w:hAnsi="Times New Roman" w:cs="Times New Roman"/>
          <w:sz w:val="24"/>
          <w:szCs w:val="24"/>
        </w:rPr>
        <w:t xml:space="preserve">), (2015) </w:t>
      </w:r>
      <w:r w:rsidRPr="003E4298">
        <w:rPr>
          <w:rFonts w:ascii="Times New Roman" w:hAnsi="Times New Roman" w:cs="Times New Roman"/>
          <w:i/>
          <w:iCs/>
          <w:sz w:val="24"/>
          <w:szCs w:val="24"/>
        </w:rPr>
        <w:t xml:space="preserve">Importing EU norms? </w:t>
      </w:r>
      <w:proofErr w:type="gramStart"/>
      <w:r w:rsidRPr="003E4298">
        <w:rPr>
          <w:rFonts w:ascii="Times New Roman" w:hAnsi="Times New Roman" w:cs="Times New Roman"/>
          <w:i/>
          <w:iCs/>
          <w:sz w:val="24"/>
          <w:szCs w:val="24"/>
        </w:rPr>
        <w:t>Conceptual framework and Empirical findings.</w:t>
      </w:r>
      <w:proofErr w:type="gramEnd"/>
      <w:r w:rsidRPr="003E4298">
        <w:rPr>
          <w:rFonts w:ascii="Times New Roman" w:hAnsi="Times New Roman" w:cs="Times New Roman"/>
          <w:i/>
          <w:iCs/>
          <w:sz w:val="24"/>
          <w:szCs w:val="24"/>
        </w:rPr>
        <w:t xml:space="preserve"> </w:t>
      </w:r>
      <w:r w:rsidRPr="003E4298">
        <w:rPr>
          <w:rFonts w:ascii="Times New Roman" w:hAnsi="Times New Roman" w:cs="Times New Roman"/>
          <w:sz w:val="24"/>
          <w:szCs w:val="24"/>
        </w:rPr>
        <w:t>Springer.</w:t>
      </w:r>
    </w:p>
    <w:p w14:paraId="370F2062" w14:textId="5DFF74AA" w:rsidR="006145AC" w:rsidRDefault="006145AC" w:rsidP="00BF515E">
      <w:pPr>
        <w:spacing w:line="480" w:lineRule="auto"/>
        <w:ind w:left="720" w:hanging="720"/>
        <w:contextualSpacing/>
        <w:rPr>
          <w:rFonts w:ascii="Times New Roman" w:hAnsi="Times New Roman" w:cs="Times New Roman"/>
          <w:sz w:val="24"/>
          <w:szCs w:val="24"/>
          <w:lang w:eastAsia="de-DE"/>
        </w:rPr>
      </w:pPr>
      <w:r>
        <w:rPr>
          <w:rFonts w:ascii="Times New Roman" w:hAnsi="Times New Roman" w:cs="Times New Roman"/>
          <w:sz w:val="24"/>
          <w:szCs w:val="24"/>
          <w:lang w:eastAsia="de-DE"/>
        </w:rPr>
        <w:t xml:space="preserve">Bretherton, C., </w:t>
      </w:r>
      <w:r w:rsidR="00E15357">
        <w:rPr>
          <w:rFonts w:ascii="Times New Roman" w:hAnsi="Times New Roman" w:cs="Times New Roman"/>
          <w:sz w:val="24"/>
          <w:szCs w:val="24"/>
          <w:lang w:eastAsia="de-DE"/>
        </w:rPr>
        <w:t xml:space="preserve">and </w:t>
      </w:r>
      <w:proofErr w:type="spellStart"/>
      <w:r>
        <w:rPr>
          <w:rFonts w:ascii="Times New Roman" w:hAnsi="Times New Roman" w:cs="Times New Roman"/>
          <w:sz w:val="24"/>
          <w:szCs w:val="24"/>
          <w:lang w:eastAsia="de-DE"/>
        </w:rPr>
        <w:t>Vogler</w:t>
      </w:r>
      <w:proofErr w:type="spellEnd"/>
      <w:r>
        <w:rPr>
          <w:rFonts w:ascii="Times New Roman" w:hAnsi="Times New Roman" w:cs="Times New Roman"/>
          <w:sz w:val="24"/>
          <w:szCs w:val="24"/>
          <w:lang w:eastAsia="de-DE"/>
        </w:rPr>
        <w:t xml:space="preserve">, J. (2006), </w:t>
      </w:r>
      <w:r w:rsidRPr="005B1E5C">
        <w:rPr>
          <w:rFonts w:ascii="Times New Roman" w:hAnsi="Times New Roman" w:cs="Times New Roman"/>
          <w:i/>
          <w:sz w:val="24"/>
          <w:szCs w:val="24"/>
          <w:lang w:eastAsia="de-DE"/>
        </w:rPr>
        <w:t>The European Union as a Global Actor</w:t>
      </w:r>
      <w:r>
        <w:rPr>
          <w:rFonts w:ascii="Times New Roman" w:hAnsi="Times New Roman" w:cs="Times New Roman"/>
          <w:sz w:val="24"/>
          <w:szCs w:val="24"/>
          <w:lang w:eastAsia="de-DE"/>
        </w:rPr>
        <w:t xml:space="preserve">, Abingdon: Routledge.  </w:t>
      </w:r>
    </w:p>
    <w:p w14:paraId="2AC1B6FA" w14:textId="6B921368" w:rsidR="00156DF4" w:rsidRPr="003E4298" w:rsidRDefault="00156DF4" w:rsidP="00BF515E">
      <w:pPr>
        <w:spacing w:line="480" w:lineRule="auto"/>
        <w:ind w:left="720" w:hanging="720"/>
        <w:contextualSpacing/>
        <w:rPr>
          <w:rFonts w:ascii="Times New Roman" w:hAnsi="Times New Roman" w:cs="Times New Roman"/>
          <w:sz w:val="24"/>
          <w:szCs w:val="24"/>
          <w:lang w:eastAsia="de-DE"/>
        </w:rPr>
      </w:pPr>
      <w:r w:rsidRPr="003E4298">
        <w:rPr>
          <w:rFonts w:ascii="Times New Roman" w:hAnsi="Times New Roman" w:cs="Times New Roman"/>
          <w:sz w:val="24"/>
          <w:szCs w:val="24"/>
          <w:lang w:eastAsia="de-DE"/>
        </w:rPr>
        <w:t xml:space="preserve">Chaban, N., </w:t>
      </w:r>
      <w:r w:rsidR="00E15357">
        <w:rPr>
          <w:rFonts w:ascii="Times New Roman" w:hAnsi="Times New Roman" w:cs="Times New Roman"/>
          <w:sz w:val="24"/>
          <w:szCs w:val="24"/>
          <w:lang w:eastAsia="de-DE"/>
        </w:rPr>
        <w:t xml:space="preserve">and </w:t>
      </w:r>
      <w:r w:rsidRPr="003E4298">
        <w:rPr>
          <w:rFonts w:ascii="Times New Roman" w:hAnsi="Times New Roman" w:cs="Times New Roman"/>
          <w:sz w:val="24"/>
          <w:szCs w:val="24"/>
          <w:lang w:eastAsia="de-DE"/>
        </w:rPr>
        <w:t xml:space="preserve">Holland, M. (2010) The EU in the eyes of Asia: Motivation and methodology. </w:t>
      </w:r>
      <w:r w:rsidRPr="003E4298">
        <w:rPr>
          <w:rFonts w:ascii="Times New Roman" w:hAnsi="Times New Roman" w:cs="Times New Roman"/>
          <w:i/>
          <w:sz w:val="24"/>
          <w:szCs w:val="24"/>
          <w:lang w:eastAsia="de-DE"/>
        </w:rPr>
        <w:t>Asia Europe Journal</w:t>
      </w:r>
      <w:r w:rsidRPr="003E4298">
        <w:rPr>
          <w:rFonts w:ascii="Times New Roman" w:hAnsi="Times New Roman" w:cs="Times New Roman"/>
          <w:sz w:val="24"/>
          <w:szCs w:val="24"/>
          <w:lang w:eastAsia="de-DE"/>
        </w:rPr>
        <w:t xml:space="preserve"> 8</w:t>
      </w:r>
      <w:r w:rsidR="00334E1E">
        <w:rPr>
          <w:rFonts w:ascii="Times New Roman" w:hAnsi="Times New Roman" w:cs="Times New Roman"/>
          <w:sz w:val="24"/>
          <w:szCs w:val="24"/>
          <w:lang w:eastAsia="de-DE"/>
        </w:rPr>
        <w:t>(2)</w:t>
      </w:r>
      <w:r w:rsidRPr="003E4298">
        <w:rPr>
          <w:rFonts w:ascii="Times New Roman" w:hAnsi="Times New Roman" w:cs="Times New Roman"/>
          <w:sz w:val="24"/>
          <w:szCs w:val="24"/>
          <w:lang w:eastAsia="de-DE"/>
        </w:rPr>
        <w:t>: 127–131.</w:t>
      </w:r>
    </w:p>
    <w:p w14:paraId="64956AFC" w14:textId="77777777" w:rsidR="00156DF4" w:rsidRPr="003E4298" w:rsidRDefault="00156DF4" w:rsidP="00BF515E">
      <w:pPr>
        <w:spacing w:line="480" w:lineRule="auto"/>
        <w:ind w:left="720" w:hanging="720"/>
        <w:contextualSpacing/>
        <w:rPr>
          <w:rFonts w:ascii="Times New Roman" w:hAnsi="Times New Roman" w:cs="Times New Roman"/>
          <w:sz w:val="24"/>
          <w:szCs w:val="24"/>
          <w:lang w:eastAsia="de-DE"/>
        </w:rPr>
      </w:pPr>
      <w:r w:rsidRPr="003E4298">
        <w:rPr>
          <w:rFonts w:ascii="Times New Roman" w:hAnsi="Times New Roman" w:cs="Times New Roman"/>
          <w:sz w:val="24"/>
          <w:szCs w:val="24"/>
        </w:rPr>
        <w:t xml:space="preserve">Department of Energy and Climate Change (2012) </w:t>
      </w:r>
      <w:r w:rsidRPr="003E4298">
        <w:rPr>
          <w:rFonts w:ascii="Times New Roman" w:hAnsi="Times New Roman" w:cs="Times New Roman"/>
          <w:i/>
          <w:iCs/>
          <w:sz w:val="24"/>
          <w:szCs w:val="24"/>
        </w:rPr>
        <w:t>UK energy in brief</w:t>
      </w:r>
      <w:r w:rsidRPr="003E4298">
        <w:rPr>
          <w:rFonts w:ascii="Times New Roman" w:hAnsi="Times New Roman" w:cs="Times New Roman"/>
          <w:sz w:val="24"/>
          <w:szCs w:val="24"/>
        </w:rPr>
        <w:t>, Retrieved November 4, 2012, from http://www.decc.gov.uk/en/content/cms/statistics/publications/brief/brief.aspx</w:t>
      </w:r>
    </w:p>
    <w:p w14:paraId="53364167" w14:textId="61636979" w:rsidR="00156DF4" w:rsidRPr="003E4298" w:rsidRDefault="00156DF4" w:rsidP="00BF515E">
      <w:pPr>
        <w:spacing w:line="480" w:lineRule="auto"/>
        <w:ind w:left="720" w:hanging="720"/>
        <w:contextualSpacing/>
        <w:rPr>
          <w:rFonts w:ascii="Times New Roman" w:hAnsi="Times New Roman" w:cs="Times New Roman"/>
          <w:sz w:val="24"/>
          <w:szCs w:val="24"/>
          <w:lang w:eastAsia="de-DE"/>
        </w:rPr>
      </w:pPr>
      <w:proofErr w:type="spellStart"/>
      <w:r w:rsidRPr="003E4298">
        <w:rPr>
          <w:rFonts w:ascii="Times New Roman" w:hAnsi="Times New Roman" w:cs="Times New Roman"/>
          <w:sz w:val="24"/>
          <w:szCs w:val="24"/>
          <w:lang w:eastAsia="de-DE"/>
        </w:rPr>
        <w:t>Diez</w:t>
      </w:r>
      <w:proofErr w:type="spellEnd"/>
      <w:r w:rsidRPr="003E4298">
        <w:rPr>
          <w:rFonts w:ascii="Times New Roman" w:hAnsi="Times New Roman" w:cs="Times New Roman"/>
          <w:sz w:val="24"/>
          <w:szCs w:val="24"/>
          <w:lang w:eastAsia="de-DE"/>
        </w:rPr>
        <w:t xml:space="preserve">, T. (2005) Constructing the Self and Changing Others: Reconsidering </w:t>
      </w:r>
      <w:r w:rsidR="00E15357">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 xml:space="preserve">Normative Power Europe’. </w:t>
      </w:r>
      <w:r w:rsidRPr="003E4298">
        <w:rPr>
          <w:rFonts w:ascii="Times New Roman" w:hAnsi="Times New Roman" w:cs="Times New Roman"/>
          <w:i/>
          <w:sz w:val="24"/>
          <w:szCs w:val="24"/>
          <w:lang w:eastAsia="de-DE"/>
        </w:rPr>
        <w:t>Journal of International Studies</w:t>
      </w:r>
      <w:r w:rsidRPr="003E4298">
        <w:rPr>
          <w:rFonts w:ascii="Times New Roman" w:hAnsi="Times New Roman" w:cs="Times New Roman"/>
          <w:sz w:val="24"/>
          <w:szCs w:val="24"/>
          <w:lang w:eastAsia="de-DE"/>
        </w:rPr>
        <w:t xml:space="preserve"> 33(3), 613-636.</w:t>
      </w:r>
    </w:p>
    <w:p w14:paraId="6377EFEC" w14:textId="77777777" w:rsidR="00156DF4" w:rsidRPr="003E4298" w:rsidRDefault="00156DF4" w:rsidP="00BF515E">
      <w:pPr>
        <w:spacing w:line="480" w:lineRule="auto"/>
        <w:ind w:left="720" w:hanging="720"/>
        <w:contextualSpacing/>
        <w:rPr>
          <w:rFonts w:ascii="Times New Roman" w:hAnsi="Times New Roman" w:cs="Times New Roman"/>
          <w:sz w:val="24"/>
          <w:szCs w:val="24"/>
          <w:lang w:eastAsia="de-DE"/>
        </w:rPr>
      </w:pPr>
      <w:proofErr w:type="spellStart"/>
      <w:r w:rsidRPr="003E4298">
        <w:rPr>
          <w:rFonts w:ascii="Times New Roman" w:hAnsi="Times New Roman" w:cs="Times New Roman"/>
          <w:sz w:val="24"/>
          <w:szCs w:val="24"/>
          <w:lang w:eastAsia="de-DE"/>
        </w:rPr>
        <w:t>Diez</w:t>
      </w:r>
      <w:proofErr w:type="spellEnd"/>
      <w:r w:rsidRPr="003E4298">
        <w:rPr>
          <w:rFonts w:ascii="Times New Roman" w:hAnsi="Times New Roman" w:cs="Times New Roman"/>
          <w:sz w:val="24"/>
          <w:szCs w:val="24"/>
          <w:lang w:eastAsia="de-DE"/>
        </w:rPr>
        <w:t xml:space="preserve">, T. (2013) </w:t>
      </w:r>
      <w:proofErr w:type="gramStart"/>
      <w:r w:rsidRPr="003E4298">
        <w:rPr>
          <w:rFonts w:ascii="Times New Roman" w:hAnsi="Times New Roman" w:cs="Times New Roman"/>
          <w:sz w:val="24"/>
          <w:szCs w:val="24"/>
          <w:lang w:eastAsia="de-DE"/>
        </w:rPr>
        <w:t>Normative</w:t>
      </w:r>
      <w:proofErr w:type="gramEnd"/>
      <w:r w:rsidRPr="003E4298">
        <w:rPr>
          <w:rFonts w:ascii="Times New Roman" w:hAnsi="Times New Roman" w:cs="Times New Roman"/>
          <w:sz w:val="24"/>
          <w:szCs w:val="24"/>
          <w:lang w:eastAsia="de-DE"/>
        </w:rPr>
        <w:t xml:space="preserve"> power as hegemony. </w:t>
      </w:r>
      <w:r w:rsidRPr="003E4298">
        <w:rPr>
          <w:rFonts w:ascii="Times New Roman" w:hAnsi="Times New Roman" w:cs="Times New Roman"/>
          <w:i/>
          <w:sz w:val="24"/>
          <w:szCs w:val="24"/>
          <w:lang w:eastAsia="de-DE"/>
        </w:rPr>
        <w:t>Cooperation and Conflict</w:t>
      </w:r>
      <w:r w:rsidRPr="003E4298">
        <w:rPr>
          <w:rFonts w:ascii="Times New Roman" w:hAnsi="Times New Roman" w:cs="Times New Roman"/>
          <w:sz w:val="24"/>
          <w:szCs w:val="24"/>
          <w:lang w:eastAsia="de-DE"/>
        </w:rPr>
        <w:t xml:space="preserve"> 48, 194-210.</w:t>
      </w:r>
    </w:p>
    <w:p w14:paraId="0B3C12F8" w14:textId="7300E688" w:rsidR="00156DF4" w:rsidRPr="003E4298" w:rsidRDefault="00156DF4" w:rsidP="00156DF4">
      <w:pPr>
        <w:pStyle w:val="PlainText"/>
        <w:spacing w:line="480" w:lineRule="auto"/>
        <w:ind w:left="720" w:hanging="720"/>
        <w:contextualSpacing/>
        <w:rPr>
          <w:rFonts w:ascii="Times New Roman" w:hAnsi="Times New Roman" w:cs="Times New Roman"/>
          <w:sz w:val="24"/>
          <w:szCs w:val="24"/>
        </w:rPr>
      </w:pPr>
      <w:proofErr w:type="spellStart"/>
      <w:r w:rsidRPr="003E4298">
        <w:rPr>
          <w:rFonts w:ascii="Times New Roman" w:hAnsi="Times New Roman" w:cs="Times New Roman"/>
          <w:sz w:val="24"/>
          <w:szCs w:val="24"/>
        </w:rPr>
        <w:t>EURactiv</w:t>
      </w:r>
      <w:proofErr w:type="spellEnd"/>
      <w:r w:rsidRPr="003E4298">
        <w:rPr>
          <w:rFonts w:ascii="Times New Roman" w:hAnsi="Times New Roman" w:cs="Times New Roman"/>
          <w:sz w:val="24"/>
          <w:szCs w:val="24"/>
        </w:rPr>
        <w:t xml:space="preserve"> (2012), Large countries oppose EU Gazprom deals scrutiny, 12/09/2012, </w:t>
      </w:r>
      <w:r w:rsidRPr="00334E1E">
        <w:rPr>
          <w:rFonts w:ascii="Times New Roman" w:hAnsi="Times New Roman" w:cs="Times New Roman"/>
          <w:sz w:val="24"/>
          <w:szCs w:val="24"/>
        </w:rPr>
        <w:t>http://www.euractiv.com/energy/largest-eu-countries-oppose-gazp-news-514739</w:t>
      </w:r>
      <w:r>
        <w:rPr>
          <w:rStyle w:val="Hyperlink"/>
          <w:rFonts w:ascii="Times New Roman" w:hAnsi="Times New Roman" w:cs="Times New Roman"/>
          <w:color w:val="auto"/>
          <w:sz w:val="24"/>
          <w:szCs w:val="24"/>
          <w:u w:val="none"/>
        </w:rPr>
        <w:t xml:space="preserve"> </w:t>
      </w:r>
      <w:r w:rsidRPr="003E4298">
        <w:rPr>
          <w:rFonts w:ascii="Times New Roman" w:hAnsi="Times New Roman" w:cs="Times New Roman"/>
          <w:sz w:val="24"/>
          <w:szCs w:val="24"/>
        </w:rPr>
        <w:t>Accessed 03 June 2014.</w:t>
      </w:r>
    </w:p>
    <w:p w14:paraId="1AB06C98" w14:textId="11631186" w:rsidR="00156DF4" w:rsidRPr="003E4298" w:rsidRDefault="00156DF4" w:rsidP="00BF515E">
      <w:pPr>
        <w:spacing w:line="480" w:lineRule="auto"/>
        <w:ind w:left="720" w:hanging="720"/>
        <w:contextualSpacing/>
        <w:rPr>
          <w:rFonts w:ascii="Times New Roman" w:hAnsi="Times New Roman" w:cs="Times New Roman"/>
          <w:i/>
          <w:sz w:val="24"/>
          <w:szCs w:val="24"/>
        </w:rPr>
      </w:pPr>
      <w:r w:rsidRPr="003E4298">
        <w:rPr>
          <w:rFonts w:ascii="Times New Roman" w:hAnsi="Times New Roman" w:cs="Times New Roman"/>
          <w:sz w:val="24"/>
          <w:szCs w:val="24"/>
        </w:rPr>
        <w:t xml:space="preserve">European Parliament and Council </w:t>
      </w:r>
      <w:r w:rsidR="000519CF">
        <w:rPr>
          <w:rFonts w:ascii="Times New Roman" w:hAnsi="Times New Roman" w:cs="Times New Roman"/>
          <w:sz w:val="24"/>
          <w:szCs w:val="24"/>
        </w:rPr>
        <w:t xml:space="preserve">(2012) </w:t>
      </w:r>
      <w:r w:rsidRPr="003E4298">
        <w:rPr>
          <w:rFonts w:ascii="Times New Roman" w:hAnsi="Times New Roman" w:cs="Times New Roman"/>
          <w:sz w:val="24"/>
          <w:szCs w:val="24"/>
        </w:rPr>
        <w:t xml:space="preserve">Decision 2012/994/EP and Council of 25 October 2012 on </w:t>
      </w:r>
      <w:r w:rsidRPr="003E4298">
        <w:rPr>
          <w:rFonts w:ascii="Times New Roman" w:hAnsi="Times New Roman" w:cs="Times New Roman"/>
          <w:bCs/>
          <w:color w:val="000000"/>
          <w:sz w:val="24"/>
          <w:szCs w:val="24"/>
        </w:rPr>
        <w:t xml:space="preserve">establishing an information exchange mechanism with regard to intergovernmental agreements between Member States and third countries in the field of energy, </w:t>
      </w:r>
      <w:r w:rsidRPr="003E4298">
        <w:rPr>
          <w:rFonts w:ascii="Times New Roman" w:hAnsi="Times New Roman" w:cs="Times New Roman"/>
          <w:sz w:val="24"/>
          <w:szCs w:val="24"/>
        </w:rPr>
        <w:t>Decision 994/2012/EU</w:t>
      </w:r>
      <w:r w:rsidRPr="003E4298">
        <w:rPr>
          <w:rFonts w:ascii="Times New Roman" w:hAnsi="Times New Roman" w:cs="Times New Roman"/>
          <w:i/>
          <w:sz w:val="24"/>
          <w:szCs w:val="24"/>
        </w:rPr>
        <w:t>.</w:t>
      </w:r>
    </w:p>
    <w:p w14:paraId="7D42B50B" w14:textId="1F38DF26" w:rsidR="00156DF4" w:rsidRPr="003E4298" w:rsidRDefault="00156DF4" w:rsidP="00BF515E">
      <w:pPr>
        <w:spacing w:line="480" w:lineRule="auto"/>
        <w:ind w:left="720" w:hanging="720"/>
        <w:contextualSpacing/>
        <w:rPr>
          <w:rFonts w:ascii="Times New Roman" w:hAnsi="Times New Roman" w:cs="Times New Roman"/>
          <w:sz w:val="24"/>
          <w:szCs w:val="24"/>
          <w:lang w:eastAsia="de-DE"/>
        </w:rPr>
      </w:pPr>
      <w:proofErr w:type="spellStart"/>
      <w:r w:rsidRPr="003E4298">
        <w:rPr>
          <w:rFonts w:ascii="Times New Roman" w:hAnsi="Times New Roman" w:cs="Times New Roman"/>
          <w:sz w:val="24"/>
          <w:szCs w:val="24"/>
          <w:lang w:eastAsia="de-DE"/>
        </w:rPr>
        <w:t>Gjerstad</w:t>
      </w:r>
      <w:proofErr w:type="spellEnd"/>
      <w:r w:rsidRPr="003E4298">
        <w:rPr>
          <w:rFonts w:ascii="Times New Roman" w:hAnsi="Times New Roman" w:cs="Times New Roman"/>
          <w:sz w:val="24"/>
          <w:szCs w:val="24"/>
          <w:lang w:eastAsia="de-DE"/>
        </w:rPr>
        <w:t>, O. (2007), The Polyphony of Politics: Finding Voices in French Poli</w:t>
      </w:r>
      <w:r w:rsidR="00334E1E">
        <w:rPr>
          <w:rFonts w:ascii="Times New Roman" w:hAnsi="Times New Roman" w:cs="Times New Roman"/>
          <w:sz w:val="24"/>
          <w:szCs w:val="24"/>
          <w:lang w:eastAsia="de-DE"/>
        </w:rPr>
        <w:t>tical Discourse.</w:t>
      </w:r>
      <w:r w:rsidRPr="003E4298">
        <w:rPr>
          <w:rFonts w:ascii="Times New Roman" w:hAnsi="Times New Roman" w:cs="Times New Roman"/>
          <w:sz w:val="24"/>
          <w:szCs w:val="24"/>
          <w:lang w:eastAsia="de-DE"/>
        </w:rPr>
        <w:t xml:space="preserve"> </w:t>
      </w:r>
      <w:r w:rsidRPr="003E4298">
        <w:rPr>
          <w:rFonts w:ascii="Times New Roman" w:hAnsi="Times New Roman" w:cs="Times New Roman"/>
          <w:i/>
          <w:sz w:val="24"/>
          <w:szCs w:val="24"/>
          <w:lang w:eastAsia="de-DE"/>
        </w:rPr>
        <w:t xml:space="preserve">Critical Approaches to Discourse Analysis Across Disciplines </w:t>
      </w:r>
      <w:r w:rsidR="00334E1E">
        <w:rPr>
          <w:rFonts w:ascii="Times New Roman" w:hAnsi="Times New Roman" w:cs="Times New Roman"/>
          <w:sz w:val="24"/>
          <w:szCs w:val="24"/>
          <w:lang w:eastAsia="de-DE"/>
        </w:rPr>
        <w:t xml:space="preserve">1(2): </w:t>
      </w:r>
      <w:r w:rsidRPr="003E4298">
        <w:rPr>
          <w:rFonts w:ascii="Times New Roman" w:hAnsi="Times New Roman" w:cs="Times New Roman"/>
          <w:sz w:val="24"/>
          <w:szCs w:val="24"/>
          <w:lang w:eastAsia="de-DE"/>
        </w:rPr>
        <w:t>61-78.</w:t>
      </w:r>
    </w:p>
    <w:p w14:paraId="03285F2F" w14:textId="416E49C3" w:rsidR="00156DF4" w:rsidRPr="003E4298" w:rsidRDefault="00156DF4" w:rsidP="00BF515E">
      <w:pPr>
        <w:spacing w:line="480" w:lineRule="auto"/>
        <w:ind w:left="720" w:hanging="720"/>
        <w:contextualSpacing/>
        <w:rPr>
          <w:rFonts w:ascii="Times New Roman" w:hAnsi="Times New Roman" w:cs="Times New Roman"/>
          <w:sz w:val="24"/>
          <w:szCs w:val="24"/>
          <w:lang w:eastAsia="de-DE"/>
        </w:rPr>
      </w:pPr>
      <w:proofErr w:type="spellStart"/>
      <w:r w:rsidRPr="003E4298">
        <w:rPr>
          <w:rFonts w:ascii="Times New Roman" w:hAnsi="Times New Roman" w:cs="Times New Roman"/>
          <w:sz w:val="24"/>
          <w:szCs w:val="24"/>
          <w:lang w:eastAsia="de-DE"/>
        </w:rPr>
        <w:lastRenderedPageBreak/>
        <w:t>Gstöhl</w:t>
      </w:r>
      <w:proofErr w:type="spellEnd"/>
      <w:r w:rsidRPr="003E4298">
        <w:rPr>
          <w:rFonts w:ascii="Times New Roman" w:hAnsi="Times New Roman" w:cs="Times New Roman"/>
          <w:sz w:val="24"/>
          <w:szCs w:val="24"/>
          <w:lang w:eastAsia="de-DE"/>
        </w:rPr>
        <w:t xml:space="preserve">, S. (2009) The Social Dimension of EU Neighbourhood Policies. In: </w:t>
      </w:r>
      <w:proofErr w:type="spellStart"/>
      <w:r w:rsidRPr="003E4298">
        <w:rPr>
          <w:rFonts w:ascii="Times New Roman" w:hAnsi="Times New Roman" w:cs="Times New Roman"/>
          <w:sz w:val="24"/>
          <w:szCs w:val="24"/>
          <w:lang w:eastAsia="de-DE"/>
        </w:rPr>
        <w:t>Orbie</w:t>
      </w:r>
      <w:proofErr w:type="spellEnd"/>
      <w:r w:rsidRPr="003E4298">
        <w:rPr>
          <w:rFonts w:ascii="Times New Roman" w:hAnsi="Times New Roman" w:cs="Times New Roman"/>
          <w:sz w:val="24"/>
          <w:szCs w:val="24"/>
          <w:lang w:eastAsia="de-DE"/>
        </w:rPr>
        <w:t xml:space="preserve">, J. </w:t>
      </w:r>
      <w:r w:rsidR="00391756">
        <w:rPr>
          <w:rFonts w:ascii="Times New Roman" w:hAnsi="Times New Roman" w:cs="Times New Roman"/>
          <w:sz w:val="24"/>
          <w:szCs w:val="24"/>
          <w:lang w:eastAsia="de-DE"/>
        </w:rPr>
        <w:t>and</w:t>
      </w:r>
      <w:r w:rsidR="00391756" w:rsidRPr="003E4298">
        <w:rPr>
          <w:rFonts w:ascii="Times New Roman" w:hAnsi="Times New Roman" w:cs="Times New Roman"/>
          <w:sz w:val="24"/>
          <w:szCs w:val="24"/>
          <w:lang w:eastAsia="de-DE"/>
        </w:rPr>
        <w:t xml:space="preserve"> </w:t>
      </w:r>
      <w:proofErr w:type="spellStart"/>
      <w:r w:rsidRPr="003E4298">
        <w:rPr>
          <w:rFonts w:ascii="Times New Roman" w:hAnsi="Times New Roman" w:cs="Times New Roman"/>
          <w:sz w:val="24"/>
          <w:szCs w:val="24"/>
          <w:lang w:eastAsia="de-DE"/>
        </w:rPr>
        <w:t>Tortell</w:t>
      </w:r>
      <w:proofErr w:type="spellEnd"/>
      <w:r w:rsidRPr="003E4298">
        <w:rPr>
          <w:rFonts w:ascii="Times New Roman" w:hAnsi="Times New Roman" w:cs="Times New Roman"/>
          <w:sz w:val="24"/>
          <w:szCs w:val="24"/>
          <w:lang w:eastAsia="de-DE"/>
        </w:rPr>
        <w:t>, L. (</w:t>
      </w:r>
      <w:proofErr w:type="spellStart"/>
      <w:proofErr w:type="gramStart"/>
      <w:r w:rsidRPr="003E4298">
        <w:rPr>
          <w:rFonts w:ascii="Times New Roman" w:hAnsi="Times New Roman" w:cs="Times New Roman"/>
          <w:sz w:val="24"/>
          <w:szCs w:val="24"/>
          <w:lang w:eastAsia="de-DE"/>
        </w:rPr>
        <w:t>eds</w:t>
      </w:r>
      <w:proofErr w:type="spellEnd"/>
      <w:proofErr w:type="gramEnd"/>
      <w:r w:rsidRPr="003E4298">
        <w:rPr>
          <w:rFonts w:ascii="Times New Roman" w:hAnsi="Times New Roman" w:cs="Times New Roman"/>
          <w:sz w:val="24"/>
          <w:szCs w:val="24"/>
          <w:lang w:eastAsia="de-DE"/>
        </w:rPr>
        <w:t xml:space="preserve">) </w:t>
      </w:r>
      <w:r w:rsidRPr="003E4298">
        <w:rPr>
          <w:rFonts w:ascii="Times New Roman" w:hAnsi="Times New Roman" w:cs="Times New Roman"/>
          <w:i/>
          <w:sz w:val="24"/>
          <w:szCs w:val="24"/>
          <w:lang w:eastAsia="de-DE"/>
        </w:rPr>
        <w:t>The European Union and the Social Dimension of Globalization: How the EU Influences the World</w:t>
      </w:r>
      <w:r w:rsidRPr="003E4298">
        <w:rPr>
          <w:rFonts w:ascii="Times New Roman" w:hAnsi="Times New Roman" w:cs="Times New Roman"/>
          <w:sz w:val="24"/>
          <w:szCs w:val="24"/>
          <w:lang w:eastAsia="de-DE"/>
        </w:rPr>
        <w:t>. London: Routledge, pp.</w:t>
      </w:r>
      <w:r w:rsidR="00334E1E">
        <w:rPr>
          <w:rFonts w:ascii="Times New Roman" w:hAnsi="Times New Roman" w:cs="Times New Roman"/>
          <w:sz w:val="24"/>
          <w:szCs w:val="24"/>
          <w:lang w:eastAsia="de-DE"/>
        </w:rPr>
        <w:t xml:space="preserve"> </w:t>
      </w:r>
      <w:r w:rsidRPr="003E4298">
        <w:rPr>
          <w:rFonts w:ascii="Times New Roman" w:hAnsi="Times New Roman" w:cs="Times New Roman"/>
          <w:sz w:val="24"/>
          <w:szCs w:val="24"/>
          <w:lang w:eastAsia="de-DE"/>
        </w:rPr>
        <w:t>62-80.</w:t>
      </w:r>
    </w:p>
    <w:p w14:paraId="3ED84F0A" w14:textId="3F10A4CB" w:rsidR="00156DF4" w:rsidRPr="003E4298" w:rsidRDefault="000519CF" w:rsidP="00BF515E">
      <w:pPr>
        <w:spacing w:line="480" w:lineRule="auto"/>
        <w:ind w:left="720" w:hanging="720"/>
        <w:contextualSpacing/>
        <w:rPr>
          <w:rFonts w:ascii="Times New Roman" w:hAnsi="Times New Roman" w:cs="Times New Roman"/>
          <w:sz w:val="24"/>
          <w:szCs w:val="24"/>
          <w:lang w:eastAsia="de-DE"/>
        </w:rPr>
      </w:pPr>
      <w:proofErr w:type="spellStart"/>
      <w:r>
        <w:rPr>
          <w:rFonts w:ascii="Times New Roman" w:hAnsi="Times New Roman" w:cs="Times New Roman"/>
          <w:sz w:val="24"/>
          <w:szCs w:val="24"/>
          <w:lang w:eastAsia="de-DE"/>
        </w:rPr>
        <w:t>Hooghe</w:t>
      </w:r>
      <w:proofErr w:type="spellEnd"/>
      <w:r>
        <w:rPr>
          <w:rFonts w:ascii="Times New Roman" w:hAnsi="Times New Roman" w:cs="Times New Roman"/>
          <w:sz w:val="24"/>
          <w:szCs w:val="24"/>
          <w:lang w:eastAsia="de-DE"/>
        </w:rPr>
        <w:t xml:space="preserve">, L., </w:t>
      </w:r>
      <w:r w:rsidR="00391756">
        <w:rPr>
          <w:rFonts w:ascii="Times New Roman" w:hAnsi="Times New Roman" w:cs="Times New Roman"/>
          <w:sz w:val="24"/>
          <w:szCs w:val="24"/>
          <w:lang w:eastAsia="de-DE"/>
        </w:rPr>
        <w:t xml:space="preserve">and </w:t>
      </w:r>
      <w:r>
        <w:rPr>
          <w:rFonts w:ascii="Times New Roman" w:hAnsi="Times New Roman" w:cs="Times New Roman"/>
          <w:sz w:val="24"/>
          <w:szCs w:val="24"/>
          <w:lang w:eastAsia="de-DE"/>
        </w:rPr>
        <w:t>Marks G</w:t>
      </w:r>
      <w:r w:rsidR="00156DF4" w:rsidRPr="003E4298">
        <w:rPr>
          <w:rFonts w:ascii="Times New Roman" w:hAnsi="Times New Roman" w:cs="Times New Roman"/>
          <w:sz w:val="24"/>
          <w:szCs w:val="24"/>
          <w:lang w:eastAsia="de-DE"/>
        </w:rPr>
        <w:t xml:space="preserve">., (2001) </w:t>
      </w:r>
      <w:r w:rsidR="00156DF4" w:rsidRPr="003E4298">
        <w:rPr>
          <w:rFonts w:ascii="Times New Roman" w:hAnsi="Times New Roman" w:cs="Times New Roman"/>
          <w:i/>
          <w:sz w:val="24"/>
          <w:szCs w:val="24"/>
          <w:lang w:eastAsia="de-DE"/>
        </w:rPr>
        <w:t>Multilevel Governance and European Integration</w:t>
      </w:r>
      <w:r w:rsidR="00156DF4" w:rsidRPr="003E4298">
        <w:rPr>
          <w:rFonts w:ascii="Times New Roman" w:hAnsi="Times New Roman" w:cs="Times New Roman"/>
          <w:sz w:val="24"/>
          <w:szCs w:val="24"/>
          <w:lang w:eastAsia="de-DE"/>
        </w:rPr>
        <w:t xml:space="preserve">. Maryland: Rowman </w:t>
      </w:r>
      <w:r w:rsidR="00391756">
        <w:rPr>
          <w:rFonts w:ascii="Times New Roman" w:hAnsi="Times New Roman" w:cs="Times New Roman"/>
          <w:sz w:val="24"/>
          <w:szCs w:val="24"/>
          <w:lang w:eastAsia="de-DE"/>
        </w:rPr>
        <w:t>and</w:t>
      </w:r>
      <w:r w:rsidR="00391756" w:rsidRPr="003E4298">
        <w:rPr>
          <w:rFonts w:ascii="Times New Roman" w:hAnsi="Times New Roman" w:cs="Times New Roman"/>
          <w:sz w:val="24"/>
          <w:szCs w:val="24"/>
          <w:lang w:eastAsia="de-DE"/>
        </w:rPr>
        <w:t xml:space="preserve"> </w:t>
      </w:r>
      <w:r w:rsidR="00156DF4" w:rsidRPr="003E4298">
        <w:rPr>
          <w:rFonts w:ascii="Times New Roman" w:hAnsi="Times New Roman" w:cs="Times New Roman"/>
          <w:sz w:val="24"/>
          <w:szCs w:val="24"/>
          <w:lang w:eastAsia="de-DE"/>
        </w:rPr>
        <w:t>Littlefield.</w:t>
      </w:r>
    </w:p>
    <w:p w14:paraId="0B5CF89F" w14:textId="77777777" w:rsidR="00156DF4" w:rsidRPr="003E4298" w:rsidRDefault="00156DF4" w:rsidP="00BF515E">
      <w:pPr>
        <w:spacing w:line="480" w:lineRule="auto"/>
        <w:ind w:left="720" w:hanging="720"/>
        <w:contextualSpacing/>
        <w:rPr>
          <w:rFonts w:ascii="Times New Roman" w:hAnsi="Times New Roman" w:cs="Times New Roman"/>
          <w:i/>
          <w:sz w:val="24"/>
          <w:szCs w:val="24"/>
          <w:lang w:eastAsia="de-DE"/>
        </w:rPr>
      </w:pPr>
      <w:r w:rsidRPr="003E4298">
        <w:rPr>
          <w:rFonts w:ascii="Times New Roman" w:hAnsi="Times New Roman" w:cs="Times New Roman"/>
          <w:sz w:val="24"/>
          <w:szCs w:val="24"/>
          <w:lang w:eastAsia="de-DE"/>
        </w:rPr>
        <w:t xml:space="preserve">International Energy Agency (2014) </w:t>
      </w:r>
      <w:r w:rsidRPr="003E4298">
        <w:rPr>
          <w:rFonts w:ascii="Times New Roman" w:hAnsi="Times New Roman" w:cs="Times New Roman"/>
          <w:i/>
          <w:sz w:val="24"/>
          <w:szCs w:val="24"/>
          <w:lang w:eastAsia="de-DE"/>
        </w:rPr>
        <w:t xml:space="preserve">Energy Supply Security 2014, </w:t>
      </w:r>
      <w:r w:rsidRPr="003E4298">
        <w:rPr>
          <w:rFonts w:ascii="Times New Roman" w:hAnsi="Times New Roman" w:cs="Times New Roman"/>
          <w:sz w:val="24"/>
          <w:szCs w:val="24"/>
          <w:lang w:eastAsia="de-DE"/>
        </w:rPr>
        <w:t>http://www.iea.org/media/freepublications/security/EnergySupplySecurity2014_France.pdf</w:t>
      </w:r>
    </w:p>
    <w:p w14:paraId="08BAA8E8" w14:textId="00BA6EA7" w:rsidR="00156DF4" w:rsidRPr="003E4298" w:rsidRDefault="00156DF4" w:rsidP="00BF515E">
      <w:pPr>
        <w:spacing w:line="480" w:lineRule="auto"/>
        <w:ind w:left="720" w:hanging="720"/>
        <w:contextualSpacing/>
        <w:rPr>
          <w:rFonts w:ascii="Times New Roman" w:hAnsi="Times New Roman" w:cs="Times New Roman"/>
          <w:sz w:val="24"/>
          <w:szCs w:val="24"/>
          <w:lang w:eastAsia="de-DE"/>
        </w:rPr>
      </w:pPr>
      <w:proofErr w:type="spellStart"/>
      <w:r w:rsidRPr="003E4298">
        <w:rPr>
          <w:rFonts w:ascii="Times New Roman" w:hAnsi="Times New Roman" w:cs="Times New Roman"/>
          <w:sz w:val="24"/>
          <w:szCs w:val="24"/>
          <w:lang w:eastAsia="de-DE"/>
        </w:rPr>
        <w:t>Khasson</w:t>
      </w:r>
      <w:proofErr w:type="spellEnd"/>
      <w:r w:rsidRPr="003E4298">
        <w:rPr>
          <w:rFonts w:ascii="Times New Roman" w:hAnsi="Times New Roman" w:cs="Times New Roman"/>
          <w:sz w:val="24"/>
          <w:szCs w:val="24"/>
          <w:lang w:eastAsia="de-DE"/>
        </w:rPr>
        <w:t xml:space="preserve">, V., </w:t>
      </w:r>
      <w:proofErr w:type="spellStart"/>
      <w:r w:rsidRPr="003E4298">
        <w:rPr>
          <w:rFonts w:ascii="Times New Roman" w:hAnsi="Times New Roman" w:cs="Times New Roman"/>
          <w:sz w:val="24"/>
          <w:szCs w:val="24"/>
          <w:lang w:eastAsia="de-DE"/>
        </w:rPr>
        <w:t>Vasilyan</w:t>
      </w:r>
      <w:proofErr w:type="spellEnd"/>
      <w:r w:rsidRPr="003E4298">
        <w:rPr>
          <w:rFonts w:ascii="Times New Roman" w:hAnsi="Times New Roman" w:cs="Times New Roman"/>
          <w:sz w:val="24"/>
          <w:szCs w:val="24"/>
          <w:lang w:eastAsia="de-DE"/>
        </w:rPr>
        <w:t xml:space="preserve">, S., </w:t>
      </w:r>
      <w:r w:rsidR="00391756">
        <w:rPr>
          <w:rFonts w:ascii="Times New Roman" w:hAnsi="Times New Roman" w:cs="Times New Roman"/>
          <w:sz w:val="24"/>
          <w:szCs w:val="24"/>
          <w:lang w:eastAsia="de-DE"/>
        </w:rPr>
        <w:t xml:space="preserve">and </w:t>
      </w:r>
      <w:proofErr w:type="spellStart"/>
      <w:r w:rsidRPr="003E4298">
        <w:rPr>
          <w:rFonts w:ascii="Times New Roman" w:hAnsi="Times New Roman" w:cs="Times New Roman"/>
          <w:sz w:val="24"/>
          <w:szCs w:val="24"/>
          <w:lang w:eastAsia="de-DE"/>
        </w:rPr>
        <w:t>Vos</w:t>
      </w:r>
      <w:proofErr w:type="spellEnd"/>
      <w:r w:rsidRPr="003E4298">
        <w:rPr>
          <w:rFonts w:ascii="Times New Roman" w:hAnsi="Times New Roman" w:cs="Times New Roman"/>
          <w:sz w:val="24"/>
          <w:szCs w:val="24"/>
          <w:lang w:eastAsia="de-DE"/>
        </w:rPr>
        <w:t xml:space="preserve">, H. (2008) </w:t>
      </w:r>
      <w:proofErr w:type="gramStart"/>
      <w:r w:rsidRPr="003E4298">
        <w:rPr>
          <w:rFonts w:ascii="Times New Roman" w:hAnsi="Times New Roman" w:cs="Times New Roman"/>
          <w:sz w:val="24"/>
          <w:szCs w:val="24"/>
          <w:lang w:eastAsia="de-DE"/>
        </w:rPr>
        <w:t>Everybody</w:t>
      </w:r>
      <w:proofErr w:type="gramEnd"/>
      <w:r w:rsidRPr="003E4298">
        <w:rPr>
          <w:rFonts w:ascii="Times New Roman" w:hAnsi="Times New Roman" w:cs="Times New Roman"/>
          <w:sz w:val="24"/>
          <w:szCs w:val="24"/>
          <w:lang w:eastAsia="de-DE"/>
        </w:rPr>
        <w:t xml:space="preserve"> needs good neighbours: the EU and its neighbourhood. In: </w:t>
      </w:r>
      <w:proofErr w:type="spellStart"/>
      <w:r w:rsidRPr="003E4298">
        <w:rPr>
          <w:rFonts w:ascii="Times New Roman" w:hAnsi="Times New Roman" w:cs="Times New Roman"/>
          <w:sz w:val="24"/>
          <w:szCs w:val="24"/>
          <w:lang w:eastAsia="de-DE"/>
        </w:rPr>
        <w:t>Orbie</w:t>
      </w:r>
      <w:proofErr w:type="spellEnd"/>
      <w:r w:rsidRPr="003E4298">
        <w:rPr>
          <w:rFonts w:ascii="Times New Roman" w:hAnsi="Times New Roman" w:cs="Times New Roman"/>
          <w:sz w:val="24"/>
          <w:szCs w:val="24"/>
          <w:lang w:eastAsia="de-DE"/>
        </w:rPr>
        <w:t xml:space="preserve">, J. (ed.) </w:t>
      </w:r>
      <w:r w:rsidRPr="003E4298">
        <w:rPr>
          <w:rFonts w:ascii="Times New Roman" w:hAnsi="Times New Roman" w:cs="Times New Roman"/>
          <w:i/>
          <w:sz w:val="24"/>
          <w:szCs w:val="24"/>
          <w:lang w:eastAsia="de-DE"/>
        </w:rPr>
        <w:t>Europe's Global Role: External Policies of the European Union</w:t>
      </w:r>
      <w:r w:rsidRPr="003E4298">
        <w:rPr>
          <w:rFonts w:ascii="Times New Roman" w:hAnsi="Times New Roman" w:cs="Times New Roman"/>
          <w:sz w:val="24"/>
          <w:szCs w:val="24"/>
          <w:lang w:eastAsia="de-DE"/>
        </w:rPr>
        <w:t xml:space="preserve">. </w:t>
      </w:r>
      <w:r w:rsidR="000519CF">
        <w:rPr>
          <w:rFonts w:ascii="Times New Roman" w:hAnsi="Times New Roman" w:cs="Times New Roman"/>
          <w:sz w:val="24"/>
          <w:szCs w:val="24"/>
          <w:lang w:eastAsia="de-DE"/>
        </w:rPr>
        <w:t xml:space="preserve">London: </w:t>
      </w:r>
      <w:proofErr w:type="spellStart"/>
      <w:r w:rsidRPr="003E4298">
        <w:rPr>
          <w:rFonts w:ascii="Times New Roman" w:hAnsi="Times New Roman" w:cs="Times New Roman"/>
          <w:sz w:val="24"/>
          <w:szCs w:val="24"/>
          <w:lang w:eastAsia="de-DE"/>
        </w:rPr>
        <w:t>Ashgate</w:t>
      </w:r>
      <w:proofErr w:type="spellEnd"/>
      <w:r w:rsidRPr="003E4298">
        <w:rPr>
          <w:rFonts w:ascii="Times New Roman" w:hAnsi="Times New Roman" w:cs="Times New Roman"/>
          <w:sz w:val="24"/>
          <w:szCs w:val="24"/>
          <w:lang w:eastAsia="de-DE"/>
        </w:rPr>
        <w:t>, pp.</w:t>
      </w:r>
      <w:r w:rsidR="00334E1E">
        <w:rPr>
          <w:rFonts w:ascii="Times New Roman" w:hAnsi="Times New Roman" w:cs="Times New Roman"/>
          <w:sz w:val="24"/>
          <w:szCs w:val="24"/>
          <w:lang w:eastAsia="de-DE"/>
        </w:rPr>
        <w:t xml:space="preserve"> </w:t>
      </w:r>
      <w:r w:rsidRPr="003E4298">
        <w:rPr>
          <w:rFonts w:ascii="Times New Roman" w:hAnsi="Times New Roman" w:cs="Times New Roman"/>
          <w:sz w:val="24"/>
          <w:szCs w:val="24"/>
          <w:lang w:eastAsia="de-DE"/>
        </w:rPr>
        <w:t>217-238.</w:t>
      </w:r>
    </w:p>
    <w:p w14:paraId="7BEE8825" w14:textId="7C8EC93F" w:rsidR="00156DF4" w:rsidRPr="003E4298" w:rsidRDefault="00156DF4" w:rsidP="00BF515E">
      <w:pPr>
        <w:spacing w:line="480" w:lineRule="auto"/>
        <w:ind w:left="720" w:hanging="720"/>
        <w:contextualSpacing/>
        <w:rPr>
          <w:rFonts w:ascii="Times New Roman" w:hAnsi="Times New Roman" w:cs="Times New Roman"/>
          <w:sz w:val="24"/>
          <w:szCs w:val="24"/>
        </w:rPr>
      </w:pPr>
      <w:r w:rsidRPr="003E4298">
        <w:rPr>
          <w:rFonts w:ascii="Times New Roman" w:hAnsi="Times New Roman" w:cs="Times New Roman"/>
          <w:sz w:val="24"/>
          <w:szCs w:val="24"/>
        </w:rPr>
        <w:t xml:space="preserve">Knodt, M., F. Müller, </w:t>
      </w:r>
      <w:r w:rsidR="00391756">
        <w:rPr>
          <w:rFonts w:ascii="Times New Roman" w:hAnsi="Times New Roman" w:cs="Times New Roman"/>
          <w:sz w:val="24"/>
          <w:szCs w:val="24"/>
        </w:rPr>
        <w:t xml:space="preserve">and </w:t>
      </w:r>
      <w:r w:rsidRPr="003E4298">
        <w:rPr>
          <w:rFonts w:ascii="Times New Roman" w:hAnsi="Times New Roman" w:cs="Times New Roman"/>
          <w:sz w:val="24"/>
          <w:szCs w:val="24"/>
        </w:rPr>
        <w:t xml:space="preserve">N. </w:t>
      </w:r>
      <w:proofErr w:type="spellStart"/>
      <w:r w:rsidRPr="003E4298">
        <w:rPr>
          <w:rFonts w:ascii="Times New Roman" w:hAnsi="Times New Roman" w:cs="Times New Roman"/>
          <w:sz w:val="24"/>
          <w:szCs w:val="24"/>
        </w:rPr>
        <w:t>Piefer</w:t>
      </w:r>
      <w:proofErr w:type="spellEnd"/>
      <w:r w:rsidRPr="003E4298">
        <w:rPr>
          <w:rFonts w:ascii="Times New Roman" w:hAnsi="Times New Roman" w:cs="Times New Roman"/>
          <w:sz w:val="24"/>
          <w:szCs w:val="24"/>
        </w:rPr>
        <w:t xml:space="preserve"> (</w:t>
      </w:r>
      <w:proofErr w:type="spellStart"/>
      <w:proofErr w:type="gramStart"/>
      <w:r w:rsidRPr="003E4298">
        <w:rPr>
          <w:rFonts w:ascii="Times New Roman" w:hAnsi="Times New Roman" w:cs="Times New Roman"/>
          <w:sz w:val="24"/>
          <w:szCs w:val="24"/>
        </w:rPr>
        <w:t>eds</w:t>
      </w:r>
      <w:proofErr w:type="spellEnd"/>
      <w:proofErr w:type="gramEnd"/>
      <w:r w:rsidRPr="003E4298">
        <w:rPr>
          <w:rFonts w:ascii="Times New Roman" w:hAnsi="Times New Roman" w:cs="Times New Roman"/>
          <w:sz w:val="24"/>
          <w:szCs w:val="24"/>
        </w:rPr>
        <w:t xml:space="preserve">). (2015) </w:t>
      </w:r>
      <w:r w:rsidRPr="003E4298">
        <w:rPr>
          <w:rFonts w:ascii="Times New Roman" w:hAnsi="Times New Roman" w:cs="Times New Roman"/>
          <w:i/>
          <w:iCs/>
          <w:sz w:val="24"/>
          <w:szCs w:val="24"/>
        </w:rPr>
        <w:t>Challenges of European External Energy Governance with emerging powers: Meeting Tiger, Dragon, Lion and Jaguar</w:t>
      </w:r>
      <w:r w:rsidRPr="003E4298">
        <w:rPr>
          <w:rFonts w:ascii="Times New Roman" w:hAnsi="Times New Roman" w:cs="Times New Roman"/>
          <w:sz w:val="24"/>
          <w:szCs w:val="24"/>
        </w:rPr>
        <w:t xml:space="preserve">, </w:t>
      </w:r>
      <w:proofErr w:type="spellStart"/>
      <w:r w:rsidRPr="003E4298">
        <w:rPr>
          <w:rFonts w:ascii="Times New Roman" w:hAnsi="Times New Roman" w:cs="Times New Roman"/>
          <w:sz w:val="24"/>
          <w:szCs w:val="24"/>
        </w:rPr>
        <w:t>Ashgate</w:t>
      </w:r>
      <w:proofErr w:type="spellEnd"/>
      <w:r w:rsidRPr="003E4298">
        <w:rPr>
          <w:rFonts w:ascii="Times New Roman" w:hAnsi="Times New Roman" w:cs="Times New Roman"/>
          <w:sz w:val="24"/>
          <w:szCs w:val="24"/>
        </w:rPr>
        <w:t>.</w:t>
      </w:r>
    </w:p>
    <w:p w14:paraId="08E9F8AB" w14:textId="23C9C8DA" w:rsidR="00156DF4" w:rsidRDefault="00156DF4" w:rsidP="00BF515E">
      <w:pPr>
        <w:spacing w:line="480" w:lineRule="auto"/>
        <w:ind w:left="720" w:hanging="720"/>
        <w:contextualSpacing/>
        <w:rPr>
          <w:rFonts w:ascii="Times New Roman" w:hAnsi="Times New Roman" w:cs="Times New Roman"/>
          <w:sz w:val="24"/>
          <w:szCs w:val="24"/>
          <w:lang w:eastAsia="de-DE"/>
        </w:rPr>
      </w:pPr>
      <w:r w:rsidRPr="003E4298">
        <w:rPr>
          <w:rFonts w:ascii="Times New Roman" w:hAnsi="Times New Roman" w:cs="Times New Roman"/>
          <w:sz w:val="24"/>
          <w:szCs w:val="24"/>
          <w:lang w:eastAsia="de-DE"/>
        </w:rPr>
        <w:t xml:space="preserve">Kohler-Koch, B. (1999) Evolution and Transformation, in: Kohler-Koch, B., </w:t>
      </w:r>
      <w:proofErr w:type="spellStart"/>
      <w:r w:rsidRPr="003E4298">
        <w:rPr>
          <w:rFonts w:ascii="Times New Roman" w:hAnsi="Times New Roman" w:cs="Times New Roman"/>
          <w:sz w:val="24"/>
          <w:szCs w:val="24"/>
          <w:lang w:eastAsia="de-DE"/>
        </w:rPr>
        <w:t>Eising</w:t>
      </w:r>
      <w:proofErr w:type="spellEnd"/>
      <w:r w:rsidRPr="003E4298">
        <w:rPr>
          <w:rFonts w:ascii="Times New Roman" w:hAnsi="Times New Roman" w:cs="Times New Roman"/>
          <w:sz w:val="24"/>
          <w:szCs w:val="24"/>
          <w:lang w:eastAsia="de-DE"/>
        </w:rPr>
        <w:t xml:space="preserve">, R., (eds.) </w:t>
      </w:r>
      <w:proofErr w:type="gramStart"/>
      <w:r w:rsidRPr="003E4298">
        <w:rPr>
          <w:rFonts w:ascii="Times New Roman" w:hAnsi="Times New Roman" w:cs="Times New Roman"/>
          <w:i/>
          <w:sz w:val="24"/>
          <w:szCs w:val="24"/>
          <w:lang w:eastAsia="de-DE"/>
        </w:rPr>
        <w:t>The</w:t>
      </w:r>
      <w:proofErr w:type="gramEnd"/>
      <w:r w:rsidRPr="003E4298">
        <w:rPr>
          <w:rFonts w:ascii="Times New Roman" w:hAnsi="Times New Roman" w:cs="Times New Roman"/>
          <w:i/>
          <w:sz w:val="24"/>
          <w:szCs w:val="24"/>
          <w:lang w:eastAsia="de-DE"/>
        </w:rPr>
        <w:t xml:space="preserve"> Transformation of Governance in the European Union</w:t>
      </w:r>
      <w:r w:rsidRPr="003E4298">
        <w:rPr>
          <w:rFonts w:ascii="Times New Roman" w:hAnsi="Times New Roman" w:cs="Times New Roman"/>
          <w:sz w:val="24"/>
          <w:szCs w:val="24"/>
          <w:lang w:eastAsia="de-DE"/>
        </w:rPr>
        <w:t>. London: Routledge, pp.</w:t>
      </w:r>
      <w:r w:rsidR="00334E1E">
        <w:rPr>
          <w:rFonts w:ascii="Times New Roman" w:hAnsi="Times New Roman" w:cs="Times New Roman"/>
          <w:sz w:val="24"/>
          <w:szCs w:val="24"/>
          <w:lang w:eastAsia="de-DE"/>
        </w:rPr>
        <w:t xml:space="preserve"> </w:t>
      </w:r>
      <w:r w:rsidRPr="003E4298">
        <w:rPr>
          <w:rFonts w:ascii="Times New Roman" w:hAnsi="Times New Roman" w:cs="Times New Roman"/>
          <w:sz w:val="24"/>
          <w:szCs w:val="24"/>
          <w:lang w:eastAsia="de-DE"/>
        </w:rPr>
        <w:t>14-35.</w:t>
      </w:r>
    </w:p>
    <w:p w14:paraId="54E79B8C" w14:textId="0F1DB1DC" w:rsidR="00A32338" w:rsidRPr="0077354F" w:rsidRDefault="00A32338" w:rsidP="00BF515E">
      <w:pPr>
        <w:spacing w:line="480" w:lineRule="auto"/>
        <w:ind w:left="720" w:hanging="720"/>
        <w:contextualSpacing/>
        <w:rPr>
          <w:rFonts w:ascii="Times New Roman" w:hAnsi="Times New Roman" w:cs="Times New Roman"/>
          <w:sz w:val="24"/>
          <w:szCs w:val="24"/>
          <w:lang w:eastAsia="de-DE"/>
        </w:rPr>
      </w:pPr>
      <w:r>
        <w:rPr>
          <w:rFonts w:ascii="Times New Roman" w:hAnsi="Times New Roman" w:cs="Times New Roman"/>
          <w:sz w:val="24"/>
          <w:szCs w:val="24"/>
          <w:lang w:eastAsia="de-DE"/>
        </w:rPr>
        <w:t>Larsen, H. (2014) The EU as a Normative Power and the Research on External Perceptions: The Missing Link</w:t>
      </w:r>
      <w:r w:rsidR="0077354F">
        <w:rPr>
          <w:rFonts w:ascii="Times New Roman" w:hAnsi="Times New Roman" w:cs="Times New Roman"/>
          <w:sz w:val="24"/>
          <w:szCs w:val="24"/>
          <w:lang w:eastAsia="de-DE"/>
        </w:rPr>
        <w:t xml:space="preserve"> </w:t>
      </w:r>
      <w:r w:rsidR="0077354F">
        <w:rPr>
          <w:rFonts w:ascii="Times New Roman" w:hAnsi="Times New Roman" w:cs="Times New Roman"/>
          <w:i/>
          <w:sz w:val="24"/>
          <w:szCs w:val="24"/>
          <w:lang w:eastAsia="de-DE"/>
        </w:rPr>
        <w:t xml:space="preserve">Journal of Common Market Studies, </w:t>
      </w:r>
      <w:r w:rsidR="0077354F">
        <w:rPr>
          <w:rFonts w:ascii="Times New Roman" w:hAnsi="Times New Roman" w:cs="Times New Roman"/>
          <w:sz w:val="24"/>
          <w:szCs w:val="24"/>
          <w:lang w:eastAsia="de-DE"/>
        </w:rPr>
        <w:t>52(4): 896-910</w:t>
      </w:r>
    </w:p>
    <w:p w14:paraId="12F56A1A" w14:textId="77777777" w:rsidR="00156DF4" w:rsidRPr="003E4298" w:rsidRDefault="00156DF4" w:rsidP="00BF515E">
      <w:pPr>
        <w:spacing w:line="480" w:lineRule="auto"/>
        <w:ind w:left="720" w:hanging="720"/>
        <w:contextualSpacing/>
        <w:rPr>
          <w:rFonts w:ascii="Times New Roman" w:hAnsi="Times New Roman" w:cs="Times New Roman"/>
          <w:sz w:val="24"/>
          <w:szCs w:val="24"/>
          <w:lang w:eastAsia="de-DE"/>
        </w:rPr>
      </w:pPr>
      <w:r w:rsidRPr="003E4298">
        <w:rPr>
          <w:rFonts w:ascii="Times New Roman" w:hAnsi="Times New Roman" w:cs="Times New Roman"/>
          <w:sz w:val="24"/>
          <w:szCs w:val="24"/>
          <w:lang w:eastAsia="de-DE"/>
        </w:rPr>
        <w:t>Lehmann, J. (2010) Fallout from Copenhagen: Has the EU Lost Its Global Relevance</w:t>
      </w:r>
      <w:proofErr w:type="gramStart"/>
      <w:r w:rsidRPr="003E4298">
        <w:rPr>
          <w:rFonts w:ascii="Times New Roman" w:hAnsi="Times New Roman" w:cs="Times New Roman"/>
          <w:sz w:val="24"/>
          <w:szCs w:val="24"/>
          <w:lang w:eastAsia="de-DE"/>
        </w:rPr>
        <w:t>?,</w:t>
      </w:r>
      <w:proofErr w:type="gramEnd"/>
      <w:r w:rsidRPr="003E4298">
        <w:rPr>
          <w:rFonts w:ascii="Times New Roman" w:hAnsi="Times New Roman" w:cs="Times New Roman"/>
          <w:sz w:val="24"/>
          <w:szCs w:val="24"/>
          <w:lang w:eastAsia="de-DE"/>
        </w:rPr>
        <w:t xml:space="preserve"> </w:t>
      </w:r>
      <w:proofErr w:type="spellStart"/>
      <w:r w:rsidRPr="003E4298">
        <w:rPr>
          <w:rFonts w:ascii="Times New Roman" w:hAnsi="Times New Roman" w:cs="Times New Roman"/>
          <w:i/>
          <w:sz w:val="24"/>
          <w:szCs w:val="24"/>
          <w:lang w:eastAsia="de-DE"/>
        </w:rPr>
        <w:t>YaleGlobal</w:t>
      </w:r>
      <w:proofErr w:type="spellEnd"/>
      <w:r w:rsidRPr="003E4298">
        <w:rPr>
          <w:rFonts w:ascii="Times New Roman" w:hAnsi="Times New Roman" w:cs="Times New Roman"/>
          <w:i/>
          <w:sz w:val="24"/>
          <w:szCs w:val="24"/>
          <w:lang w:eastAsia="de-DE"/>
        </w:rPr>
        <w:t xml:space="preserve"> Online</w:t>
      </w:r>
      <w:r w:rsidRPr="003E4298">
        <w:rPr>
          <w:rFonts w:ascii="Times New Roman" w:hAnsi="Times New Roman" w:cs="Times New Roman"/>
          <w:sz w:val="24"/>
          <w:szCs w:val="24"/>
          <w:lang w:eastAsia="de-DE"/>
        </w:rPr>
        <w:t xml:space="preserve">, </w:t>
      </w:r>
      <w:hyperlink r:id="rId16" w:history="1">
        <w:r w:rsidRPr="003E4298">
          <w:rPr>
            <w:rStyle w:val="Hyperlink"/>
            <w:rFonts w:ascii="Times New Roman" w:hAnsi="Times New Roman" w:cs="Times New Roman"/>
            <w:color w:val="auto"/>
            <w:sz w:val="24"/>
            <w:szCs w:val="24"/>
            <w:u w:val="none"/>
            <w:lang w:eastAsia="de-DE"/>
          </w:rPr>
          <w:t>http://yaleglobal.yale.edu/content/fallout-copenhagen-has-eu-lost-its-global-relevance</w:t>
        </w:r>
      </w:hyperlink>
      <w:r w:rsidRPr="003E4298">
        <w:rPr>
          <w:rStyle w:val="Hyperlink"/>
          <w:rFonts w:ascii="Times New Roman" w:hAnsi="Times New Roman" w:cs="Times New Roman"/>
          <w:color w:val="auto"/>
          <w:sz w:val="24"/>
          <w:szCs w:val="24"/>
          <w:u w:val="none"/>
          <w:lang w:eastAsia="de-DE"/>
        </w:rPr>
        <w:t>, accessed 20 November 2014.</w:t>
      </w:r>
    </w:p>
    <w:p w14:paraId="6BF420D7" w14:textId="0CCB7D5C" w:rsidR="00156DF4" w:rsidRPr="003E4298" w:rsidRDefault="00156DF4" w:rsidP="00BF515E">
      <w:pPr>
        <w:spacing w:line="480" w:lineRule="auto"/>
        <w:ind w:left="720" w:hanging="720"/>
        <w:contextualSpacing/>
        <w:rPr>
          <w:rFonts w:ascii="Times New Roman" w:hAnsi="Times New Roman" w:cs="Times New Roman"/>
          <w:sz w:val="24"/>
          <w:szCs w:val="24"/>
          <w:lang w:eastAsia="de-DE"/>
        </w:rPr>
      </w:pPr>
      <w:proofErr w:type="spellStart"/>
      <w:proofErr w:type="gramStart"/>
      <w:r w:rsidRPr="003E4298">
        <w:rPr>
          <w:rFonts w:ascii="Times New Roman" w:hAnsi="Times New Roman" w:cs="Times New Roman"/>
          <w:sz w:val="24"/>
          <w:szCs w:val="24"/>
          <w:lang w:eastAsia="de-DE"/>
        </w:rPr>
        <w:t>Lucarelli</w:t>
      </w:r>
      <w:proofErr w:type="spellEnd"/>
      <w:r w:rsidRPr="003E4298">
        <w:rPr>
          <w:rFonts w:ascii="Times New Roman" w:hAnsi="Times New Roman" w:cs="Times New Roman"/>
          <w:sz w:val="24"/>
          <w:szCs w:val="24"/>
          <w:lang w:eastAsia="de-DE"/>
        </w:rPr>
        <w:t>, S.</w:t>
      </w:r>
      <w:r w:rsidR="00391756">
        <w:rPr>
          <w:rFonts w:ascii="Times New Roman" w:hAnsi="Times New Roman" w:cs="Times New Roman"/>
          <w:sz w:val="24"/>
          <w:szCs w:val="24"/>
          <w:lang w:eastAsia="de-DE"/>
        </w:rPr>
        <w:t xml:space="preserve"> and</w:t>
      </w:r>
      <w:r w:rsidRPr="003E4298">
        <w:rPr>
          <w:rFonts w:ascii="Times New Roman" w:hAnsi="Times New Roman" w:cs="Times New Roman"/>
          <w:sz w:val="24"/>
          <w:szCs w:val="24"/>
          <w:lang w:eastAsia="de-DE"/>
        </w:rPr>
        <w:t xml:space="preserve"> </w:t>
      </w:r>
      <w:proofErr w:type="spellStart"/>
      <w:r w:rsidRPr="003E4298">
        <w:rPr>
          <w:rFonts w:ascii="Times New Roman" w:hAnsi="Times New Roman" w:cs="Times New Roman"/>
          <w:sz w:val="24"/>
          <w:szCs w:val="24"/>
          <w:lang w:eastAsia="de-DE"/>
        </w:rPr>
        <w:t>Fioramonti</w:t>
      </w:r>
      <w:proofErr w:type="spellEnd"/>
      <w:r w:rsidRPr="003E4298">
        <w:rPr>
          <w:rFonts w:ascii="Times New Roman" w:hAnsi="Times New Roman" w:cs="Times New Roman"/>
          <w:sz w:val="24"/>
          <w:szCs w:val="24"/>
          <w:lang w:eastAsia="de-DE"/>
        </w:rPr>
        <w:t xml:space="preserve">, L. (2010) </w:t>
      </w:r>
      <w:r w:rsidRPr="003E4298">
        <w:rPr>
          <w:rFonts w:ascii="Times New Roman" w:hAnsi="Times New Roman" w:cs="Times New Roman"/>
          <w:i/>
          <w:sz w:val="24"/>
          <w:szCs w:val="24"/>
          <w:lang w:eastAsia="de-DE"/>
        </w:rPr>
        <w:t>External Perceptions of the European Union as a Global Actor</w:t>
      </w:r>
      <w:r w:rsidRPr="003E4298">
        <w:rPr>
          <w:rFonts w:ascii="Times New Roman" w:hAnsi="Times New Roman" w:cs="Times New Roman"/>
          <w:sz w:val="24"/>
          <w:szCs w:val="24"/>
          <w:lang w:eastAsia="de-DE"/>
        </w:rPr>
        <w:t>.</w:t>
      </w:r>
      <w:proofErr w:type="gramEnd"/>
      <w:r w:rsidRPr="003E4298">
        <w:rPr>
          <w:rFonts w:ascii="Times New Roman" w:hAnsi="Times New Roman" w:cs="Times New Roman"/>
          <w:sz w:val="24"/>
          <w:szCs w:val="24"/>
          <w:lang w:eastAsia="de-DE"/>
        </w:rPr>
        <w:t xml:space="preserve"> Routledge: London.</w:t>
      </w:r>
    </w:p>
    <w:p w14:paraId="0F9CB731" w14:textId="2B190B33" w:rsidR="00156DF4" w:rsidRPr="003E4298" w:rsidRDefault="00156DF4" w:rsidP="00BF515E">
      <w:pPr>
        <w:spacing w:line="480" w:lineRule="auto"/>
        <w:ind w:left="720" w:hanging="720"/>
        <w:contextualSpacing/>
        <w:rPr>
          <w:rFonts w:ascii="Times New Roman" w:hAnsi="Times New Roman" w:cs="Times New Roman"/>
          <w:sz w:val="24"/>
          <w:szCs w:val="24"/>
          <w:lang w:eastAsia="de-DE"/>
        </w:rPr>
      </w:pPr>
      <w:r w:rsidRPr="003E4298">
        <w:rPr>
          <w:rFonts w:ascii="Times New Roman" w:hAnsi="Times New Roman" w:cs="Times New Roman"/>
          <w:sz w:val="24"/>
          <w:szCs w:val="24"/>
          <w:lang w:eastAsia="de-DE"/>
        </w:rPr>
        <w:lastRenderedPageBreak/>
        <w:t xml:space="preserve">Manners, I. (2002) Normative Power Europe: a contradiction in terms. </w:t>
      </w:r>
      <w:r w:rsidRPr="003E4298">
        <w:rPr>
          <w:rFonts w:ascii="Times New Roman" w:hAnsi="Times New Roman" w:cs="Times New Roman"/>
          <w:i/>
          <w:sz w:val="24"/>
          <w:szCs w:val="24"/>
          <w:lang w:eastAsia="de-DE"/>
        </w:rPr>
        <w:t>Journal of Common Market Studies</w:t>
      </w:r>
      <w:r w:rsidR="00334E1E">
        <w:rPr>
          <w:rFonts w:ascii="Times New Roman" w:hAnsi="Times New Roman" w:cs="Times New Roman"/>
          <w:sz w:val="24"/>
          <w:szCs w:val="24"/>
          <w:lang w:eastAsia="de-DE"/>
        </w:rPr>
        <w:t xml:space="preserve"> 40(2):</w:t>
      </w:r>
      <w:r w:rsidRPr="003E4298">
        <w:rPr>
          <w:rFonts w:ascii="Times New Roman" w:hAnsi="Times New Roman" w:cs="Times New Roman"/>
          <w:sz w:val="24"/>
          <w:szCs w:val="24"/>
          <w:lang w:eastAsia="de-DE"/>
        </w:rPr>
        <w:t xml:space="preserve"> 235-258.</w:t>
      </w:r>
    </w:p>
    <w:p w14:paraId="0A2C999D" w14:textId="77777777" w:rsidR="00156DF4" w:rsidRPr="003E4298" w:rsidRDefault="00156DF4" w:rsidP="00BF515E">
      <w:pPr>
        <w:spacing w:line="480" w:lineRule="auto"/>
        <w:ind w:left="720" w:hanging="720"/>
        <w:contextualSpacing/>
        <w:rPr>
          <w:rFonts w:ascii="Times New Roman" w:hAnsi="Times New Roman" w:cs="Times New Roman"/>
          <w:sz w:val="24"/>
          <w:szCs w:val="24"/>
        </w:rPr>
      </w:pPr>
      <w:proofErr w:type="gramStart"/>
      <w:r w:rsidRPr="003E4298">
        <w:rPr>
          <w:rFonts w:ascii="Times New Roman" w:hAnsi="Times New Roman" w:cs="Times New Roman"/>
          <w:sz w:val="24"/>
          <w:szCs w:val="24"/>
          <w:lang w:eastAsia="de-DE"/>
        </w:rPr>
        <w:t xml:space="preserve">March, J., Olsen, J. (1989) </w:t>
      </w:r>
      <w:r w:rsidRPr="003E4298">
        <w:rPr>
          <w:rFonts w:ascii="Times New Roman" w:hAnsi="Times New Roman" w:cs="Times New Roman"/>
          <w:i/>
          <w:sz w:val="24"/>
          <w:szCs w:val="24"/>
          <w:lang w:eastAsia="de-DE"/>
        </w:rPr>
        <w:t>Rediscovering Institutions.</w:t>
      </w:r>
      <w:proofErr w:type="gramEnd"/>
      <w:r w:rsidRPr="003E4298">
        <w:rPr>
          <w:rFonts w:ascii="Times New Roman" w:hAnsi="Times New Roman" w:cs="Times New Roman"/>
          <w:i/>
          <w:sz w:val="24"/>
          <w:szCs w:val="24"/>
          <w:lang w:eastAsia="de-DE"/>
        </w:rPr>
        <w:t xml:space="preserve"> </w:t>
      </w:r>
      <w:proofErr w:type="gramStart"/>
      <w:r w:rsidRPr="003E4298">
        <w:rPr>
          <w:rFonts w:ascii="Times New Roman" w:hAnsi="Times New Roman" w:cs="Times New Roman"/>
          <w:i/>
          <w:sz w:val="24"/>
          <w:szCs w:val="24"/>
          <w:lang w:eastAsia="de-DE"/>
        </w:rPr>
        <w:t>The Organizational Basis of Politics</w:t>
      </w:r>
      <w:r w:rsidRPr="003E4298">
        <w:rPr>
          <w:rFonts w:ascii="Times New Roman" w:hAnsi="Times New Roman" w:cs="Times New Roman"/>
          <w:sz w:val="24"/>
          <w:szCs w:val="24"/>
          <w:lang w:eastAsia="de-DE"/>
        </w:rPr>
        <w:t>.</w:t>
      </w:r>
      <w:proofErr w:type="gramEnd"/>
      <w:r w:rsidRPr="003E4298">
        <w:rPr>
          <w:rFonts w:ascii="Times New Roman" w:hAnsi="Times New Roman" w:cs="Times New Roman"/>
          <w:sz w:val="24"/>
          <w:szCs w:val="24"/>
          <w:lang w:eastAsia="de-DE"/>
        </w:rPr>
        <w:t xml:space="preserve"> New York: Free Press/Macmillan.</w:t>
      </w:r>
    </w:p>
    <w:p w14:paraId="6C0DC219" w14:textId="77777777" w:rsidR="00156DF4" w:rsidRPr="003E4298" w:rsidRDefault="00156DF4" w:rsidP="00BF515E">
      <w:pPr>
        <w:spacing w:line="480" w:lineRule="auto"/>
        <w:ind w:left="720" w:hanging="720"/>
        <w:contextualSpacing/>
        <w:rPr>
          <w:rFonts w:ascii="Times New Roman" w:hAnsi="Times New Roman" w:cs="Times New Roman"/>
          <w:sz w:val="24"/>
          <w:szCs w:val="24"/>
          <w:lang w:eastAsia="de-DE"/>
        </w:rPr>
      </w:pPr>
      <w:r w:rsidRPr="003E4298">
        <w:rPr>
          <w:rFonts w:ascii="Times New Roman" w:hAnsi="Times New Roman" w:cs="Times New Roman"/>
          <w:sz w:val="24"/>
          <w:szCs w:val="24"/>
          <w:lang w:eastAsia="de-DE"/>
        </w:rPr>
        <w:t xml:space="preserve">Marks, G. (1993) Structural Policy and Multilevel Governance in the EC, In: </w:t>
      </w:r>
      <w:proofErr w:type="spellStart"/>
      <w:r w:rsidRPr="003E4298">
        <w:rPr>
          <w:rFonts w:ascii="Times New Roman" w:hAnsi="Times New Roman" w:cs="Times New Roman"/>
          <w:sz w:val="24"/>
          <w:szCs w:val="24"/>
          <w:lang w:eastAsia="de-DE"/>
        </w:rPr>
        <w:t>Cafruny</w:t>
      </w:r>
      <w:proofErr w:type="spellEnd"/>
      <w:r w:rsidRPr="003E4298">
        <w:rPr>
          <w:rFonts w:ascii="Times New Roman" w:hAnsi="Times New Roman" w:cs="Times New Roman"/>
          <w:sz w:val="24"/>
          <w:szCs w:val="24"/>
          <w:lang w:eastAsia="de-DE"/>
        </w:rPr>
        <w:t xml:space="preserve">, A., Rosenthal, G. (Eds.) </w:t>
      </w:r>
      <w:proofErr w:type="gramStart"/>
      <w:r w:rsidRPr="003E4298">
        <w:rPr>
          <w:rFonts w:ascii="Times New Roman" w:hAnsi="Times New Roman" w:cs="Times New Roman"/>
          <w:i/>
          <w:sz w:val="24"/>
          <w:szCs w:val="24"/>
          <w:lang w:eastAsia="de-DE"/>
        </w:rPr>
        <w:t>The</w:t>
      </w:r>
      <w:proofErr w:type="gramEnd"/>
      <w:r w:rsidRPr="003E4298">
        <w:rPr>
          <w:rFonts w:ascii="Times New Roman" w:hAnsi="Times New Roman" w:cs="Times New Roman"/>
          <w:i/>
          <w:sz w:val="24"/>
          <w:szCs w:val="24"/>
          <w:lang w:eastAsia="de-DE"/>
        </w:rPr>
        <w:t xml:space="preserve"> State of the European Community. Vol. 2: The Maastricht Debates and Beyond</w:t>
      </w:r>
      <w:r w:rsidRPr="003E4298">
        <w:rPr>
          <w:rFonts w:ascii="Times New Roman" w:hAnsi="Times New Roman" w:cs="Times New Roman"/>
          <w:sz w:val="24"/>
          <w:szCs w:val="24"/>
          <w:lang w:eastAsia="de-DE"/>
        </w:rPr>
        <w:t xml:space="preserve">. Boulder: Lynne </w:t>
      </w:r>
      <w:proofErr w:type="spellStart"/>
      <w:r w:rsidRPr="003E4298">
        <w:rPr>
          <w:rFonts w:ascii="Times New Roman" w:hAnsi="Times New Roman" w:cs="Times New Roman"/>
          <w:sz w:val="24"/>
          <w:szCs w:val="24"/>
          <w:lang w:eastAsia="de-DE"/>
        </w:rPr>
        <w:t>Rienner</w:t>
      </w:r>
      <w:proofErr w:type="spellEnd"/>
      <w:r w:rsidRPr="003E4298">
        <w:rPr>
          <w:rFonts w:ascii="Times New Roman" w:hAnsi="Times New Roman" w:cs="Times New Roman"/>
          <w:sz w:val="24"/>
          <w:szCs w:val="24"/>
          <w:lang w:eastAsia="de-DE"/>
        </w:rPr>
        <w:t>, pp.</w:t>
      </w:r>
      <w:r>
        <w:rPr>
          <w:rFonts w:ascii="Times New Roman" w:hAnsi="Times New Roman" w:cs="Times New Roman"/>
          <w:sz w:val="24"/>
          <w:szCs w:val="24"/>
          <w:lang w:eastAsia="de-DE"/>
        </w:rPr>
        <w:t xml:space="preserve"> </w:t>
      </w:r>
      <w:r w:rsidRPr="003E4298">
        <w:rPr>
          <w:rFonts w:ascii="Times New Roman" w:hAnsi="Times New Roman" w:cs="Times New Roman"/>
          <w:sz w:val="24"/>
          <w:szCs w:val="24"/>
          <w:lang w:eastAsia="de-DE"/>
        </w:rPr>
        <w:t>391-410.</w:t>
      </w:r>
    </w:p>
    <w:p w14:paraId="66DC1D69" w14:textId="38DCF1CB" w:rsidR="00156DF4" w:rsidRPr="003E4298" w:rsidRDefault="00156DF4" w:rsidP="00BF515E">
      <w:pPr>
        <w:spacing w:line="480" w:lineRule="auto"/>
        <w:ind w:left="720" w:hanging="720"/>
        <w:contextualSpacing/>
        <w:rPr>
          <w:rFonts w:ascii="Times New Roman" w:hAnsi="Times New Roman" w:cs="Times New Roman"/>
          <w:sz w:val="24"/>
          <w:szCs w:val="24"/>
          <w:lang w:eastAsia="de-DE"/>
        </w:rPr>
      </w:pPr>
      <w:r w:rsidRPr="003E4298">
        <w:rPr>
          <w:rFonts w:ascii="Times New Roman" w:hAnsi="Times New Roman" w:cs="Times New Roman"/>
          <w:sz w:val="24"/>
          <w:szCs w:val="24"/>
          <w:lang w:eastAsia="de-DE"/>
        </w:rPr>
        <w:t xml:space="preserve">Marks, G. (1996) </w:t>
      </w:r>
      <w:proofErr w:type="gramStart"/>
      <w:r w:rsidRPr="003E4298">
        <w:rPr>
          <w:rFonts w:ascii="Times New Roman" w:hAnsi="Times New Roman" w:cs="Times New Roman"/>
          <w:sz w:val="24"/>
          <w:szCs w:val="24"/>
          <w:lang w:eastAsia="de-DE"/>
        </w:rPr>
        <w:t>An</w:t>
      </w:r>
      <w:proofErr w:type="gramEnd"/>
      <w:r w:rsidRPr="003E4298">
        <w:rPr>
          <w:rFonts w:ascii="Times New Roman" w:hAnsi="Times New Roman" w:cs="Times New Roman"/>
          <w:sz w:val="24"/>
          <w:szCs w:val="24"/>
          <w:lang w:eastAsia="de-DE"/>
        </w:rPr>
        <w:t xml:space="preserve"> actor-centred approach to multi-level governance. </w:t>
      </w:r>
      <w:r w:rsidRPr="003E4298">
        <w:rPr>
          <w:rFonts w:ascii="Times New Roman" w:hAnsi="Times New Roman" w:cs="Times New Roman"/>
          <w:i/>
          <w:iCs/>
          <w:sz w:val="24"/>
          <w:szCs w:val="24"/>
          <w:lang w:eastAsia="de-DE"/>
        </w:rPr>
        <w:t>Regional and Federal Studies</w:t>
      </w:r>
      <w:r w:rsidRPr="003E4298">
        <w:rPr>
          <w:rFonts w:ascii="Times New Roman" w:hAnsi="Times New Roman" w:cs="Times New Roman"/>
          <w:sz w:val="24"/>
          <w:szCs w:val="24"/>
          <w:lang w:eastAsia="de-DE"/>
        </w:rPr>
        <w:t xml:space="preserve"> 6(2)</w:t>
      </w:r>
      <w:r w:rsidR="00334E1E">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 xml:space="preserve"> 20–40.</w:t>
      </w:r>
    </w:p>
    <w:p w14:paraId="25612761" w14:textId="189E588D" w:rsidR="00156DF4" w:rsidRPr="003E4298" w:rsidRDefault="00156DF4" w:rsidP="00BF515E">
      <w:pPr>
        <w:spacing w:line="480" w:lineRule="auto"/>
        <w:ind w:left="720" w:hanging="720"/>
        <w:contextualSpacing/>
        <w:rPr>
          <w:rFonts w:ascii="Times New Roman" w:hAnsi="Times New Roman" w:cs="Times New Roman"/>
          <w:sz w:val="24"/>
          <w:szCs w:val="24"/>
          <w:lang w:eastAsia="de-DE"/>
        </w:rPr>
      </w:pPr>
      <w:proofErr w:type="spellStart"/>
      <w:r w:rsidRPr="003E4298">
        <w:rPr>
          <w:rFonts w:ascii="Times New Roman" w:hAnsi="Times New Roman" w:cs="Times New Roman"/>
          <w:sz w:val="24"/>
          <w:szCs w:val="24"/>
          <w:lang w:eastAsia="de-DE"/>
        </w:rPr>
        <w:t>Merlingen</w:t>
      </w:r>
      <w:proofErr w:type="spellEnd"/>
      <w:r w:rsidRPr="003E4298">
        <w:rPr>
          <w:rFonts w:ascii="Times New Roman" w:hAnsi="Times New Roman" w:cs="Times New Roman"/>
          <w:sz w:val="24"/>
          <w:szCs w:val="24"/>
          <w:lang w:eastAsia="de-DE"/>
        </w:rPr>
        <w:t>, M. (2007) Everything Is Dangerous: A Crit</w:t>
      </w:r>
      <w:r w:rsidR="00334E1E">
        <w:rPr>
          <w:rFonts w:ascii="Times New Roman" w:hAnsi="Times New Roman" w:cs="Times New Roman"/>
          <w:sz w:val="24"/>
          <w:szCs w:val="24"/>
          <w:lang w:eastAsia="de-DE"/>
        </w:rPr>
        <w:t>ique of ‘Normative Power Europe’</w:t>
      </w:r>
      <w:r w:rsidRPr="003E4298">
        <w:rPr>
          <w:rFonts w:ascii="Times New Roman" w:hAnsi="Times New Roman" w:cs="Times New Roman"/>
          <w:sz w:val="24"/>
          <w:szCs w:val="24"/>
          <w:lang w:eastAsia="de-DE"/>
        </w:rPr>
        <w:t xml:space="preserve">. </w:t>
      </w:r>
      <w:r w:rsidRPr="003E4298">
        <w:rPr>
          <w:rFonts w:ascii="Times New Roman" w:hAnsi="Times New Roman" w:cs="Times New Roman"/>
          <w:i/>
          <w:sz w:val="24"/>
          <w:szCs w:val="24"/>
          <w:lang w:eastAsia="de-DE"/>
        </w:rPr>
        <w:t>Security Dialogue</w:t>
      </w:r>
      <w:r w:rsidR="00334E1E">
        <w:rPr>
          <w:rFonts w:ascii="Times New Roman" w:hAnsi="Times New Roman" w:cs="Times New Roman"/>
          <w:sz w:val="24"/>
          <w:szCs w:val="24"/>
          <w:lang w:eastAsia="de-DE"/>
        </w:rPr>
        <w:t xml:space="preserve"> 38(4):</w:t>
      </w:r>
      <w:r w:rsidRPr="003E4298">
        <w:rPr>
          <w:rFonts w:ascii="Times New Roman" w:hAnsi="Times New Roman" w:cs="Times New Roman"/>
          <w:sz w:val="24"/>
          <w:szCs w:val="24"/>
          <w:lang w:eastAsia="de-DE"/>
        </w:rPr>
        <w:t xml:space="preserve"> 435-453.</w:t>
      </w:r>
    </w:p>
    <w:p w14:paraId="1B306CBD" w14:textId="3FFE51D5" w:rsidR="00156DF4" w:rsidRPr="003E4298" w:rsidRDefault="00334E1E" w:rsidP="00BF515E">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shd w:val="clear" w:color="auto" w:fill="FFFFFF"/>
        </w:rPr>
        <w:t xml:space="preserve">Petit, P. (2013) </w:t>
      </w:r>
      <w:r w:rsidR="00156DF4" w:rsidRPr="003E4298">
        <w:rPr>
          <w:rFonts w:ascii="Times New Roman" w:hAnsi="Times New Roman" w:cs="Times New Roman"/>
          <w:sz w:val="24"/>
          <w:szCs w:val="24"/>
          <w:shd w:val="clear" w:color="auto" w:fill="FFFFFF"/>
        </w:rPr>
        <w:t xml:space="preserve">France and Germany nuclear energy policies revisited: A </w:t>
      </w:r>
      <w:proofErr w:type="spellStart"/>
      <w:r w:rsidR="00156DF4" w:rsidRPr="003E4298">
        <w:rPr>
          <w:rFonts w:ascii="Times New Roman" w:hAnsi="Times New Roman" w:cs="Times New Roman"/>
          <w:sz w:val="24"/>
          <w:szCs w:val="24"/>
          <w:shd w:val="clear" w:color="auto" w:fill="FFFFFF"/>
        </w:rPr>
        <w:t>Veblenian</w:t>
      </w:r>
      <w:proofErr w:type="spellEnd"/>
      <w:r w:rsidR="00156DF4" w:rsidRPr="003E4298">
        <w:rPr>
          <w:rFonts w:ascii="Times New Roman" w:hAnsi="Times New Roman" w:cs="Times New Roman"/>
          <w:sz w:val="24"/>
          <w:szCs w:val="24"/>
          <w:shd w:val="clear" w:color="auto" w:fill="FFFFFF"/>
        </w:rPr>
        <w:t xml:space="preserve"> appraisal</w:t>
      </w:r>
      <w:r w:rsidR="00156DF4" w:rsidRPr="003E4298">
        <w:rPr>
          <w:rFonts w:ascii="Times New Roman" w:hAnsi="Times New Roman" w:cs="Times New Roman"/>
          <w:i/>
          <w:sz w:val="24"/>
          <w:szCs w:val="24"/>
          <w:shd w:val="clear" w:color="auto" w:fill="FFFFFF"/>
        </w:rPr>
        <w:t>.</w:t>
      </w:r>
      <w:r w:rsidR="00156DF4" w:rsidRPr="003E4298">
        <w:rPr>
          <w:rFonts w:ascii="Times New Roman" w:hAnsi="Times New Roman" w:cs="Times New Roman"/>
          <w:sz w:val="24"/>
          <w:szCs w:val="24"/>
          <w:shd w:val="clear" w:color="auto" w:fill="FFFFFF"/>
        </w:rPr>
        <w:t xml:space="preserve"> </w:t>
      </w:r>
      <w:proofErr w:type="spellStart"/>
      <w:r w:rsidR="00156DF4" w:rsidRPr="003E4298">
        <w:rPr>
          <w:rFonts w:ascii="Times New Roman" w:hAnsi="Times New Roman" w:cs="Times New Roman"/>
          <w:i/>
          <w:iCs/>
          <w:sz w:val="24"/>
          <w:szCs w:val="24"/>
          <w:shd w:val="clear" w:color="auto" w:fill="FFFFFF"/>
        </w:rPr>
        <w:t>Panoeconomicu</w:t>
      </w:r>
      <w:r>
        <w:rPr>
          <w:rFonts w:ascii="Times New Roman" w:hAnsi="Times New Roman" w:cs="Times New Roman"/>
          <w:i/>
          <w:iCs/>
          <w:sz w:val="24"/>
          <w:szCs w:val="24"/>
          <w:shd w:val="clear" w:color="auto" w:fill="FFFFFF"/>
        </w:rPr>
        <w:t>s</w:t>
      </w:r>
      <w:proofErr w:type="spellEnd"/>
      <w:r w:rsidR="00156DF4" w:rsidRPr="003E4298">
        <w:rPr>
          <w:rStyle w:val="apple-converted-space"/>
          <w:rFonts w:ascii="Times New Roman" w:hAnsi="Times New Roman" w:cs="Times New Roman"/>
          <w:i/>
          <w:sz w:val="24"/>
          <w:szCs w:val="24"/>
          <w:shd w:val="clear" w:color="auto" w:fill="FFFFFF"/>
        </w:rPr>
        <w:t xml:space="preserve"> </w:t>
      </w:r>
      <w:r>
        <w:rPr>
          <w:rFonts w:ascii="Times New Roman" w:hAnsi="Times New Roman" w:cs="Times New Roman"/>
          <w:sz w:val="24"/>
          <w:szCs w:val="24"/>
          <w:shd w:val="clear" w:color="auto" w:fill="FFFFFF"/>
        </w:rPr>
        <w:t>60(5):</w:t>
      </w:r>
      <w:r w:rsidR="00156DF4" w:rsidRPr="003E4298">
        <w:rPr>
          <w:rFonts w:ascii="Times New Roman" w:hAnsi="Times New Roman" w:cs="Times New Roman"/>
          <w:sz w:val="24"/>
          <w:szCs w:val="24"/>
          <w:shd w:val="clear" w:color="auto" w:fill="FFFFFF"/>
        </w:rPr>
        <w:t xml:space="preserve"> 687-698.</w:t>
      </w:r>
    </w:p>
    <w:p w14:paraId="2BC8407D" w14:textId="77777777" w:rsidR="00156DF4" w:rsidRPr="003E4298" w:rsidRDefault="00156DF4" w:rsidP="00BF515E">
      <w:pPr>
        <w:spacing w:line="480" w:lineRule="auto"/>
        <w:ind w:left="720" w:hanging="720"/>
        <w:contextualSpacing/>
        <w:rPr>
          <w:rFonts w:ascii="Times New Roman" w:hAnsi="Times New Roman" w:cs="Times New Roman"/>
          <w:sz w:val="24"/>
          <w:szCs w:val="24"/>
          <w:lang w:eastAsia="de-DE"/>
        </w:rPr>
      </w:pPr>
      <w:proofErr w:type="spellStart"/>
      <w:r w:rsidRPr="003E4298">
        <w:rPr>
          <w:rFonts w:ascii="Times New Roman" w:hAnsi="Times New Roman" w:cs="Times New Roman"/>
          <w:sz w:val="24"/>
          <w:szCs w:val="24"/>
          <w:lang w:eastAsia="de-DE"/>
        </w:rPr>
        <w:t>Piattoni</w:t>
      </w:r>
      <w:proofErr w:type="spellEnd"/>
      <w:r w:rsidRPr="003E4298">
        <w:rPr>
          <w:rFonts w:ascii="Times New Roman" w:hAnsi="Times New Roman" w:cs="Times New Roman"/>
          <w:sz w:val="24"/>
          <w:szCs w:val="24"/>
          <w:lang w:eastAsia="de-DE"/>
        </w:rPr>
        <w:t xml:space="preserve">, S. (2010) </w:t>
      </w:r>
      <w:proofErr w:type="gramStart"/>
      <w:r w:rsidRPr="003E4298">
        <w:rPr>
          <w:rFonts w:ascii="Times New Roman" w:hAnsi="Times New Roman" w:cs="Times New Roman"/>
          <w:i/>
          <w:sz w:val="24"/>
          <w:szCs w:val="24"/>
          <w:lang w:eastAsia="de-DE"/>
        </w:rPr>
        <w:t>The</w:t>
      </w:r>
      <w:proofErr w:type="gramEnd"/>
      <w:r w:rsidRPr="003E4298">
        <w:rPr>
          <w:rFonts w:ascii="Times New Roman" w:hAnsi="Times New Roman" w:cs="Times New Roman"/>
          <w:i/>
          <w:sz w:val="24"/>
          <w:szCs w:val="24"/>
          <w:lang w:eastAsia="de-DE"/>
        </w:rPr>
        <w:t xml:space="preserve"> Theory of Multi-Level Governance. Conceptual, Empirical, and Normative Challenges</w:t>
      </w:r>
      <w:r w:rsidRPr="003E4298">
        <w:rPr>
          <w:rFonts w:ascii="Times New Roman" w:hAnsi="Times New Roman" w:cs="Times New Roman"/>
          <w:sz w:val="24"/>
          <w:szCs w:val="24"/>
          <w:lang w:eastAsia="de-DE"/>
        </w:rPr>
        <w:t>. Abingdon: Oxford University Press.</w:t>
      </w:r>
    </w:p>
    <w:p w14:paraId="3C5ECD3B" w14:textId="0D5B03C7" w:rsidR="00156DF4" w:rsidRPr="008567BB" w:rsidRDefault="00156DF4" w:rsidP="00BF515E">
      <w:pPr>
        <w:spacing w:line="480" w:lineRule="auto"/>
        <w:ind w:left="720" w:hanging="720"/>
        <w:contextualSpacing/>
        <w:rPr>
          <w:rFonts w:ascii="Times New Roman" w:hAnsi="Times New Roman" w:cs="Times New Roman"/>
          <w:sz w:val="24"/>
          <w:szCs w:val="24"/>
          <w:lang w:val="fr-FR"/>
        </w:rPr>
      </w:pPr>
      <w:r w:rsidRPr="003E4298">
        <w:rPr>
          <w:rFonts w:ascii="Times New Roman" w:hAnsi="Times New Roman" w:cs="Times New Roman"/>
          <w:sz w:val="24"/>
          <w:szCs w:val="24"/>
          <w:lang w:eastAsia="de-DE"/>
        </w:rPr>
        <w:t xml:space="preserve">Pop, V. (2014) EU commissioner clashes with Germany on energy subsidies. </w:t>
      </w:r>
      <w:proofErr w:type="spellStart"/>
      <w:r w:rsidRPr="008567BB">
        <w:rPr>
          <w:rFonts w:ascii="Times New Roman" w:hAnsi="Times New Roman" w:cs="Times New Roman"/>
          <w:sz w:val="24"/>
          <w:szCs w:val="24"/>
          <w:lang w:val="fr-FR" w:eastAsia="de-DE"/>
        </w:rPr>
        <w:t>EUobserver</w:t>
      </w:r>
      <w:proofErr w:type="spellEnd"/>
      <w:r w:rsidRPr="008567BB">
        <w:rPr>
          <w:rFonts w:ascii="Times New Roman" w:hAnsi="Times New Roman" w:cs="Times New Roman"/>
          <w:sz w:val="24"/>
          <w:szCs w:val="24"/>
          <w:lang w:val="fr-FR" w:eastAsia="de-DE"/>
        </w:rPr>
        <w:t>, [online</w:t>
      </w:r>
      <w:proofErr w:type="gramStart"/>
      <w:r w:rsidRPr="008567BB">
        <w:rPr>
          <w:rFonts w:ascii="Times New Roman" w:hAnsi="Times New Roman" w:cs="Times New Roman"/>
          <w:sz w:val="24"/>
          <w:szCs w:val="24"/>
          <w:lang w:val="fr-FR" w:eastAsia="de-DE"/>
        </w:rPr>
        <w:t>]18</w:t>
      </w:r>
      <w:proofErr w:type="gramEnd"/>
      <w:r w:rsidRPr="008567BB">
        <w:rPr>
          <w:rFonts w:ascii="Times New Roman" w:hAnsi="Times New Roman" w:cs="Times New Roman"/>
          <w:sz w:val="24"/>
          <w:szCs w:val="24"/>
          <w:lang w:val="fr-FR" w:eastAsia="de-DE"/>
        </w:rPr>
        <w:t xml:space="preserve"> </w:t>
      </w:r>
      <w:proofErr w:type="spellStart"/>
      <w:r w:rsidRPr="008567BB">
        <w:rPr>
          <w:rFonts w:ascii="Times New Roman" w:hAnsi="Times New Roman" w:cs="Times New Roman"/>
          <w:sz w:val="24"/>
          <w:szCs w:val="24"/>
          <w:lang w:val="fr-FR" w:eastAsia="de-DE"/>
        </w:rPr>
        <w:t>February</w:t>
      </w:r>
      <w:proofErr w:type="spellEnd"/>
      <w:r w:rsidRPr="008567BB">
        <w:rPr>
          <w:rFonts w:ascii="Times New Roman" w:hAnsi="Times New Roman" w:cs="Times New Roman"/>
          <w:sz w:val="24"/>
          <w:szCs w:val="24"/>
          <w:lang w:val="fr-FR" w:eastAsia="de-DE"/>
        </w:rPr>
        <w:t xml:space="preserve">, </w:t>
      </w:r>
      <w:r w:rsidRPr="008567BB">
        <w:rPr>
          <w:rFonts w:ascii="Times New Roman" w:hAnsi="Times New Roman" w:cs="Times New Roman"/>
          <w:sz w:val="24"/>
          <w:szCs w:val="24"/>
          <w:lang w:val="fr-FR"/>
        </w:rPr>
        <w:t xml:space="preserve">http://euobserver.com/environment/123172, </w:t>
      </w:r>
      <w:proofErr w:type="spellStart"/>
      <w:r w:rsidRPr="008567BB">
        <w:rPr>
          <w:rFonts w:ascii="Times New Roman" w:hAnsi="Times New Roman" w:cs="Times New Roman"/>
          <w:sz w:val="24"/>
          <w:szCs w:val="24"/>
          <w:lang w:val="fr-FR"/>
        </w:rPr>
        <w:t>accessed</w:t>
      </w:r>
      <w:proofErr w:type="spellEnd"/>
      <w:r w:rsidRPr="008567BB">
        <w:rPr>
          <w:rFonts w:ascii="Times New Roman" w:hAnsi="Times New Roman" w:cs="Times New Roman"/>
          <w:sz w:val="24"/>
          <w:szCs w:val="24"/>
          <w:lang w:val="fr-FR"/>
        </w:rPr>
        <w:t xml:space="preserve"> 31 </w:t>
      </w:r>
      <w:proofErr w:type="spellStart"/>
      <w:r w:rsidRPr="008567BB">
        <w:rPr>
          <w:rFonts w:ascii="Times New Roman" w:hAnsi="Times New Roman" w:cs="Times New Roman"/>
          <w:sz w:val="24"/>
          <w:szCs w:val="24"/>
          <w:lang w:val="fr-FR"/>
        </w:rPr>
        <w:t>October</w:t>
      </w:r>
      <w:proofErr w:type="spellEnd"/>
      <w:r w:rsidRPr="008567BB">
        <w:rPr>
          <w:rFonts w:ascii="Times New Roman" w:hAnsi="Times New Roman" w:cs="Times New Roman"/>
          <w:sz w:val="24"/>
          <w:szCs w:val="24"/>
          <w:lang w:val="fr-FR"/>
        </w:rPr>
        <w:t xml:space="preserve"> 2014.</w:t>
      </w:r>
    </w:p>
    <w:p w14:paraId="1BF437C3" w14:textId="36AD64B8" w:rsidR="00156DF4" w:rsidRPr="008567BB" w:rsidRDefault="00156DF4" w:rsidP="00BF515E">
      <w:pPr>
        <w:spacing w:line="480" w:lineRule="auto"/>
        <w:ind w:left="720" w:hanging="720"/>
        <w:contextualSpacing/>
        <w:rPr>
          <w:rStyle w:val="Hyperlink"/>
          <w:rFonts w:ascii="Times New Roman" w:hAnsi="Times New Roman" w:cs="Times New Roman"/>
          <w:color w:val="auto"/>
          <w:sz w:val="24"/>
          <w:szCs w:val="24"/>
          <w:u w:val="none"/>
          <w:lang w:val="fr-FR" w:eastAsia="de-DE"/>
        </w:rPr>
      </w:pPr>
      <w:r w:rsidRPr="008567BB">
        <w:rPr>
          <w:rFonts w:ascii="Times New Roman" w:hAnsi="Times New Roman" w:cs="Times New Roman"/>
          <w:sz w:val="24"/>
          <w:szCs w:val="24"/>
          <w:lang w:val="fr-FR"/>
        </w:rPr>
        <w:t xml:space="preserve">Réseau de Transport de l’électricité (2014) </w:t>
      </w:r>
      <w:r w:rsidRPr="008567BB">
        <w:rPr>
          <w:rFonts w:ascii="Times New Roman" w:hAnsi="Times New Roman" w:cs="Times New Roman"/>
          <w:i/>
          <w:sz w:val="24"/>
          <w:szCs w:val="24"/>
          <w:lang w:val="fr-FR"/>
        </w:rPr>
        <w:t>Bilan électrique France</w:t>
      </w:r>
      <w:r w:rsidRPr="008567BB">
        <w:rPr>
          <w:rFonts w:ascii="Times New Roman" w:hAnsi="Times New Roman" w:cs="Times New Roman"/>
          <w:sz w:val="24"/>
          <w:szCs w:val="24"/>
          <w:lang w:val="fr-FR"/>
        </w:rPr>
        <w:t xml:space="preserve">, http://www.rte-france.com/sites/default/files/bilan_electrique_2013_3.pdf, </w:t>
      </w:r>
      <w:proofErr w:type="spellStart"/>
      <w:r w:rsidRPr="008567BB">
        <w:rPr>
          <w:rStyle w:val="Hyperlink"/>
          <w:rFonts w:ascii="Times New Roman" w:hAnsi="Times New Roman" w:cs="Times New Roman"/>
          <w:color w:val="auto"/>
          <w:sz w:val="24"/>
          <w:szCs w:val="24"/>
          <w:u w:val="none"/>
          <w:lang w:val="fr-FR" w:eastAsia="de-DE"/>
        </w:rPr>
        <w:t>accessed</w:t>
      </w:r>
      <w:proofErr w:type="spellEnd"/>
      <w:r w:rsidRPr="008567BB">
        <w:rPr>
          <w:rStyle w:val="Hyperlink"/>
          <w:rFonts w:ascii="Times New Roman" w:hAnsi="Times New Roman" w:cs="Times New Roman"/>
          <w:color w:val="auto"/>
          <w:sz w:val="24"/>
          <w:szCs w:val="24"/>
          <w:u w:val="none"/>
          <w:lang w:val="fr-FR" w:eastAsia="de-DE"/>
        </w:rPr>
        <w:t xml:space="preserve"> 22 </w:t>
      </w:r>
      <w:proofErr w:type="spellStart"/>
      <w:r w:rsidRPr="008567BB">
        <w:rPr>
          <w:rStyle w:val="Hyperlink"/>
          <w:rFonts w:ascii="Times New Roman" w:hAnsi="Times New Roman" w:cs="Times New Roman"/>
          <w:color w:val="auto"/>
          <w:sz w:val="24"/>
          <w:szCs w:val="24"/>
          <w:u w:val="none"/>
          <w:lang w:val="fr-FR" w:eastAsia="de-DE"/>
        </w:rPr>
        <w:t>November</w:t>
      </w:r>
      <w:proofErr w:type="spellEnd"/>
      <w:r w:rsidRPr="008567BB">
        <w:rPr>
          <w:rStyle w:val="Hyperlink"/>
          <w:rFonts w:ascii="Times New Roman" w:hAnsi="Times New Roman" w:cs="Times New Roman"/>
          <w:color w:val="auto"/>
          <w:sz w:val="24"/>
          <w:szCs w:val="24"/>
          <w:u w:val="none"/>
          <w:lang w:val="fr-FR" w:eastAsia="de-DE"/>
        </w:rPr>
        <w:t xml:space="preserve"> 2014.</w:t>
      </w:r>
    </w:p>
    <w:p w14:paraId="030BF9D4" w14:textId="77777777" w:rsidR="00156DF4" w:rsidRPr="003E4298" w:rsidRDefault="00156DF4" w:rsidP="00BF515E">
      <w:pPr>
        <w:pStyle w:val="FootnoteText"/>
        <w:spacing w:line="480" w:lineRule="auto"/>
        <w:ind w:left="720" w:hanging="720"/>
        <w:contextualSpacing/>
        <w:rPr>
          <w:rFonts w:ascii="Times New Roman" w:eastAsia="Calibri" w:hAnsi="Times New Roman" w:cs="Times New Roman"/>
          <w:sz w:val="24"/>
          <w:szCs w:val="24"/>
          <w:lang w:val="en-GB" w:eastAsia="de-DE"/>
        </w:rPr>
      </w:pPr>
      <w:proofErr w:type="gramStart"/>
      <w:r w:rsidRPr="003E4298">
        <w:rPr>
          <w:rFonts w:ascii="Times New Roman" w:eastAsia="Calibri" w:hAnsi="Times New Roman" w:cs="Times New Roman"/>
          <w:sz w:val="24"/>
          <w:szCs w:val="24"/>
          <w:lang w:val="en-GB" w:eastAsia="de-DE"/>
        </w:rPr>
        <w:t>Schneider, M. (2013) France’s Great Energy Debate.</w:t>
      </w:r>
      <w:proofErr w:type="gramEnd"/>
      <w:r w:rsidRPr="003E4298">
        <w:rPr>
          <w:rFonts w:ascii="Times New Roman" w:eastAsia="Calibri" w:hAnsi="Times New Roman" w:cs="Times New Roman"/>
          <w:sz w:val="24"/>
          <w:szCs w:val="24"/>
          <w:lang w:val="en-GB" w:eastAsia="de-DE"/>
        </w:rPr>
        <w:t xml:space="preserve"> </w:t>
      </w:r>
      <w:proofErr w:type="gramStart"/>
      <w:r w:rsidRPr="003E4298">
        <w:rPr>
          <w:rFonts w:ascii="Times New Roman" w:eastAsia="Calibri" w:hAnsi="Times New Roman" w:cs="Times New Roman"/>
          <w:sz w:val="24"/>
          <w:szCs w:val="24"/>
          <w:lang w:val="en-GB" w:eastAsia="de-DE"/>
        </w:rPr>
        <w:t>Bulletin of the Atomic Scientists 69(1).</w:t>
      </w:r>
      <w:proofErr w:type="gramEnd"/>
      <w:r w:rsidRPr="003E4298">
        <w:rPr>
          <w:rFonts w:ascii="Times New Roman" w:eastAsia="Calibri" w:hAnsi="Times New Roman" w:cs="Times New Roman"/>
          <w:sz w:val="24"/>
          <w:szCs w:val="24"/>
          <w:lang w:val="en-GB" w:eastAsia="de-DE"/>
        </w:rPr>
        <w:t xml:space="preserve"> </w:t>
      </w:r>
    </w:p>
    <w:p w14:paraId="7D7BE027" w14:textId="7594F57B" w:rsidR="00156DF4" w:rsidRPr="003E4298" w:rsidRDefault="00156DF4" w:rsidP="00BF515E">
      <w:pPr>
        <w:spacing w:line="480" w:lineRule="auto"/>
        <w:ind w:left="720" w:hanging="720"/>
        <w:contextualSpacing/>
        <w:rPr>
          <w:rFonts w:ascii="Times New Roman" w:hAnsi="Times New Roman" w:cs="Times New Roman"/>
          <w:sz w:val="24"/>
          <w:szCs w:val="24"/>
          <w:lang w:eastAsia="de-DE"/>
        </w:rPr>
      </w:pPr>
      <w:proofErr w:type="spellStart"/>
      <w:r w:rsidRPr="003E4298">
        <w:rPr>
          <w:rFonts w:ascii="Times New Roman" w:hAnsi="Times New Roman" w:cs="Times New Roman"/>
          <w:sz w:val="24"/>
          <w:szCs w:val="24"/>
          <w:lang w:eastAsia="de-DE"/>
        </w:rPr>
        <w:t>Sjursen</w:t>
      </w:r>
      <w:proofErr w:type="spellEnd"/>
      <w:r w:rsidRPr="003E4298">
        <w:rPr>
          <w:rFonts w:ascii="Times New Roman" w:hAnsi="Times New Roman" w:cs="Times New Roman"/>
          <w:sz w:val="24"/>
          <w:szCs w:val="24"/>
          <w:lang w:eastAsia="de-DE"/>
        </w:rPr>
        <w:t>,</w:t>
      </w:r>
      <w:r w:rsidR="00334E1E">
        <w:rPr>
          <w:rFonts w:ascii="Times New Roman" w:hAnsi="Times New Roman" w:cs="Times New Roman"/>
          <w:sz w:val="24"/>
          <w:szCs w:val="24"/>
          <w:lang w:eastAsia="de-DE"/>
        </w:rPr>
        <w:t xml:space="preserve"> H. (2006) The EU as ‘normative’</w:t>
      </w:r>
      <w:r w:rsidRPr="003E4298">
        <w:rPr>
          <w:rFonts w:ascii="Times New Roman" w:hAnsi="Times New Roman" w:cs="Times New Roman"/>
          <w:sz w:val="24"/>
          <w:szCs w:val="24"/>
          <w:lang w:eastAsia="de-DE"/>
        </w:rPr>
        <w:t xml:space="preserve"> power: how can this be? </w:t>
      </w:r>
      <w:r w:rsidRPr="003E4298">
        <w:rPr>
          <w:rFonts w:ascii="Times New Roman" w:hAnsi="Times New Roman" w:cs="Times New Roman"/>
          <w:i/>
          <w:sz w:val="24"/>
          <w:szCs w:val="24"/>
          <w:lang w:eastAsia="de-DE"/>
        </w:rPr>
        <w:t>Journal of European Public Policy</w:t>
      </w:r>
      <w:r w:rsidRPr="003E4298">
        <w:rPr>
          <w:rFonts w:ascii="Times New Roman" w:hAnsi="Times New Roman" w:cs="Times New Roman"/>
          <w:sz w:val="24"/>
          <w:szCs w:val="24"/>
          <w:lang w:eastAsia="de-DE"/>
        </w:rPr>
        <w:t xml:space="preserve"> 13(2)</w:t>
      </w:r>
      <w:r w:rsidR="00334E1E">
        <w:rPr>
          <w:rFonts w:ascii="Times New Roman" w:hAnsi="Times New Roman" w:cs="Times New Roman"/>
          <w:sz w:val="24"/>
          <w:szCs w:val="24"/>
          <w:lang w:eastAsia="de-DE"/>
        </w:rPr>
        <w:t>:</w:t>
      </w:r>
      <w:r w:rsidRPr="003E4298">
        <w:rPr>
          <w:rFonts w:ascii="Times New Roman" w:hAnsi="Times New Roman" w:cs="Times New Roman"/>
          <w:sz w:val="24"/>
          <w:szCs w:val="24"/>
          <w:lang w:eastAsia="de-DE"/>
        </w:rPr>
        <w:t xml:space="preserve"> 235-251.</w:t>
      </w:r>
    </w:p>
    <w:p w14:paraId="14532378" w14:textId="041DB129" w:rsidR="00156DF4" w:rsidRPr="003E4298" w:rsidRDefault="00156DF4" w:rsidP="00BF515E">
      <w:pPr>
        <w:spacing w:line="480" w:lineRule="auto"/>
        <w:ind w:left="720" w:hanging="720"/>
        <w:contextualSpacing/>
        <w:rPr>
          <w:rFonts w:ascii="Times New Roman" w:hAnsi="Times New Roman" w:cs="Times New Roman"/>
          <w:sz w:val="24"/>
          <w:szCs w:val="24"/>
          <w:lang w:eastAsia="de-DE"/>
        </w:rPr>
      </w:pPr>
      <w:proofErr w:type="spellStart"/>
      <w:r w:rsidRPr="003E4298">
        <w:rPr>
          <w:rFonts w:ascii="Times New Roman" w:hAnsi="Times New Roman" w:cs="Times New Roman"/>
          <w:sz w:val="24"/>
          <w:szCs w:val="24"/>
          <w:lang w:eastAsia="de-DE"/>
        </w:rPr>
        <w:lastRenderedPageBreak/>
        <w:t>Tocci</w:t>
      </w:r>
      <w:proofErr w:type="spellEnd"/>
      <w:r w:rsidRPr="003E4298">
        <w:rPr>
          <w:rFonts w:ascii="Times New Roman" w:hAnsi="Times New Roman" w:cs="Times New Roman"/>
          <w:sz w:val="24"/>
          <w:szCs w:val="24"/>
          <w:lang w:eastAsia="de-DE"/>
        </w:rPr>
        <w:t xml:space="preserve">, N. (2008) </w:t>
      </w:r>
      <w:proofErr w:type="gramStart"/>
      <w:r w:rsidRPr="003E4298">
        <w:rPr>
          <w:rFonts w:ascii="Times New Roman" w:hAnsi="Times New Roman" w:cs="Times New Roman"/>
          <w:i/>
          <w:sz w:val="24"/>
          <w:szCs w:val="24"/>
          <w:lang w:eastAsia="de-DE"/>
        </w:rPr>
        <w:t>Who</w:t>
      </w:r>
      <w:proofErr w:type="gramEnd"/>
      <w:r w:rsidRPr="003E4298">
        <w:rPr>
          <w:rFonts w:ascii="Times New Roman" w:hAnsi="Times New Roman" w:cs="Times New Roman"/>
          <w:i/>
          <w:sz w:val="24"/>
          <w:szCs w:val="24"/>
          <w:lang w:eastAsia="de-DE"/>
        </w:rPr>
        <w:t xml:space="preserve"> is a Normative Foreign Policy Actor? </w:t>
      </w:r>
      <w:r w:rsidR="00334E1E">
        <w:rPr>
          <w:rFonts w:ascii="Times New Roman" w:hAnsi="Times New Roman" w:cs="Times New Roman"/>
          <w:sz w:val="24"/>
          <w:szCs w:val="24"/>
          <w:lang w:eastAsia="de-DE"/>
        </w:rPr>
        <w:t>Bru</w:t>
      </w:r>
      <w:r w:rsidRPr="003E4298">
        <w:rPr>
          <w:rFonts w:ascii="Times New Roman" w:hAnsi="Times New Roman" w:cs="Times New Roman"/>
          <w:sz w:val="24"/>
          <w:szCs w:val="24"/>
          <w:lang w:eastAsia="de-DE"/>
        </w:rPr>
        <w:t>ssels: Centre for European Studies.</w:t>
      </w:r>
    </w:p>
    <w:p w14:paraId="54848158" w14:textId="2FFE4244" w:rsidR="00156DF4" w:rsidRDefault="00156DF4" w:rsidP="00BF515E">
      <w:pPr>
        <w:spacing w:line="480" w:lineRule="auto"/>
        <w:ind w:left="720" w:hanging="720"/>
        <w:contextualSpacing/>
        <w:rPr>
          <w:rFonts w:ascii="Times New Roman" w:hAnsi="Times New Roman" w:cs="Times New Roman"/>
          <w:sz w:val="24"/>
          <w:szCs w:val="24"/>
        </w:rPr>
      </w:pPr>
      <w:r w:rsidRPr="003E4298">
        <w:rPr>
          <w:rFonts w:ascii="Times New Roman" w:hAnsi="Times New Roman" w:cs="Times New Roman"/>
          <w:sz w:val="24"/>
          <w:szCs w:val="24"/>
        </w:rPr>
        <w:t xml:space="preserve">Verdun, A. (2013) Small States and the Global Economic Crisis: An Assessment. </w:t>
      </w:r>
      <w:r w:rsidRPr="00334E1E">
        <w:rPr>
          <w:rFonts w:ascii="Times New Roman" w:hAnsi="Times New Roman" w:cs="Times New Roman"/>
          <w:i/>
          <w:sz w:val="24"/>
          <w:szCs w:val="24"/>
        </w:rPr>
        <w:t xml:space="preserve">European Political Science </w:t>
      </w:r>
      <w:r w:rsidRPr="003E4298">
        <w:rPr>
          <w:rFonts w:ascii="Times New Roman" w:hAnsi="Times New Roman" w:cs="Times New Roman"/>
          <w:sz w:val="24"/>
          <w:szCs w:val="24"/>
        </w:rPr>
        <w:t>12</w:t>
      </w:r>
      <w:r w:rsidR="00334E1E">
        <w:rPr>
          <w:rFonts w:ascii="Times New Roman" w:hAnsi="Times New Roman" w:cs="Times New Roman"/>
          <w:sz w:val="24"/>
          <w:szCs w:val="24"/>
        </w:rPr>
        <w:t>(1):</w:t>
      </w:r>
      <w:r w:rsidRPr="003E4298">
        <w:rPr>
          <w:rFonts w:ascii="Times New Roman" w:hAnsi="Times New Roman" w:cs="Times New Roman"/>
          <w:sz w:val="24"/>
          <w:szCs w:val="24"/>
        </w:rPr>
        <w:t xml:space="preserve"> 276-293.</w:t>
      </w:r>
    </w:p>
    <w:p w14:paraId="4835D689" w14:textId="54C92E33" w:rsidR="00355612" w:rsidRPr="005548DD" w:rsidRDefault="00355612" w:rsidP="00BF515E">
      <w:pPr>
        <w:spacing w:line="480" w:lineRule="auto"/>
        <w:ind w:left="720" w:hanging="720"/>
        <w:contextualSpacing/>
        <w:rPr>
          <w:rFonts w:ascii="Times New Roman" w:hAnsi="Times New Roman" w:cs="Times New Roman"/>
          <w:sz w:val="24"/>
          <w:szCs w:val="24"/>
          <w:lang w:eastAsia="de-DE"/>
        </w:rPr>
      </w:pPr>
      <w:r>
        <w:rPr>
          <w:rFonts w:ascii="Times New Roman" w:hAnsi="Times New Roman" w:cs="Times New Roman"/>
          <w:sz w:val="24"/>
          <w:szCs w:val="24"/>
        </w:rPr>
        <w:t xml:space="preserve">Whitman, Richard G. (2013)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neo-normative turn in theorising the EU’s international presence. </w:t>
      </w:r>
      <w:r>
        <w:rPr>
          <w:rFonts w:ascii="Times New Roman" w:hAnsi="Times New Roman" w:cs="Times New Roman"/>
          <w:i/>
          <w:sz w:val="24"/>
          <w:szCs w:val="24"/>
        </w:rPr>
        <w:t>Cooperation and Conflict</w:t>
      </w:r>
      <w:r w:rsidR="005548DD">
        <w:rPr>
          <w:rFonts w:ascii="Times New Roman" w:hAnsi="Times New Roman" w:cs="Times New Roman"/>
          <w:i/>
          <w:sz w:val="24"/>
          <w:szCs w:val="24"/>
        </w:rPr>
        <w:t xml:space="preserve"> </w:t>
      </w:r>
      <w:r w:rsidR="005548DD">
        <w:rPr>
          <w:rFonts w:ascii="Times New Roman" w:hAnsi="Times New Roman" w:cs="Times New Roman"/>
          <w:sz w:val="24"/>
          <w:szCs w:val="24"/>
        </w:rPr>
        <w:t>48(2): 171-193.</w:t>
      </w:r>
    </w:p>
    <w:sectPr w:rsidR="00355612" w:rsidRPr="005548DD" w:rsidSect="003629A9">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914472" w15:done="0"/>
  <w15:commentEx w15:paraId="1230FA31" w15:done="0"/>
  <w15:commentEx w15:paraId="1B4D5314" w15:done="0"/>
  <w15:commentEx w15:paraId="23206A19" w15:done="0"/>
  <w15:commentEx w15:paraId="0525402C" w15:done="0"/>
  <w15:commentEx w15:paraId="3351A65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9945F1" w14:textId="77777777" w:rsidR="00D8704D" w:rsidRDefault="00D8704D" w:rsidP="00085A34">
      <w:r>
        <w:separator/>
      </w:r>
    </w:p>
  </w:endnote>
  <w:endnote w:type="continuationSeparator" w:id="0">
    <w:p w14:paraId="4DA90A1B" w14:textId="77777777" w:rsidR="00D8704D" w:rsidRDefault="00D8704D" w:rsidP="00085A34">
      <w:r>
        <w:continuationSeparator/>
      </w:r>
    </w:p>
  </w:endnote>
  <w:endnote w:id="1">
    <w:p w14:paraId="0275346D" w14:textId="51FBC576" w:rsidR="00355612" w:rsidRPr="003D4CA0" w:rsidRDefault="00355612" w:rsidP="003D4CA0">
      <w:pPr>
        <w:rPr>
          <w:rFonts w:asciiTheme="minorHAnsi" w:hAnsiTheme="minorHAnsi"/>
          <w:bCs/>
          <w:sz w:val="18"/>
          <w:szCs w:val="24"/>
        </w:rPr>
      </w:pPr>
      <w:r w:rsidRPr="003D4CA0">
        <w:rPr>
          <w:rStyle w:val="EndnoteReference"/>
          <w:rFonts w:asciiTheme="minorHAnsi" w:hAnsiTheme="minorHAnsi"/>
          <w:sz w:val="16"/>
        </w:rPr>
        <w:endnoteRef/>
      </w:r>
      <w:r w:rsidRPr="003D4CA0">
        <w:rPr>
          <w:rFonts w:asciiTheme="minorHAnsi" w:hAnsiTheme="minorHAnsi"/>
          <w:sz w:val="16"/>
        </w:rPr>
        <w:t xml:space="preserve"> </w:t>
      </w:r>
      <w:r w:rsidRPr="003D4CA0">
        <w:rPr>
          <w:rFonts w:asciiTheme="minorHAnsi" w:hAnsiTheme="minorHAnsi"/>
          <w:bCs/>
          <w:sz w:val="18"/>
          <w:szCs w:val="24"/>
        </w:rPr>
        <w:t>Oil, gas, coal, fossil, nuclear, biofuel, solar, wind, hydro, tidal, renewable</w:t>
      </w:r>
      <w:r w:rsidRPr="003D4CA0">
        <w:rPr>
          <w:rFonts w:asciiTheme="minorHAnsi" w:hAnsiTheme="minorHAnsi"/>
          <w:bCs/>
          <w:sz w:val="18"/>
          <w:szCs w:val="24"/>
          <w:lang w:eastAsia="zh-HK"/>
        </w:rPr>
        <w:t>, thermal, biomass</w:t>
      </w:r>
      <w:r>
        <w:rPr>
          <w:rFonts w:asciiTheme="minorHAnsi" w:hAnsiTheme="minorHAnsi"/>
          <w:bCs/>
          <w:sz w:val="18"/>
          <w:szCs w:val="24"/>
          <w:lang w:eastAsia="zh-HK"/>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B1D7A0" w14:textId="77777777" w:rsidR="00D8704D" w:rsidRDefault="00D8704D" w:rsidP="00085A34">
      <w:r>
        <w:separator/>
      </w:r>
    </w:p>
  </w:footnote>
  <w:footnote w:type="continuationSeparator" w:id="0">
    <w:p w14:paraId="4ACFACA8" w14:textId="77777777" w:rsidR="00D8704D" w:rsidRDefault="00D8704D" w:rsidP="00085A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7767F"/>
    <w:multiLevelType w:val="hybridMultilevel"/>
    <w:tmpl w:val="04AEDE68"/>
    <w:lvl w:ilvl="0" w:tplc="41C8141E">
      <w:numFmt w:val="bullet"/>
      <w:lvlText w:val="-"/>
      <w:lvlJc w:val="left"/>
      <w:pPr>
        <w:ind w:left="405" w:hanging="360"/>
      </w:pPr>
      <w:rPr>
        <w:rFonts w:ascii="Calibri" w:eastAsia="Times New Roman" w:hAnsi="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cs="Wingdings" w:hint="default"/>
      </w:rPr>
    </w:lvl>
    <w:lvl w:ilvl="3" w:tplc="08090001" w:tentative="1">
      <w:start w:val="1"/>
      <w:numFmt w:val="bullet"/>
      <w:lvlText w:val=""/>
      <w:lvlJc w:val="left"/>
      <w:pPr>
        <w:ind w:left="2565" w:hanging="360"/>
      </w:pPr>
      <w:rPr>
        <w:rFonts w:ascii="Symbol" w:hAnsi="Symbol" w:cs="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cs="Wingdings" w:hint="default"/>
      </w:rPr>
    </w:lvl>
    <w:lvl w:ilvl="6" w:tplc="08090001" w:tentative="1">
      <w:start w:val="1"/>
      <w:numFmt w:val="bullet"/>
      <w:lvlText w:val=""/>
      <w:lvlJc w:val="left"/>
      <w:pPr>
        <w:ind w:left="4725" w:hanging="360"/>
      </w:pPr>
      <w:rPr>
        <w:rFonts w:ascii="Symbol" w:hAnsi="Symbol" w:cs="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cs="Wingdings" w:hint="default"/>
      </w:rPr>
    </w:lvl>
  </w:abstractNum>
  <w:abstractNum w:abstractNumId="1">
    <w:nsid w:val="1FA82302"/>
    <w:multiLevelType w:val="hybridMultilevel"/>
    <w:tmpl w:val="834A231A"/>
    <w:lvl w:ilvl="0" w:tplc="25B03AEE">
      <w:start w:val="1"/>
      <w:numFmt w:val="bullet"/>
      <w:lvlText w:val="•"/>
      <w:lvlJc w:val="left"/>
      <w:pPr>
        <w:tabs>
          <w:tab w:val="num" w:pos="720"/>
        </w:tabs>
        <w:ind w:left="720" w:hanging="360"/>
      </w:pPr>
      <w:rPr>
        <w:rFonts w:ascii="Arial" w:hAnsi="Arial" w:cs="Arial" w:hint="default"/>
      </w:rPr>
    </w:lvl>
    <w:lvl w:ilvl="1" w:tplc="07EC2452">
      <w:start w:val="2596"/>
      <w:numFmt w:val="bullet"/>
      <w:lvlText w:val="–"/>
      <w:lvlJc w:val="left"/>
      <w:pPr>
        <w:tabs>
          <w:tab w:val="num" w:pos="1440"/>
        </w:tabs>
        <w:ind w:left="1440" w:hanging="360"/>
      </w:pPr>
      <w:rPr>
        <w:rFonts w:ascii="Arial" w:hAnsi="Arial" w:cs="Arial" w:hint="default"/>
      </w:rPr>
    </w:lvl>
    <w:lvl w:ilvl="2" w:tplc="A68CE242" w:tentative="1">
      <w:start w:val="1"/>
      <w:numFmt w:val="bullet"/>
      <w:lvlText w:val="•"/>
      <w:lvlJc w:val="left"/>
      <w:pPr>
        <w:tabs>
          <w:tab w:val="num" w:pos="2160"/>
        </w:tabs>
        <w:ind w:left="2160" w:hanging="360"/>
      </w:pPr>
      <w:rPr>
        <w:rFonts w:ascii="Arial" w:hAnsi="Arial" w:cs="Arial" w:hint="default"/>
      </w:rPr>
    </w:lvl>
    <w:lvl w:ilvl="3" w:tplc="86B8B866" w:tentative="1">
      <w:start w:val="1"/>
      <w:numFmt w:val="bullet"/>
      <w:lvlText w:val="•"/>
      <w:lvlJc w:val="left"/>
      <w:pPr>
        <w:tabs>
          <w:tab w:val="num" w:pos="2880"/>
        </w:tabs>
        <w:ind w:left="2880" w:hanging="360"/>
      </w:pPr>
      <w:rPr>
        <w:rFonts w:ascii="Arial" w:hAnsi="Arial" w:cs="Arial" w:hint="default"/>
      </w:rPr>
    </w:lvl>
    <w:lvl w:ilvl="4" w:tplc="D890BA50" w:tentative="1">
      <w:start w:val="1"/>
      <w:numFmt w:val="bullet"/>
      <w:lvlText w:val="•"/>
      <w:lvlJc w:val="left"/>
      <w:pPr>
        <w:tabs>
          <w:tab w:val="num" w:pos="3600"/>
        </w:tabs>
        <w:ind w:left="3600" w:hanging="360"/>
      </w:pPr>
      <w:rPr>
        <w:rFonts w:ascii="Arial" w:hAnsi="Arial" w:cs="Arial" w:hint="default"/>
      </w:rPr>
    </w:lvl>
    <w:lvl w:ilvl="5" w:tplc="30E4EAFA" w:tentative="1">
      <w:start w:val="1"/>
      <w:numFmt w:val="bullet"/>
      <w:lvlText w:val="•"/>
      <w:lvlJc w:val="left"/>
      <w:pPr>
        <w:tabs>
          <w:tab w:val="num" w:pos="4320"/>
        </w:tabs>
        <w:ind w:left="4320" w:hanging="360"/>
      </w:pPr>
      <w:rPr>
        <w:rFonts w:ascii="Arial" w:hAnsi="Arial" w:cs="Arial" w:hint="default"/>
      </w:rPr>
    </w:lvl>
    <w:lvl w:ilvl="6" w:tplc="37460AC0" w:tentative="1">
      <w:start w:val="1"/>
      <w:numFmt w:val="bullet"/>
      <w:lvlText w:val="•"/>
      <w:lvlJc w:val="left"/>
      <w:pPr>
        <w:tabs>
          <w:tab w:val="num" w:pos="5040"/>
        </w:tabs>
        <w:ind w:left="5040" w:hanging="360"/>
      </w:pPr>
      <w:rPr>
        <w:rFonts w:ascii="Arial" w:hAnsi="Arial" w:cs="Arial" w:hint="default"/>
      </w:rPr>
    </w:lvl>
    <w:lvl w:ilvl="7" w:tplc="E9FA9EC2" w:tentative="1">
      <w:start w:val="1"/>
      <w:numFmt w:val="bullet"/>
      <w:lvlText w:val="•"/>
      <w:lvlJc w:val="left"/>
      <w:pPr>
        <w:tabs>
          <w:tab w:val="num" w:pos="5760"/>
        </w:tabs>
        <w:ind w:left="5760" w:hanging="360"/>
      </w:pPr>
      <w:rPr>
        <w:rFonts w:ascii="Arial" w:hAnsi="Arial" w:cs="Arial" w:hint="default"/>
      </w:rPr>
    </w:lvl>
    <w:lvl w:ilvl="8" w:tplc="07A49D3A" w:tentative="1">
      <w:start w:val="1"/>
      <w:numFmt w:val="bullet"/>
      <w:lvlText w:val="•"/>
      <w:lvlJc w:val="left"/>
      <w:pPr>
        <w:tabs>
          <w:tab w:val="num" w:pos="6480"/>
        </w:tabs>
        <w:ind w:left="6480" w:hanging="360"/>
      </w:pPr>
      <w:rPr>
        <w:rFonts w:ascii="Arial" w:hAnsi="Arial" w:cs="Arial" w:hint="default"/>
      </w:rPr>
    </w:lvl>
  </w:abstractNum>
  <w:abstractNum w:abstractNumId="2">
    <w:nsid w:val="32E0737C"/>
    <w:multiLevelType w:val="hybridMultilevel"/>
    <w:tmpl w:val="7A38588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
    <w:nsid w:val="3BFA35D1"/>
    <w:multiLevelType w:val="hybridMultilevel"/>
    <w:tmpl w:val="782A6FA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nsid w:val="3F65580C"/>
    <w:multiLevelType w:val="hybridMultilevel"/>
    <w:tmpl w:val="1B9C79A0"/>
    <w:lvl w:ilvl="0" w:tplc="737609DA">
      <w:start w:val="1"/>
      <w:numFmt w:val="bullet"/>
      <w:lvlText w:val="•"/>
      <w:lvlJc w:val="left"/>
      <w:pPr>
        <w:tabs>
          <w:tab w:val="num" w:pos="720"/>
        </w:tabs>
        <w:ind w:left="720" w:hanging="360"/>
      </w:pPr>
      <w:rPr>
        <w:rFonts w:ascii="Arial" w:hAnsi="Arial" w:cs="Arial" w:hint="default"/>
      </w:rPr>
    </w:lvl>
    <w:lvl w:ilvl="1" w:tplc="56EADA22">
      <w:start w:val="1271"/>
      <w:numFmt w:val="bullet"/>
      <w:lvlText w:val="–"/>
      <w:lvlJc w:val="left"/>
      <w:pPr>
        <w:tabs>
          <w:tab w:val="num" w:pos="1440"/>
        </w:tabs>
        <w:ind w:left="1440" w:hanging="360"/>
      </w:pPr>
      <w:rPr>
        <w:rFonts w:ascii="Arial" w:hAnsi="Arial" w:cs="Arial" w:hint="default"/>
      </w:rPr>
    </w:lvl>
    <w:lvl w:ilvl="2" w:tplc="0CF2DB68" w:tentative="1">
      <w:start w:val="1"/>
      <w:numFmt w:val="bullet"/>
      <w:lvlText w:val="•"/>
      <w:lvlJc w:val="left"/>
      <w:pPr>
        <w:tabs>
          <w:tab w:val="num" w:pos="2160"/>
        </w:tabs>
        <w:ind w:left="2160" w:hanging="360"/>
      </w:pPr>
      <w:rPr>
        <w:rFonts w:ascii="Arial" w:hAnsi="Arial" w:cs="Arial" w:hint="default"/>
      </w:rPr>
    </w:lvl>
    <w:lvl w:ilvl="3" w:tplc="DAD816EE" w:tentative="1">
      <w:start w:val="1"/>
      <w:numFmt w:val="bullet"/>
      <w:lvlText w:val="•"/>
      <w:lvlJc w:val="left"/>
      <w:pPr>
        <w:tabs>
          <w:tab w:val="num" w:pos="2880"/>
        </w:tabs>
        <w:ind w:left="2880" w:hanging="360"/>
      </w:pPr>
      <w:rPr>
        <w:rFonts w:ascii="Arial" w:hAnsi="Arial" w:cs="Arial" w:hint="default"/>
      </w:rPr>
    </w:lvl>
    <w:lvl w:ilvl="4" w:tplc="0CCEBC80" w:tentative="1">
      <w:start w:val="1"/>
      <w:numFmt w:val="bullet"/>
      <w:lvlText w:val="•"/>
      <w:lvlJc w:val="left"/>
      <w:pPr>
        <w:tabs>
          <w:tab w:val="num" w:pos="3600"/>
        </w:tabs>
        <w:ind w:left="3600" w:hanging="360"/>
      </w:pPr>
      <w:rPr>
        <w:rFonts w:ascii="Arial" w:hAnsi="Arial" w:cs="Arial" w:hint="default"/>
      </w:rPr>
    </w:lvl>
    <w:lvl w:ilvl="5" w:tplc="103E8AE6" w:tentative="1">
      <w:start w:val="1"/>
      <w:numFmt w:val="bullet"/>
      <w:lvlText w:val="•"/>
      <w:lvlJc w:val="left"/>
      <w:pPr>
        <w:tabs>
          <w:tab w:val="num" w:pos="4320"/>
        </w:tabs>
        <w:ind w:left="4320" w:hanging="360"/>
      </w:pPr>
      <w:rPr>
        <w:rFonts w:ascii="Arial" w:hAnsi="Arial" w:cs="Arial" w:hint="default"/>
      </w:rPr>
    </w:lvl>
    <w:lvl w:ilvl="6" w:tplc="1606506E" w:tentative="1">
      <w:start w:val="1"/>
      <w:numFmt w:val="bullet"/>
      <w:lvlText w:val="•"/>
      <w:lvlJc w:val="left"/>
      <w:pPr>
        <w:tabs>
          <w:tab w:val="num" w:pos="5040"/>
        </w:tabs>
        <w:ind w:left="5040" w:hanging="360"/>
      </w:pPr>
      <w:rPr>
        <w:rFonts w:ascii="Arial" w:hAnsi="Arial" w:cs="Arial" w:hint="default"/>
      </w:rPr>
    </w:lvl>
    <w:lvl w:ilvl="7" w:tplc="DD48CFA8" w:tentative="1">
      <w:start w:val="1"/>
      <w:numFmt w:val="bullet"/>
      <w:lvlText w:val="•"/>
      <w:lvlJc w:val="left"/>
      <w:pPr>
        <w:tabs>
          <w:tab w:val="num" w:pos="5760"/>
        </w:tabs>
        <w:ind w:left="5760" w:hanging="360"/>
      </w:pPr>
      <w:rPr>
        <w:rFonts w:ascii="Arial" w:hAnsi="Arial" w:cs="Arial" w:hint="default"/>
      </w:rPr>
    </w:lvl>
    <w:lvl w:ilvl="8" w:tplc="E0AEF70C" w:tentative="1">
      <w:start w:val="1"/>
      <w:numFmt w:val="bullet"/>
      <w:lvlText w:val="•"/>
      <w:lvlJc w:val="left"/>
      <w:pPr>
        <w:tabs>
          <w:tab w:val="num" w:pos="6480"/>
        </w:tabs>
        <w:ind w:left="6480" w:hanging="360"/>
      </w:pPr>
      <w:rPr>
        <w:rFonts w:ascii="Arial" w:hAnsi="Arial" w:cs="Arial" w:hint="default"/>
      </w:rPr>
    </w:lvl>
  </w:abstractNum>
  <w:abstractNum w:abstractNumId="5">
    <w:nsid w:val="40AB2271"/>
    <w:multiLevelType w:val="hybridMultilevel"/>
    <w:tmpl w:val="0396FED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nsid w:val="44FA6608"/>
    <w:multiLevelType w:val="hybridMultilevel"/>
    <w:tmpl w:val="4E768DF8"/>
    <w:lvl w:ilvl="0" w:tplc="003C3E16">
      <w:start w:val="3"/>
      <w:numFmt w:val="bullet"/>
      <w:lvlText w:val="-"/>
      <w:lvlJc w:val="left"/>
      <w:pPr>
        <w:ind w:left="420" w:hanging="360"/>
      </w:pPr>
      <w:rPr>
        <w:rFonts w:ascii="Calibri" w:eastAsia="Times New Roman" w:hAnsi="Calibri" w:hint="default"/>
      </w:rPr>
    </w:lvl>
    <w:lvl w:ilvl="1" w:tplc="08090003">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cs="Wingdings" w:hint="default"/>
      </w:rPr>
    </w:lvl>
    <w:lvl w:ilvl="3" w:tplc="08090001" w:tentative="1">
      <w:start w:val="1"/>
      <w:numFmt w:val="bullet"/>
      <w:lvlText w:val=""/>
      <w:lvlJc w:val="left"/>
      <w:pPr>
        <w:ind w:left="2580" w:hanging="360"/>
      </w:pPr>
      <w:rPr>
        <w:rFonts w:ascii="Symbol" w:hAnsi="Symbol" w:cs="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cs="Wingdings" w:hint="default"/>
      </w:rPr>
    </w:lvl>
    <w:lvl w:ilvl="6" w:tplc="08090001" w:tentative="1">
      <w:start w:val="1"/>
      <w:numFmt w:val="bullet"/>
      <w:lvlText w:val=""/>
      <w:lvlJc w:val="left"/>
      <w:pPr>
        <w:ind w:left="4740" w:hanging="360"/>
      </w:pPr>
      <w:rPr>
        <w:rFonts w:ascii="Symbol" w:hAnsi="Symbol" w:cs="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cs="Wingdings" w:hint="default"/>
      </w:rPr>
    </w:lvl>
  </w:abstractNum>
  <w:abstractNum w:abstractNumId="7">
    <w:nsid w:val="5E2B6891"/>
    <w:multiLevelType w:val="hybridMultilevel"/>
    <w:tmpl w:val="7B329C88"/>
    <w:lvl w:ilvl="0" w:tplc="9DF07BF0">
      <w:start w:val="1"/>
      <w:numFmt w:val="bullet"/>
      <w:lvlText w:val=""/>
      <w:lvlJc w:val="left"/>
      <w:pPr>
        <w:tabs>
          <w:tab w:val="num" w:pos="720"/>
        </w:tabs>
        <w:ind w:left="720" w:hanging="360"/>
      </w:pPr>
      <w:rPr>
        <w:rFonts w:ascii="Wingdings 3" w:hAnsi="Wingdings 3" w:hint="default"/>
      </w:rPr>
    </w:lvl>
    <w:lvl w:ilvl="1" w:tplc="0E2C26A2" w:tentative="1">
      <w:start w:val="1"/>
      <w:numFmt w:val="bullet"/>
      <w:lvlText w:val=""/>
      <w:lvlJc w:val="left"/>
      <w:pPr>
        <w:tabs>
          <w:tab w:val="num" w:pos="1440"/>
        </w:tabs>
        <w:ind w:left="1440" w:hanging="360"/>
      </w:pPr>
      <w:rPr>
        <w:rFonts w:ascii="Wingdings 3" w:hAnsi="Wingdings 3" w:hint="default"/>
      </w:rPr>
    </w:lvl>
    <w:lvl w:ilvl="2" w:tplc="688A0F84" w:tentative="1">
      <w:start w:val="1"/>
      <w:numFmt w:val="bullet"/>
      <w:lvlText w:val=""/>
      <w:lvlJc w:val="left"/>
      <w:pPr>
        <w:tabs>
          <w:tab w:val="num" w:pos="2160"/>
        </w:tabs>
        <w:ind w:left="2160" w:hanging="360"/>
      </w:pPr>
      <w:rPr>
        <w:rFonts w:ascii="Wingdings 3" w:hAnsi="Wingdings 3" w:hint="default"/>
      </w:rPr>
    </w:lvl>
    <w:lvl w:ilvl="3" w:tplc="9A1C9CB0" w:tentative="1">
      <w:start w:val="1"/>
      <w:numFmt w:val="bullet"/>
      <w:lvlText w:val=""/>
      <w:lvlJc w:val="left"/>
      <w:pPr>
        <w:tabs>
          <w:tab w:val="num" w:pos="2880"/>
        </w:tabs>
        <w:ind w:left="2880" w:hanging="360"/>
      </w:pPr>
      <w:rPr>
        <w:rFonts w:ascii="Wingdings 3" w:hAnsi="Wingdings 3" w:hint="default"/>
      </w:rPr>
    </w:lvl>
    <w:lvl w:ilvl="4" w:tplc="A2F41D22" w:tentative="1">
      <w:start w:val="1"/>
      <w:numFmt w:val="bullet"/>
      <w:lvlText w:val=""/>
      <w:lvlJc w:val="left"/>
      <w:pPr>
        <w:tabs>
          <w:tab w:val="num" w:pos="3600"/>
        </w:tabs>
        <w:ind w:left="3600" w:hanging="360"/>
      </w:pPr>
      <w:rPr>
        <w:rFonts w:ascii="Wingdings 3" w:hAnsi="Wingdings 3" w:hint="default"/>
      </w:rPr>
    </w:lvl>
    <w:lvl w:ilvl="5" w:tplc="181AF8D4" w:tentative="1">
      <w:start w:val="1"/>
      <w:numFmt w:val="bullet"/>
      <w:lvlText w:val=""/>
      <w:lvlJc w:val="left"/>
      <w:pPr>
        <w:tabs>
          <w:tab w:val="num" w:pos="4320"/>
        </w:tabs>
        <w:ind w:left="4320" w:hanging="360"/>
      </w:pPr>
      <w:rPr>
        <w:rFonts w:ascii="Wingdings 3" w:hAnsi="Wingdings 3" w:hint="default"/>
      </w:rPr>
    </w:lvl>
    <w:lvl w:ilvl="6" w:tplc="A5DC7DEE" w:tentative="1">
      <w:start w:val="1"/>
      <w:numFmt w:val="bullet"/>
      <w:lvlText w:val=""/>
      <w:lvlJc w:val="left"/>
      <w:pPr>
        <w:tabs>
          <w:tab w:val="num" w:pos="5040"/>
        </w:tabs>
        <w:ind w:left="5040" w:hanging="360"/>
      </w:pPr>
      <w:rPr>
        <w:rFonts w:ascii="Wingdings 3" w:hAnsi="Wingdings 3" w:hint="default"/>
      </w:rPr>
    </w:lvl>
    <w:lvl w:ilvl="7" w:tplc="78363FA8" w:tentative="1">
      <w:start w:val="1"/>
      <w:numFmt w:val="bullet"/>
      <w:lvlText w:val=""/>
      <w:lvlJc w:val="left"/>
      <w:pPr>
        <w:tabs>
          <w:tab w:val="num" w:pos="5760"/>
        </w:tabs>
        <w:ind w:left="5760" w:hanging="360"/>
      </w:pPr>
      <w:rPr>
        <w:rFonts w:ascii="Wingdings 3" w:hAnsi="Wingdings 3" w:hint="default"/>
      </w:rPr>
    </w:lvl>
    <w:lvl w:ilvl="8" w:tplc="5CE2DBB6" w:tentative="1">
      <w:start w:val="1"/>
      <w:numFmt w:val="bullet"/>
      <w:lvlText w:val=""/>
      <w:lvlJc w:val="left"/>
      <w:pPr>
        <w:tabs>
          <w:tab w:val="num" w:pos="6480"/>
        </w:tabs>
        <w:ind w:left="6480" w:hanging="360"/>
      </w:pPr>
      <w:rPr>
        <w:rFonts w:ascii="Wingdings 3" w:hAnsi="Wingdings 3" w:hint="default"/>
      </w:rPr>
    </w:lvl>
  </w:abstractNum>
  <w:abstractNum w:abstractNumId="8">
    <w:nsid w:val="6FA84BF3"/>
    <w:multiLevelType w:val="hybridMultilevel"/>
    <w:tmpl w:val="1F708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2"/>
  </w:num>
  <w:num w:numId="5">
    <w:abstractNumId w:val="6"/>
  </w:num>
  <w:num w:numId="6">
    <w:abstractNumId w:val="8"/>
  </w:num>
  <w:num w:numId="7">
    <w:abstractNumId w:val="4"/>
  </w:num>
  <w:num w:numId="8">
    <w:abstractNumId w:val="0"/>
  </w:num>
  <w:num w:numId="9">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sg19@uclive.ac.nz">
    <w15:presenceInfo w15:providerId="Windows Live" w15:userId="288d1d77475ade6c"/>
  </w15:person>
  <w15:person w15:author="nch45">
    <w15:presenceInfo w15:providerId="None" w15:userId="nch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6F0"/>
    <w:rsid w:val="00016283"/>
    <w:rsid w:val="00025C49"/>
    <w:rsid w:val="00026817"/>
    <w:rsid w:val="000271A0"/>
    <w:rsid w:val="00042460"/>
    <w:rsid w:val="0004414C"/>
    <w:rsid w:val="0005150E"/>
    <w:rsid w:val="000519CF"/>
    <w:rsid w:val="00056D0D"/>
    <w:rsid w:val="00074AD6"/>
    <w:rsid w:val="000834BC"/>
    <w:rsid w:val="00085A34"/>
    <w:rsid w:val="00087A6D"/>
    <w:rsid w:val="0009294E"/>
    <w:rsid w:val="00093E2C"/>
    <w:rsid w:val="000A418F"/>
    <w:rsid w:val="000B04FF"/>
    <w:rsid w:val="000B476E"/>
    <w:rsid w:val="000B6ECC"/>
    <w:rsid w:val="000D10BD"/>
    <w:rsid w:val="000D3F11"/>
    <w:rsid w:val="000D64AA"/>
    <w:rsid w:val="000D6D99"/>
    <w:rsid w:val="000E7999"/>
    <w:rsid w:val="000F36F5"/>
    <w:rsid w:val="000F438B"/>
    <w:rsid w:val="000F645D"/>
    <w:rsid w:val="000F69B3"/>
    <w:rsid w:val="000F7E40"/>
    <w:rsid w:val="000F7FBF"/>
    <w:rsid w:val="00102D5B"/>
    <w:rsid w:val="001058C6"/>
    <w:rsid w:val="0010781D"/>
    <w:rsid w:val="00111385"/>
    <w:rsid w:val="001138D3"/>
    <w:rsid w:val="00113AE3"/>
    <w:rsid w:val="00140541"/>
    <w:rsid w:val="00152A59"/>
    <w:rsid w:val="0015463C"/>
    <w:rsid w:val="001547D3"/>
    <w:rsid w:val="00154A24"/>
    <w:rsid w:val="0015691A"/>
    <w:rsid w:val="00156DF4"/>
    <w:rsid w:val="0015721D"/>
    <w:rsid w:val="00160D0F"/>
    <w:rsid w:val="00161833"/>
    <w:rsid w:val="00163B45"/>
    <w:rsid w:val="00172CB0"/>
    <w:rsid w:val="00175E1A"/>
    <w:rsid w:val="0018566F"/>
    <w:rsid w:val="00192C7F"/>
    <w:rsid w:val="00196556"/>
    <w:rsid w:val="001A17F8"/>
    <w:rsid w:val="001A45E4"/>
    <w:rsid w:val="001B6F7D"/>
    <w:rsid w:val="001C28A2"/>
    <w:rsid w:val="001C603E"/>
    <w:rsid w:val="001D652B"/>
    <w:rsid w:val="001E572C"/>
    <w:rsid w:val="001E63EF"/>
    <w:rsid w:val="001E7B32"/>
    <w:rsid w:val="001F0173"/>
    <w:rsid w:val="001F02E9"/>
    <w:rsid w:val="001F788F"/>
    <w:rsid w:val="00202500"/>
    <w:rsid w:val="00202585"/>
    <w:rsid w:val="002122EF"/>
    <w:rsid w:val="00215691"/>
    <w:rsid w:val="00220785"/>
    <w:rsid w:val="00226531"/>
    <w:rsid w:val="002406B5"/>
    <w:rsid w:val="0024104D"/>
    <w:rsid w:val="00241DD4"/>
    <w:rsid w:val="00252413"/>
    <w:rsid w:val="00252C66"/>
    <w:rsid w:val="00254495"/>
    <w:rsid w:val="002740B8"/>
    <w:rsid w:val="0027719F"/>
    <w:rsid w:val="00284953"/>
    <w:rsid w:val="00286664"/>
    <w:rsid w:val="00287B2A"/>
    <w:rsid w:val="00290A2E"/>
    <w:rsid w:val="00294C46"/>
    <w:rsid w:val="002A0EBF"/>
    <w:rsid w:val="002A1393"/>
    <w:rsid w:val="002A6C3E"/>
    <w:rsid w:val="002A7CE0"/>
    <w:rsid w:val="002D5A24"/>
    <w:rsid w:val="002D5FE3"/>
    <w:rsid w:val="002D7F8A"/>
    <w:rsid w:val="002E1212"/>
    <w:rsid w:val="002E4534"/>
    <w:rsid w:val="002E7CE7"/>
    <w:rsid w:val="002F2ABF"/>
    <w:rsid w:val="003076F0"/>
    <w:rsid w:val="0032560E"/>
    <w:rsid w:val="00331086"/>
    <w:rsid w:val="00334E1E"/>
    <w:rsid w:val="00336339"/>
    <w:rsid w:val="003531FC"/>
    <w:rsid w:val="00353A58"/>
    <w:rsid w:val="00354E35"/>
    <w:rsid w:val="00355612"/>
    <w:rsid w:val="00357D18"/>
    <w:rsid w:val="003629A9"/>
    <w:rsid w:val="00370E09"/>
    <w:rsid w:val="00374A5B"/>
    <w:rsid w:val="0037661C"/>
    <w:rsid w:val="00382FBD"/>
    <w:rsid w:val="00385E4A"/>
    <w:rsid w:val="003860B5"/>
    <w:rsid w:val="00391756"/>
    <w:rsid w:val="003918AC"/>
    <w:rsid w:val="00391C3B"/>
    <w:rsid w:val="00391F32"/>
    <w:rsid w:val="003A6390"/>
    <w:rsid w:val="003C6810"/>
    <w:rsid w:val="003C6A07"/>
    <w:rsid w:val="003D02D8"/>
    <w:rsid w:val="003D2C8E"/>
    <w:rsid w:val="003D4CA0"/>
    <w:rsid w:val="003D7D09"/>
    <w:rsid w:val="003E1E28"/>
    <w:rsid w:val="003E4298"/>
    <w:rsid w:val="003E74E9"/>
    <w:rsid w:val="003F1F14"/>
    <w:rsid w:val="003F5F35"/>
    <w:rsid w:val="004019F5"/>
    <w:rsid w:val="0040297C"/>
    <w:rsid w:val="00404565"/>
    <w:rsid w:val="0040665C"/>
    <w:rsid w:val="00415CA8"/>
    <w:rsid w:val="00421A84"/>
    <w:rsid w:val="00431BA2"/>
    <w:rsid w:val="00441BB7"/>
    <w:rsid w:val="004458CE"/>
    <w:rsid w:val="004465C5"/>
    <w:rsid w:val="00447128"/>
    <w:rsid w:val="00451263"/>
    <w:rsid w:val="00451A1B"/>
    <w:rsid w:val="004610C0"/>
    <w:rsid w:val="004632AC"/>
    <w:rsid w:val="00463441"/>
    <w:rsid w:val="00467DB4"/>
    <w:rsid w:val="00470DC5"/>
    <w:rsid w:val="00481792"/>
    <w:rsid w:val="00484593"/>
    <w:rsid w:val="00485BA7"/>
    <w:rsid w:val="004A421F"/>
    <w:rsid w:val="004A482A"/>
    <w:rsid w:val="004B2E07"/>
    <w:rsid w:val="004C560F"/>
    <w:rsid w:val="004E02CD"/>
    <w:rsid w:val="004E7BF7"/>
    <w:rsid w:val="005001D1"/>
    <w:rsid w:val="0050446F"/>
    <w:rsid w:val="00506815"/>
    <w:rsid w:val="00533C57"/>
    <w:rsid w:val="005369AB"/>
    <w:rsid w:val="00536F41"/>
    <w:rsid w:val="00541610"/>
    <w:rsid w:val="00550B2B"/>
    <w:rsid w:val="005528E6"/>
    <w:rsid w:val="005548DD"/>
    <w:rsid w:val="00561EAC"/>
    <w:rsid w:val="00565D8E"/>
    <w:rsid w:val="00577FFC"/>
    <w:rsid w:val="00583C9D"/>
    <w:rsid w:val="00585648"/>
    <w:rsid w:val="0059456C"/>
    <w:rsid w:val="00595F3A"/>
    <w:rsid w:val="005A6070"/>
    <w:rsid w:val="005B1E5C"/>
    <w:rsid w:val="005B5480"/>
    <w:rsid w:val="005B569D"/>
    <w:rsid w:val="005C3FCE"/>
    <w:rsid w:val="005C5725"/>
    <w:rsid w:val="005C6538"/>
    <w:rsid w:val="005D050A"/>
    <w:rsid w:val="005D521B"/>
    <w:rsid w:val="005E1F4C"/>
    <w:rsid w:val="005F35CF"/>
    <w:rsid w:val="005F7921"/>
    <w:rsid w:val="00602695"/>
    <w:rsid w:val="0061148D"/>
    <w:rsid w:val="00611B21"/>
    <w:rsid w:val="0061388F"/>
    <w:rsid w:val="006145AC"/>
    <w:rsid w:val="00620639"/>
    <w:rsid w:val="00620746"/>
    <w:rsid w:val="00626392"/>
    <w:rsid w:val="0062703C"/>
    <w:rsid w:val="00630DE2"/>
    <w:rsid w:val="0063137F"/>
    <w:rsid w:val="00632246"/>
    <w:rsid w:val="006347D8"/>
    <w:rsid w:val="006365FA"/>
    <w:rsid w:val="00640494"/>
    <w:rsid w:val="006427F2"/>
    <w:rsid w:val="00642C1F"/>
    <w:rsid w:val="006433E0"/>
    <w:rsid w:val="00644665"/>
    <w:rsid w:val="0064703F"/>
    <w:rsid w:val="0065345F"/>
    <w:rsid w:val="00657BD7"/>
    <w:rsid w:val="00657C1B"/>
    <w:rsid w:val="006651C5"/>
    <w:rsid w:val="00670827"/>
    <w:rsid w:val="00672FCB"/>
    <w:rsid w:val="00674004"/>
    <w:rsid w:val="006812AF"/>
    <w:rsid w:val="00692CEE"/>
    <w:rsid w:val="00693E89"/>
    <w:rsid w:val="00696261"/>
    <w:rsid w:val="006A48AD"/>
    <w:rsid w:val="006A71EA"/>
    <w:rsid w:val="006A7D4C"/>
    <w:rsid w:val="006B2454"/>
    <w:rsid w:val="006B488B"/>
    <w:rsid w:val="006C0E9A"/>
    <w:rsid w:val="006C557F"/>
    <w:rsid w:val="006D326C"/>
    <w:rsid w:val="006D3BB6"/>
    <w:rsid w:val="006E7A6E"/>
    <w:rsid w:val="006F1935"/>
    <w:rsid w:val="006F62D7"/>
    <w:rsid w:val="00702982"/>
    <w:rsid w:val="00724AD2"/>
    <w:rsid w:val="00731D65"/>
    <w:rsid w:val="007327F2"/>
    <w:rsid w:val="00734D22"/>
    <w:rsid w:val="007411BD"/>
    <w:rsid w:val="00747C5B"/>
    <w:rsid w:val="00752553"/>
    <w:rsid w:val="00757C48"/>
    <w:rsid w:val="00764E83"/>
    <w:rsid w:val="007669C0"/>
    <w:rsid w:val="007709C3"/>
    <w:rsid w:val="00770BA2"/>
    <w:rsid w:val="0077354F"/>
    <w:rsid w:val="00773B98"/>
    <w:rsid w:val="00781259"/>
    <w:rsid w:val="00781A29"/>
    <w:rsid w:val="007823FA"/>
    <w:rsid w:val="00783220"/>
    <w:rsid w:val="00794BA7"/>
    <w:rsid w:val="0079541D"/>
    <w:rsid w:val="007A3C28"/>
    <w:rsid w:val="007B6835"/>
    <w:rsid w:val="007B78A7"/>
    <w:rsid w:val="007C5407"/>
    <w:rsid w:val="007C6EE1"/>
    <w:rsid w:val="007D5078"/>
    <w:rsid w:val="007D56C0"/>
    <w:rsid w:val="007D6022"/>
    <w:rsid w:val="007E2DA2"/>
    <w:rsid w:val="007F7F08"/>
    <w:rsid w:val="00803E8D"/>
    <w:rsid w:val="00806C1E"/>
    <w:rsid w:val="0080743E"/>
    <w:rsid w:val="00810F0C"/>
    <w:rsid w:val="0081229D"/>
    <w:rsid w:val="0082186B"/>
    <w:rsid w:val="00823990"/>
    <w:rsid w:val="00827390"/>
    <w:rsid w:val="008368B1"/>
    <w:rsid w:val="008421C8"/>
    <w:rsid w:val="008540B2"/>
    <w:rsid w:val="00855082"/>
    <w:rsid w:val="008567BB"/>
    <w:rsid w:val="008705AC"/>
    <w:rsid w:val="008726A1"/>
    <w:rsid w:val="00875027"/>
    <w:rsid w:val="00882EB5"/>
    <w:rsid w:val="00886701"/>
    <w:rsid w:val="008915B7"/>
    <w:rsid w:val="00897902"/>
    <w:rsid w:val="008A302E"/>
    <w:rsid w:val="008B6ED9"/>
    <w:rsid w:val="008C5A7F"/>
    <w:rsid w:val="008C5D9E"/>
    <w:rsid w:val="008C7A53"/>
    <w:rsid w:val="008D47D6"/>
    <w:rsid w:val="008D7D67"/>
    <w:rsid w:val="008E4705"/>
    <w:rsid w:val="008F19F1"/>
    <w:rsid w:val="008F753B"/>
    <w:rsid w:val="00901D06"/>
    <w:rsid w:val="00903B95"/>
    <w:rsid w:val="00905BDB"/>
    <w:rsid w:val="00916C9C"/>
    <w:rsid w:val="009238A6"/>
    <w:rsid w:val="00925D32"/>
    <w:rsid w:val="0093501A"/>
    <w:rsid w:val="00937E52"/>
    <w:rsid w:val="00945401"/>
    <w:rsid w:val="00950FBE"/>
    <w:rsid w:val="009574F5"/>
    <w:rsid w:val="009703ED"/>
    <w:rsid w:val="00974405"/>
    <w:rsid w:val="009745CB"/>
    <w:rsid w:val="00974F1A"/>
    <w:rsid w:val="0098548C"/>
    <w:rsid w:val="00986617"/>
    <w:rsid w:val="00990E7A"/>
    <w:rsid w:val="009927A3"/>
    <w:rsid w:val="00996840"/>
    <w:rsid w:val="009A042B"/>
    <w:rsid w:val="009B0B9F"/>
    <w:rsid w:val="009B521A"/>
    <w:rsid w:val="009C5CA5"/>
    <w:rsid w:val="009D0EE0"/>
    <w:rsid w:val="009E438D"/>
    <w:rsid w:val="009E5311"/>
    <w:rsid w:val="00A05678"/>
    <w:rsid w:val="00A06C35"/>
    <w:rsid w:val="00A21772"/>
    <w:rsid w:val="00A31B5A"/>
    <w:rsid w:val="00A32338"/>
    <w:rsid w:val="00A349A5"/>
    <w:rsid w:val="00A36FF8"/>
    <w:rsid w:val="00A47F26"/>
    <w:rsid w:val="00A62F4F"/>
    <w:rsid w:val="00A67B4E"/>
    <w:rsid w:val="00A67D65"/>
    <w:rsid w:val="00A700B6"/>
    <w:rsid w:val="00A92FA0"/>
    <w:rsid w:val="00A9692F"/>
    <w:rsid w:val="00AA4C34"/>
    <w:rsid w:val="00AB1415"/>
    <w:rsid w:val="00AB4EFF"/>
    <w:rsid w:val="00AB577E"/>
    <w:rsid w:val="00AB68D7"/>
    <w:rsid w:val="00AB6E53"/>
    <w:rsid w:val="00AB7984"/>
    <w:rsid w:val="00AC3246"/>
    <w:rsid w:val="00AC4525"/>
    <w:rsid w:val="00AC69A7"/>
    <w:rsid w:val="00AC7EDC"/>
    <w:rsid w:val="00AE1ADB"/>
    <w:rsid w:val="00AF1B98"/>
    <w:rsid w:val="00B054E8"/>
    <w:rsid w:val="00B0772F"/>
    <w:rsid w:val="00B1072A"/>
    <w:rsid w:val="00B20DB3"/>
    <w:rsid w:val="00B269BE"/>
    <w:rsid w:val="00B378E2"/>
    <w:rsid w:val="00B4119B"/>
    <w:rsid w:val="00B429AE"/>
    <w:rsid w:val="00B44337"/>
    <w:rsid w:val="00B44D3E"/>
    <w:rsid w:val="00B503A6"/>
    <w:rsid w:val="00B5208E"/>
    <w:rsid w:val="00B60344"/>
    <w:rsid w:val="00B60FFD"/>
    <w:rsid w:val="00B6251F"/>
    <w:rsid w:val="00B632E1"/>
    <w:rsid w:val="00B63B1B"/>
    <w:rsid w:val="00B64685"/>
    <w:rsid w:val="00B65634"/>
    <w:rsid w:val="00B7487C"/>
    <w:rsid w:val="00B7612C"/>
    <w:rsid w:val="00BA0D31"/>
    <w:rsid w:val="00BA1AFC"/>
    <w:rsid w:val="00BA66A7"/>
    <w:rsid w:val="00BD512A"/>
    <w:rsid w:val="00BE754C"/>
    <w:rsid w:val="00BF0BD6"/>
    <w:rsid w:val="00BF515E"/>
    <w:rsid w:val="00C014E3"/>
    <w:rsid w:val="00C1417C"/>
    <w:rsid w:val="00C14EF9"/>
    <w:rsid w:val="00C16431"/>
    <w:rsid w:val="00C324A1"/>
    <w:rsid w:val="00C52573"/>
    <w:rsid w:val="00C5258A"/>
    <w:rsid w:val="00C56D96"/>
    <w:rsid w:val="00C573CB"/>
    <w:rsid w:val="00C834A5"/>
    <w:rsid w:val="00C92DCF"/>
    <w:rsid w:val="00C958BC"/>
    <w:rsid w:val="00CA0E01"/>
    <w:rsid w:val="00CB18C0"/>
    <w:rsid w:val="00CB3432"/>
    <w:rsid w:val="00CB6C9F"/>
    <w:rsid w:val="00CC016A"/>
    <w:rsid w:val="00CC2DDA"/>
    <w:rsid w:val="00CC33F5"/>
    <w:rsid w:val="00CC3EC3"/>
    <w:rsid w:val="00CD46F1"/>
    <w:rsid w:val="00CD6BE3"/>
    <w:rsid w:val="00CE2392"/>
    <w:rsid w:val="00CE671E"/>
    <w:rsid w:val="00CF232F"/>
    <w:rsid w:val="00CF33DD"/>
    <w:rsid w:val="00D14191"/>
    <w:rsid w:val="00D16AA8"/>
    <w:rsid w:val="00D209BA"/>
    <w:rsid w:val="00D21831"/>
    <w:rsid w:val="00D23682"/>
    <w:rsid w:val="00D2484B"/>
    <w:rsid w:val="00D274BD"/>
    <w:rsid w:val="00D2783D"/>
    <w:rsid w:val="00D27E29"/>
    <w:rsid w:val="00D5248A"/>
    <w:rsid w:val="00D53B6B"/>
    <w:rsid w:val="00D60AAB"/>
    <w:rsid w:val="00D64F58"/>
    <w:rsid w:val="00D707E6"/>
    <w:rsid w:val="00D749CE"/>
    <w:rsid w:val="00D75556"/>
    <w:rsid w:val="00D76583"/>
    <w:rsid w:val="00D80E85"/>
    <w:rsid w:val="00D847F9"/>
    <w:rsid w:val="00D85925"/>
    <w:rsid w:val="00D8704D"/>
    <w:rsid w:val="00D936AD"/>
    <w:rsid w:val="00D95F8A"/>
    <w:rsid w:val="00DA7226"/>
    <w:rsid w:val="00DB13A6"/>
    <w:rsid w:val="00DB43EB"/>
    <w:rsid w:val="00DB473A"/>
    <w:rsid w:val="00DC233F"/>
    <w:rsid w:val="00DC591D"/>
    <w:rsid w:val="00DD0FCD"/>
    <w:rsid w:val="00DD5BCA"/>
    <w:rsid w:val="00DD6D2C"/>
    <w:rsid w:val="00DE0DA7"/>
    <w:rsid w:val="00DF3D30"/>
    <w:rsid w:val="00DF4576"/>
    <w:rsid w:val="00DF6ED1"/>
    <w:rsid w:val="00E0155F"/>
    <w:rsid w:val="00E04366"/>
    <w:rsid w:val="00E11F24"/>
    <w:rsid w:val="00E12A6D"/>
    <w:rsid w:val="00E15357"/>
    <w:rsid w:val="00E22A25"/>
    <w:rsid w:val="00E24B66"/>
    <w:rsid w:val="00E24D78"/>
    <w:rsid w:val="00E33B32"/>
    <w:rsid w:val="00E40F50"/>
    <w:rsid w:val="00E41011"/>
    <w:rsid w:val="00E55769"/>
    <w:rsid w:val="00E60599"/>
    <w:rsid w:val="00E6101A"/>
    <w:rsid w:val="00E641FC"/>
    <w:rsid w:val="00E65D58"/>
    <w:rsid w:val="00E67018"/>
    <w:rsid w:val="00E71B8E"/>
    <w:rsid w:val="00E75E60"/>
    <w:rsid w:val="00E77633"/>
    <w:rsid w:val="00E82F69"/>
    <w:rsid w:val="00E921AA"/>
    <w:rsid w:val="00E952D0"/>
    <w:rsid w:val="00E96CEA"/>
    <w:rsid w:val="00EA1761"/>
    <w:rsid w:val="00EB132C"/>
    <w:rsid w:val="00EB3593"/>
    <w:rsid w:val="00EB5FD6"/>
    <w:rsid w:val="00EC4431"/>
    <w:rsid w:val="00EC46FE"/>
    <w:rsid w:val="00EC5F1C"/>
    <w:rsid w:val="00ED6134"/>
    <w:rsid w:val="00EE5B4A"/>
    <w:rsid w:val="00EF2D59"/>
    <w:rsid w:val="00EF7E19"/>
    <w:rsid w:val="00F03179"/>
    <w:rsid w:val="00F0469F"/>
    <w:rsid w:val="00F04B19"/>
    <w:rsid w:val="00F1044D"/>
    <w:rsid w:val="00F17C91"/>
    <w:rsid w:val="00F244C1"/>
    <w:rsid w:val="00F2569B"/>
    <w:rsid w:val="00F27482"/>
    <w:rsid w:val="00F30A18"/>
    <w:rsid w:val="00F402EC"/>
    <w:rsid w:val="00F40B4F"/>
    <w:rsid w:val="00F63D9C"/>
    <w:rsid w:val="00F656F0"/>
    <w:rsid w:val="00F71BB7"/>
    <w:rsid w:val="00F71E7C"/>
    <w:rsid w:val="00F7711D"/>
    <w:rsid w:val="00F85424"/>
    <w:rsid w:val="00F96CAE"/>
    <w:rsid w:val="00FA0CB7"/>
    <w:rsid w:val="00FA4706"/>
    <w:rsid w:val="00FA75F8"/>
    <w:rsid w:val="00FC1A77"/>
    <w:rsid w:val="00FC2B0A"/>
    <w:rsid w:val="00FC6B6C"/>
    <w:rsid w:val="00FC714A"/>
    <w:rsid w:val="00FD556D"/>
    <w:rsid w:val="00FF0F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17E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ook Antiqua" w:eastAsia="Calibri" w:hAnsi="Book Antiqua"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caption" w:uiPriority="35" w:qFormat="1"/>
    <w:lsdException w:name="footnote reference" w:unhideWhenUsed="0"/>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6F0"/>
    <w:rPr>
      <w:rFonts w:cs="Book Antiqua"/>
      <w:lang w:val="en-GB" w:eastAsia="en-US"/>
    </w:rPr>
  </w:style>
  <w:style w:type="paragraph" w:styleId="Heading2">
    <w:name w:val="heading 2"/>
    <w:basedOn w:val="Normal"/>
    <w:link w:val="Heading2Char"/>
    <w:uiPriority w:val="9"/>
    <w:qFormat/>
    <w:rsid w:val="008915B7"/>
    <w:pPr>
      <w:spacing w:before="100" w:beforeAutospacing="1" w:after="100" w:afterAutospacing="1"/>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Footnote Text Char2 Char1 Char1 Char,Footnote Text Char1 Char Char1 Char1 Char,Footnote Text Char3 Char Char Char Char Char,Footnote Text Char1 Char1,footnumber tex"/>
    <w:basedOn w:val="Normal"/>
    <w:link w:val="FootnoteTextChar"/>
    <w:uiPriority w:val="99"/>
    <w:rsid w:val="001547D3"/>
    <w:rPr>
      <w:rFonts w:eastAsia="Batang"/>
      <w:sz w:val="18"/>
      <w:szCs w:val="18"/>
      <w:lang w:val="de-DE" w:eastAsia="zh-CN"/>
    </w:rPr>
  </w:style>
  <w:style w:type="character" w:customStyle="1" w:styleId="FootnoteTextChar">
    <w:name w:val="Footnote Text Char"/>
    <w:aliases w:val="Footnote Text Char2 Char,Footnote Text Char Char Char,Footnote Text Char1 Char Char Char,Footnote Text Char2 Char1 Char1 Char Char,Footnote Text Char1 Char Char1 Char1 Char Char,Footnote Text Char3 Char Char Char Char Char Char"/>
    <w:basedOn w:val="DefaultParagraphFont"/>
    <w:link w:val="FootnoteText"/>
    <w:uiPriority w:val="99"/>
    <w:rsid w:val="001547D3"/>
    <w:rPr>
      <w:rFonts w:eastAsia="Batang"/>
      <w:sz w:val="23"/>
      <w:szCs w:val="23"/>
      <w:lang w:eastAsia="zh-CN"/>
    </w:rPr>
  </w:style>
  <w:style w:type="character" w:styleId="CommentReference">
    <w:name w:val="annotation reference"/>
    <w:basedOn w:val="DefaultParagraphFont"/>
    <w:uiPriority w:val="99"/>
    <w:semiHidden/>
    <w:rsid w:val="003076F0"/>
    <w:rPr>
      <w:sz w:val="16"/>
      <w:szCs w:val="16"/>
    </w:rPr>
  </w:style>
  <w:style w:type="paragraph" w:styleId="CommentText">
    <w:name w:val="annotation text"/>
    <w:basedOn w:val="Normal"/>
    <w:link w:val="CommentTextChar"/>
    <w:uiPriority w:val="99"/>
    <w:semiHidden/>
    <w:rsid w:val="003076F0"/>
    <w:pPr>
      <w:spacing w:after="160"/>
    </w:pPr>
    <w:rPr>
      <w:rFonts w:ascii="Calibri" w:hAnsi="Calibri" w:cs="Calibri"/>
      <w:sz w:val="20"/>
      <w:szCs w:val="20"/>
      <w:lang w:val="en-NZ"/>
    </w:rPr>
  </w:style>
  <w:style w:type="character" w:customStyle="1" w:styleId="CommentTextChar">
    <w:name w:val="Comment Text Char"/>
    <w:basedOn w:val="DefaultParagraphFont"/>
    <w:link w:val="CommentText"/>
    <w:uiPriority w:val="99"/>
    <w:rsid w:val="003076F0"/>
    <w:rPr>
      <w:rFonts w:ascii="Calibri" w:hAnsi="Calibri" w:cs="Calibri"/>
      <w:sz w:val="20"/>
      <w:szCs w:val="20"/>
      <w:lang w:val="en-NZ"/>
    </w:rPr>
  </w:style>
  <w:style w:type="paragraph" w:styleId="BalloonText">
    <w:name w:val="Balloon Text"/>
    <w:basedOn w:val="Normal"/>
    <w:link w:val="BalloonTextChar"/>
    <w:uiPriority w:val="99"/>
    <w:semiHidden/>
    <w:rsid w:val="003076F0"/>
    <w:rPr>
      <w:rFonts w:ascii="Tahoma" w:hAnsi="Tahoma" w:cs="Tahoma"/>
      <w:sz w:val="16"/>
      <w:szCs w:val="16"/>
    </w:rPr>
  </w:style>
  <w:style w:type="character" w:customStyle="1" w:styleId="BalloonTextChar">
    <w:name w:val="Balloon Text Char"/>
    <w:basedOn w:val="DefaultParagraphFont"/>
    <w:link w:val="BalloonText"/>
    <w:uiPriority w:val="99"/>
    <w:semiHidden/>
    <w:rsid w:val="003076F0"/>
    <w:rPr>
      <w:rFonts w:ascii="Tahoma" w:hAnsi="Tahoma" w:cs="Tahoma"/>
      <w:sz w:val="16"/>
      <w:szCs w:val="16"/>
    </w:rPr>
  </w:style>
  <w:style w:type="paragraph" w:styleId="CommentSubject">
    <w:name w:val="annotation subject"/>
    <w:basedOn w:val="CommentText"/>
    <w:next w:val="CommentText"/>
    <w:link w:val="CommentSubjectChar"/>
    <w:uiPriority w:val="99"/>
    <w:semiHidden/>
    <w:rsid w:val="006E7A6E"/>
    <w:pPr>
      <w:spacing w:after="0"/>
    </w:pPr>
    <w:rPr>
      <w:rFonts w:ascii="Book Antiqua" w:hAnsi="Book Antiqua" w:cs="Book Antiqua"/>
      <w:b/>
      <w:bCs/>
      <w:lang w:val="en-GB"/>
    </w:rPr>
  </w:style>
  <w:style w:type="character" w:customStyle="1" w:styleId="CommentSubjectChar">
    <w:name w:val="Comment Subject Char"/>
    <w:basedOn w:val="CommentTextChar"/>
    <w:link w:val="CommentSubject"/>
    <w:uiPriority w:val="99"/>
    <w:semiHidden/>
    <w:rsid w:val="006E7A6E"/>
    <w:rPr>
      <w:rFonts w:ascii="Calibri" w:hAnsi="Calibri" w:cs="Calibri"/>
      <w:b/>
      <w:bCs/>
      <w:sz w:val="20"/>
      <w:szCs w:val="20"/>
      <w:lang w:val="en-NZ"/>
    </w:rPr>
  </w:style>
  <w:style w:type="paragraph" w:styleId="Revision">
    <w:name w:val="Revision"/>
    <w:hidden/>
    <w:uiPriority w:val="99"/>
    <w:semiHidden/>
    <w:rsid w:val="002D5A24"/>
    <w:rPr>
      <w:rFonts w:cs="Book Antiqua"/>
      <w:lang w:val="en-GB" w:eastAsia="en-US"/>
    </w:rPr>
  </w:style>
  <w:style w:type="paragraph" w:styleId="ListParagraph">
    <w:name w:val="List Paragraph"/>
    <w:basedOn w:val="Normal"/>
    <w:qFormat/>
    <w:rsid w:val="00FA0CB7"/>
    <w:pPr>
      <w:ind w:left="720"/>
      <w:contextualSpacing/>
    </w:pPr>
  </w:style>
  <w:style w:type="character" w:styleId="Hyperlink">
    <w:name w:val="Hyperlink"/>
    <w:basedOn w:val="DefaultParagraphFont"/>
    <w:uiPriority w:val="99"/>
    <w:semiHidden/>
    <w:rsid w:val="00085A34"/>
    <w:rPr>
      <w:color w:val="0000FF"/>
      <w:u w:val="single"/>
    </w:rPr>
  </w:style>
  <w:style w:type="paragraph" w:customStyle="1" w:styleId="Text">
    <w:name w:val="Text"/>
    <w:uiPriority w:val="99"/>
    <w:rsid w:val="00085A34"/>
    <w:rPr>
      <w:rFonts w:ascii="Helvetica" w:eastAsia="Arial Unicode MS" w:hAnsi="Arial Unicode MS" w:cs="Helvetica"/>
      <w:color w:val="000000"/>
    </w:rPr>
  </w:style>
  <w:style w:type="character" w:styleId="FootnoteReference">
    <w:name w:val="footnote reference"/>
    <w:basedOn w:val="DefaultParagraphFont"/>
    <w:uiPriority w:val="99"/>
    <w:rsid w:val="00085A34"/>
    <w:rPr>
      <w:vertAlign w:val="superscript"/>
    </w:rPr>
  </w:style>
  <w:style w:type="paragraph" w:customStyle="1" w:styleId="align-center">
    <w:name w:val="align-center"/>
    <w:basedOn w:val="Normal"/>
    <w:uiPriority w:val="99"/>
    <w:rsid w:val="00FF0F3C"/>
    <w:pPr>
      <w:spacing w:before="100" w:beforeAutospacing="1" w:after="100" w:afterAutospacing="1"/>
    </w:pPr>
    <w:rPr>
      <w:rFonts w:ascii="Times New Roman" w:eastAsia="Times New Roman" w:hAnsi="Times New Roman" w:cs="Times New Roman"/>
      <w:sz w:val="24"/>
      <w:szCs w:val="24"/>
      <w:lang w:eastAsia="en-GB"/>
    </w:rPr>
  </w:style>
  <w:style w:type="table" w:styleId="TableGrid">
    <w:name w:val="Table Grid"/>
    <w:basedOn w:val="TableNormal"/>
    <w:uiPriority w:val="99"/>
    <w:rsid w:val="00451A1B"/>
    <w:rPr>
      <w:rFonts w:eastAsia="Times New Roman" w:cs="Book Antiqu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0F645D"/>
    <w:rPr>
      <w:rFonts w:asciiTheme="minorHAnsi" w:eastAsiaTheme="minorHAnsi" w:hAnsiTheme="minorHAnsi" w:cstheme="minorBidi"/>
      <w:sz w:val="20"/>
      <w:szCs w:val="20"/>
      <w:lang w:val="en-NZ"/>
    </w:rPr>
  </w:style>
  <w:style w:type="character" w:customStyle="1" w:styleId="EndnoteTextChar">
    <w:name w:val="Endnote Text Char"/>
    <w:basedOn w:val="DefaultParagraphFont"/>
    <w:link w:val="EndnoteText"/>
    <w:uiPriority w:val="99"/>
    <w:rsid w:val="000F645D"/>
    <w:rPr>
      <w:rFonts w:asciiTheme="minorHAnsi" w:eastAsiaTheme="minorHAnsi" w:hAnsiTheme="minorHAnsi" w:cstheme="minorBidi"/>
      <w:sz w:val="20"/>
      <w:szCs w:val="20"/>
      <w:lang w:val="en-NZ" w:eastAsia="en-US"/>
    </w:rPr>
  </w:style>
  <w:style w:type="character" w:customStyle="1" w:styleId="apple-converted-space">
    <w:name w:val="apple-converted-space"/>
    <w:basedOn w:val="DefaultParagraphFont"/>
    <w:rsid w:val="000F645D"/>
  </w:style>
  <w:style w:type="character" w:customStyle="1" w:styleId="Heading2Char">
    <w:name w:val="Heading 2 Char"/>
    <w:basedOn w:val="DefaultParagraphFont"/>
    <w:link w:val="Heading2"/>
    <w:uiPriority w:val="9"/>
    <w:rsid w:val="008915B7"/>
    <w:rPr>
      <w:rFonts w:ascii="Times New Roman" w:eastAsia="Times New Roman" w:hAnsi="Times New Roman"/>
      <w:b/>
      <w:bCs/>
      <w:sz w:val="36"/>
      <w:szCs w:val="36"/>
      <w:lang w:val="en-GB" w:eastAsia="en-GB"/>
    </w:rPr>
  </w:style>
  <w:style w:type="character" w:customStyle="1" w:styleId="journalname">
    <w:name w:val="journalname"/>
    <w:basedOn w:val="DefaultParagraphFont"/>
    <w:rsid w:val="008915B7"/>
  </w:style>
  <w:style w:type="paragraph" w:styleId="Header">
    <w:name w:val="header"/>
    <w:basedOn w:val="Normal"/>
    <w:link w:val="HeaderChar"/>
    <w:uiPriority w:val="99"/>
    <w:unhideWhenUsed/>
    <w:rsid w:val="00C5258A"/>
    <w:pPr>
      <w:tabs>
        <w:tab w:val="center" w:pos="4513"/>
        <w:tab w:val="right" w:pos="9026"/>
      </w:tabs>
    </w:pPr>
  </w:style>
  <w:style w:type="character" w:customStyle="1" w:styleId="HeaderChar">
    <w:name w:val="Header Char"/>
    <w:basedOn w:val="DefaultParagraphFont"/>
    <w:link w:val="Header"/>
    <w:uiPriority w:val="99"/>
    <w:rsid w:val="00C5258A"/>
    <w:rPr>
      <w:rFonts w:cs="Book Antiqua"/>
      <w:lang w:val="en-GB" w:eastAsia="en-US"/>
    </w:rPr>
  </w:style>
  <w:style w:type="paragraph" w:styleId="Footer">
    <w:name w:val="footer"/>
    <w:basedOn w:val="Normal"/>
    <w:link w:val="FooterChar"/>
    <w:uiPriority w:val="99"/>
    <w:unhideWhenUsed/>
    <w:rsid w:val="00C5258A"/>
    <w:pPr>
      <w:tabs>
        <w:tab w:val="center" w:pos="4513"/>
        <w:tab w:val="right" w:pos="9026"/>
      </w:tabs>
    </w:pPr>
  </w:style>
  <w:style w:type="character" w:customStyle="1" w:styleId="FooterChar">
    <w:name w:val="Footer Char"/>
    <w:basedOn w:val="DefaultParagraphFont"/>
    <w:link w:val="Footer"/>
    <w:uiPriority w:val="99"/>
    <w:rsid w:val="00C5258A"/>
    <w:rPr>
      <w:rFonts w:cs="Book Antiqua"/>
      <w:lang w:val="en-GB" w:eastAsia="en-US"/>
    </w:rPr>
  </w:style>
  <w:style w:type="paragraph" w:customStyle="1" w:styleId="Default">
    <w:name w:val="Default"/>
    <w:rsid w:val="00AB577E"/>
    <w:pPr>
      <w:widowControl w:val="0"/>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AB577E"/>
    <w:rPr>
      <w:rFonts w:cs="Times New Roman"/>
      <w:color w:val="auto"/>
    </w:rPr>
  </w:style>
  <w:style w:type="paragraph" w:customStyle="1" w:styleId="CM3">
    <w:name w:val="CM3"/>
    <w:basedOn w:val="Default"/>
    <w:next w:val="Default"/>
    <w:uiPriority w:val="99"/>
    <w:rsid w:val="00AB577E"/>
    <w:rPr>
      <w:rFonts w:cs="Times New Roman"/>
      <w:color w:val="auto"/>
    </w:rPr>
  </w:style>
  <w:style w:type="paragraph" w:customStyle="1" w:styleId="CM4">
    <w:name w:val="CM4"/>
    <w:basedOn w:val="Default"/>
    <w:next w:val="Default"/>
    <w:uiPriority w:val="99"/>
    <w:rsid w:val="00AB577E"/>
    <w:rPr>
      <w:rFonts w:cs="Times New Roman"/>
      <w:color w:val="auto"/>
    </w:rPr>
  </w:style>
  <w:style w:type="character" w:styleId="FollowedHyperlink">
    <w:name w:val="FollowedHyperlink"/>
    <w:basedOn w:val="DefaultParagraphFont"/>
    <w:uiPriority w:val="99"/>
    <w:semiHidden/>
    <w:unhideWhenUsed/>
    <w:rsid w:val="00CC33F5"/>
    <w:rPr>
      <w:color w:val="800080" w:themeColor="followedHyperlink"/>
      <w:u w:val="single"/>
    </w:rPr>
  </w:style>
  <w:style w:type="paragraph" w:styleId="PlainText">
    <w:name w:val="Plain Text"/>
    <w:basedOn w:val="Normal"/>
    <w:link w:val="PlainTextChar"/>
    <w:uiPriority w:val="99"/>
    <w:unhideWhenUsed/>
    <w:rsid w:val="00C834A5"/>
    <w:rPr>
      <w:rFonts w:ascii="Calibri" w:eastAsiaTheme="minorHAnsi" w:hAnsi="Calibri" w:cstheme="minorBidi"/>
      <w:szCs w:val="21"/>
    </w:rPr>
  </w:style>
  <w:style w:type="character" w:customStyle="1" w:styleId="PlainTextChar">
    <w:name w:val="Plain Text Char"/>
    <w:basedOn w:val="DefaultParagraphFont"/>
    <w:link w:val="PlainText"/>
    <w:uiPriority w:val="99"/>
    <w:rsid w:val="00C834A5"/>
    <w:rPr>
      <w:rFonts w:ascii="Calibri" w:eastAsiaTheme="minorHAnsi" w:hAnsi="Calibri" w:cstheme="minorBidi"/>
      <w:szCs w:val="21"/>
      <w:lang w:val="en-GB" w:eastAsia="en-US"/>
    </w:rPr>
  </w:style>
  <w:style w:type="character" w:styleId="EndnoteReference">
    <w:name w:val="endnote reference"/>
    <w:basedOn w:val="DefaultParagraphFont"/>
    <w:uiPriority w:val="99"/>
    <w:semiHidden/>
    <w:unhideWhenUsed/>
    <w:rsid w:val="00583C9D"/>
    <w:rPr>
      <w:vertAlign w:val="superscript"/>
    </w:rPr>
  </w:style>
  <w:style w:type="character" w:customStyle="1" w:styleId="slug-pub-date">
    <w:name w:val="slug-pub-date"/>
    <w:basedOn w:val="DefaultParagraphFont"/>
    <w:rsid w:val="00EC5F1C"/>
  </w:style>
  <w:style w:type="character" w:customStyle="1" w:styleId="slug-vol">
    <w:name w:val="slug-vol"/>
    <w:basedOn w:val="DefaultParagraphFont"/>
    <w:rsid w:val="00EC5F1C"/>
  </w:style>
  <w:style w:type="character" w:customStyle="1" w:styleId="slug-issue">
    <w:name w:val="slug-issue"/>
    <w:basedOn w:val="DefaultParagraphFont"/>
    <w:rsid w:val="00EC5F1C"/>
  </w:style>
  <w:style w:type="character" w:customStyle="1" w:styleId="slug-pages">
    <w:name w:val="slug-pages"/>
    <w:basedOn w:val="DefaultParagraphFont"/>
    <w:rsid w:val="00EC5F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Book Antiqua" w:eastAsia="Calibri" w:hAnsi="Book Antiqua"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caption" w:uiPriority="35" w:qFormat="1"/>
    <w:lsdException w:name="footnote reference" w:unhideWhenUsed="0"/>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6F0"/>
    <w:rPr>
      <w:rFonts w:cs="Book Antiqua"/>
      <w:lang w:val="en-GB" w:eastAsia="en-US"/>
    </w:rPr>
  </w:style>
  <w:style w:type="paragraph" w:styleId="Heading2">
    <w:name w:val="heading 2"/>
    <w:basedOn w:val="Normal"/>
    <w:link w:val="Heading2Char"/>
    <w:uiPriority w:val="9"/>
    <w:qFormat/>
    <w:rsid w:val="008915B7"/>
    <w:pPr>
      <w:spacing w:before="100" w:beforeAutospacing="1" w:after="100" w:afterAutospacing="1"/>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Footnote Text Char2 Char1 Char1 Char,Footnote Text Char1 Char Char1 Char1 Char,Footnote Text Char3 Char Char Char Char Char,Footnote Text Char1 Char1,footnumber tex"/>
    <w:basedOn w:val="Normal"/>
    <w:link w:val="FootnoteTextChar"/>
    <w:uiPriority w:val="99"/>
    <w:rsid w:val="001547D3"/>
    <w:rPr>
      <w:rFonts w:eastAsia="Batang"/>
      <w:sz w:val="18"/>
      <w:szCs w:val="18"/>
      <w:lang w:val="de-DE" w:eastAsia="zh-CN"/>
    </w:rPr>
  </w:style>
  <w:style w:type="character" w:customStyle="1" w:styleId="FootnoteTextChar">
    <w:name w:val="Footnote Text Char"/>
    <w:aliases w:val="Footnote Text Char2 Char,Footnote Text Char Char Char,Footnote Text Char1 Char Char Char,Footnote Text Char2 Char1 Char1 Char Char,Footnote Text Char1 Char Char1 Char1 Char Char,Footnote Text Char3 Char Char Char Char Char Char"/>
    <w:basedOn w:val="DefaultParagraphFont"/>
    <w:link w:val="FootnoteText"/>
    <w:uiPriority w:val="99"/>
    <w:rsid w:val="001547D3"/>
    <w:rPr>
      <w:rFonts w:eastAsia="Batang"/>
      <w:sz w:val="23"/>
      <w:szCs w:val="23"/>
      <w:lang w:eastAsia="zh-CN"/>
    </w:rPr>
  </w:style>
  <w:style w:type="character" w:styleId="CommentReference">
    <w:name w:val="annotation reference"/>
    <w:basedOn w:val="DefaultParagraphFont"/>
    <w:uiPriority w:val="99"/>
    <w:semiHidden/>
    <w:rsid w:val="003076F0"/>
    <w:rPr>
      <w:sz w:val="16"/>
      <w:szCs w:val="16"/>
    </w:rPr>
  </w:style>
  <w:style w:type="paragraph" w:styleId="CommentText">
    <w:name w:val="annotation text"/>
    <w:basedOn w:val="Normal"/>
    <w:link w:val="CommentTextChar"/>
    <w:uiPriority w:val="99"/>
    <w:semiHidden/>
    <w:rsid w:val="003076F0"/>
    <w:pPr>
      <w:spacing w:after="160"/>
    </w:pPr>
    <w:rPr>
      <w:rFonts w:ascii="Calibri" w:hAnsi="Calibri" w:cs="Calibri"/>
      <w:sz w:val="20"/>
      <w:szCs w:val="20"/>
      <w:lang w:val="en-NZ"/>
    </w:rPr>
  </w:style>
  <w:style w:type="character" w:customStyle="1" w:styleId="CommentTextChar">
    <w:name w:val="Comment Text Char"/>
    <w:basedOn w:val="DefaultParagraphFont"/>
    <w:link w:val="CommentText"/>
    <w:uiPriority w:val="99"/>
    <w:rsid w:val="003076F0"/>
    <w:rPr>
      <w:rFonts w:ascii="Calibri" w:hAnsi="Calibri" w:cs="Calibri"/>
      <w:sz w:val="20"/>
      <w:szCs w:val="20"/>
      <w:lang w:val="en-NZ"/>
    </w:rPr>
  </w:style>
  <w:style w:type="paragraph" w:styleId="BalloonText">
    <w:name w:val="Balloon Text"/>
    <w:basedOn w:val="Normal"/>
    <w:link w:val="BalloonTextChar"/>
    <w:uiPriority w:val="99"/>
    <w:semiHidden/>
    <w:rsid w:val="003076F0"/>
    <w:rPr>
      <w:rFonts w:ascii="Tahoma" w:hAnsi="Tahoma" w:cs="Tahoma"/>
      <w:sz w:val="16"/>
      <w:szCs w:val="16"/>
    </w:rPr>
  </w:style>
  <w:style w:type="character" w:customStyle="1" w:styleId="BalloonTextChar">
    <w:name w:val="Balloon Text Char"/>
    <w:basedOn w:val="DefaultParagraphFont"/>
    <w:link w:val="BalloonText"/>
    <w:uiPriority w:val="99"/>
    <w:semiHidden/>
    <w:rsid w:val="003076F0"/>
    <w:rPr>
      <w:rFonts w:ascii="Tahoma" w:hAnsi="Tahoma" w:cs="Tahoma"/>
      <w:sz w:val="16"/>
      <w:szCs w:val="16"/>
    </w:rPr>
  </w:style>
  <w:style w:type="paragraph" w:styleId="CommentSubject">
    <w:name w:val="annotation subject"/>
    <w:basedOn w:val="CommentText"/>
    <w:next w:val="CommentText"/>
    <w:link w:val="CommentSubjectChar"/>
    <w:uiPriority w:val="99"/>
    <w:semiHidden/>
    <w:rsid w:val="006E7A6E"/>
    <w:pPr>
      <w:spacing w:after="0"/>
    </w:pPr>
    <w:rPr>
      <w:rFonts w:ascii="Book Antiqua" w:hAnsi="Book Antiqua" w:cs="Book Antiqua"/>
      <w:b/>
      <w:bCs/>
      <w:lang w:val="en-GB"/>
    </w:rPr>
  </w:style>
  <w:style w:type="character" w:customStyle="1" w:styleId="CommentSubjectChar">
    <w:name w:val="Comment Subject Char"/>
    <w:basedOn w:val="CommentTextChar"/>
    <w:link w:val="CommentSubject"/>
    <w:uiPriority w:val="99"/>
    <w:semiHidden/>
    <w:rsid w:val="006E7A6E"/>
    <w:rPr>
      <w:rFonts w:ascii="Calibri" w:hAnsi="Calibri" w:cs="Calibri"/>
      <w:b/>
      <w:bCs/>
      <w:sz w:val="20"/>
      <w:szCs w:val="20"/>
      <w:lang w:val="en-NZ"/>
    </w:rPr>
  </w:style>
  <w:style w:type="paragraph" w:styleId="Revision">
    <w:name w:val="Revision"/>
    <w:hidden/>
    <w:uiPriority w:val="99"/>
    <w:semiHidden/>
    <w:rsid w:val="002D5A24"/>
    <w:rPr>
      <w:rFonts w:cs="Book Antiqua"/>
      <w:lang w:val="en-GB" w:eastAsia="en-US"/>
    </w:rPr>
  </w:style>
  <w:style w:type="paragraph" w:styleId="ListParagraph">
    <w:name w:val="List Paragraph"/>
    <w:basedOn w:val="Normal"/>
    <w:qFormat/>
    <w:rsid w:val="00FA0CB7"/>
    <w:pPr>
      <w:ind w:left="720"/>
      <w:contextualSpacing/>
    </w:pPr>
  </w:style>
  <w:style w:type="character" w:styleId="Hyperlink">
    <w:name w:val="Hyperlink"/>
    <w:basedOn w:val="DefaultParagraphFont"/>
    <w:uiPriority w:val="99"/>
    <w:semiHidden/>
    <w:rsid w:val="00085A34"/>
    <w:rPr>
      <w:color w:val="0000FF"/>
      <w:u w:val="single"/>
    </w:rPr>
  </w:style>
  <w:style w:type="paragraph" w:customStyle="1" w:styleId="Text">
    <w:name w:val="Text"/>
    <w:uiPriority w:val="99"/>
    <w:rsid w:val="00085A34"/>
    <w:rPr>
      <w:rFonts w:ascii="Helvetica" w:eastAsia="Arial Unicode MS" w:hAnsi="Arial Unicode MS" w:cs="Helvetica"/>
      <w:color w:val="000000"/>
    </w:rPr>
  </w:style>
  <w:style w:type="character" w:styleId="FootnoteReference">
    <w:name w:val="footnote reference"/>
    <w:basedOn w:val="DefaultParagraphFont"/>
    <w:uiPriority w:val="99"/>
    <w:rsid w:val="00085A34"/>
    <w:rPr>
      <w:vertAlign w:val="superscript"/>
    </w:rPr>
  </w:style>
  <w:style w:type="paragraph" w:customStyle="1" w:styleId="align-center">
    <w:name w:val="align-center"/>
    <w:basedOn w:val="Normal"/>
    <w:uiPriority w:val="99"/>
    <w:rsid w:val="00FF0F3C"/>
    <w:pPr>
      <w:spacing w:before="100" w:beforeAutospacing="1" w:after="100" w:afterAutospacing="1"/>
    </w:pPr>
    <w:rPr>
      <w:rFonts w:ascii="Times New Roman" w:eastAsia="Times New Roman" w:hAnsi="Times New Roman" w:cs="Times New Roman"/>
      <w:sz w:val="24"/>
      <w:szCs w:val="24"/>
      <w:lang w:eastAsia="en-GB"/>
    </w:rPr>
  </w:style>
  <w:style w:type="table" w:styleId="TableGrid">
    <w:name w:val="Table Grid"/>
    <w:basedOn w:val="TableNormal"/>
    <w:uiPriority w:val="99"/>
    <w:rsid w:val="00451A1B"/>
    <w:rPr>
      <w:rFonts w:eastAsia="Times New Roman" w:cs="Book Antiqu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0F645D"/>
    <w:rPr>
      <w:rFonts w:asciiTheme="minorHAnsi" w:eastAsiaTheme="minorHAnsi" w:hAnsiTheme="minorHAnsi" w:cstheme="minorBidi"/>
      <w:sz w:val="20"/>
      <w:szCs w:val="20"/>
      <w:lang w:val="en-NZ"/>
    </w:rPr>
  </w:style>
  <w:style w:type="character" w:customStyle="1" w:styleId="EndnoteTextChar">
    <w:name w:val="Endnote Text Char"/>
    <w:basedOn w:val="DefaultParagraphFont"/>
    <w:link w:val="EndnoteText"/>
    <w:uiPriority w:val="99"/>
    <w:rsid w:val="000F645D"/>
    <w:rPr>
      <w:rFonts w:asciiTheme="minorHAnsi" w:eastAsiaTheme="minorHAnsi" w:hAnsiTheme="minorHAnsi" w:cstheme="minorBidi"/>
      <w:sz w:val="20"/>
      <w:szCs w:val="20"/>
      <w:lang w:val="en-NZ" w:eastAsia="en-US"/>
    </w:rPr>
  </w:style>
  <w:style w:type="character" w:customStyle="1" w:styleId="apple-converted-space">
    <w:name w:val="apple-converted-space"/>
    <w:basedOn w:val="DefaultParagraphFont"/>
    <w:rsid w:val="000F645D"/>
  </w:style>
  <w:style w:type="character" w:customStyle="1" w:styleId="Heading2Char">
    <w:name w:val="Heading 2 Char"/>
    <w:basedOn w:val="DefaultParagraphFont"/>
    <w:link w:val="Heading2"/>
    <w:uiPriority w:val="9"/>
    <w:rsid w:val="008915B7"/>
    <w:rPr>
      <w:rFonts w:ascii="Times New Roman" w:eastAsia="Times New Roman" w:hAnsi="Times New Roman"/>
      <w:b/>
      <w:bCs/>
      <w:sz w:val="36"/>
      <w:szCs w:val="36"/>
      <w:lang w:val="en-GB" w:eastAsia="en-GB"/>
    </w:rPr>
  </w:style>
  <w:style w:type="character" w:customStyle="1" w:styleId="journalname">
    <w:name w:val="journalname"/>
    <w:basedOn w:val="DefaultParagraphFont"/>
    <w:rsid w:val="008915B7"/>
  </w:style>
  <w:style w:type="paragraph" w:styleId="Header">
    <w:name w:val="header"/>
    <w:basedOn w:val="Normal"/>
    <w:link w:val="HeaderChar"/>
    <w:uiPriority w:val="99"/>
    <w:unhideWhenUsed/>
    <w:rsid w:val="00C5258A"/>
    <w:pPr>
      <w:tabs>
        <w:tab w:val="center" w:pos="4513"/>
        <w:tab w:val="right" w:pos="9026"/>
      </w:tabs>
    </w:pPr>
  </w:style>
  <w:style w:type="character" w:customStyle="1" w:styleId="HeaderChar">
    <w:name w:val="Header Char"/>
    <w:basedOn w:val="DefaultParagraphFont"/>
    <w:link w:val="Header"/>
    <w:uiPriority w:val="99"/>
    <w:rsid w:val="00C5258A"/>
    <w:rPr>
      <w:rFonts w:cs="Book Antiqua"/>
      <w:lang w:val="en-GB" w:eastAsia="en-US"/>
    </w:rPr>
  </w:style>
  <w:style w:type="paragraph" w:styleId="Footer">
    <w:name w:val="footer"/>
    <w:basedOn w:val="Normal"/>
    <w:link w:val="FooterChar"/>
    <w:uiPriority w:val="99"/>
    <w:unhideWhenUsed/>
    <w:rsid w:val="00C5258A"/>
    <w:pPr>
      <w:tabs>
        <w:tab w:val="center" w:pos="4513"/>
        <w:tab w:val="right" w:pos="9026"/>
      </w:tabs>
    </w:pPr>
  </w:style>
  <w:style w:type="character" w:customStyle="1" w:styleId="FooterChar">
    <w:name w:val="Footer Char"/>
    <w:basedOn w:val="DefaultParagraphFont"/>
    <w:link w:val="Footer"/>
    <w:uiPriority w:val="99"/>
    <w:rsid w:val="00C5258A"/>
    <w:rPr>
      <w:rFonts w:cs="Book Antiqua"/>
      <w:lang w:val="en-GB" w:eastAsia="en-US"/>
    </w:rPr>
  </w:style>
  <w:style w:type="paragraph" w:customStyle="1" w:styleId="Default">
    <w:name w:val="Default"/>
    <w:rsid w:val="00AB577E"/>
    <w:pPr>
      <w:widowControl w:val="0"/>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AB577E"/>
    <w:rPr>
      <w:rFonts w:cs="Times New Roman"/>
      <w:color w:val="auto"/>
    </w:rPr>
  </w:style>
  <w:style w:type="paragraph" w:customStyle="1" w:styleId="CM3">
    <w:name w:val="CM3"/>
    <w:basedOn w:val="Default"/>
    <w:next w:val="Default"/>
    <w:uiPriority w:val="99"/>
    <w:rsid w:val="00AB577E"/>
    <w:rPr>
      <w:rFonts w:cs="Times New Roman"/>
      <w:color w:val="auto"/>
    </w:rPr>
  </w:style>
  <w:style w:type="paragraph" w:customStyle="1" w:styleId="CM4">
    <w:name w:val="CM4"/>
    <w:basedOn w:val="Default"/>
    <w:next w:val="Default"/>
    <w:uiPriority w:val="99"/>
    <w:rsid w:val="00AB577E"/>
    <w:rPr>
      <w:rFonts w:cs="Times New Roman"/>
      <w:color w:val="auto"/>
    </w:rPr>
  </w:style>
  <w:style w:type="character" w:styleId="FollowedHyperlink">
    <w:name w:val="FollowedHyperlink"/>
    <w:basedOn w:val="DefaultParagraphFont"/>
    <w:uiPriority w:val="99"/>
    <w:semiHidden/>
    <w:unhideWhenUsed/>
    <w:rsid w:val="00CC33F5"/>
    <w:rPr>
      <w:color w:val="800080" w:themeColor="followedHyperlink"/>
      <w:u w:val="single"/>
    </w:rPr>
  </w:style>
  <w:style w:type="paragraph" w:styleId="PlainText">
    <w:name w:val="Plain Text"/>
    <w:basedOn w:val="Normal"/>
    <w:link w:val="PlainTextChar"/>
    <w:uiPriority w:val="99"/>
    <w:unhideWhenUsed/>
    <w:rsid w:val="00C834A5"/>
    <w:rPr>
      <w:rFonts w:ascii="Calibri" w:eastAsiaTheme="minorHAnsi" w:hAnsi="Calibri" w:cstheme="minorBidi"/>
      <w:szCs w:val="21"/>
    </w:rPr>
  </w:style>
  <w:style w:type="character" w:customStyle="1" w:styleId="PlainTextChar">
    <w:name w:val="Plain Text Char"/>
    <w:basedOn w:val="DefaultParagraphFont"/>
    <w:link w:val="PlainText"/>
    <w:uiPriority w:val="99"/>
    <w:rsid w:val="00C834A5"/>
    <w:rPr>
      <w:rFonts w:ascii="Calibri" w:eastAsiaTheme="minorHAnsi" w:hAnsi="Calibri" w:cstheme="minorBidi"/>
      <w:szCs w:val="21"/>
      <w:lang w:val="en-GB" w:eastAsia="en-US"/>
    </w:rPr>
  </w:style>
  <w:style w:type="character" w:styleId="EndnoteReference">
    <w:name w:val="endnote reference"/>
    <w:basedOn w:val="DefaultParagraphFont"/>
    <w:uiPriority w:val="99"/>
    <w:semiHidden/>
    <w:unhideWhenUsed/>
    <w:rsid w:val="00583C9D"/>
    <w:rPr>
      <w:vertAlign w:val="superscript"/>
    </w:rPr>
  </w:style>
  <w:style w:type="character" w:customStyle="1" w:styleId="slug-pub-date">
    <w:name w:val="slug-pub-date"/>
    <w:basedOn w:val="DefaultParagraphFont"/>
    <w:rsid w:val="00EC5F1C"/>
  </w:style>
  <w:style w:type="character" w:customStyle="1" w:styleId="slug-vol">
    <w:name w:val="slug-vol"/>
    <w:basedOn w:val="DefaultParagraphFont"/>
    <w:rsid w:val="00EC5F1C"/>
  </w:style>
  <w:style w:type="character" w:customStyle="1" w:styleId="slug-issue">
    <w:name w:val="slug-issue"/>
    <w:basedOn w:val="DefaultParagraphFont"/>
    <w:rsid w:val="00EC5F1C"/>
  </w:style>
  <w:style w:type="character" w:customStyle="1" w:styleId="slug-pages">
    <w:name w:val="slug-pages"/>
    <w:basedOn w:val="DefaultParagraphFont"/>
    <w:rsid w:val="00EC5F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18454">
      <w:bodyDiv w:val="1"/>
      <w:marLeft w:val="0"/>
      <w:marRight w:val="0"/>
      <w:marTop w:val="0"/>
      <w:marBottom w:val="0"/>
      <w:divBdr>
        <w:top w:val="none" w:sz="0" w:space="0" w:color="auto"/>
        <w:left w:val="none" w:sz="0" w:space="0" w:color="auto"/>
        <w:bottom w:val="none" w:sz="0" w:space="0" w:color="auto"/>
        <w:right w:val="none" w:sz="0" w:space="0" w:color="auto"/>
      </w:divBdr>
    </w:div>
    <w:div w:id="154959756">
      <w:marLeft w:val="0"/>
      <w:marRight w:val="0"/>
      <w:marTop w:val="0"/>
      <w:marBottom w:val="0"/>
      <w:divBdr>
        <w:top w:val="none" w:sz="0" w:space="0" w:color="auto"/>
        <w:left w:val="none" w:sz="0" w:space="0" w:color="auto"/>
        <w:bottom w:val="none" w:sz="0" w:space="0" w:color="auto"/>
        <w:right w:val="none" w:sz="0" w:space="0" w:color="auto"/>
      </w:divBdr>
      <w:divsChild>
        <w:div w:id="154959752">
          <w:marLeft w:val="547"/>
          <w:marRight w:val="0"/>
          <w:marTop w:val="144"/>
          <w:marBottom w:val="0"/>
          <w:divBdr>
            <w:top w:val="none" w:sz="0" w:space="0" w:color="auto"/>
            <w:left w:val="none" w:sz="0" w:space="0" w:color="auto"/>
            <w:bottom w:val="none" w:sz="0" w:space="0" w:color="auto"/>
            <w:right w:val="none" w:sz="0" w:space="0" w:color="auto"/>
          </w:divBdr>
        </w:div>
        <w:div w:id="154959765">
          <w:marLeft w:val="547"/>
          <w:marRight w:val="0"/>
          <w:marTop w:val="144"/>
          <w:marBottom w:val="0"/>
          <w:divBdr>
            <w:top w:val="none" w:sz="0" w:space="0" w:color="auto"/>
            <w:left w:val="none" w:sz="0" w:space="0" w:color="auto"/>
            <w:bottom w:val="none" w:sz="0" w:space="0" w:color="auto"/>
            <w:right w:val="none" w:sz="0" w:space="0" w:color="auto"/>
          </w:divBdr>
        </w:div>
        <w:div w:id="154959767">
          <w:marLeft w:val="1166"/>
          <w:marRight w:val="0"/>
          <w:marTop w:val="125"/>
          <w:marBottom w:val="0"/>
          <w:divBdr>
            <w:top w:val="none" w:sz="0" w:space="0" w:color="auto"/>
            <w:left w:val="none" w:sz="0" w:space="0" w:color="auto"/>
            <w:bottom w:val="none" w:sz="0" w:space="0" w:color="auto"/>
            <w:right w:val="none" w:sz="0" w:space="0" w:color="auto"/>
          </w:divBdr>
        </w:div>
      </w:divsChild>
    </w:div>
    <w:div w:id="154959758">
      <w:marLeft w:val="0"/>
      <w:marRight w:val="0"/>
      <w:marTop w:val="0"/>
      <w:marBottom w:val="0"/>
      <w:divBdr>
        <w:top w:val="none" w:sz="0" w:space="0" w:color="auto"/>
        <w:left w:val="none" w:sz="0" w:space="0" w:color="auto"/>
        <w:bottom w:val="none" w:sz="0" w:space="0" w:color="auto"/>
        <w:right w:val="none" w:sz="0" w:space="0" w:color="auto"/>
      </w:divBdr>
      <w:divsChild>
        <w:div w:id="154959751">
          <w:marLeft w:val="0"/>
          <w:marRight w:val="0"/>
          <w:marTop w:val="0"/>
          <w:marBottom w:val="0"/>
          <w:divBdr>
            <w:top w:val="none" w:sz="0" w:space="0" w:color="auto"/>
            <w:left w:val="none" w:sz="0" w:space="0" w:color="auto"/>
            <w:bottom w:val="none" w:sz="0" w:space="0" w:color="auto"/>
            <w:right w:val="none" w:sz="0" w:space="0" w:color="auto"/>
          </w:divBdr>
        </w:div>
        <w:div w:id="154959753">
          <w:marLeft w:val="0"/>
          <w:marRight w:val="0"/>
          <w:marTop w:val="0"/>
          <w:marBottom w:val="0"/>
          <w:divBdr>
            <w:top w:val="none" w:sz="0" w:space="0" w:color="auto"/>
            <w:left w:val="none" w:sz="0" w:space="0" w:color="auto"/>
            <w:bottom w:val="none" w:sz="0" w:space="0" w:color="auto"/>
            <w:right w:val="none" w:sz="0" w:space="0" w:color="auto"/>
          </w:divBdr>
        </w:div>
        <w:div w:id="154959754">
          <w:marLeft w:val="0"/>
          <w:marRight w:val="0"/>
          <w:marTop w:val="0"/>
          <w:marBottom w:val="0"/>
          <w:divBdr>
            <w:top w:val="none" w:sz="0" w:space="0" w:color="auto"/>
            <w:left w:val="none" w:sz="0" w:space="0" w:color="auto"/>
            <w:bottom w:val="none" w:sz="0" w:space="0" w:color="auto"/>
            <w:right w:val="none" w:sz="0" w:space="0" w:color="auto"/>
          </w:divBdr>
        </w:div>
        <w:div w:id="154959755">
          <w:marLeft w:val="0"/>
          <w:marRight w:val="0"/>
          <w:marTop w:val="0"/>
          <w:marBottom w:val="0"/>
          <w:divBdr>
            <w:top w:val="none" w:sz="0" w:space="0" w:color="auto"/>
            <w:left w:val="none" w:sz="0" w:space="0" w:color="auto"/>
            <w:bottom w:val="none" w:sz="0" w:space="0" w:color="auto"/>
            <w:right w:val="none" w:sz="0" w:space="0" w:color="auto"/>
          </w:divBdr>
        </w:div>
        <w:div w:id="154959757">
          <w:marLeft w:val="0"/>
          <w:marRight w:val="0"/>
          <w:marTop w:val="0"/>
          <w:marBottom w:val="0"/>
          <w:divBdr>
            <w:top w:val="none" w:sz="0" w:space="0" w:color="auto"/>
            <w:left w:val="none" w:sz="0" w:space="0" w:color="auto"/>
            <w:bottom w:val="none" w:sz="0" w:space="0" w:color="auto"/>
            <w:right w:val="none" w:sz="0" w:space="0" w:color="auto"/>
          </w:divBdr>
        </w:div>
        <w:div w:id="154959760">
          <w:marLeft w:val="0"/>
          <w:marRight w:val="0"/>
          <w:marTop w:val="0"/>
          <w:marBottom w:val="0"/>
          <w:divBdr>
            <w:top w:val="none" w:sz="0" w:space="0" w:color="auto"/>
            <w:left w:val="none" w:sz="0" w:space="0" w:color="auto"/>
            <w:bottom w:val="none" w:sz="0" w:space="0" w:color="auto"/>
            <w:right w:val="none" w:sz="0" w:space="0" w:color="auto"/>
          </w:divBdr>
        </w:div>
        <w:div w:id="154959761">
          <w:marLeft w:val="0"/>
          <w:marRight w:val="0"/>
          <w:marTop w:val="0"/>
          <w:marBottom w:val="0"/>
          <w:divBdr>
            <w:top w:val="none" w:sz="0" w:space="0" w:color="auto"/>
            <w:left w:val="none" w:sz="0" w:space="0" w:color="auto"/>
            <w:bottom w:val="none" w:sz="0" w:space="0" w:color="auto"/>
            <w:right w:val="none" w:sz="0" w:space="0" w:color="auto"/>
          </w:divBdr>
        </w:div>
        <w:div w:id="154959762">
          <w:marLeft w:val="0"/>
          <w:marRight w:val="0"/>
          <w:marTop w:val="0"/>
          <w:marBottom w:val="0"/>
          <w:divBdr>
            <w:top w:val="none" w:sz="0" w:space="0" w:color="auto"/>
            <w:left w:val="none" w:sz="0" w:space="0" w:color="auto"/>
            <w:bottom w:val="none" w:sz="0" w:space="0" w:color="auto"/>
            <w:right w:val="none" w:sz="0" w:space="0" w:color="auto"/>
          </w:divBdr>
        </w:div>
        <w:div w:id="154959763">
          <w:marLeft w:val="0"/>
          <w:marRight w:val="0"/>
          <w:marTop w:val="0"/>
          <w:marBottom w:val="0"/>
          <w:divBdr>
            <w:top w:val="none" w:sz="0" w:space="0" w:color="auto"/>
            <w:left w:val="none" w:sz="0" w:space="0" w:color="auto"/>
            <w:bottom w:val="none" w:sz="0" w:space="0" w:color="auto"/>
            <w:right w:val="none" w:sz="0" w:space="0" w:color="auto"/>
          </w:divBdr>
        </w:div>
        <w:div w:id="154959764">
          <w:marLeft w:val="0"/>
          <w:marRight w:val="0"/>
          <w:marTop w:val="0"/>
          <w:marBottom w:val="0"/>
          <w:divBdr>
            <w:top w:val="none" w:sz="0" w:space="0" w:color="auto"/>
            <w:left w:val="none" w:sz="0" w:space="0" w:color="auto"/>
            <w:bottom w:val="none" w:sz="0" w:space="0" w:color="auto"/>
            <w:right w:val="none" w:sz="0" w:space="0" w:color="auto"/>
          </w:divBdr>
        </w:div>
        <w:div w:id="154959766">
          <w:marLeft w:val="0"/>
          <w:marRight w:val="0"/>
          <w:marTop w:val="0"/>
          <w:marBottom w:val="0"/>
          <w:divBdr>
            <w:top w:val="none" w:sz="0" w:space="0" w:color="auto"/>
            <w:left w:val="none" w:sz="0" w:space="0" w:color="auto"/>
            <w:bottom w:val="none" w:sz="0" w:space="0" w:color="auto"/>
            <w:right w:val="none" w:sz="0" w:space="0" w:color="auto"/>
          </w:divBdr>
        </w:div>
        <w:div w:id="154959768">
          <w:marLeft w:val="0"/>
          <w:marRight w:val="0"/>
          <w:marTop w:val="0"/>
          <w:marBottom w:val="0"/>
          <w:divBdr>
            <w:top w:val="none" w:sz="0" w:space="0" w:color="auto"/>
            <w:left w:val="none" w:sz="0" w:space="0" w:color="auto"/>
            <w:bottom w:val="none" w:sz="0" w:space="0" w:color="auto"/>
            <w:right w:val="none" w:sz="0" w:space="0" w:color="auto"/>
          </w:divBdr>
        </w:div>
        <w:div w:id="154959769">
          <w:marLeft w:val="0"/>
          <w:marRight w:val="0"/>
          <w:marTop w:val="0"/>
          <w:marBottom w:val="0"/>
          <w:divBdr>
            <w:top w:val="none" w:sz="0" w:space="0" w:color="auto"/>
            <w:left w:val="none" w:sz="0" w:space="0" w:color="auto"/>
            <w:bottom w:val="none" w:sz="0" w:space="0" w:color="auto"/>
            <w:right w:val="none" w:sz="0" w:space="0" w:color="auto"/>
          </w:divBdr>
        </w:div>
      </w:divsChild>
    </w:div>
    <w:div w:id="154959759">
      <w:marLeft w:val="0"/>
      <w:marRight w:val="0"/>
      <w:marTop w:val="0"/>
      <w:marBottom w:val="0"/>
      <w:divBdr>
        <w:top w:val="none" w:sz="0" w:space="0" w:color="auto"/>
        <w:left w:val="none" w:sz="0" w:space="0" w:color="auto"/>
        <w:bottom w:val="none" w:sz="0" w:space="0" w:color="auto"/>
        <w:right w:val="none" w:sz="0" w:space="0" w:color="auto"/>
      </w:divBdr>
    </w:div>
    <w:div w:id="154959770">
      <w:marLeft w:val="0"/>
      <w:marRight w:val="0"/>
      <w:marTop w:val="0"/>
      <w:marBottom w:val="0"/>
      <w:divBdr>
        <w:top w:val="none" w:sz="0" w:space="0" w:color="auto"/>
        <w:left w:val="none" w:sz="0" w:space="0" w:color="auto"/>
        <w:bottom w:val="none" w:sz="0" w:space="0" w:color="auto"/>
        <w:right w:val="none" w:sz="0" w:space="0" w:color="auto"/>
      </w:divBdr>
    </w:div>
    <w:div w:id="1264073448">
      <w:bodyDiv w:val="1"/>
      <w:marLeft w:val="0"/>
      <w:marRight w:val="0"/>
      <w:marTop w:val="0"/>
      <w:marBottom w:val="0"/>
      <w:divBdr>
        <w:top w:val="none" w:sz="0" w:space="0" w:color="auto"/>
        <w:left w:val="none" w:sz="0" w:space="0" w:color="auto"/>
        <w:bottom w:val="none" w:sz="0" w:space="0" w:color="auto"/>
        <w:right w:val="none" w:sz="0" w:space="0" w:color="auto"/>
      </w:divBdr>
      <w:divsChild>
        <w:div w:id="5866176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2569188">
              <w:marLeft w:val="0"/>
              <w:marRight w:val="0"/>
              <w:marTop w:val="0"/>
              <w:marBottom w:val="0"/>
              <w:divBdr>
                <w:top w:val="none" w:sz="0" w:space="0" w:color="auto"/>
                <w:left w:val="none" w:sz="0" w:space="0" w:color="auto"/>
                <w:bottom w:val="none" w:sz="0" w:space="0" w:color="auto"/>
                <w:right w:val="none" w:sz="0" w:space="0" w:color="auto"/>
              </w:divBdr>
              <w:divsChild>
                <w:div w:id="1100103887">
                  <w:marLeft w:val="0"/>
                  <w:marRight w:val="0"/>
                  <w:marTop w:val="0"/>
                  <w:marBottom w:val="0"/>
                  <w:divBdr>
                    <w:top w:val="none" w:sz="0" w:space="0" w:color="auto"/>
                    <w:left w:val="none" w:sz="0" w:space="0" w:color="auto"/>
                    <w:bottom w:val="none" w:sz="0" w:space="0" w:color="auto"/>
                    <w:right w:val="none" w:sz="0" w:space="0" w:color="auto"/>
                  </w:divBdr>
                  <w:divsChild>
                    <w:div w:id="113714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6486078">
      <w:bodyDiv w:val="1"/>
      <w:marLeft w:val="0"/>
      <w:marRight w:val="0"/>
      <w:marTop w:val="0"/>
      <w:marBottom w:val="0"/>
      <w:divBdr>
        <w:top w:val="none" w:sz="0" w:space="0" w:color="auto"/>
        <w:left w:val="none" w:sz="0" w:space="0" w:color="auto"/>
        <w:bottom w:val="none" w:sz="0" w:space="0" w:color="auto"/>
        <w:right w:val="none" w:sz="0" w:space="0" w:color="auto"/>
      </w:divBdr>
    </w:div>
    <w:div w:id="1774664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yaleglobal.yale.edu/content/fallout-copenhagen-has-eu-lost-its-global-relevance" TargetMode="Externa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tmp"/><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oleObject" Target="Book2"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uol.le.ac.uk\root\staff\home\j\jb441\Downloads\combineddata_graphs_28aug14.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uol.le.ac.uk\root\staff\home\j\jb441\Downloads\combineddata_graphs_28aug14.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uol.le.ac.uk\root\staff\home\j\jb441\Downloads\combineddata_graphs_28aug1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Sheet1!$B$1</c:f>
              <c:strCache>
                <c:ptCount val="1"/>
                <c:pt idx="0">
                  <c:v>2009</c:v>
                </c:pt>
              </c:strCache>
            </c:strRef>
          </c:tx>
          <c:invertIfNegative val="0"/>
          <c:cat>
            <c:strRef>
              <c:f>Sheet1!$A$2:$A$4</c:f>
              <c:strCache>
                <c:ptCount val="3"/>
                <c:pt idx="0">
                  <c:v>France</c:v>
                </c:pt>
                <c:pt idx="1">
                  <c:v>Germany</c:v>
                </c:pt>
                <c:pt idx="2">
                  <c:v>UK</c:v>
                </c:pt>
              </c:strCache>
            </c:strRef>
          </c:cat>
          <c:val>
            <c:numRef>
              <c:f>Sheet1!$B$2:$B$4</c:f>
              <c:numCache>
                <c:formatCode>General</c:formatCode>
                <c:ptCount val="3"/>
                <c:pt idx="0">
                  <c:v>250</c:v>
                </c:pt>
                <c:pt idx="1">
                  <c:v>164</c:v>
                </c:pt>
                <c:pt idx="2">
                  <c:v>214</c:v>
                </c:pt>
              </c:numCache>
            </c:numRef>
          </c:val>
        </c:ser>
        <c:ser>
          <c:idx val="1"/>
          <c:order val="1"/>
          <c:tx>
            <c:strRef>
              <c:f>Sheet1!$C$1</c:f>
              <c:strCache>
                <c:ptCount val="1"/>
                <c:pt idx="0">
                  <c:v>2010</c:v>
                </c:pt>
              </c:strCache>
            </c:strRef>
          </c:tx>
          <c:invertIfNegative val="0"/>
          <c:cat>
            <c:strRef>
              <c:f>Sheet1!$A$2:$A$4</c:f>
              <c:strCache>
                <c:ptCount val="3"/>
                <c:pt idx="0">
                  <c:v>France</c:v>
                </c:pt>
                <c:pt idx="1">
                  <c:v>Germany</c:v>
                </c:pt>
                <c:pt idx="2">
                  <c:v>UK</c:v>
                </c:pt>
              </c:strCache>
            </c:strRef>
          </c:cat>
          <c:val>
            <c:numRef>
              <c:f>Sheet1!$C$2:$C$4</c:f>
              <c:numCache>
                <c:formatCode>General</c:formatCode>
                <c:ptCount val="3"/>
                <c:pt idx="0">
                  <c:v>184</c:v>
                </c:pt>
                <c:pt idx="1">
                  <c:v>159</c:v>
                </c:pt>
                <c:pt idx="2">
                  <c:v>137</c:v>
                </c:pt>
              </c:numCache>
            </c:numRef>
          </c:val>
        </c:ser>
        <c:ser>
          <c:idx val="2"/>
          <c:order val="2"/>
          <c:tx>
            <c:strRef>
              <c:f>Sheet1!$D$1</c:f>
              <c:strCache>
                <c:ptCount val="1"/>
                <c:pt idx="0">
                  <c:v>2011</c:v>
                </c:pt>
              </c:strCache>
            </c:strRef>
          </c:tx>
          <c:invertIfNegative val="0"/>
          <c:cat>
            <c:strRef>
              <c:f>Sheet1!$A$2:$A$4</c:f>
              <c:strCache>
                <c:ptCount val="3"/>
                <c:pt idx="0">
                  <c:v>France</c:v>
                </c:pt>
                <c:pt idx="1">
                  <c:v>Germany</c:v>
                </c:pt>
                <c:pt idx="2">
                  <c:v>UK</c:v>
                </c:pt>
              </c:strCache>
            </c:strRef>
          </c:cat>
          <c:val>
            <c:numRef>
              <c:f>Sheet1!$D$2:$D$4</c:f>
              <c:numCache>
                <c:formatCode>General</c:formatCode>
                <c:ptCount val="3"/>
                <c:pt idx="0">
                  <c:v>163</c:v>
                </c:pt>
                <c:pt idx="1">
                  <c:v>183</c:v>
                </c:pt>
                <c:pt idx="2">
                  <c:v>148</c:v>
                </c:pt>
              </c:numCache>
            </c:numRef>
          </c:val>
        </c:ser>
        <c:ser>
          <c:idx val="3"/>
          <c:order val="3"/>
          <c:tx>
            <c:strRef>
              <c:f>Sheet1!$E$1</c:f>
              <c:strCache>
                <c:ptCount val="1"/>
                <c:pt idx="0">
                  <c:v>2012</c:v>
                </c:pt>
              </c:strCache>
            </c:strRef>
          </c:tx>
          <c:invertIfNegative val="0"/>
          <c:cat>
            <c:strRef>
              <c:f>Sheet1!$A$2:$A$4</c:f>
              <c:strCache>
                <c:ptCount val="3"/>
                <c:pt idx="0">
                  <c:v>France</c:v>
                </c:pt>
                <c:pt idx="1">
                  <c:v>Germany</c:v>
                </c:pt>
                <c:pt idx="2">
                  <c:v>UK</c:v>
                </c:pt>
              </c:strCache>
            </c:strRef>
          </c:cat>
          <c:val>
            <c:numRef>
              <c:f>Sheet1!$E$2:$E$4</c:f>
              <c:numCache>
                <c:formatCode>General</c:formatCode>
                <c:ptCount val="3"/>
                <c:pt idx="0">
                  <c:v>142</c:v>
                </c:pt>
                <c:pt idx="1">
                  <c:v>130</c:v>
                </c:pt>
                <c:pt idx="2">
                  <c:v>185</c:v>
                </c:pt>
              </c:numCache>
            </c:numRef>
          </c:val>
        </c:ser>
        <c:ser>
          <c:idx val="4"/>
          <c:order val="4"/>
          <c:tx>
            <c:strRef>
              <c:f>Sheet1!$F$1</c:f>
              <c:strCache>
                <c:ptCount val="1"/>
                <c:pt idx="0">
                  <c:v>2013</c:v>
                </c:pt>
              </c:strCache>
            </c:strRef>
          </c:tx>
          <c:invertIfNegative val="0"/>
          <c:cat>
            <c:strRef>
              <c:f>Sheet1!$A$2:$A$4</c:f>
              <c:strCache>
                <c:ptCount val="3"/>
                <c:pt idx="0">
                  <c:v>France</c:v>
                </c:pt>
                <c:pt idx="1">
                  <c:v>Germany</c:v>
                </c:pt>
                <c:pt idx="2">
                  <c:v>UK</c:v>
                </c:pt>
              </c:strCache>
            </c:strRef>
          </c:cat>
          <c:val>
            <c:numRef>
              <c:f>Sheet1!$F$2:$F$4</c:f>
              <c:numCache>
                <c:formatCode>General</c:formatCode>
                <c:ptCount val="3"/>
                <c:pt idx="0">
                  <c:v>140</c:v>
                </c:pt>
                <c:pt idx="1">
                  <c:v>137</c:v>
                </c:pt>
                <c:pt idx="2">
                  <c:v>86</c:v>
                </c:pt>
              </c:numCache>
            </c:numRef>
          </c:val>
        </c:ser>
        <c:dLbls>
          <c:showLegendKey val="0"/>
          <c:showVal val="0"/>
          <c:showCatName val="0"/>
          <c:showSerName val="0"/>
          <c:showPercent val="0"/>
          <c:showBubbleSize val="0"/>
        </c:dLbls>
        <c:gapWidth val="150"/>
        <c:axId val="148833408"/>
        <c:axId val="148834944"/>
      </c:barChart>
      <c:catAx>
        <c:axId val="148833408"/>
        <c:scaling>
          <c:orientation val="minMax"/>
        </c:scaling>
        <c:delete val="0"/>
        <c:axPos val="b"/>
        <c:numFmt formatCode="General" sourceLinked="0"/>
        <c:majorTickMark val="out"/>
        <c:minorTickMark val="none"/>
        <c:tickLblPos val="nextTo"/>
        <c:crossAx val="148834944"/>
        <c:crosses val="autoZero"/>
        <c:auto val="1"/>
        <c:lblAlgn val="ctr"/>
        <c:lblOffset val="100"/>
        <c:noMultiLvlLbl val="0"/>
      </c:catAx>
      <c:valAx>
        <c:axId val="148834944"/>
        <c:scaling>
          <c:orientation val="minMax"/>
        </c:scaling>
        <c:delete val="0"/>
        <c:axPos val="l"/>
        <c:majorGridlines/>
        <c:numFmt formatCode="General" sourceLinked="1"/>
        <c:majorTickMark val="out"/>
        <c:minorTickMark val="none"/>
        <c:tickLblPos val="nextTo"/>
        <c:crossAx val="148833408"/>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stacked"/>
        <c:varyColors val="0"/>
        <c:ser>
          <c:idx val="0"/>
          <c:order val="0"/>
          <c:tx>
            <c:strRef>
              <c:f>Sheet1!$B$1</c:f>
              <c:strCache>
                <c:ptCount val="1"/>
                <c:pt idx="0">
                  <c:v>Local</c:v>
                </c:pt>
              </c:strCache>
            </c:strRef>
          </c:tx>
          <c:invertIfNegative val="0"/>
          <c:cat>
            <c:strRef>
              <c:f>Sheet1!$A$2:$A$4</c:f>
              <c:strCache>
                <c:ptCount val="3"/>
                <c:pt idx="0">
                  <c:v>France</c:v>
                </c:pt>
                <c:pt idx="1">
                  <c:v>Germany</c:v>
                </c:pt>
                <c:pt idx="2">
                  <c:v>UK</c:v>
                </c:pt>
              </c:strCache>
            </c:strRef>
          </c:cat>
          <c:val>
            <c:numRef>
              <c:f>Sheet1!$B$2:$B$4</c:f>
              <c:numCache>
                <c:formatCode>General</c:formatCode>
                <c:ptCount val="3"/>
                <c:pt idx="0">
                  <c:v>181</c:v>
                </c:pt>
                <c:pt idx="1">
                  <c:v>212</c:v>
                </c:pt>
                <c:pt idx="2">
                  <c:v>155</c:v>
                </c:pt>
              </c:numCache>
            </c:numRef>
          </c:val>
        </c:ser>
        <c:ser>
          <c:idx val="1"/>
          <c:order val="1"/>
          <c:tx>
            <c:strRef>
              <c:f>Sheet1!$C$1</c:f>
              <c:strCache>
                <c:ptCount val="1"/>
                <c:pt idx="0">
                  <c:v>EU</c:v>
                </c:pt>
              </c:strCache>
            </c:strRef>
          </c:tx>
          <c:invertIfNegative val="0"/>
          <c:cat>
            <c:strRef>
              <c:f>Sheet1!$A$2:$A$4</c:f>
              <c:strCache>
                <c:ptCount val="3"/>
                <c:pt idx="0">
                  <c:v>France</c:v>
                </c:pt>
                <c:pt idx="1">
                  <c:v>Germany</c:v>
                </c:pt>
                <c:pt idx="2">
                  <c:v>UK</c:v>
                </c:pt>
              </c:strCache>
            </c:strRef>
          </c:cat>
          <c:val>
            <c:numRef>
              <c:f>Sheet1!$C$2:$C$4</c:f>
              <c:numCache>
                <c:formatCode>General</c:formatCode>
                <c:ptCount val="3"/>
                <c:pt idx="0">
                  <c:v>143</c:v>
                </c:pt>
                <c:pt idx="1">
                  <c:v>120</c:v>
                </c:pt>
                <c:pt idx="2">
                  <c:v>90</c:v>
                </c:pt>
              </c:numCache>
            </c:numRef>
          </c:val>
        </c:ser>
        <c:ser>
          <c:idx val="2"/>
          <c:order val="2"/>
          <c:tx>
            <c:strRef>
              <c:f>Sheet1!$D$1</c:f>
              <c:strCache>
                <c:ptCount val="1"/>
                <c:pt idx="0">
                  <c:v>3rd Country</c:v>
                </c:pt>
              </c:strCache>
            </c:strRef>
          </c:tx>
          <c:invertIfNegative val="0"/>
          <c:cat>
            <c:strRef>
              <c:f>Sheet1!$A$2:$A$4</c:f>
              <c:strCache>
                <c:ptCount val="3"/>
                <c:pt idx="0">
                  <c:v>France</c:v>
                </c:pt>
                <c:pt idx="1">
                  <c:v>Germany</c:v>
                </c:pt>
                <c:pt idx="2">
                  <c:v>UK</c:v>
                </c:pt>
              </c:strCache>
            </c:strRef>
          </c:cat>
          <c:val>
            <c:numRef>
              <c:f>Sheet1!$D$2:$D$4</c:f>
              <c:numCache>
                <c:formatCode>General</c:formatCode>
                <c:ptCount val="3"/>
                <c:pt idx="0">
                  <c:v>306</c:v>
                </c:pt>
                <c:pt idx="1">
                  <c:v>208</c:v>
                </c:pt>
                <c:pt idx="2">
                  <c:v>320</c:v>
                </c:pt>
              </c:numCache>
            </c:numRef>
          </c:val>
        </c:ser>
        <c:ser>
          <c:idx val="3"/>
          <c:order val="3"/>
          <c:tx>
            <c:strRef>
              <c:f>Sheet1!$E$1</c:f>
              <c:strCache>
                <c:ptCount val="1"/>
                <c:pt idx="0">
                  <c:v>Global </c:v>
                </c:pt>
              </c:strCache>
            </c:strRef>
          </c:tx>
          <c:invertIfNegative val="0"/>
          <c:cat>
            <c:strRef>
              <c:f>Sheet1!$A$2:$A$4</c:f>
              <c:strCache>
                <c:ptCount val="3"/>
                <c:pt idx="0">
                  <c:v>France</c:v>
                </c:pt>
                <c:pt idx="1">
                  <c:v>Germany</c:v>
                </c:pt>
                <c:pt idx="2">
                  <c:v>UK</c:v>
                </c:pt>
              </c:strCache>
            </c:strRef>
          </c:cat>
          <c:val>
            <c:numRef>
              <c:f>Sheet1!$E$2:$E$4</c:f>
              <c:numCache>
                <c:formatCode>General</c:formatCode>
                <c:ptCount val="3"/>
                <c:pt idx="0">
                  <c:v>249</c:v>
                </c:pt>
                <c:pt idx="1">
                  <c:v>231</c:v>
                </c:pt>
                <c:pt idx="2">
                  <c:v>187</c:v>
                </c:pt>
              </c:numCache>
            </c:numRef>
          </c:val>
        </c:ser>
        <c:dLbls>
          <c:showLegendKey val="0"/>
          <c:showVal val="0"/>
          <c:showCatName val="0"/>
          <c:showSerName val="0"/>
          <c:showPercent val="0"/>
          <c:showBubbleSize val="0"/>
        </c:dLbls>
        <c:gapWidth val="150"/>
        <c:overlap val="100"/>
        <c:axId val="114393856"/>
        <c:axId val="114395392"/>
      </c:barChart>
      <c:catAx>
        <c:axId val="114393856"/>
        <c:scaling>
          <c:orientation val="minMax"/>
        </c:scaling>
        <c:delete val="0"/>
        <c:axPos val="b"/>
        <c:numFmt formatCode="General" sourceLinked="0"/>
        <c:majorTickMark val="out"/>
        <c:minorTickMark val="none"/>
        <c:tickLblPos val="nextTo"/>
        <c:crossAx val="114395392"/>
        <c:crosses val="autoZero"/>
        <c:auto val="1"/>
        <c:lblAlgn val="ctr"/>
        <c:lblOffset val="100"/>
        <c:noMultiLvlLbl val="0"/>
      </c:catAx>
      <c:valAx>
        <c:axId val="114395392"/>
        <c:scaling>
          <c:orientation val="minMax"/>
        </c:scaling>
        <c:delete val="0"/>
        <c:axPos val="l"/>
        <c:majorGridlines/>
        <c:numFmt formatCode="General" sourceLinked="1"/>
        <c:majorTickMark val="out"/>
        <c:minorTickMark val="none"/>
        <c:tickLblPos val="nextTo"/>
        <c:crossAx val="114393856"/>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stacked"/>
        <c:varyColors val="0"/>
        <c:ser>
          <c:idx val="0"/>
          <c:order val="0"/>
          <c:tx>
            <c:strRef>
              <c:f>Sheet1!$A$3</c:f>
              <c:strCache>
                <c:ptCount val="1"/>
                <c:pt idx="0">
                  <c:v>Major</c:v>
                </c:pt>
              </c:strCache>
            </c:strRef>
          </c:tx>
          <c:invertIfNegative val="0"/>
          <c:cat>
            <c:multiLvlStrRef>
              <c:f>Sheet1!$B$1:$X$2</c:f>
              <c:multiLvlStrCache>
                <c:ptCount val="23"/>
                <c:lvl>
                  <c:pt idx="0">
                    <c:v>Brazil</c:v>
                  </c:pt>
                  <c:pt idx="1">
                    <c:v>Russia</c:v>
                  </c:pt>
                  <c:pt idx="2">
                    <c:v>India</c:v>
                  </c:pt>
                  <c:pt idx="3">
                    <c:v>China</c:v>
                  </c:pt>
                  <c:pt idx="4">
                    <c:v>Sth Africa</c:v>
                  </c:pt>
                  <c:pt idx="5">
                    <c:v>EU</c:v>
                  </c:pt>
                  <c:pt idx="6">
                    <c:v>USA</c:v>
                  </c:pt>
                  <c:pt idx="8">
                    <c:v>Brazil</c:v>
                  </c:pt>
                  <c:pt idx="9">
                    <c:v>Russia</c:v>
                  </c:pt>
                  <c:pt idx="10">
                    <c:v>India</c:v>
                  </c:pt>
                  <c:pt idx="11">
                    <c:v>China</c:v>
                  </c:pt>
                  <c:pt idx="12">
                    <c:v>Sth Africa</c:v>
                  </c:pt>
                  <c:pt idx="13">
                    <c:v>EU</c:v>
                  </c:pt>
                  <c:pt idx="14">
                    <c:v>USA</c:v>
                  </c:pt>
                  <c:pt idx="16">
                    <c:v>Brazil</c:v>
                  </c:pt>
                  <c:pt idx="17">
                    <c:v>Russia</c:v>
                  </c:pt>
                  <c:pt idx="18">
                    <c:v>India</c:v>
                  </c:pt>
                  <c:pt idx="19">
                    <c:v>China</c:v>
                  </c:pt>
                  <c:pt idx="20">
                    <c:v>Sth Africa</c:v>
                  </c:pt>
                  <c:pt idx="21">
                    <c:v>EU</c:v>
                  </c:pt>
                  <c:pt idx="22">
                    <c:v>USA</c:v>
                  </c:pt>
                </c:lvl>
                <c:lvl>
                  <c:pt idx="0">
                    <c:v>France</c:v>
                  </c:pt>
                  <c:pt idx="8">
                    <c:v>Germany</c:v>
                  </c:pt>
                  <c:pt idx="16">
                    <c:v>UK</c:v>
                  </c:pt>
                </c:lvl>
              </c:multiLvlStrCache>
            </c:multiLvlStrRef>
          </c:cat>
          <c:val>
            <c:numRef>
              <c:f>Sheet1!$B$3:$X$3</c:f>
              <c:numCache>
                <c:formatCode>General</c:formatCode>
                <c:ptCount val="23"/>
                <c:pt idx="0">
                  <c:v>12</c:v>
                </c:pt>
                <c:pt idx="1">
                  <c:v>57</c:v>
                </c:pt>
                <c:pt idx="2">
                  <c:v>26</c:v>
                </c:pt>
                <c:pt idx="3">
                  <c:v>83</c:v>
                </c:pt>
                <c:pt idx="4">
                  <c:v>4</c:v>
                </c:pt>
                <c:pt idx="5">
                  <c:v>11</c:v>
                </c:pt>
                <c:pt idx="6">
                  <c:v>26</c:v>
                </c:pt>
                <c:pt idx="8">
                  <c:v>22</c:v>
                </c:pt>
                <c:pt idx="9">
                  <c:v>23</c:v>
                </c:pt>
                <c:pt idx="10">
                  <c:v>2</c:v>
                </c:pt>
                <c:pt idx="11">
                  <c:v>29</c:v>
                </c:pt>
                <c:pt idx="12">
                  <c:v>1</c:v>
                </c:pt>
                <c:pt idx="13">
                  <c:v>2</c:v>
                </c:pt>
                <c:pt idx="14">
                  <c:v>10</c:v>
                </c:pt>
                <c:pt idx="16">
                  <c:v>15</c:v>
                </c:pt>
                <c:pt idx="17">
                  <c:v>37</c:v>
                </c:pt>
                <c:pt idx="18">
                  <c:v>13</c:v>
                </c:pt>
                <c:pt idx="19">
                  <c:v>38</c:v>
                </c:pt>
                <c:pt idx="20">
                  <c:v>16</c:v>
                </c:pt>
                <c:pt idx="21">
                  <c:v>5</c:v>
                </c:pt>
                <c:pt idx="22">
                  <c:v>38</c:v>
                </c:pt>
              </c:numCache>
            </c:numRef>
          </c:val>
        </c:ser>
        <c:ser>
          <c:idx val="1"/>
          <c:order val="1"/>
          <c:tx>
            <c:strRef>
              <c:f>Sheet1!$A$4</c:f>
              <c:strCache>
                <c:ptCount val="1"/>
                <c:pt idx="0">
                  <c:v>Secondary</c:v>
                </c:pt>
              </c:strCache>
            </c:strRef>
          </c:tx>
          <c:invertIfNegative val="0"/>
          <c:cat>
            <c:multiLvlStrRef>
              <c:f>Sheet1!$B$1:$X$2</c:f>
              <c:multiLvlStrCache>
                <c:ptCount val="23"/>
                <c:lvl>
                  <c:pt idx="0">
                    <c:v>Brazil</c:v>
                  </c:pt>
                  <c:pt idx="1">
                    <c:v>Russia</c:v>
                  </c:pt>
                  <c:pt idx="2">
                    <c:v>India</c:v>
                  </c:pt>
                  <c:pt idx="3">
                    <c:v>China</c:v>
                  </c:pt>
                  <c:pt idx="4">
                    <c:v>Sth Africa</c:v>
                  </c:pt>
                  <c:pt idx="5">
                    <c:v>EU</c:v>
                  </c:pt>
                  <c:pt idx="6">
                    <c:v>USA</c:v>
                  </c:pt>
                  <c:pt idx="8">
                    <c:v>Brazil</c:v>
                  </c:pt>
                  <c:pt idx="9">
                    <c:v>Russia</c:v>
                  </c:pt>
                  <c:pt idx="10">
                    <c:v>India</c:v>
                  </c:pt>
                  <c:pt idx="11">
                    <c:v>China</c:v>
                  </c:pt>
                  <c:pt idx="12">
                    <c:v>Sth Africa</c:v>
                  </c:pt>
                  <c:pt idx="13">
                    <c:v>EU</c:v>
                  </c:pt>
                  <c:pt idx="14">
                    <c:v>USA</c:v>
                  </c:pt>
                  <c:pt idx="16">
                    <c:v>Brazil</c:v>
                  </c:pt>
                  <c:pt idx="17">
                    <c:v>Russia</c:v>
                  </c:pt>
                  <c:pt idx="18">
                    <c:v>India</c:v>
                  </c:pt>
                  <c:pt idx="19">
                    <c:v>China</c:v>
                  </c:pt>
                  <c:pt idx="20">
                    <c:v>Sth Africa</c:v>
                  </c:pt>
                  <c:pt idx="21">
                    <c:v>EU</c:v>
                  </c:pt>
                  <c:pt idx="22">
                    <c:v>USA</c:v>
                  </c:pt>
                </c:lvl>
                <c:lvl>
                  <c:pt idx="0">
                    <c:v>France</c:v>
                  </c:pt>
                  <c:pt idx="8">
                    <c:v>Germany</c:v>
                  </c:pt>
                  <c:pt idx="16">
                    <c:v>UK</c:v>
                  </c:pt>
                </c:lvl>
              </c:multiLvlStrCache>
            </c:multiLvlStrRef>
          </c:cat>
          <c:val>
            <c:numRef>
              <c:f>Sheet1!$B$4:$X$4</c:f>
              <c:numCache>
                <c:formatCode>General</c:formatCode>
                <c:ptCount val="23"/>
                <c:pt idx="0">
                  <c:v>8</c:v>
                </c:pt>
                <c:pt idx="1">
                  <c:v>38</c:v>
                </c:pt>
                <c:pt idx="2">
                  <c:v>22</c:v>
                </c:pt>
                <c:pt idx="3">
                  <c:v>74</c:v>
                </c:pt>
                <c:pt idx="4">
                  <c:v>6</c:v>
                </c:pt>
                <c:pt idx="5">
                  <c:v>43</c:v>
                </c:pt>
                <c:pt idx="6">
                  <c:v>53</c:v>
                </c:pt>
                <c:pt idx="8">
                  <c:v>22</c:v>
                </c:pt>
                <c:pt idx="9">
                  <c:v>48</c:v>
                </c:pt>
                <c:pt idx="10">
                  <c:v>16</c:v>
                </c:pt>
                <c:pt idx="11">
                  <c:v>59</c:v>
                </c:pt>
                <c:pt idx="12">
                  <c:v>1</c:v>
                </c:pt>
                <c:pt idx="13">
                  <c:v>51</c:v>
                </c:pt>
                <c:pt idx="14">
                  <c:v>32</c:v>
                </c:pt>
                <c:pt idx="16">
                  <c:v>7</c:v>
                </c:pt>
                <c:pt idx="17">
                  <c:v>30</c:v>
                </c:pt>
                <c:pt idx="18">
                  <c:v>16</c:v>
                </c:pt>
                <c:pt idx="19">
                  <c:v>59</c:v>
                </c:pt>
                <c:pt idx="20">
                  <c:v>7</c:v>
                </c:pt>
                <c:pt idx="21">
                  <c:v>47</c:v>
                </c:pt>
                <c:pt idx="22">
                  <c:v>60</c:v>
                </c:pt>
              </c:numCache>
            </c:numRef>
          </c:val>
        </c:ser>
        <c:ser>
          <c:idx val="2"/>
          <c:order val="2"/>
          <c:tx>
            <c:strRef>
              <c:f>Sheet1!$A$5</c:f>
              <c:strCache>
                <c:ptCount val="1"/>
                <c:pt idx="0">
                  <c:v>Minor</c:v>
                </c:pt>
              </c:strCache>
            </c:strRef>
          </c:tx>
          <c:invertIfNegative val="0"/>
          <c:cat>
            <c:multiLvlStrRef>
              <c:f>Sheet1!$B$1:$X$2</c:f>
              <c:multiLvlStrCache>
                <c:ptCount val="23"/>
                <c:lvl>
                  <c:pt idx="0">
                    <c:v>Brazil</c:v>
                  </c:pt>
                  <c:pt idx="1">
                    <c:v>Russia</c:v>
                  </c:pt>
                  <c:pt idx="2">
                    <c:v>India</c:v>
                  </c:pt>
                  <c:pt idx="3">
                    <c:v>China</c:v>
                  </c:pt>
                  <c:pt idx="4">
                    <c:v>Sth Africa</c:v>
                  </c:pt>
                  <c:pt idx="5">
                    <c:v>EU</c:v>
                  </c:pt>
                  <c:pt idx="6">
                    <c:v>USA</c:v>
                  </c:pt>
                  <c:pt idx="8">
                    <c:v>Brazil</c:v>
                  </c:pt>
                  <c:pt idx="9">
                    <c:v>Russia</c:v>
                  </c:pt>
                  <c:pt idx="10">
                    <c:v>India</c:v>
                  </c:pt>
                  <c:pt idx="11">
                    <c:v>China</c:v>
                  </c:pt>
                  <c:pt idx="12">
                    <c:v>Sth Africa</c:v>
                  </c:pt>
                  <c:pt idx="13">
                    <c:v>EU</c:v>
                  </c:pt>
                  <c:pt idx="14">
                    <c:v>USA</c:v>
                  </c:pt>
                  <c:pt idx="16">
                    <c:v>Brazil</c:v>
                  </c:pt>
                  <c:pt idx="17">
                    <c:v>Russia</c:v>
                  </c:pt>
                  <c:pt idx="18">
                    <c:v>India</c:v>
                  </c:pt>
                  <c:pt idx="19">
                    <c:v>China</c:v>
                  </c:pt>
                  <c:pt idx="20">
                    <c:v>Sth Africa</c:v>
                  </c:pt>
                  <c:pt idx="21">
                    <c:v>EU</c:v>
                  </c:pt>
                  <c:pt idx="22">
                    <c:v>USA</c:v>
                  </c:pt>
                </c:lvl>
                <c:lvl>
                  <c:pt idx="0">
                    <c:v>France</c:v>
                  </c:pt>
                  <c:pt idx="8">
                    <c:v>Germany</c:v>
                  </c:pt>
                  <c:pt idx="16">
                    <c:v>UK</c:v>
                  </c:pt>
                </c:lvl>
              </c:multiLvlStrCache>
            </c:multiLvlStrRef>
          </c:cat>
          <c:val>
            <c:numRef>
              <c:f>Sheet1!$B$5:$X$5</c:f>
              <c:numCache>
                <c:formatCode>General</c:formatCode>
                <c:ptCount val="23"/>
                <c:pt idx="0">
                  <c:v>61</c:v>
                </c:pt>
                <c:pt idx="1">
                  <c:v>108</c:v>
                </c:pt>
                <c:pt idx="2">
                  <c:v>78</c:v>
                </c:pt>
                <c:pt idx="3">
                  <c:v>174</c:v>
                </c:pt>
                <c:pt idx="4">
                  <c:v>33</c:v>
                </c:pt>
                <c:pt idx="5">
                  <c:v>58</c:v>
                </c:pt>
                <c:pt idx="6">
                  <c:v>142</c:v>
                </c:pt>
                <c:pt idx="8">
                  <c:v>13</c:v>
                </c:pt>
                <c:pt idx="9">
                  <c:v>43</c:v>
                </c:pt>
                <c:pt idx="10">
                  <c:v>33</c:v>
                </c:pt>
                <c:pt idx="11">
                  <c:v>102</c:v>
                </c:pt>
                <c:pt idx="12">
                  <c:v>17</c:v>
                </c:pt>
                <c:pt idx="13">
                  <c:v>52</c:v>
                </c:pt>
                <c:pt idx="14">
                  <c:v>80</c:v>
                </c:pt>
                <c:pt idx="16">
                  <c:v>33</c:v>
                </c:pt>
                <c:pt idx="17">
                  <c:v>69</c:v>
                </c:pt>
                <c:pt idx="18">
                  <c:v>98</c:v>
                </c:pt>
                <c:pt idx="19">
                  <c:v>187</c:v>
                </c:pt>
                <c:pt idx="20">
                  <c:v>33</c:v>
                </c:pt>
                <c:pt idx="21">
                  <c:v>97</c:v>
                </c:pt>
                <c:pt idx="22">
                  <c:v>195</c:v>
                </c:pt>
              </c:numCache>
            </c:numRef>
          </c:val>
        </c:ser>
        <c:dLbls>
          <c:showLegendKey val="0"/>
          <c:showVal val="0"/>
          <c:showCatName val="0"/>
          <c:showSerName val="0"/>
          <c:showPercent val="0"/>
          <c:showBubbleSize val="0"/>
        </c:dLbls>
        <c:gapWidth val="150"/>
        <c:overlap val="100"/>
        <c:axId val="148882176"/>
        <c:axId val="148883712"/>
      </c:barChart>
      <c:catAx>
        <c:axId val="148882176"/>
        <c:scaling>
          <c:orientation val="minMax"/>
        </c:scaling>
        <c:delete val="0"/>
        <c:axPos val="b"/>
        <c:numFmt formatCode="General" sourceLinked="0"/>
        <c:majorTickMark val="out"/>
        <c:minorTickMark val="none"/>
        <c:tickLblPos val="nextTo"/>
        <c:crossAx val="148883712"/>
        <c:crosses val="autoZero"/>
        <c:auto val="1"/>
        <c:lblAlgn val="ctr"/>
        <c:lblOffset val="100"/>
        <c:noMultiLvlLbl val="0"/>
      </c:catAx>
      <c:valAx>
        <c:axId val="148883712"/>
        <c:scaling>
          <c:orientation val="minMax"/>
        </c:scaling>
        <c:delete val="0"/>
        <c:axPos val="l"/>
        <c:majorGridlines/>
        <c:numFmt formatCode="General" sourceLinked="1"/>
        <c:majorTickMark val="out"/>
        <c:minorTickMark val="none"/>
        <c:tickLblPos val="nextTo"/>
        <c:crossAx val="148882176"/>
        <c:crosses val="autoZero"/>
        <c:crossBetween val="between"/>
      </c:valAx>
    </c:plotArea>
    <c:legend>
      <c:legendPos val="r"/>
      <c:overlay val="0"/>
    </c:legend>
    <c:plotVisOnly val="1"/>
    <c:dispBlanksAs val="gap"/>
    <c:showDLblsOverMax val="0"/>
  </c:chart>
  <c:txPr>
    <a:bodyPr/>
    <a:lstStyle/>
    <a:p>
      <a:pPr>
        <a:defRPr sz="900"/>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col"/>
        <c:grouping val="percentStacked"/>
        <c:varyColors val="0"/>
        <c:ser>
          <c:idx val="0"/>
          <c:order val="0"/>
          <c:tx>
            <c:strRef>
              <c:f>Sheet2!$A$3</c:f>
              <c:strCache>
                <c:ptCount val="1"/>
                <c:pt idx="0">
                  <c:v>Competitiveness</c:v>
                </c:pt>
              </c:strCache>
            </c:strRef>
          </c:tx>
          <c:invertIfNegative val="0"/>
          <c:cat>
            <c:multiLvlStrRef>
              <c:f>Sheet2!$B$1:$X$2</c:f>
              <c:multiLvlStrCache>
                <c:ptCount val="23"/>
                <c:lvl>
                  <c:pt idx="0">
                    <c:v>Brazil</c:v>
                  </c:pt>
                  <c:pt idx="1">
                    <c:v>Russia</c:v>
                  </c:pt>
                  <c:pt idx="2">
                    <c:v>India</c:v>
                  </c:pt>
                  <c:pt idx="3">
                    <c:v>China</c:v>
                  </c:pt>
                  <c:pt idx="4">
                    <c:v>Sth Africa</c:v>
                  </c:pt>
                  <c:pt idx="5">
                    <c:v>EU</c:v>
                  </c:pt>
                  <c:pt idx="6">
                    <c:v>USA</c:v>
                  </c:pt>
                  <c:pt idx="8">
                    <c:v>Brazil</c:v>
                  </c:pt>
                  <c:pt idx="9">
                    <c:v>Russia</c:v>
                  </c:pt>
                  <c:pt idx="10">
                    <c:v>India</c:v>
                  </c:pt>
                  <c:pt idx="11">
                    <c:v>China</c:v>
                  </c:pt>
                  <c:pt idx="12">
                    <c:v>Sth Africa</c:v>
                  </c:pt>
                  <c:pt idx="13">
                    <c:v>EU</c:v>
                  </c:pt>
                  <c:pt idx="14">
                    <c:v>USA</c:v>
                  </c:pt>
                  <c:pt idx="16">
                    <c:v>Brazil</c:v>
                  </c:pt>
                  <c:pt idx="17">
                    <c:v>Russia</c:v>
                  </c:pt>
                  <c:pt idx="18">
                    <c:v>India</c:v>
                  </c:pt>
                  <c:pt idx="19">
                    <c:v>China</c:v>
                  </c:pt>
                  <c:pt idx="20">
                    <c:v>Sth Africa</c:v>
                  </c:pt>
                  <c:pt idx="21">
                    <c:v>EU</c:v>
                  </c:pt>
                  <c:pt idx="22">
                    <c:v>USA</c:v>
                  </c:pt>
                </c:lvl>
                <c:lvl>
                  <c:pt idx="0">
                    <c:v>France</c:v>
                  </c:pt>
                  <c:pt idx="8">
                    <c:v>Germany</c:v>
                  </c:pt>
                  <c:pt idx="16">
                    <c:v>UK</c:v>
                  </c:pt>
                </c:lvl>
              </c:multiLvlStrCache>
            </c:multiLvlStrRef>
          </c:cat>
          <c:val>
            <c:numRef>
              <c:f>Sheet2!$B$3:$X$3</c:f>
              <c:numCache>
                <c:formatCode>General</c:formatCode>
                <c:ptCount val="23"/>
                <c:pt idx="0">
                  <c:v>14</c:v>
                </c:pt>
                <c:pt idx="1">
                  <c:v>84</c:v>
                </c:pt>
                <c:pt idx="2">
                  <c:v>10</c:v>
                </c:pt>
                <c:pt idx="3">
                  <c:v>45</c:v>
                </c:pt>
                <c:pt idx="4">
                  <c:v>5</c:v>
                </c:pt>
                <c:pt idx="5">
                  <c:v>5</c:v>
                </c:pt>
                <c:pt idx="6">
                  <c:v>30</c:v>
                </c:pt>
                <c:pt idx="8">
                  <c:v>31</c:v>
                </c:pt>
                <c:pt idx="9">
                  <c:v>61</c:v>
                </c:pt>
                <c:pt idx="10">
                  <c:v>12</c:v>
                </c:pt>
                <c:pt idx="11">
                  <c:v>69</c:v>
                </c:pt>
                <c:pt idx="12">
                  <c:v>5</c:v>
                </c:pt>
                <c:pt idx="13">
                  <c:v>17</c:v>
                </c:pt>
                <c:pt idx="14">
                  <c:v>41</c:v>
                </c:pt>
                <c:pt idx="16">
                  <c:v>51</c:v>
                </c:pt>
                <c:pt idx="17">
                  <c:v>86</c:v>
                </c:pt>
                <c:pt idx="18">
                  <c:v>37</c:v>
                </c:pt>
                <c:pt idx="19">
                  <c:v>108</c:v>
                </c:pt>
                <c:pt idx="20">
                  <c:v>12</c:v>
                </c:pt>
                <c:pt idx="21">
                  <c:v>37</c:v>
                </c:pt>
                <c:pt idx="22">
                  <c:v>121</c:v>
                </c:pt>
              </c:numCache>
            </c:numRef>
          </c:val>
        </c:ser>
        <c:ser>
          <c:idx val="1"/>
          <c:order val="1"/>
          <c:tx>
            <c:strRef>
              <c:f>Sheet2!$A$4</c:f>
              <c:strCache>
                <c:ptCount val="1"/>
                <c:pt idx="0">
                  <c:v>Security of Supply</c:v>
                </c:pt>
              </c:strCache>
            </c:strRef>
          </c:tx>
          <c:invertIfNegative val="0"/>
          <c:cat>
            <c:multiLvlStrRef>
              <c:f>Sheet2!$B$1:$X$2</c:f>
              <c:multiLvlStrCache>
                <c:ptCount val="23"/>
                <c:lvl>
                  <c:pt idx="0">
                    <c:v>Brazil</c:v>
                  </c:pt>
                  <c:pt idx="1">
                    <c:v>Russia</c:v>
                  </c:pt>
                  <c:pt idx="2">
                    <c:v>India</c:v>
                  </c:pt>
                  <c:pt idx="3">
                    <c:v>China</c:v>
                  </c:pt>
                  <c:pt idx="4">
                    <c:v>Sth Africa</c:v>
                  </c:pt>
                  <c:pt idx="5">
                    <c:v>EU</c:v>
                  </c:pt>
                  <c:pt idx="6">
                    <c:v>USA</c:v>
                  </c:pt>
                  <c:pt idx="8">
                    <c:v>Brazil</c:v>
                  </c:pt>
                  <c:pt idx="9">
                    <c:v>Russia</c:v>
                  </c:pt>
                  <c:pt idx="10">
                    <c:v>India</c:v>
                  </c:pt>
                  <c:pt idx="11">
                    <c:v>China</c:v>
                  </c:pt>
                  <c:pt idx="12">
                    <c:v>Sth Africa</c:v>
                  </c:pt>
                  <c:pt idx="13">
                    <c:v>EU</c:v>
                  </c:pt>
                  <c:pt idx="14">
                    <c:v>USA</c:v>
                  </c:pt>
                  <c:pt idx="16">
                    <c:v>Brazil</c:v>
                  </c:pt>
                  <c:pt idx="17">
                    <c:v>Russia</c:v>
                  </c:pt>
                  <c:pt idx="18">
                    <c:v>India</c:v>
                  </c:pt>
                  <c:pt idx="19">
                    <c:v>China</c:v>
                  </c:pt>
                  <c:pt idx="20">
                    <c:v>Sth Africa</c:v>
                  </c:pt>
                  <c:pt idx="21">
                    <c:v>EU</c:v>
                  </c:pt>
                  <c:pt idx="22">
                    <c:v>USA</c:v>
                  </c:pt>
                </c:lvl>
                <c:lvl>
                  <c:pt idx="0">
                    <c:v>France</c:v>
                  </c:pt>
                  <c:pt idx="8">
                    <c:v>Germany</c:v>
                  </c:pt>
                  <c:pt idx="16">
                    <c:v>UK</c:v>
                  </c:pt>
                </c:lvl>
              </c:multiLvlStrCache>
            </c:multiLvlStrRef>
          </c:cat>
          <c:val>
            <c:numRef>
              <c:f>Sheet2!$B$4:$X$4</c:f>
              <c:numCache>
                <c:formatCode>General</c:formatCode>
                <c:ptCount val="23"/>
                <c:pt idx="0">
                  <c:v>6</c:v>
                </c:pt>
                <c:pt idx="1">
                  <c:v>19</c:v>
                </c:pt>
                <c:pt idx="2">
                  <c:v>39</c:v>
                </c:pt>
                <c:pt idx="3">
                  <c:v>52</c:v>
                </c:pt>
                <c:pt idx="4">
                  <c:v>7</c:v>
                </c:pt>
                <c:pt idx="5">
                  <c:v>11</c:v>
                </c:pt>
                <c:pt idx="6">
                  <c:v>15</c:v>
                </c:pt>
                <c:pt idx="8">
                  <c:v>8</c:v>
                </c:pt>
                <c:pt idx="9">
                  <c:v>22</c:v>
                </c:pt>
                <c:pt idx="10">
                  <c:v>23</c:v>
                </c:pt>
                <c:pt idx="11">
                  <c:v>54</c:v>
                </c:pt>
                <c:pt idx="12">
                  <c:v>4</c:v>
                </c:pt>
                <c:pt idx="13">
                  <c:v>21</c:v>
                </c:pt>
                <c:pt idx="14">
                  <c:v>19</c:v>
                </c:pt>
                <c:pt idx="16">
                  <c:v>6</c:v>
                </c:pt>
                <c:pt idx="17">
                  <c:v>14</c:v>
                </c:pt>
                <c:pt idx="18">
                  <c:v>18</c:v>
                </c:pt>
                <c:pt idx="19">
                  <c:v>38</c:v>
                </c:pt>
                <c:pt idx="20">
                  <c:v>6</c:v>
                </c:pt>
                <c:pt idx="21">
                  <c:v>15</c:v>
                </c:pt>
                <c:pt idx="22">
                  <c:v>23</c:v>
                </c:pt>
              </c:numCache>
            </c:numRef>
          </c:val>
        </c:ser>
        <c:ser>
          <c:idx val="2"/>
          <c:order val="2"/>
          <c:tx>
            <c:strRef>
              <c:f>Sheet2!$A$5</c:f>
              <c:strCache>
                <c:ptCount val="1"/>
                <c:pt idx="0">
                  <c:v>Sustainability</c:v>
                </c:pt>
              </c:strCache>
            </c:strRef>
          </c:tx>
          <c:invertIfNegative val="0"/>
          <c:cat>
            <c:multiLvlStrRef>
              <c:f>Sheet2!$B$1:$X$2</c:f>
              <c:multiLvlStrCache>
                <c:ptCount val="23"/>
                <c:lvl>
                  <c:pt idx="0">
                    <c:v>Brazil</c:v>
                  </c:pt>
                  <c:pt idx="1">
                    <c:v>Russia</c:v>
                  </c:pt>
                  <c:pt idx="2">
                    <c:v>India</c:v>
                  </c:pt>
                  <c:pt idx="3">
                    <c:v>China</c:v>
                  </c:pt>
                  <c:pt idx="4">
                    <c:v>Sth Africa</c:v>
                  </c:pt>
                  <c:pt idx="5">
                    <c:v>EU</c:v>
                  </c:pt>
                  <c:pt idx="6">
                    <c:v>USA</c:v>
                  </c:pt>
                  <c:pt idx="8">
                    <c:v>Brazil</c:v>
                  </c:pt>
                  <c:pt idx="9">
                    <c:v>Russia</c:v>
                  </c:pt>
                  <c:pt idx="10">
                    <c:v>India</c:v>
                  </c:pt>
                  <c:pt idx="11">
                    <c:v>China</c:v>
                  </c:pt>
                  <c:pt idx="12">
                    <c:v>Sth Africa</c:v>
                  </c:pt>
                  <c:pt idx="13">
                    <c:v>EU</c:v>
                  </c:pt>
                  <c:pt idx="14">
                    <c:v>USA</c:v>
                  </c:pt>
                  <c:pt idx="16">
                    <c:v>Brazil</c:v>
                  </c:pt>
                  <c:pt idx="17">
                    <c:v>Russia</c:v>
                  </c:pt>
                  <c:pt idx="18">
                    <c:v>India</c:v>
                  </c:pt>
                  <c:pt idx="19">
                    <c:v>China</c:v>
                  </c:pt>
                  <c:pt idx="20">
                    <c:v>Sth Africa</c:v>
                  </c:pt>
                  <c:pt idx="21">
                    <c:v>EU</c:v>
                  </c:pt>
                  <c:pt idx="22">
                    <c:v>USA</c:v>
                  </c:pt>
                </c:lvl>
                <c:lvl>
                  <c:pt idx="0">
                    <c:v>France</c:v>
                  </c:pt>
                  <c:pt idx="8">
                    <c:v>Germany</c:v>
                  </c:pt>
                  <c:pt idx="16">
                    <c:v>UK</c:v>
                  </c:pt>
                </c:lvl>
              </c:multiLvlStrCache>
            </c:multiLvlStrRef>
          </c:cat>
          <c:val>
            <c:numRef>
              <c:f>Sheet2!$B$5:$X$5</c:f>
              <c:numCache>
                <c:formatCode>General</c:formatCode>
                <c:ptCount val="23"/>
                <c:pt idx="0">
                  <c:v>33</c:v>
                </c:pt>
                <c:pt idx="1">
                  <c:v>17</c:v>
                </c:pt>
                <c:pt idx="2">
                  <c:v>40</c:v>
                </c:pt>
                <c:pt idx="3">
                  <c:v>85</c:v>
                </c:pt>
                <c:pt idx="4">
                  <c:v>22</c:v>
                </c:pt>
                <c:pt idx="5">
                  <c:v>41</c:v>
                </c:pt>
                <c:pt idx="6">
                  <c:v>62</c:v>
                </c:pt>
                <c:pt idx="8">
                  <c:v>17</c:v>
                </c:pt>
                <c:pt idx="9">
                  <c:v>7</c:v>
                </c:pt>
                <c:pt idx="10">
                  <c:v>13</c:v>
                </c:pt>
                <c:pt idx="11">
                  <c:v>50</c:v>
                </c:pt>
                <c:pt idx="12">
                  <c:v>5</c:v>
                </c:pt>
                <c:pt idx="13">
                  <c:v>55</c:v>
                </c:pt>
                <c:pt idx="14">
                  <c:v>43</c:v>
                </c:pt>
                <c:pt idx="16">
                  <c:v>31</c:v>
                </c:pt>
                <c:pt idx="17">
                  <c:v>20</c:v>
                </c:pt>
                <c:pt idx="18">
                  <c:v>61</c:v>
                </c:pt>
                <c:pt idx="19">
                  <c:v>111</c:v>
                </c:pt>
                <c:pt idx="20">
                  <c:v>29</c:v>
                </c:pt>
                <c:pt idx="21">
                  <c:v>74</c:v>
                </c:pt>
                <c:pt idx="22">
                  <c:v>107</c:v>
                </c:pt>
              </c:numCache>
            </c:numRef>
          </c:val>
        </c:ser>
        <c:dLbls>
          <c:showLegendKey val="0"/>
          <c:showVal val="0"/>
          <c:showCatName val="0"/>
          <c:showSerName val="0"/>
          <c:showPercent val="0"/>
          <c:showBubbleSize val="0"/>
        </c:dLbls>
        <c:gapWidth val="55"/>
        <c:overlap val="100"/>
        <c:axId val="114961792"/>
        <c:axId val="114971776"/>
      </c:barChart>
      <c:catAx>
        <c:axId val="114961792"/>
        <c:scaling>
          <c:orientation val="minMax"/>
        </c:scaling>
        <c:delete val="0"/>
        <c:axPos val="b"/>
        <c:majorTickMark val="none"/>
        <c:minorTickMark val="none"/>
        <c:tickLblPos val="nextTo"/>
        <c:crossAx val="114971776"/>
        <c:crosses val="autoZero"/>
        <c:auto val="1"/>
        <c:lblAlgn val="ctr"/>
        <c:lblOffset val="100"/>
        <c:noMultiLvlLbl val="0"/>
      </c:catAx>
      <c:valAx>
        <c:axId val="114971776"/>
        <c:scaling>
          <c:orientation val="minMax"/>
        </c:scaling>
        <c:delete val="0"/>
        <c:axPos val="l"/>
        <c:majorGridlines/>
        <c:numFmt formatCode="0%" sourceLinked="1"/>
        <c:majorTickMark val="none"/>
        <c:minorTickMark val="none"/>
        <c:tickLblPos val="nextTo"/>
        <c:crossAx val="114961792"/>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percentStacked"/>
        <c:varyColors val="0"/>
        <c:ser>
          <c:idx val="0"/>
          <c:order val="0"/>
          <c:tx>
            <c:strRef>
              <c:f>Sheet4!$A$2</c:f>
              <c:strCache>
                <c:ptCount val="1"/>
                <c:pt idx="0">
                  <c:v>Economics</c:v>
                </c:pt>
              </c:strCache>
            </c:strRef>
          </c:tx>
          <c:invertIfNegative val="0"/>
          <c:cat>
            <c:strRef>
              <c:f>Sheet4!$B$1:$D$1</c:f>
              <c:strCache>
                <c:ptCount val="3"/>
                <c:pt idx="0">
                  <c:v>France</c:v>
                </c:pt>
                <c:pt idx="1">
                  <c:v>Germany</c:v>
                </c:pt>
                <c:pt idx="2">
                  <c:v>UK</c:v>
                </c:pt>
              </c:strCache>
            </c:strRef>
          </c:cat>
          <c:val>
            <c:numRef>
              <c:f>Sheet4!$B$2:$D$2</c:f>
              <c:numCache>
                <c:formatCode>General</c:formatCode>
                <c:ptCount val="3"/>
                <c:pt idx="0">
                  <c:v>280</c:v>
                </c:pt>
                <c:pt idx="1">
                  <c:v>304</c:v>
                </c:pt>
                <c:pt idx="2">
                  <c:v>260</c:v>
                </c:pt>
              </c:numCache>
            </c:numRef>
          </c:val>
        </c:ser>
        <c:ser>
          <c:idx val="1"/>
          <c:order val="1"/>
          <c:tx>
            <c:strRef>
              <c:f>Sheet4!$A$3</c:f>
              <c:strCache>
                <c:ptCount val="1"/>
                <c:pt idx="0">
                  <c:v>Politics</c:v>
                </c:pt>
              </c:strCache>
            </c:strRef>
          </c:tx>
          <c:invertIfNegative val="0"/>
          <c:cat>
            <c:strRef>
              <c:f>Sheet4!$B$1:$D$1</c:f>
              <c:strCache>
                <c:ptCount val="3"/>
                <c:pt idx="0">
                  <c:v>France</c:v>
                </c:pt>
                <c:pt idx="1">
                  <c:v>Germany</c:v>
                </c:pt>
                <c:pt idx="2">
                  <c:v>UK</c:v>
                </c:pt>
              </c:strCache>
            </c:strRef>
          </c:cat>
          <c:val>
            <c:numRef>
              <c:f>Sheet4!$B$3:$D$3</c:f>
              <c:numCache>
                <c:formatCode>General</c:formatCode>
                <c:ptCount val="3"/>
                <c:pt idx="0">
                  <c:v>259</c:v>
                </c:pt>
                <c:pt idx="1">
                  <c:v>203</c:v>
                </c:pt>
                <c:pt idx="2">
                  <c:v>123</c:v>
                </c:pt>
              </c:numCache>
            </c:numRef>
          </c:val>
        </c:ser>
        <c:ser>
          <c:idx val="2"/>
          <c:order val="2"/>
          <c:tx>
            <c:strRef>
              <c:f>Sheet4!$A$4</c:f>
              <c:strCache>
                <c:ptCount val="1"/>
                <c:pt idx="0">
                  <c:v>Social Affairs</c:v>
                </c:pt>
              </c:strCache>
            </c:strRef>
          </c:tx>
          <c:invertIfNegative val="0"/>
          <c:cat>
            <c:strRef>
              <c:f>Sheet4!$B$1:$D$1</c:f>
              <c:strCache>
                <c:ptCount val="3"/>
                <c:pt idx="0">
                  <c:v>France</c:v>
                </c:pt>
                <c:pt idx="1">
                  <c:v>Germany</c:v>
                </c:pt>
                <c:pt idx="2">
                  <c:v>UK</c:v>
                </c:pt>
              </c:strCache>
            </c:strRef>
          </c:cat>
          <c:val>
            <c:numRef>
              <c:f>Sheet4!$B$4:$D$4</c:f>
              <c:numCache>
                <c:formatCode>General</c:formatCode>
                <c:ptCount val="3"/>
                <c:pt idx="0">
                  <c:v>44</c:v>
                </c:pt>
                <c:pt idx="1">
                  <c:v>38</c:v>
                </c:pt>
                <c:pt idx="2">
                  <c:v>17</c:v>
                </c:pt>
              </c:numCache>
            </c:numRef>
          </c:val>
        </c:ser>
        <c:ser>
          <c:idx val="3"/>
          <c:order val="3"/>
          <c:tx>
            <c:strRef>
              <c:f>Sheet4!$A$5</c:f>
              <c:strCache>
                <c:ptCount val="1"/>
                <c:pt idx="0">
                  <c:v>Climate Change</c:v>
                </c:pt>
              </c:strCache>
            </c:strRef>
          </c:tx>
          <c:invertIfNegative val="0"/>
          <c:cat>
            <c:strRef>
              <c:f>Sheet4!$B$1:$D$1</c:f>
              <c:strCache>
                <c:ptCount val="3"/>
                <c:pt idx="0">
                  <c:v>France</c:v>
                </c:pt>
                <c:pt idx="1">
                  <c:v>Germany</c:v>
                </c:pt>
                <c:pt idx="2">
                  <c:v>UK</c:v>
                </c:pt>
              </c:strCache>
            </c:strRef>
          </c:cat>
          <c:val>
            <c:numRef>
              <c:f>Sheet4!$B$5:$D$5</c:f>
              <c:numCache>
                <c:formatCode>General</c:formatCode>
                <c:ptCount val="3"/>
                <c:pt idx="0">
                  <c:v>92</c:v>
                </c:pt>
                <c:pt idx="1">
                  <c:v>102</c:v>
                </c:pt>
                <c:pt idx="2">
                  <c:v>144</c:v>
                </c:pt>
              </c:numCache>
            </c:numRef>
          </c:val>
        </c:ser>
        <c:ser>
          <c:idx val="4"/>
          <c:order val="4"/>
          <c:tx>
            <c:strRef>
              <c:f>Sheet4!$A$6</c:f>
              <c:strCache>
                <c:ptCount val="1"/>
                <c:pt idx="0">
                  <c:v>Development</c:v>
                </c:pt>
              </c:strCache>
            </c:strRef>
          </c:tx>
          <c:invertIfNegative val="0"/>
          <c:cat>
            <c:strRef>
              <c:f>Sheet4!$B$1:$D$1</c:f>
              <c:strCache>
                <c:ptCount val="3"/>
                <c:pt idx="0">
                  <c:v>France</c:v>
                </c:pt>
                <c:pt idx="1">
                  <c:v>Germany</c:v>
                </c:pt>
                <c:pt idx="2">
                  <c:v>UK</c:v>
                </c:pt>
              </c:strCache>
            </c:strRef>
          </c:cat>
          <c:val>
            <c:numRef>
              <c:f>Sheet4!$B$6:$D$6</c:f>
              <c:numCache>
                <c:formatCode>General</c:formatCode>
                <c:ptCount val="3"/>
                <c:pt idx="0">
                  <c:v>13</c:v>
                </c:pt>
                <c:pt idx="1">
                  <c:v>10</c:v>
                </c:pt>
                <c:pt idx="2">
                  <c:v>43</c:v>
                </c:pt>
              </c:numCache>
            </c:numRef>
          </c:val>
        </c:ser>
        <c:ser>
          <c:idx val="5"/>
          <c:order val="5"/>
          <c:tx>
            <c:strRef>
              <c:f>Sheet4!$A$7</c:f>
              <c:strCache>
                <c:ptCount val="1"/>
                <c:pt idx="0">
                  <c:v>Environment</c:v>
                </c:pt>
              </c:strCache>
            </c:strRef>
          </c:tx>
          <c:invertIfNegative val="0"/>
          <c:cat>
            <c:strRef>
              <c:f>Sheet4!$B$1:$D$1</c:f>
              <c:strCache>
                <c:ptCount val="3"/>
                <c:pt idx="0">
                  <c:v>France</c:v>
                </c:pt>
                <c:pt idx="1">
                  <c:v>Germany</c:v>
                </c:pt>
                <c:pt idx="2">
                  <c:v>UK</c:v>
                </c:pt>
              </c:strCache>
            </c:strRef>
          </c:cat>
          <c:val>
            <c:numRef>
              <c:f>Sheet4!$B$7:$D$7</c:f>
              <c:numCache>
                <c:formatCode>General</c:formatCode>
                <c:ptCount val="3"/>
                <c:pt idx="0">
                  <c:v>106</c:v>
                </c:pt>
                <c:pt idx="1">
                  <c:v>123</c:v>
                </c:pt>
                <c:pt idx="2">
                  <c:v>30</c:v>
                </c:pt>
              </c:numCache>
            </c:numRef>
          </c:val>
        </c:ser>
        <c:ser>
          <c:idx val="6"/>
          <c:order val="6"/>
          <c:tx>
            <c:strRef>
              <c:f>Sheet4!$A$8</c:f>
              <c:strCache>
                <c:ptCount val="1"/>
                <c:pt idx="0">
                  <c:v>Normative</c:v>
                </c:pt>
              </c:strCache>
            </c:strRef>
          </c:tx>
          <c:invertIfNegative val="0"/>
          <c:cat>
            <c:strRef>
              <c:f>Sheet4!$B$1:$D$1</c:f>
              <c:strCache>
                <c:ptCount val="3"/>
                <c:pt idx="0">
                  <c:v>France</c:v>
                </c:pt>
                <c:pt idx="1">
                  <c:v>Germany</c:v>
                </c:pt>
                <c:pt idx="2">
                  <c:v>UK</c:v>
                </c:pt>
              </c:strCache>
            </c:strRef>
          </c:cat>
          <c:val>
            <c:numRef>
              <c:f>Sheet4!$B$8:$D$8</c:f>
              <c:numCache>
                <c:formatCode>General</c:formatCode>
                <c:ptCount val="3"/>
                <c:pt idx="0">
                  <c:v>0</c:v>
                </c:pt>
                <c:pt idx="1">
                  <c:v>9</c:v>
                </c:pt>
                <c:pt idx="2">
                  <c:v>7</c:v>
                </c:pt>
              </c:numCache>
            </c:numRef>
          </c:val>
        </c:ser>
        <c:ser>
          <c:idx val="7"/>
          <c:order val="7"/>
          <c:tx>
            <c:strRef>
              <c:f>Sheet4!$A$9</c:f>
              <c:strCache>
                <c:ptCount val="1"/>
                <c:pt idx="0">
                  <c:v>Safety</c:v>
                </c:pt>
              </c:strCache>
            </c:strRef>
          </c:tx>
          <c:invertIfNegative val="0"/>
          <c:cat>
            <c:strRef>
              <c:f>Sheet4!$B$1:$D$1</c:f>
              <c:strCache>
                <c:ptCount val="3"/>
                <c:pt idx="0">
                  <c:v>France</c:v>
                </c:pt>
                <c:pt idx="1">
                  <c:v>Germany</c:v>
                </c:pt>
                <c:pt idx="2">
                  <c:v>UK</c:v>
                </c:pt>
              </c:strCache>
            </c:strRef>
          </c:cat>
          <c:val>
            <c:numRef>
              <c:f>Sheet4!$B$9:$D$9</c:f>
              <c:numCache>
                <c:formatCode>General</c:formatCode>
                <c:ptCount val="3"/>
                <c:pt idx="0">
                  <c:v>45</c:v>
                </c:pt>
                <c:pt idx="1">
                  <c:v>35</c:v>
                </c:pt>
                <c:pt idx="2">
                  <c:v>13</c:v>
                </c:pt>
              </c:numCache>
            </c:numRef>
          </c:val>
        </c:ser>
        <c:ser>
          <c:idx val="8"/>
          <c:order val="8"/>
          <c:tx>
            <c:strRef>
              <c:f>Sheet4!$A$10</c:f>
              <c:strCache>
                <c:ptCount val="1"/>
                <c:pt idx="0">
                  <c:v>Culture</c:v>
                </c:pt>
              </c:strCache>
            </c:strRef>
          </c:tx>
          <c:invertIfNegative val="0"/>
          <c:cat>
            <c:strRef>
              <c:f>Sheet4!$B$1:$D$1</c:f>
              <c:strCache>
                <c:ptCount val="3"/>
                <c:pt idx="0">
                  <c:v>France</c:v>
                </c:pt>
                <c:pt idx="1">
                  <c:v>Germany</c:v>
                </c:pt>
                <c:pt idx="2">
                  <c:v>UK</c:v>
                </c:pt>
              </c:strCache>
            </c:strRef>
          </c:cat>
          <c:val>
            <c:numRef>
              <c:f>Sheet4!$B$10:$D$10</c:f>
              <c:numCache>
                <c:formatCode>General</c:formatCode>
                <c:ptCount val="3"/>
                <c:pt idx="0">
                  <c:v>0</c:v>
                </c:pt>
                <c:pt idx="1">
                  <c:v>1</c:v>
                </c:pt>
                <c:pt idx="2">
                  <c:v>0</c:v>
                </c:pt>
              </c:numCache>
            </c:numRef>
          </c:val>
        </c:ser>
        <c:ser>
          <c:idx val="9"/>
          <c:order val="9"/>
          <c:tx>
            <c:strRef>
              <c:f>Sheet4!$A$11</c:f>
              <c:strCache>
                <c:ptCount val="1"/>
                <c:pt idx="0">
                  <c:v>No other dimension</c:v>
                </c:pt>
              </c:strCache>
            </c:strRef>
          </c:tx>
          <c:invertIfNegative val="0"/>
          <c:cat>
            <c:strRef>
              <c:f>Sheet4!$B$1:$D$1</c:f>
              <c:strCache>
                <c:ptCount val="3"/>
                <c:pt idx="0">
                  <c:v>France</c:v>
                </c:pt>
                <c:pt idx="1">
                  <c:v>Germany</c:v>
                </c:pt>
                <c:pt idx="2">
                  <c:v>UK</c:v>
                </c:pt>
              </c:strCache>
            </c:strRef>
          </c:cat>
          <c:val>
            <c:numRef>
              <c:f>Sheet4!$B$11:$D$11</c:f>
              <c:numCache>
                <c:formatCode>General</c:formatCode>
                <c:ptCount val="3"/>
                <c:pt idx="0">
                  <c:v>30</c:v>
                </c:pt>
                <c:pt idx="1">
                  <c:v>24</c:v>
                </c:pt>
                <c:pt idx="2">
                  <c:v>10</c:v>
                </c:pt>
              </c:numCache>
            </c:numRef>
          </c:val>
        </c:ser>
        <c:dLbls>
          <c:showLegendKey val="0"/>
          <c:showVal val="0"/>
          <c:showCatName val="0"/>
          <c:showSerName val="0"/>
          <c:showPercent val="0"/>
          <c:showBubbleSize val="0"/>
        </c:dLbls>
        <c:gapWidth val="150"/>
        <c:overlap val="100"/>
        <c:axId val="115006080"/>
        <c:axId val="115007872"/>
      </c:barChart>
      <c:catAx>
        <c:axId val="115006080"/>
        <c:scaling>
          <c:orientation val="minMax"/>
        </c:scaling>
        <c:delete val="0"/>
        <c:axPos val="b"/>
        <c:majorTickMark val="out"/>
        <c:minorTickMark val="none"/>
        <c:tickLblPos val="nextTo"/>
        <c:crossAx val="115007872"/>
        <c:crosses val="autoZero"/>
        <c:auto val="1"/>
        <c:lblAlgn val="ctr"/>
        <c:lblOffset val="100"/>
        <c:noMultiLvlLbl val="0"/>
      </c:catAx>
      <c:valAx>
        <c:axId val="115007872"/>
        <c:scaling>
          <c:orientation val="minMax"/>
        </c:scaling>
        <c:delete val="0"/>
        <c:axPos val="l"/>
        <c:majorGridlines/>
        <c:numFmt formatCode="0%" sourceLinked="1"/>
        <c:majorTickMark val="out"/>
        <c:minorTickMark val="none"/>
        <c:tickLblPos val="nextTo"/>
        <c:crossAx val="115006080"/>
        <c:crosses val="autoZero"/>
        <c:crossBetween val="between"/>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percentStacked"/>
        <c:varyColors val="0"/>
        <c:ser>
          <c:idx val="0"/>
          <c:order val="0"/>
          <c:tx>
            <c:strRef>
              <c:f>Sheet3!$A$4</c:f>
              <c:strCache>
                <c:ptCount val="1"/>
                <c:pt idx="0">
                  <c:v>Positive</c:v>
                </c:pt>
              </c:strCache>
            </c:strRef>
          </c:tx>
          <c:invertIfNegative val="0"/>
          <c:cat>
            <c:multiLvlStrRef>
              <c:f>Sheet3!$B$2:$X$3</c:f>
              <c:multiLvlStrCache>
                <c:ptCount val="23"/>
                <c:lvl>
                  <c:pt idx="0">
                    <c:v>Brazil</c:v>
                  </c:pt>
                  <c:pt idx="1">
                    <c:v>Russia</c:v>
                  </c:pt>
                  <c:pt idx="2">
                    <c:v>India</c:v>
                  </c:pt>
                  <c:pt idx="3">
                    <c:v>China</c:v>
                  </c:pt>
                  <c:pt idx="4">
                    <c:v>South Africa</c:v>
                  </c:pt>
                  <c:pt idx="5">
                    <c:v>EU</c:v>
                  </c:pt>
                  <c:pt idx="6">
                    <c:v>USA</c:v>
                  </c:pt>
                  <c:pt idx="8">
                    <c:v>Brazil</c:v>
                  </c:pt>
                  <c:pt idx="9">
                    <c:v>Russia</c:v>
                  </c:pt>
                  <c:pt idx="10">
                    <c:v>India</c:v>
                  </c:pt>
                  <c:pt idx="11">
                    <c:v>China</c:v>
                  </c:pt>
                  <c:pt idx="12">
                    <c:v>South Africa</c:v>
                  </c:pt>
                  <c:pt idx="13">
                    <c:v>EU</c:v>
                  </c:pt>
                  <c:pt idx="14">
                    <c:v>USA</c:v>
                  </c:pt>
                  <c:pt idx="16">
                    <c:v>Brazil</c:v>
                  </c:pt>
                  <c:pt idx="17">
                    <c:v>Russia</c:v>
                  </c:pt>
                  <c:pt idx="18">
                    <c:v>India</c:v>
                  </c:pt>
                  <c:pt idx="19">
                    <c:v>China</c:v>
                  </c:pt>
                  <c:pt idx="20">
                    <c:v>South Africa</c:v>
                  </c:pt>
                  <c:pt idx="21">
                    <c:v>EU</c:v>
                  </c:pt>
                  <c:pt idx="22">
                    <c:v>USA</c:v>
                  </c:pt>
                </c:lvl>
                <c:lvl>
                  <c:pt idx="0">
                    <c:v>France</c:v>
                  </c:pt>
                  <c:pt idx="8">
                    <c:v>Germany</c:v>
                  </c:pt>
                  <c:pt idx="16">
                    <c:v>UK</c:v>
                  </c:pt>
                </c:lvl>
              </c:multiLvlStrCache>
            </c:multiLvlStrRef>
          </c:cat>
          <c:val>
            <c:numRef>
              <c:f>Sheet3!$B$4:$X$4</c:f>
              <c:numCache>
                <c:formatCode>General</c:formatCode>
                <c:ptCount val="23"/>
                <c:pt idx="0">
                  <c:v>5</c:v>
                </c:pt>
                <c:pt idx="1">
                  <c:v>12</c:v>
                </c:pt>
                <c:pt idx="2">
                  <c:v>2</c:v>
                </c:pt>
                <c:pt idx="3">
                  <c:v>15</c:v>
                </c:pt>
                <c:pt idx="4">
                  <c:v>0</c:v>
                </c:pt>
                <c:pt idx="5">
                  <c:v>9</c:v>
                </c:pt>
                <c:pt idx="6">
                  <c:v>11</c:v>
                </c:pt>
                <c:pt idx="8">
                  <c:v>1</c:v>
                </c:pt>
                <c:pt idx="9">
                  <c:v>0</c:v>
                </c:pt>
                <c:pt idx="10">
                  <c:v>0</c:v>
                </c:pt>
                <c:pt idx="11">
                  <c:v>0</c:v>
                </c:pt>
                <c:pt idx="12">
                  <c:v>0</c:v>
                </c:pt>
                <c:pt idx="13">
                  <c:v>2</c:v>
                </c:pt>
                <c:pt idx="14">
                  <c:v>0</c:v>
                </c:pt>
                <c:pt idx="16">
                  <c:v>0</c:v>
                </c:pt>
                <c:pt idx="17">
                  <c:v>0</c:v>
                </c:pt>
                <c:pt idx="18">
                  <c:v>0</c:v>
                </c:pt>
                <c:pt idx="19">
                  <c:v>2</c:v>
                </c:pt>
                <c:pt idx="20">
                  <c:v>2</c:v>
                </c:pt>
                <c:pt idx="21">
                  <c:v>3</c:v>
                </c:pt>
                <c:pt idx="22">
                  <c:v>1</c:v>
                </c:pt>
              </c:numCache>
            </c:numRef>
          </c:val>
        </c:ser>
        <c:ser>
          <c:idx val="1"/>
          <c:order val="1"/>
          <c:tx>
            <c:strRef>
              <c:f>Sheet3!$A$5</c:f>
              <c:strCache>
                <c:ptCount val="1"/>
                <c:pt idx="0">
                  <c:v>Neutral-Positive</c:v>
                </c:pt>
              </c:strCache>
            </c:strRef>
          </c:tx>
          <c:invertIfNegative val="0"/>
          <c:cat>
            <c:multiLvlStrRef>
              <c:f>Sheet3!$B$2:$X$3</c:f>
              <c:multiLvlStrCache>
                <c:ptCount val="23"/>
                <c:lvl>
                  <c:pt idx="0">
                    <c:v>Brazil</c:v>
                  </c:pt>
                  <c:pt idx="1">
                    <c:v>Russia</c:v>
                  </c:pt>
                  <c:pt idx="2">
                    <c:v>India</c:v>
                  </c:pt>
                  <c:pt idx="3">
                    <c:v>China</c:v>
                  </c:pt>
                  <c:pt idx="4">
                    <c:v>South Africa</c:v>
                  </c:pt>
                  <c:pt idx="5">
                    <c:v>EU</c:v>
                  </c:pt>
                  <c:pt idx="6">
                    <c:v>USA</c:v>
                  </c:pt>
                  <c:pt idx="8">
                    <c:v>Brazil</c:v>
                  </c:pt>
                  <c:pt idx="9">
                    <c:v>Russia</c:v>
                  </c:pt>
                  <c:pt idx="10">
                    <c:v>India</c:v>
                  </c:pt>
                  <c:pt idx="11">
                    <c:v>China</c:v>
                  </c:pt>
                  <c:pt idx="12">
                    <c:v>South Africa</c:v>
                  </c:pt>
                  <c:pt idx="13">
                    <c:v>EU</c:v>
                  </c:pt>
                  <c:pt idx="14">
                    <c:v>USA</c:v>
                  </c:pt>
                  <c:pt idx="16">
                    <c:v>Brazil</c:v>
                  </c:pt>
                  <c:pt idx="17">
                    <c:v>Russia</c:v>
                  </c:pt>
                  <c:pt idx="18">
                    <c:v>India</c:v>
                  </c:pt>
                  <c:pt idx="19">
                    <c:v>China</c:v>
                  </c:pt>
                  <c:pt idx="20">
                    <c:v>South Africa</c:v>
                  </c:pt>
                  <c:pt idx="21">
                    <c:v>EU</c:v>
                  </c:pt>
                  <c:pt idx="22">
                    <c:v>USA</c:v>
                  </c:pt>
                </c:lvl>
                <c:lvl>
                  <c:pt idx="0">
                    <c:v>France</c:v>
                  </c:pt>
                  <c:pt idx="8">
                    <c:v>Germany</c:v>
                  </c:pt>
                  <c:pt idx="16">
                    <c:v>UK</c:v>
                  </c:pt>
                </c:lvl>
              </c:multiLvlStrCache>
            </c:multiLvlStrRef>
          </c:cat>
          <c:val>
            <c:numRef>
              <c:f>Sheet3!$B$5:$X$5</c:f>
              <c:numCache>
                <c:formatCode>General</c:formatCode>
                <c:ptCount val="23"/>
                <c:pt idx="0">
                  <c:v>21</c:v>
                </c:pt>
                <c:pt idx="1">
                  <c:v>23</c:v>
                </c:pt>
                <c:pt idx="2">
                  <c:v>14</c:v>
                </c:pt>
                <c:pt idx="3">
                  <c:v>37</c:v>
                </c:pt>
                <c:pt idx="4">
                  <c:v>8</c:v>
                </c:pt>
                <c:pt idx="5">
                  <c:v>61</c:v>
                </c:pt>
                <c:pt idx="6">
                  <c:v>24</c:v>
                </c:pt>
                <c:pt idx="8">
                  <c:v>19</c:v>
                </c:pt>
                <c:pt idx="9">
                  <c:v>8</c:v>
                </c:pt>
                <c:pt idx="10">
                  <c:v>4</c:v>
                </c:pt>
                <c:pt idx="11">
                  <c:v>34</c:v>
                </c:pt>
                <c:pt idx="12">
                  <c:v>2</c:v>
                </c:pt>
                <c:pt idx="13">
                  <c:v>14</c:v>
                </c:pt>
                <c:pt idx="14">
                  <c:v>11</c:v>
                </c:pt>
                <c:pt idx="16">
                  <c:v>20</c:v>
                </c:pt>
                <c:pt idx="17">
                  <c:v>11</c:v>
                </c:pt>
                <c:pt idx="18">
                  <c:v>14</c:v>
                </c:pt>
                <c:pt idx="19">
                  <c:v>27</c:v>
                </c:pt>
                <c:pt idx="20">
                  <c:v>8</c:v>
                </c:pt>
                <c:pt idx="21">
                  <c:v>29</c:v>
                </c:pt>
                <c:pt idx="22">
                  <c:v>38</c:v>
                </c:pt>
              </c:numCache>
            </c:numRef>
          </c:val>
        </c:ser>
        <c:ser>
          <c:idx val="2"/>
          <c:order val="2"/>
          <c:tx>
            <c:strRef>
              <c:f>Sheet3!$A$6</c:f>
              <c:strCache>
                <c:ptCount val="1"/>
                <c:pt idx="0">
                  <c:v>Neutral </c:v>
                </c:pt>
              </c:strCache>
            </c:strRef>
          </c:tx>
          <c:invertIfNegative val="0"/>
          <c:cat>
            <c:multiLvlStrRef>
              <c:f>Sheet3!$B$2:$X$3</c:f>
              <c:multiLvlStrCache>
                <c:ptCount val="23"/>
                <c:lvl>
                  <c:pt idx="0">
                    <c:v>Brazil</c:v>
                  </c:pt>
                  <c:pt idx="1">
                    <c:v>Russia</c:v>
                  </c:pt>
                  <c:pt idx="2">
                    <c:v>India</c:v>
                  </c:pt>
                  <c:pt idx="3">
                    <c:v>China</c:v>
                  </c:pt>
                  <c:pt idx="4">
                    <c:v>South Africa</c:v>
                  </c:pt>
                  <c:pt idx="5">
                    <c:v>EU</c:v>
                  </c:pt>
                  <c:pt idx="6">
                    <c:v>USA</c:v>
                  </c:pt>
                  <c:pt idx="8">
                    <c:v>Brazil</c:v>
                  </c:pt>
                  <c:pt idx="9">
                    <c:v>Russia</c:v>
                  </c:pt>
                  <c:pt idx="10">
                    <c:v>India</c:v>
                  </c:pt>
                  <c:pt idx="11">
                    <c:v>China</c:v>
                  </c:pt>
                  <c:pt idx="12">
                    <c:v>South Africa</c:v>
                  </c:pt>
                  <c:pt idx="13">
                    <c:v>EU</c:v>
                  </c:pt>
                  <c:pt idx="14">
                    <c:v>USA</c:v>
                  </c:pt>
                  <c:pt idx="16">
                    <c:v>Brazil</c:v>
                  </c:pt>
                  <c:pt idx="17">
                    <c:v>Russia</c:v>
                  </c:pt>
                  <c:pt idx="18">
                    <c:v>India</c:v>
                  </c:pt>
                  <c:pt idx="19">
                    <c:v>China</c:v>
                  </c:pt>
                  <c:pt idx="20">
                    <c:v>South Africa</c:v>
                  </c:pt>
                  <c:pt idx="21">
                    <c:v>EU</c:v>
                  </c:pt>
                  <c:pt idx="22">
                    <c:v>USA</c:v>
                  </c:pt>
                </c:lvl>
                <c:lvl>
                  <c:pt idx="0">
                    <c:v>France</c:v>
                  </c:pt>
                  <c:pt idx="8">
                    <c:v>Germany</c:v>
                  </c:pt>
                  <c:pt idx="16">
                    <c:v>UK</c:v>
                  </c:pt>
                </c:lvl>
              </c:multiLvlStrCache>
            </c:multiLvlStrRef>
          </c:cat>
          <c:val>
            <c:numRef>
              <c:f>Sheet3!$B$6:$X$6</c:f>
              <c:numCache>
                <c:formatCode>General</c:formatCode>
                <c:ptCount val="23"/>
                <c:pt idx="0">
                  <c:v>55</c:v>
                </c:pt>
                <c:pt idx="1">
                  <c:v>116</c:v>
                </c:pt>
                <c:pt idx="2">
                  <c:v>102</c:v>
                </c:pt>
                <c:pt idx="3">
                  <c:v>196</c:v>
                </c:pt>
                <c:pt idx="4">
                  <c:v>26</c:v>
                </c:pt>
                <c:pt idx="5">
                  <c:v>62</c:v>
                </c:pt>
                <c:pt idx="6">
                  <c:v>138</c:v>
                </c:pt>
                <c:pt idx="8">
                  <c:v>37</c:v>
                </c:pt>
                <c:pt idx="9">
                  <c:v>85</c:v>
                </c:pt>
                <c:pt idx="10">
                  <c:v>36</c:v>
                </c:pt>
                <c:pt idx="11">
                  <c:v>121</c:v>
                </c:pt>
                <c:pt idx="12">
                  <c:v>15</c:v>
                </c:pt>
                <c:pt idx="13">
                  <c:v>63</c:v>
                </c:pt>
                <c:pt idx="14">
                  <c:v>78</c:v>
                </c:pt>
                <c:pt idx="16">
                  <c:v>49</c:v>
                </c:pt>
                <c:pt idx="17">
                  <c:v>48</c:v>
                </c:pt>
                <c:pt idx="18">
                  <c:v>48</c:v>
                </c:pt>
                <c:pt idx="19">
                  <c:v>123</c:v>
                </c:pt>
                <c:pt idx="20">
                  <c:v>21</c:v>
                </c:pt>
                <c:pt idx="21">
                  <c:v>71</c:v>
                </c:pt>
                <c:pt idx="22">
                  <c:v>147</c:v>
                </c:pt>
              </c:numCache>
            </c:numRef>
          </c:val>
        </c:ser>
        <c:ser>
          <c:idx val="3"/>
          <c:order val="3"/>
          <c:tx>
            <c:strRef>
              <c:f>Sheet3!$A$7</c:f>
              <c:strCache>
                <c:ptCount val="1"/>
                <c:pt idx="0">
                  <c:v>Neutral-Negative</c:v>
                </c:pt>
              </c:strCache>
            </c:strRef>
          </c:tx>
          <c:invertIfNegative val="0"/>
          <c:cat>
            <c:multiLvlStrRef>
              <c:f>Sheet3!$B$2:$X$3</c:f>
              <c:multiLvlStrCache>
                <c:ptCount val="23"/>
                <c:lvl>
                  <c:pt idx="0">
                    <c:v>Brazil</c:v>
                  </c:pt>
                  <c:pt idx="1">
                    <c:v>Russia</c:v>
                  </c:pt>
                  <c:pt idx="2">
                    <c:v>India</c:v>
                  </c:pt>
                  <c:pt idx="3">
                    <c:v>China</c:v>
                  </c:pt>
                  <c:pt idx="4">
                    <c:v>South Africa</c:v>
                  </c:pt>
                  <c:pt idx="5">
                    <c:v>EU</c:v>
                  </c:pt>
                  <c:pt idx="6">
                    <c:v>USA</c:v>
                  </c:pt>
                  <c:pt idx="8">
                    <c:v>Brazil</c:v>
                  </c:pt>
                  <c:pt idx="9">
                    <c:v>Russia</c:v>
                  </c:pt>
                  <c:pt idx="10">
                    <c:v>India</c:v>
                  </c:pt>
                  <c:pt idx="11">
                    <c:v>China</c:v>
                  </c:pt>
                  <c:pt idx="12">
                    <c:v>South Africa</c:v>
                  </c:pt>
                  <c:pt idx="13">
                    <c:v>EU</c:v>
                  </c:pt>
                  <c:pt idx="14">
                    <c:v>USA</c:v>
                  </c:pt>
                  <c:pt idx="16">
                    <c:v>Brazil</c:v>
                  </c:pt>
                  <c:pt idx="17">
                    <c:v>Russia</c:v>
                  </c:pt>
                  <c:pt idx="18">
                    <c:v>India</c:v>
                  </c:pt>
                  <c:pt idx="19">
                    <c:v>China</c:v>
                  </c:pt>
                  <c:pt idx="20">
                    <c:v>South Africa</c:v>
                  </c:pt>
                  <c:pt idx="21">
                    <c:v>EU</c:v>
                  </c:pt>
                  <c:pt idx="22">
                    <c:v>USA</c:v>
                  </c:pt>
                </c:lvl>
                <c:lvl>
                  <c:pt idx="0">
                    <c:v>France</c:v>
                  </c:pt>
                  <c:pt idx="8">
                    <c:v>Germany</c:v>
                  </c:pt>
                  <c:pt idx="16">
                    <c:v>UK</c:v>
                  </c:pt>
                </c:lvl>
              </c:multiLvlStrCache>
            </c:multiLvlStrRef>
          </c:cat>
          <c:val>
            <c:numRef>
              <c:f>Sheet3!$B$7:$X$7</c:f>
              <c:numCache>
                <c:formatCode>General</c:formatCode>
                <c:ptCount val="23"/>
                <c:pt idx="0">
                  <c:v>7</c:v>
                </c:pt>
                <c:pt idx="1">
                  <c:v>27</c:v>
                </c:pt>
                <c:pt idx="2">
                  <c:v>10</c:v>
                </c:pt>
                <c:pt idx="3">
                  <c:v>45</c:v>
                </c:pt>
                <c:pt idx="4">
                  <c:v>2</c:v>
                </c:pt>
                <c:pt idx="5">
                  <c:v>10</c:v>
                </c:pt>
                <c:pt idx="6">
                  <c:v>28</c:v>
                </c:pt>
                <c:pt idx="8">
                  <c:v>4</c:v>
                </c:pt>
                <c:pt idx="9">
                  <c:v>18</c:v>
                </c:pt>
                <c:pt idx="10">
                  <c:v>9</c:v>
                </c:pt>
                <c:pt idx="11">
                  <c:v>26</c:v>
                </c:pt>
                <c:pt idx="12">
                  <c:v>2</c:v>
                </c:pt>
                <c:pt idx="13">
                  <c:v>28</c:v>
                </c:pt>
                <c:pt idx="14">
                  <c:v>25</c:v>
                </c:pt>
                <c:pt idx="16">
                  <c:v>24</c:v>
                </c:pt>
                <c:pt idx="17">
                  <c:v>52</c:v>
                </c:pt>
                <c:pt idx="18">
                  <c:v>43</c:v>
                </c:pt>
                <c:pt idx="19">
                  <c:v>78</c:v>
                </c:pt>
                <c:pt idx="20">
                  <c:v>12</c:v>
                </c:pt>
                <c:pt idx="21">
                  <c:v>43</c:v>
                </c:pt>
                <c:pt idx="22">
                  <c:v>93</c:v>
                </c:pt>
              </c:numCache>
            </c:numRef>
          </c:val>
        </c:ser>
        <c:ser>
          <c:idx val="4"/>
          <c:order val="4"/>
          <c:tx>
            <c:strRef>
              <c:f>Sheet3!$A$8</c:f>
              <c:strCache>
                <c:ptCount val="1"/>
                <c:pt idx="0">
                  <c:v>Negative</c:v>
                </c:pt>
              </c:strCache>
            </c:strRef>
          </c:tx>
          <c:invertIfNegative val="0"/>
          <c:cat>
            <c:multiLvlStrRef>
              <c:f>Sheet3!$B$2:$X$3</c:f>
              <c:multiLvlStrCache>
                <c:ptCount val="23"/>
                <c:lvl>
                  <c:pt idx="0">
                    <c:v>Brazil</c:v>
                  </c:pt>
                  <c:pt idx="1">
                    <c:v>Russia</c:v>
                  </c:pt>
                  <c:pt idx="2">
                    <c:v>India</c:v>
                  </c:pt>
                  <c:pt idx="3">
                    <c:v>China</c:v>
                  </c:pt>
                  <c:pt idx="4">
                    <c:v>South Africa</c:v>
                  </c:pt>
                  <c:pt idx="5">
                    <c:v>EU</c:v>
                  </c:pt>
                  <c:pt idx="6">
                    <c:v>USA</c:v>
                  </c:pt>
                  <c:pt idx="8">
                    <c:v>Brazil</c:v>
                  </c:pt>
                  <c:pt idx="9">
                    <c:v>Russia</c:v>
                  </c:pt>
                  <c:pt idx="10">
                    <c:v>India</c:v>
                  </c:pt>
                  <c:pt idx="11">
                    <c:v>China</c:v>
                  </c:pt>
                  <c:pt idx="12">
                    <c:v>South Africa</c:v>
                  </c:pt>
                  <c:pt idx="13">
                    <c:v>EU</c:v>
                  </c:pt>
                  <c:pt idx="14">
                    <c:v>USA</c:v>
                  </c:pt>
                  <c:pt idx="16">
                    <c:v>Brazil</c:v>
                  </c:pt>
                  <c:pt idx="17">
                    <c:v>Russia</c:v>
                  </c:pt>
                  <c:pt idx="18">
                    <c:v>India</c:v>
                  </c:pt>
                  <c:pt idx="19">
                    <c:v>China</c:v>
                  </c:pt>
                  <c:pt idx="20">
                    <c:v>South Africa</c:v>
                  </c:pt>
                  <c:pt idx="21">
                    <c:v>EU</c:v>
                  </c:pt>
                  <c:pt idx="22">
                    <c:v>USA</c:v>
                  </c:pt>
                </c:lvl>
                <c:lvl>
                  <c:pt idx="0">
                    <c:v>France</c:v>
                  </c:pt>
                  <c:pt idx="8">
                    <c:v>Germany</c:v>
                  </c:pt>
                  <c:pt idx="16">
                    <c:v>UK</c:v>
                  </c:pt>
                </c:lvl>
              </c:multiLvlStrCache>
            </c:multiLvlStrRef>
          </c:cat>
          <c:val>
            <c:numRef>
              <c:f>Sheet3!$B$8:$X$8</c:f>
              <c:numCache>
                <c:formatCode>General</c:formatCode>
                <c:ptCount val="23"/>
                <c:pt idx="0">
                  <c:v>0</c:v>
                </c:pt>
                <c:pt idx="1">
                  <c:v>19</c:v>
                </c:pt>
                <c:pt idx="2">
                  <c:v>5</c:v>
                </c:pt>
                <c:pt idx="3">
                  <c:v>26</c:v>
                </c:pt>
                <c:pt idx="4">
                  <c:v>3</c:v>
                </c:pt>
                <c:pt idx="5">
                  <c:v>5</c:v>
                </c:pt>
                <c:pt idx="6">
                  <c:v>13</c:v>
                </c:pt>
                <c:pt idx="8">
                  <c:v>0</c:v>
                </c:pt>
                <c:pt idx="9">
                  <c:v>0</c:v>
                </c:pt>
                <c:pt idx="10">
                  <c:v>0</c:v>
                </c:pt>
                <c:pt idx="11">
                  <c:v>0</c:v>
                </c:pt>
                <c:pt idx="12">
                  <c:v>0</c:v>
                </c:pt>
                <c:pt idx="13">
                  <c:v>5</c:v>
                </c:pt>
                <c:pt idx="14">
                  <c:v>2</c:v>
                </c:pt>
                <c:pt idx="16">
                  <c:v>2</c:v>
                </c:pt>
                <c:pt idx="17">
                  <c:v>9</c:v>
                </c:pt>
                <c:pt idx="18">
                  <c:v>6</c:v>
                </c:pt>
                <c:pt idx="19">
                  <c:v>9</c:v>
                </c:pt>
                <c:pt idx="20">
                  <c:v>2</c:v>
                </c:pt>
                <c:pt idx="21">
                  <c:v>2</c:v>
                </c:pt>
                <c:pt idx="22">
                  <c:v>7</c:v>
                </c:pt>
              </c:numCache>
            </c:numRef>
          </c:val>
        </c:ser>
        <c:dLbls>
          <c:showLegendKey val="0"/>
          <c:showVal val="0"/>
          <c:showCatName val="0"/>
          <c:showSerName val="0"/>
          <c:showPercent val="0"/>
          <c:showBubbleSize val="0"/>
        </c:dLbls>
        <c:gapWidth val="150"/>
        <c:overlap val="100"/>
        <c:axId val="115295360"/>
        <c:axId val="115296896"/>
      </c:barChart>
      <c:catAx>
        <c:axId val="115295360"/>
        <c:scaling>
          <c:orientation val="minMax"/>
        </c:scaling>
        <c:delete val="0"/>
        <c:axPos val="b"/>
        <c:majorTickMark val="out"/>
        <c:minorTickMark val="none"/>
        <c:tickLblPos val="nextTo"/>
        <c:crossAx val="115296896"/>
        <c:crosses val="autoZero"/>
        <c:auto val="1"/>
        <c:lblAlgn val="ctr"/>
        <c:lblOffset val="100"/>
        <c:noMultiLvlLbl val="0"/>
      </c:catAx>
      <c:valAx>
        <c:axId val="115296896"/>
        <c:scaling>
          <c:orientation val="minMax"/>
        </c:scaling>
        <c:delete val="0"/>
        <c:axPos val="l"/>
        <c:majorGridlines/>
        <c:numFmt formatCode="0%" sourceLinked="1"/>
        <c:majorTickMark val="out"/>
        <c:minorTickMark val="none"/>
        <c:tickLblPos val="nextTo"/>
        <c:crossAx val="115295360"/>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ADDC8-DE53-41FA-AA21-40EA4532E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7024</Words>
  <Characters>40042</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European Energy (Di)Visions: Britain, France, Germany and the EU</vt:lpstr>
    </vt:vector>
  </TitlesOfParts>
  <Company>University of Leicester</Company>
  <LinksUpToDate>false</LinksUpToDate>
  <CharactersWithSpaces>46973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Energy (Di)Visions: Britain, France, Germany and the EU</dc:title>
  <dc:creator>Amy Verdun</dc:creator>
  <cp:lastModifiedBy>Jessica Bain</cp:lastModifiedBy>
  <cp:revision>2</cp:revision>
  <dcterms:created xsi:type="dcterms:W3CDTF">2016-01-25T09:25:00Z</dcterms:created>
  <dcterms:modified xsi:type="dcterms:W3CDTF">2016-01-25T09:25:00Z</dcterms:modified>
</cp:coreProperties>
</file>