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052" w:rsidRPr="00884BE2" w:rsidRDefault="006F7FAD" w:rsidP="00B4470C">
      <w:pPr>
        <w:spacing w:line="360" w:lineRule="auto"/>
        <w:jc w:val="both"/>
        <w:rPr>
          <w:b/>
          <w:sz w:val="28"/>
        </w:rPr>
      </w:pPr>
      <w:r w:rsidRPr="00884BE2">
        <w:rPr>
          <w:b/>
          <w:sz w:val="28"/>
        </w:rPr>
        <w:t>Guidelines for m</w:t>
      </w:r>
      <w:r w:rsidR="006A559D" w:rsidRPr="00884BE2">
        <w:rPr>
          <w:b/>
          <w:sz w:val="28"/>
        </w:rPr>
        <w:t>anaging diabetes in Ramadan</w:t>
      </w:r>
    </w:p>
    <w:p w:rsidR="0012513B" w:rsidRPr="00884BE2" w:rsidRDefault="0012513B" w:rsidP="00B4470C">
      <w:pPr>
        <w:spacing w:line="360" w:lineRule="auto"/>
        <w:jc w:val="both"/>
        <w:rPr>
          <w:b/>
          <w:sz w:val="28"/>
        </w:rPr>
      </w:pPr>
    </w:p>
    <w:p w:rsidR="0012513B" w:rsidRPr="00884BE2" w:rsidRDefault="0012513B" w:rsidP="00B4470C">
      <w:pPr>
        <w:spacing w:after="0" w:line="240" w:lineRule="auto"/>
        <w:jc w:val="both"/>
        <w:rPr>
          <w:rFonts w:eastAsia="Calibri" w:cs="Arial"/>
          <w:b/>
        </w:rPr>
      </w:pPr>
      <w:r w:rsidRPr="00884BE2">
        <w:rPr>
          <w:rFonts w:eastAsia="Calibri" w:cs="Arial"/>
        </w:rPr>
        <w:t>Sarah Ali</w:t>
      </w:r>
      <w:r w:rsidRPr="00884BE2">
        <w:rPr>
          <w:rFonts w:eastAsia="Calibri" w:cs="Arial"/>
          <w:vertAlign w:val="superscript"/>
        </w:rPr>
        <w:t>1</w:t>
      </w:r>
      <w:r w:rsidRPr="00884BE2">
        <w:rPr>
          <w:rFonts w:eastAsia="Calibri" w:cs="Arial"/>
        </w:rPr>
        <w:t>, Melanie J Davies</w:t>
      </w:r>
      <w:r w:rsidR="00F073A3" w:rsidRPr="00884BE2">
        <w:rPr>
          <w:rFonts w:eastAsia="Calibri" w:cs="Arial"/>
          <w:vertAlign w:val="superscript"/>
        </w:rPr>
        <w:t>2</w:t>
      </w:r>
      <w:r w:rsidR="00140270" w:rsidRPr="00884BE2">
        <w:rPr>
          <w:rFonts w:eastAsia="Calibri" w:cs="Arial"/>
          <w:vertAlign w:val="superscript"/>
        </w:rPr>
        <w:t>,</w:t>
      </w:r>
      <w:r w:rsidR="00F073A3" w:rsidRPr="00884BE2">
        <w:rPr>
          <w:rFonts w:eastAsia="Calibri" w:cs="Arial"/>
          <w:vertAlign w:val="superscript"/>
        </w:rPr>
        <w:t>3</w:t>
      </w:r>
      <w:r w:rsidRPr="00884BE2">
        <w:rPr>
          <w:rFonts w:eastAsia="Calibri" w:cs="Arial"/>
        </w:rPr>
        <w:t>,</w:t>
      </w:r>
      <w:r w:rsidR="006D74C5" w:rsidRPr="00884BE2">
        <w:rPr>
          <w:rFonts w:eastAsia="Calibri" w:cs="Arial"/>
        </w:rPr>
        <w:t xml:space="preserve"> Emer M Brady</w:t>
      </w:r>
      <w:r w:rsidR="006D74C5" w:rsidRPr="00884BE2">
        <w:rPr>
          <w:rFonts w:eastAsia="Calibri" w:cs="Arial"/>
          <w:vertAlign w:val="superscript"/>
        </w:rPr>
        <w:t>3</w:t>
      </w:r>
      <w:r w:rsidR="006D74C5" w:rsidRPr="00884BE2">
        <w:rPr>
          <w:rFonts w:eastAsia="Calibri" w:cs="Arial"/>
        </w:rPr>
        <w:t>,</w:t>
      </w:r>
      <w:r w:rsidRPr="00884BE2">
        <w:rPr>
          <w:rFonts w:eastAsia="Calibri" w:cs="Arial"/>
        </w:rPr>
        <w:t xml:space="preserve"> Laura J Gray</w:t>
      </w:r>
      <w:r w:rsidR="00F073A3" w:rsidRPr="00884BE2">
        <w:rPr>
          <w:rFonts w:eastAsia="Calibri" w:cs="Arial"/>
          <w:vertAlign w:val="superscript"/>
        </w:rPr>
        <w:t>4</w:t>
      </w:r>
      <w:r w:rsidRPr="00884BE2">
        <w:rPr>
          <w:rFonts w:eastAsia="Calibri" w:cs="Arial"/>
        </w:rPr>
        <w:t>, , Kamlesh Khunti</w:t>
      </w:r>
      <w:r w:rsidR="00F073A3" w:rsidRPr="00884BE2">
        <w:rPr>
          <w:rFonts w:eastAsia="Calibri" w:cs="Arial"/>
          <w:vertAlign w:val="superscript"/>
        </w:rPr>
        <w:t>2</w:t>
      </w:r>
      <w:r w:rsidR="00140270" w:rsidRPr="00884BE2">
        <w:rPr>
          <w:rFonts w:eastAsia="Calibri" w:cs="Arial"/>
          <w:vertAlign w:val="superscript"/>
        </w:rPr>
        <w:t>,</w:t>
      </w:r>
      <w:r w:rsidR="00F073A3" w:rsidRPr="00884BE2">
        <w:rPr>
          <w:rFonts w:eastAsia="Calibri" w:cs="Arial"/>
          <w:vertAlign w:val="superscript"/>
        </w:rPr>
        <w:t>3</w:t>
      </w:r>
      <w:r w:rsidRPr="00884BE2">
        <w:rPr>
          <w:rFonts w:eastAsia="Calibri" w:cs="Arial"/>
        </w:rPr>
        <w:t>,</w:t>
      </w:r>
      <w:r w:rsidR="00140270" w:rsidRPr="00884BE2">
        <w:rPr>
          <w:rFonts w:eastAsia="Calibri" w:cs="Arial"/>
        </w:rPr>
        <w:t xml:space="preserve"> Salem A Beshyah</w:t>
      </w:r>
      <w:r w:rsidR="00140270" w:rsidRPr="00884BE2">
        <w:rPr>
          <w:rFonts w:eastAsia="Calibri" w:cs="Arial"/>
          <w:vertAlign w:val="superscript"/>
        </w:rPr>
        <w:t>5</w:t>
      </w:r>
      <w:r w:rsidR="00140270" w:rsidRPr="00884BE2">
        <w:rPr>
          <w:rFonts w:eastAsia="Calibri" w:cs="Arial"/>
        </w:rPr>
        <w:t>,</w:t>
      </w:r>
      <w:r w:rsidRPr="00884BE2">
        <w:rPr>
          <w:rFonts w:eastAsia="Calibri" w:cs="Arial"/>
        </w:rPr>
        <w:t xml:space="preserve"> </w:t>
      </w:r>
      <w:proofErr w:type="spellStart"/>
      <w:r w:rsidRPr="00884BE2">
        <w:rPr>
          <w:rFonts w:eastAsia="Calibri" w:cs="Arial"/>
        </w:rPr>
        <w:t>Wasim</w:t>
      </w:r>
      <w:proofErr w:type="spellEnd"/>
      <w:r w:rsidRPr="00884BE2">
        <w:rPr>
          <w:rFonts w:eastAsia="Calibri" w:cs="Arial"/>
        </w:rPr>
        <w:t xml:space="preserve"> Hanif</w:t>
      </w:r>
      <w:r w:rsidR="00140270" w:rsidRPr="00884BE2">
        <w:rPr>
          <w:rFonts w:eastAsia="Calibri" w:cs="Arial"/>
          <w:vertAlign w:val="superscript"/>
        </w:rPr>
        <w:t>6</w:t>
      </w:r>
      <w:r w:rsidRPr="00884BE2">
        <w:rPr>
          <w:rFonts w:eastAsia="Calibri" w:cs="Arial"/>
        </w:rPr>
        <w:t xml:space="preserve"> </w:t>
      </w:r>
    </w:p>
    <w:p w:rsidR="0012513B" w:rsidRPr="00884BE2" w:rsidRDefault="0012513B" w:rsidP="00B4470C">
      <w:pPr>
        <w:spacing w:after="0" w:line="240" w:lineRule="auto"/>
        <w:jc w:val="both"/>
        <w:rPr>
          <w:rFonts w:eastAsia="Calibri" w:cs="Arial"/>
          <w:b/>
        </w:rPr>
      </w:pPr>
    </w:p>
    <w:p w:rsidR="0012513B" w:rsidRPr="00884BE2" w:rsidRDefault="0012513B" w:rsidP="00B4470C">
      <w:pPr>
        <w:spacing w:after="0" w:line="240" w:lineRule="auto"/>
        <w:jc w:val="both"/>
        <w:rPr>
          <w:rFonts w:eastAsia="Calibri" w:cs="Arial"/>
        </w:rPr>
      </w:pPr>
      <w:r w:rsidRPr="00884BE2">
        <w:rPr>
          <w:rFonts w:eastAsia="Calibri" w:cs="Arial"/>
        </w:rPr>
        <w:t xml:space="preserve">1. </w:t>
      </w:r>
      <w:r w:rsidR="00F073A3" w:rsidRPr="00884BE2">
        <w:rPr>
          <w:rFonts w:eastAsia="Calibri" w:cs="Arial"/>
        </w:rPr>
        <w:t>Department of Diabetes &amp; Endocrinology, Imperial College Healthcare NHS Trust</w:t>
      </w:r>
    </w:p>
    <w:p w:rsidR="00F073A3" w:rsidRPr="00884BE2" w:rsidRDefault="0012513B" w:rsidP="00B4470C">
      <w:pPr>
        <w:spacing w:after="0" w:line="240" w:lineRule="auto"/>
        <w:jc w:val="both"/>
        <w:rPr>
          <w:rFonts w:eastAsia="Calibri" w:cs="Arial"/>
        </w:rPr>
      </w:pPr>
      <w:r w:rsidRPr="00884BE2">
        <w:rPr>
          <w:rFonts w:eastAsia="Calibri" w:cs="Arial"/>
        </w:rPr>
        <w:t>2.</w:t>
      </w:r>
      <w:r w:rsidR="00F073A3" w:rsidRPr="00884BE2">
        <w:rPr>
          <w:rFonts w:eastAsia="Calibri" w:cs="Arial"/>
        </w:rPr>
        <w:t xml:space="preserve"> Diabetes Research Centre, University of Leicester, Leicester, UK.</w:t>
      </w:r>
    </w:p>
    <w:p w:rsidR="0012513B" w:rsidRPr="00884BE2" w:rsidRDefault="00F073A3" w:rsidP="00B4470C">
      <w:pPr>
        <w:spacing w:after="0" w:line="240" w:lineRule="auto"/>
        <w:jc w:val="both"/>
        <w:rPr>
          <w:rFonts w:eastAsia="Calibri" w:cs="Arial"/>
        </w:rPr>
      </w:pPr>
      <w:r w:rsidRPr="00884BE2">
        <w:rPr>
          <w:rFonts w:eastAsia="Calibri" w:cs="Arial"/>
        </w:rPr>
        <w:t xml:space="preserve">3. Leicester Diabetes Centre, University Hospitals of Leicester, Leicester, UK. </w:t>
      </w:r>
    </w:p>
    <w:p w:rsidR="0012513B" w:rsidRPr="00884BE2" w:rsidRDefault="00F073A3" w:rsidP="00B4470C">
      <w:pPr>
        <w:spacing w:after="0" w:line="240" w:lineRule="auto"/>
        <w:jc w:val="both"/>
        <w:rPr>
          <w:rFonts w:eastAsia="Calibri" w:cs="Arial"/>
        </w:rPr>
      </w:pPr>
      <w:r w:rsidRPr="00884BE2">
        <w:rPr>
          <w:rFonts w:eastAsia="Calibri" w:cs="Arial"/>
        </w:rPr>
        <w:t>4</w:t>
      </w:r>
      <w:r w:rsidR="0012513B" w:rsidRPr="00884BE2">
        <w:rPr>
          <w:rFonts w:eastAsia="Calibri" w:cs="Arial"/>
        </w:rPr>
        <w:t xml:space="preserve">. </w:t>
      </w:r>
      <w:r w:rsidRPr="00884BE2">
        <w:rPr>
          <w:rFonts w:eastAsia="Calibri" w:cs="Arial"/>
        </w:rPr>
        <w:t>Department of Health Sciences, University of Leicester, Leicester, UK.</w:t>
      </w:r>
    </w:p>
    <w:p w:rsidR="00140270" w:rsidRPr="00884BE2" w:rsidRDefault="00140270" w:rsidP="00B4470C">
      <w:pPr>
        <w:spacing w:after="0" w:line="240" w:lineRule="auto"/>
        <w:jc w:val="both"/>
        <w:rPr>
          <w:rFonts w:eastAsia="Calibri" w:cs="Arial"/>
        </w:rPr>
      </w:pPr>
      <w:r w:rsidRPr="00884BE2">
        <w:rPr>
          <w:rFonts w:eastAsia="Calibri" w:cs="Arial"/>
        </w:rPr>
        <w:t xml:space="preserve">5. </w:t>
      </w:r>
      <w:proofErr w:type="spellStart"/>
      <w:r w:rsidRPr="00884BE2">
        <w:rPr>
          <w:rFonts w:eastAsia="Calibri" w:cs="Arial"/>
        </w:rPr>
        <w:t>Center</w:t>
      </w:r>
      <w:proofErr w:type="spellEnd"/>
      <w:r w:rsidRPr="00884BE2">
        <w:rPr>
          <w:rFonts w:eastAsia="Calibri" w:cs="Arial"/>
        </w:rPr>
        <w:t xml:space="preserve"> for Diabetes and Endocrinology, Sheikh </w:t>
      </w:r>
      <w:proofErr w:type="spellStart"/>
      <w:r w:rsidRPr="00884BE2">
        <w:rPr>
          <w:rFonts w:eastAsia="Calibri" w:cs="Arial"/>
        </w:rPr>
        <w:t>Khalifa</w:t>
      </w:r>
      <w:proofErr w:type="spellEnd"/>
      <w:r w:rsidRPr="00884BE2">
        <w:rPr>
          <w:rFonts w:eastAsia="Calibri" w:cs="Arial"/>
        </w:rPr>
        <w:t xml:space="preserve"> Medical City, Abu Dhabi, United Arab Emirates.</w:t>
      </w:r>
    </w:p>
    <w:p w:rsidR="0012513B" w:rsidRPr="00884BE2" w:rsidRDefault="00140270" w:rsidP="00B4470C">
      <w:pPr>
        <w:spacing w:after="0" w:line="240" w:lineRule="auto"/>
        <w:jc w:val="both"/>
        <w:rPr>
          <w:rFonts w:eastAsia="Calibri" w:cs="Arial"/>
        </w:rPr>
      </w:pPr>
      <w:r w:rsidRPr="00884BE2">
        <w:rPr>
          <w:rFonts w:eastAsia="Calibri" w:cs="Arial"/>
        </w:rPr>
        <w:t>6</w:t>
      </w:r>
      <w:r w:rsidR="0012513B" w:rsidRPr="00884BE2">
        <w:rPr>
          <w:rFonts w:eastAsia="Calibri" w:cs="Arial"/>
        </w:rPr>
        <w:t>. Department of Diabetes &amp; Endocrinology, University Hospital Birmingham, NHS Trust, Birmingham, UK.</w:t>
      </w:r>
    </w:p>
    <w:p w:rsidR="00DF5399" w:rsidRPr="00884BE2" w:rsidRDefault="00DF5399" w:rsidP="00B4470C">
      <w:pPr>
        <w:spacing w:after="0" w:line="240" w:lineRule="auto"/>
        <w:jc w:val="both"/>
        <w:rPr>
          <w:rFonts w:eastAsia="Calibri" w:cs="Arial"/>
        </w:rPr>
      </w:pPr>
    </w:p>
    <w:p w:rsidR="004E1B5F" w:rsidRPr="00884BE2" w:rsidRDefault="004E1B5F" w:rsidP="00B4470C">
      <w:pPr>
        <w:spacing w:after="0" w:line="240" w:lineRule="auto"/>
        <w:jc w:val="both"/>
        <w:rPr>
          <w:rFonts w:eastAsia="Calibri" w:cs="Arial"/>
        </w:rPr>
      </w:pPr>
    </w:p>
    <w:p w:rsidR="00DF5399" w:rsidRPr="00884BE2" w:rsidRDefault="00DF5399" w:rsidP="00B4470C">
      <w:pPr>
        <w:spacing w:after="0" w:line="240" w:lineRule="auto"/>
        <w:jc w:val="both"/>
        <w:rPr>
          <w:rFonts w:eastAsia="Calibri" w:cs="Arial"/>
        </w:rPr>
      </w:pPr>
      <w:r w:rsidRPr="00884BE2">
        <w:rPr>
          <w:rFonts w:eastAsia="Calibri" w:cs="Arial"/>
        </w:rPr>
        <w:t xml:space="preserve">Corresponding author: Professor </w:t>
      </w:r>
      <w:proofErr w:type="spellStart"/>
      <w:r w:rsidRPr="00884BE2">
        <w:rPr>
          <w:rFonts w:eastAsia="Calibri" w:cs="Arial"/>
        </w:rPr>
        <w:t>Wasim</w:t>
      </w:r>
      <w:proofErr w:type="spellEnd"/>
      <w:r w:rsidRPr="00884BE2">
        <w:rPr>
          <w:rFonts w:eastAsia="Calibri" w:cs="Arial"/>
        </w:rPr>
        <w:t xml:space="preserve"> </w:t>
      </w:r>
      <w:proofErr w:type="spellStart"/>
      <w:r w:rsidRPr="00884BE2">
        <w:rPr>
          <w:rFonts w:eastAsia="Calibri" w:cs="Arial"/>
        </w:rPr>
        <w:t>Hanif</w:t>
      </w:r>
      <w:proofErr w:type="spellEnd"/>
    </w:p>
    <w:p w:rsidR="008666BF" w:rsidRPr="00884BE2" w:rsidRDefault="008666BF" w:rsidP="00B4470C">
      <w:pPr>
        <w:spacing w:after="0" w:line="240" w:lineRule="auto"/>
        <w:jc w:val="both"/>
        <w:rPr>
          <w:rFonts w:eastAsia="Calibri" w:cs="Arial"/>
        </w:rPr>
      </w:pPr>
    </w:p>
    <w:p w:rsidR="008666BF" w:rsidRPr="00884BE2" w:rsidRDefault="008666BF" w:rsidP="00B4470C">
      <w:pPr>
        <w:spacing w:after="0" w:line="240" w:lineRule="auto"/>
        <w:jc w:val="both"/>
        <w:rPr>
          <w:rFonts w:eastAsia="Calibri" w:cs="Arial"/>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12513B" w:rsidRPr="00884BE2" w:rsidRDefault="0012513B" w:rsidP="00B4470C">
      <w:pPr>
        <w:spacing w:line="360" w:lineRule="auto"/>
        <w:jc w:val="both"/>
        <w:rPr>
          <w:b/>
          <w:sz w:val="28"/>
        </w:rPr>
      </w:pPr>
    </w:p>
    <w:p w:rsidR="00DF5399" w:rsidRPr="00884BE2" w:rsidRDefault="00DF5399" w:rsidP="00B4470C">
      <w:pPr>
        <w:spacing w:line="360" w:lineRule="auto"/>
        <w:jc w:val="both"/>
        <w:rPr>
          <w:b/>
          <w:sz w:val="24"/>
        </w:rPr>
      </w:pPr>
    </w:p>
    <w:p w:rsidR="00DF5399" w:rsidRPr="00884BE2" w:rsidRDefault="00DF5399" w:rsidP="00B4470C">
      <w:pPr>
        <w:spacing w:line="360" w:lineRule="auto"/>
        <w:jc w:val="both"/>
        <w:rPr>
          <w:b/>
          <w:sz w:val="24"/>
        </w:rPr>
      </w:pPr>
    </w:p>
    <w:p w:rsidR="00056E3E" w:rsidRPr="00884BE2" w:rsidRDefault="006A559D" w:rsidP="00511E19">
      <w:pPr>
        <w:tabs>
          <w:tab w:val="left" w:pos="7513"/>
        </w:tabs>
        <w:spacing w:line="360" w:lineRule="auto"/>
        <w:jc w:val="both"/>
        <w:rPr>
          <w:b/>
          <w:sz w:val="24"/>
        </w:rPr>
      </w:pPr>
      <w:r w:rsidRPr="00884BE2">
        <w:rPr>
          <w:b/>
          <w:sz w:val="24"/>
        </w:rPr>
        <w:lastRenderedPageBreak/>
        <w:t>Introduction</w:t>
      </w:r>
    </w:p>
    <w:p w:rsidR="00955DD4" w:rsidRPr="00884BE2" w:rsidRDefault="001F51E9" w:rsidP="00511E19">
      <w:pPr>
        <w:tabs>
          <w:tab w:val="left" w:pos="7513"/>
        </w:tabs>
        <w:autoSpaceDE w:val="0"/>
        <w:autoSpaceDN w:val="0"/>
        <w:adjustRightInd w:val="0"/>
        <w:spacing w:after="0" w:line="360" w:lineRule="auto"/>
        <w:jc w:val="both"/>
      </w:pPr>
      <w:r w:rsidRPr="00884BE2">
        <w:t>Religious identity can</w:t>
      </w:r>
      <w:r w:rsidR="00440107" w:rsidRPr="00884BE2">
        <w:t xml:space="preserve"> significantly</w:t>
      </w:r>
      <w:r w:rsidRPr="00884BE2">
        <w:t xml:space="preserve"> influence the daily practices of individuals,</w:t>
      </w:r>
      <w:r w:rsidR="00AA2639" w:rsidRPr="00884BE2">
        <w:t xml:space="preserve"> thus impacting on their health.</w:t>
      </w:r>
      <w:r w:rsidRPr="00884BE2">
        <w:t xml:space="preserve"> </w:t>
      </w:r>
      <w:r w:rsidR="00FB103A" w:rsidRPr="00884BE2">
        <w:t xml:space="preserve">In </w:t>
      </w:r>
      <w:r w:rsidR="001D1BC5" w:rsidRPr="00884BE2">
        <w:t>2010</w:t>
      </w:r>
      <w:r w:rsidR="00FB103A" w:rsidRPr="00884BE2">
        <w:t>, a</w:t>
      </w:r>
      <w:r w:rsidR="001D1BC5" w:rsidRPr="00884BE2">
        <w:t xml:space="preserve"> demographic study</w:t>
      </w:r>
      <w:r w:rsidR="00FB103A" w:rsidRPr="00884BE2">
        <w:t xml:space="preserve"> showed </w:t>
      </w:r>
      <w:r w:rsidR="001D1BC5" w:rsidRPr="00884BE2">
        <w:t xml:space="preserve">Muslims </w:t>
      </w:r>
      <w:r w:rsidR="00FB103A" w:rsidRPr="00884BE2">
        <w:t xml:space="preserve">constitute </w:t>
      </w:r>
      <w:r w:rsidR="001D1BC5" w:rsidRPr="00884BE2">
        <w:t>23% of the world’</w:t>
      </w:r>
      <w:r w:rsidR="00B67562" w:rsidRPr="00884BE2">
        <w:t xml:space="preserve">s population, </w:t>
      </w:r>
      <w:r w:rsidR="00FB103A" w:rsidRPr="00884BE2">
        <w:t xml:space="preserve">some </w:t>
      </w:r>
      <w:r w:rsidR="00B67562" w:rsidRPr="00884BE2">
        <w:t>1.6</w:t>
      </w:r>
      <w:r w:rsidR="001D1BC5" w:rsidRPr="00884BE2">
        <w:t xml:space="preserve"> billion people</w:t>
      </w:r>
      <w:r w:rsidR="009575EB" w:rsidRPr="00884BE2">
        <w:t>; t</w:t>
      </w:r>
      <w:r w:rsidR="000B713D" w:rsidRPr="00884BE2">
        <w:t>his</w:t>
      </w:r>
      <w:r w:rsidR="00FB103A" w:rsidRPr="00884BE2">
        <w:t xml:space="preserve"> number </w:t>
      </w:r>
      <w:r w:rsidR="00C31195" w:rsidRPr="00884BE2">
        <w:t xml:space="preserve">is </w:t>
      </w:r>
      <w:r w:rsidR="00FB103A" w:rsidRPr="00884BE2">
        <w:t xml:space="preserve">increasing at a rate of approximately </w:t>
      </w:r>
      <w:r w:rsidR="00C31195" w:rsidRPr="00884BE2">
        <w:t xml:space="preserve">3% </w:t>
      </w:r>
      <w:r w:rsidR="00DC79AE" w:rsidRPr="00884BE2">
        <w:t>each</w:t>
      </w:r>
      <w:r w:rsidR="00C31195" w:rsidRPr="00884BE2">
        <w:t xml:space="preserve"> year</w:t>
      </w:r>
      <w:proofErr w:type="gramStart"/>
      <w:r w:rsidR="001D1BC5" w:rsidRPr="00884BE2">
        <w:t>.</w:t>
      </w:r>
      <w:r w:rsidR="00AA2639" w:rsidRPr="00884BE2">
        <w:t>[</w:t>
      </w:r>
      <w:proofErr w:type="gramEnd"/>
      <w:r w:rsidR="007659AE" w:rsidRPr="00884BE2">
        <w:t>1</w:t>
      </w:r>
      <w:r w:rsidR="00AA2639" w:rsidRPr="00884BE2">
        <w:t>]</w:t>
      </w:r>
      <w:r w:rsidR="001D1BC5" w:rsidRPr="00884BE2">
        <w:t xml:space="preserve"> </w:t>
      </w:r>
      <w:r w:rsidR="00056E3E" w:rsidRPr="00884BE2">
        <w:t>T</w:t>
      </w:r>
      <w:r w:rsidR="00A34281" w:rsidRPr="00884BE2">
        <w:t xml:space="preserve">he International Diabetes Federation estimates that </w:t>
      </w:r>
      <w:r w:rsidR="00B23535" w:rsidRPr="00884BE2">
        <w:t xml:space="preserve">in 2013 </w:t>
      </w:r>
      <w:r w:rsidR="00A34281" w:rsidRPr="00884BE2">
        <w:t>there were 382 million people living with diabetes</w:t>
      </w:r>
      <w:r w:rsidR="00B23535" w:rsidRPr="00884BE2">
        <w:t xml:space="preserve">, </w:t>
      </w:r>
      <w:r w:rsidR="00D22A0B" w:rsidRPr="00884BE2">
        <w:t xml:space="preserve">predicted to </w:t>
      </w:r>
      <w:r w:rsidR="00B23535" w:rsidRPr="00884BE2">
        <w:t>ris</w:t>
      </w:r>
      <w:r w:rsidR="00D22A0B" w:rsidRPr="00884BE2">
        <w:t>e</w:t>
      </w:r>
      <w:r w:rsidR="00D96FB9" w:rsidRPr="00884BE2">
        <w:t xml:space="preserve"> to 592 million </w:t>
      </w:r>
      <w:r w:rsidR="00A34281" w:rsidRPr="00884BE2">
        <w:t>by 2035</w:t>
      </w:r>
      <w:r w:rsidR="00B23535" w:rsidRPr="00884BE2">
        <w:t>.</w:t>
      </w:r>
      <w:r w:rsidR="00A34281" w:rsidRPr="00884BE2">
        <w:t xml:space="preserve"> </w:t>
      </w:r>
      <w:r w:rsidR="00065F54" w:rsidRPr="00884BE2">
        <w:t xml:space="preserve">If these figures are extrapolated </w:t>
      </w:r>
      <w:r w:rsidR="00DC79AE" w:rsidRPr="00884BE2">
        <w:t xml:space="preserve">globally </w:t>
      </w:r>
      <w:r w:rsidR="00065F54" w:rsidRPr="00884BE2">
        <w:t xml:space="preserve">there are approximately 90 million Muslims with diabetes. </w:t>
      </w:r>
      <w:r w:rsidR="00D22A0B" w:rsidRPr="00884BE2">
        <w:t>Considering</w:t>
      </w:r>
      <w:r w:rsidR="00B23535" w:rsidRPr="00884BE2">
        <w:t xml:space="preserve"> specifically the </w:t>
      </w:r>
      <w:r w:rsidR="00A34281" w:rsidRPr="00884BE2">
        <w:t xml:space="preserve">UK, the </w:t>
      </w:r>
      <w:r w:rsidR="00B23535" w:rsidRPr="00884BE2">
        <w:t xml:space="preserve">current </w:t>
      </w:r>
      <w:r w:rsidR="00A34281" w:rsidRPr="00884BE2">
        <w:t xml:space="preserve">number of patients with diabetes is </w:t>
      </w:r>
      <w:r w:rsidR="00B23535" w:rsidRPr="00884BE2">
        <w:t xml:space="preserve">estimated at just </w:t>
      </w:r>
      <w:r w:rsidR="00DC79AE" w:rsidRPr="00884BE2">
        <w:t>fewer than</w:t>
      </w:r>
      <w:r w:rsidR="00D22A0B" w:rsidRPr="00884BE2">
        <w:t xml:space="preserve"> </w:t>
      </w:r>
      <w:r w:rsidR="00A34281" w:rsidRPr="00884BE2">
        <w:t>3 million</w:t>
      </w:r>
      <w:proofErr w:type="gramStart"/>
      <w:r w:rsidR="00A34281" w:rsidRPr="00884BE2">
        <w:t>.</w:t>
      </w:r>
      <w:r w:rsidR="00AA2639" w:rsidRPr="00884BE2">
        <w:t>[</w:t>
      </w:r>
      <w:proofErr w:type="gramEnd"/>
      <w:r w:rsidR="007659AE" w:rsidRPr="00884BE2">
        <w:t>2</w:t>
      </w:r>
      <w:r w:rsidR="00AA2639" w:rsidRPr="00884BE2">
        <w:t>]</w:t>
      </w:r>
      <w:r w:rsidR="00B23535" w:rsidRPr="00884BE2">
        <w:rPr>
          <w:rFonts w:cs="ArialMT-Regular"/>
          <w:sz w:val="20"/>
          <w:szCs w:val="20"/>
        </w:rPr>
        <w:t xml:space="preserve"> </w:t>
      </w:r>
      <w:r w:rsidR="00056E3E" w:rsidRPr="00884BE2">
        <w:rPr>
          <w:rFonts w:cs="ArialMT-Regular"/>
          <w:szCs w:val="20"/>
        </w:rPr>
        <w:t xml:space="preserve">Diabetes affects around </w:t>
      </w:r>
      <w:r w:rsidR="00DF5399" w:rsidRPr="00884BE2">
        <w:rPr>
          <w:rFonts w:cs="ArialMT-Regular"/>
          <w:szCs w:val="20"/>
        </w:rPr>
        <w:t>10-15%</w:t>
      </w:r>
      <w:r w:rsidR="00DE4885" w:rsidRPr="00884BE2">
        <w:rPr>
          <w:rFonts w:cs="ArialMT-Regular"/>
          <w:szCs w:val="20"/>
        </w:rPr>
        <w:t xml:space="preserve"> </w:t>
      </w:r>
      <w:r w:rsidR="00056E3E" w:rsidRPr="00884BE2">
        <w:rPr>
          <w:rFonts w:cs="ArialMT-Regular"/>
          <w:szCs w:val="20"/>
        </w:rPr>
        <w:t xml:space="preserve"> of the UK Muslim population, with South Asian people having the highest rates of diabetes mellitus.</w:t>
      </w:r>
      <w:r w:rsidR="009C4AF9" w:rsidRPr="00884BE2">
        <w:rPr>
          <w:rFonts w:cs="ArialMT-Regular"/>
          <w:szCs w:val="20"/>
        </w:rPr>
        <w:t>[</w:t>
      </w:r>
      <w:r w:rsidR="007659AE" w:rsidRPr="00884BE2">
        <w:rPr>
          <w:rFonts w:cs="ArialMT-Regular"/>
          <w:szCs w:val="20"/>
        </w:rPr>
        <w:t>3</w:t>
      </w:r>
      <w:r w:rsidR="009C4AF9" w:rsidRPr="00884BE2">
        <w:rPr>
          <w:rFonts w:cs="ArialMT-Regular"/>
          <w:szCs w:val="20"/>
        </w:rPr>
        <w:t>]</w:t>
      </w:r>
      <w:r w:rsidR="00056E3E" w:rsidRPr="00884BE2">
        <w:rPr>
          <w:rFonts w:cs="ArialMT-Regular"/>
          <w:szCs w:val="20"/>
        </w:rPr>
        <w:t xml:space="preserve"> R</w:t>
      </w:r>
      <w:r w:rsidR="00B23535" w:rsidRPr="00884BE2">
        <w:rPr>
          <w:rFonts w:cs="ArialMT-Regular"/>
          <w:szCs w:val="20"/>
        </w:rPr>
        <w:t xml:space="preserve">ecent data suggests </w:t>
      </w:r>
      <w:r w:rsidR="00060AAD" w:rsidRPr="00884BE2">
        <w:rPr>
          <w:rFonts w:cs="ArialMT-Regular"/>
          <w:szCs w:val="20"/>
        </w:rPr>
        <w:t>there are approximately 2.9</w:t>
      </w:r>
      <w:r w:rsidR="00B23535" w:rsidRPr="00884BE2">
        <w:rPr>
          <w:rFonts w:cs="ArialMT-Regular"/>
          <w:szCs w:val="20"/>
        </w:rPr>
        <w:t xml:space="preserve"> m</w:t>
      </w:r>
      <w:r w:rsidR="00D96FB9" w:rsidRPr="00884BE2">
        <w:rPr>
          <w:rFonts w:cs="ArialMT-Regular"/>
          <w:szCs w:val="20"/>
        </w:rPr>
        <w:t xml:space="preserve">illion Muslims living in the UK </w:t>
      </w:r>
      <w:r w:rsidR="001B3ECF" w:rsidRPr="00884BE2">
        <w:rPr>
          <w:rFonts w:cs="ArialMT-Regular"/>
          <w:szCs w:val="20"/>
        </w:rPr>
        <w:t>[</w:t>
      </w:r>
      <w:r w:rsidR="007659AE" w:rsidRPr="00884BE2">
        <w:rPr>
          <w:rFonts w:cs="ArialMT-Regular"/>
          <w:szCs w:val="20"/>
        </w:rPr>
        <w:t>4</w:t>
      </w:r>
      <w:r w:rsidR="001B3ECF" w:rsidRPr="00884BE2">
        <w:rPr>
          <w:rFonts w:cs="ArialMT-Regular"/>
          <w:szCs w:val="20"/>
        </w:rPr>
        <w:t>]</w:t>
      </w:r>
      <w:r w:rsidR="00056E3E" w:rsidRPr="00884BE2">
        <w:rPr>
          <w:rFonts w:cs="ArialMT-Regular"/>
          <w:szCs w:val="20"/>
        </w:rPr>
        <w:t xml:space="preserve"> </w:t>
      </w:r>
      <w:r w:rsidR="00D96FB9" w:rsidRPr="00884BE2">
        <w:rPr>
          <w:rFonts w:cs="ArialMT-Regular"/>
          <w:szCs w:val="20"/>
        </w:rPr>
        <w:t>thus approximately</w:t>
      </w:r>
      <w:r w:rsidRPr="00884BE2">
        <w:rPr>
          <w:rFonts w:cs="ArialMT-Regular"/>
          <w:szCs w:val="20"/>
        </w:rPr>
        <w:t xml:space="preserve"> </w:t>
      </w:r>
      <w:r w:rsidR="00955DD4" w:rsidRPr="00884BE2">
        <w:rPr>
          <w:rFonts w:cs="ArialMT-Regular"/>
          <w:szCs w:val="20"/>
        </w:rPr>
        <w:t>0.</w:t>
      </w:r>
      <w:r w:rsidR="00D47524" w:rsidRPr="00884BE2">
        <w:rPr>
          <w:rFonts w:cs="ArialMT-Regular"/>
          <w:szCs w:val="20"/>
        </w:rPr>
        <w:t>4</w:t>
      </w:r>
      <w:r w:rsidR="00955DD4" w:rsidRPr="00884BE2">
        <w:rPr>
          <w:rFonts w:cs="ArialMT-Regular"/>
          <w:szCs w:val="20"/>
        </w:rPr>
        <w:t xml:space="preserve"> million </w:t>
      </w:r>
      <w:r w:rsidRPr="00884BE2">
        <w:rPr>
          <w:rFonts w:cs="ArialMT-Regular"/>
          <w:szCs w:val="20"/>
        </w:rPr>
        <w:t xml:space="preserve">British </w:t>
      </w:r>
      <w:r w:rsidR="00955DD4" w:rsidRPr="00884BE2">
        <w:rPr>
          <w:rFonts w:cs="ArialMT-Regular"/>
          <w:szCs w:val="20"/>
        </w:rPr>
        <w:t>Muslims have diabetes.</w:t>
      </w:r>
      <w:r w:rsidR="009C4AF9" w:rsidRPr="00884BE2">
        <w:rPr>
          <w:rFonts w:cs="ArialMT-Regular"/>
          <w:szCs w:val="20"/>
        </w:rPr>
        <w:t>[</w:t>
      </w:r>
      <w:r w:rsidR="007659AE" w:rsidRPr="00884BE2">
        <w:rPr>
          <w:rFonts w:cs="ArialMT-Regular"/>
          <w:szCs w:val="20"/>
        </w:rPr>
        <w:t>3</w:t>
      </w:r>
      <w:r w:rsidR="009C4AF9" w:rsidRPr="00884BE2">
        <w:rPr>
          <w:rFonts w:cs="ArialMT-Regular"/>
          <w:szCs w:val="20"/>
        </w:rPr>
        <w:t>]</w:t>
      </w:r>
      <w:r w:rsidR="00955DD4" w:rsidRPr="00884BE2">
        <w:t xml:space="preserve"> </w:t>
      </w:r>
    </w:p>
    <w:p w:rsidR="00955DD4" w:rsidRPr="00884BE2" w:rsidRDefault="00955DD4" w:rsidP="00511E19">
      <w:pPr>
        <w:tabs>
          <w:tab w:val="left" w:pos="7513"/>
        </w:tabs>
        <w:autoSpaceDE w:val="0"/>
        <w:autoSpaceDN w:val="0"/>
        <w:adjustRightInd w:val="0"/>
        <w:spacing w:after="0" w:line="360" w:lineRule="auto"/>
        <w:jc w:val="both"/>
      </w:pPr>
    </w:p>
    <w:p w:rsidR="00E948B5" w:rsidRPr="00884BE2" w:rsidRDefault="009575EB" w:rsidP="00511E19">
      <w:pPr>
        <w:tabs>
          <w:tab w:val="left" w:pos="7513"/>
        </w:tabs>
        <w:autoSpaceDE w:val="0"/>
        <w:autoSpaceDN w:val="0"/>
        <w:adjustRightInd w:val="0"/>
        <w:spacing w:after="0" w:line="360" w:lineRule="auto"/>
        <w:jc w:val="both"/>
        <w:rPr>
          <w:rFonts w:cs="ArialMT-Regular"/>
          <w:szCs w:val="20"/>
        </w:rPr>
      </w:pPr>
      <w:r w:rsidRPr="00884BE2">
        <w:t>T</w:t>
      </w:r>
      <w:r w:rsidR="00955DD4" w:rsidRPr="00884BE2">
        <w:t xml:space="preserve">he holy month of Ramadan forms one of the five pillars of </w:t>
      </w:r>
      <w:r w:rsidRPr="00884BE2">
        <w:t>Muslim</w:t>
      </w:r>
      <w:r w:rsidR="00955DD4" w:rsidRPr="00884BE2">
        <w:t xml:space="preserve"> faith</w:t>
      </w:r>
      <w:r w:rsidR="00D96FB9" w:rsidRPr="00884BE2">
        <w:t xml:space="preserve"> with fasting obligatory</w:t>
      </w:r>
      <w:r w:rsidR="00955DD4" w:rsidRPr="00884BE2">
        <w:t xml:space="preserve"> during this month with some exceptions. The holy Qur’an clarifies that people with illness are exempt from </w:t>
      </w:r>
      <w:r w:rsidR="00C35EC6" w:rsidRPr="00884BE2">
        <w:t>fasting</w:t>
      </w:r>
      <w:proofErr w:type="gramStart"/>
      <w:r w:rsidR="00955DD4" w:rsidRPr="00884BE2">
        <w:t>.</w:t>
      </w:r>
      <w:r w:rsidR="001B3ECF" w:rsidRPr="00884BE2">
        <w:t>[</w:t>
      </w:r>
      <w:proofErr w:type="gramEnd"/>
      <w:r w:rsidR="007659AE" w:rsidRPr="00884BE2">
        <w:t>5</w:t>
      </w:r>
      <w:r w:rsidR="001B3ECF" w:rsidRPr="00884BE2">
        <w:t>]</w:t>
      </w:r>
      <w:r w:rsidR="00955DD4" w:rsidRPr="00884BE2">
        <w:t xml:space="preserve"> However, most Muslims with diabetes often do not </w:t>
      </w:r>
      <w:r w:rsidR="008122B7" w:rsidRPr="00884BE2">
        <w:t>consider</w:t>
      </w:r>
      <w:r w:rsidR="00955DD4" w:rsidRPr="00884BE2">
        <w:t xml:space="preserve"> themselves unwell and exempted</w:t>
      </w:r>
      <w:r w:rsidR="0010245E" w:rsidRPr="00884BE2">
        <w:t xml:space="preserve">, and </w:t>
      </w:r>
      <w:r w:rsidR="00955DD4" w:rsidRPr="00884BE2">
        <w:t xml:space="preserve">are therefore keen to fast. The </w:t>
      </w:r>
      <w:r w:rsidR="0010245E" w:rsidRPr="00884BE2">
        <w:t xml:space="preserve">most extensive study to date investigating the effects of fasting in Muslim patients with diabetes is the </w:t>
      </w:r>
      <w:r w:rsidR="00955DD4" w:rsidRPr="00884BE2">
        <w:t>Epidemiology of Diabetes and Ramadan (EPIDIAR) study</w:t>
      </w:r>
      <w:r w:rsidR="0010245E" w:rsidRPr="00884BE2">
        <w:t xml:space="preserve">, </w:t>
      </w:r>
      <w:r w:rsidR="00955DD4" w:rsidRPr="00884BE2">
        <w:t xml:space="preserve">performed </w:t>
      </w:r>
      <w:r w:rsidR="0010245E" w:rsidRPr="00884BE2">
        <w:t>across</w:t>
      </w:r>
      <w:r w:rsidR="00955DD4" w:rsidRPr="00884BE2">
        <w:t xml:space="preserve"> 13 countries with </w:t>
      </w:r>
      <w:r w:rsidR="0010245E" w:rsidRPr="00884BE2">
        <w:t>approximately</w:t>
      </w:r>
      <w:r w:rsidR="00955DD4" w:rsidRPr="00884BE2">
        <w:t xml:space="preserve"> 13,000 patients. </w:t>
      </w:r>
      <w:r w:rsidR="0010245E" w:rsidRPr="00884BE2">
        <w:t>The EPIDIAR</w:t>
      </w:r>
      <w:r w:rsidR="00955DD4" w:rsidRPr="00884BE2">
        <w:t xml:space="preserve"> study reported that 43% of patients with Type 1 diabetes </w:t>
      </w:r>
      <w:r w:rsidR="00C35EC6" w:rsidRPr="00884BE2">
        <w:t xml:space="preserve">(T1DM) </w:t>
      </w:r>
      <w:r w:rsidR="00955DD4" w:rsidRPr="00884BE2">
        <w:t xml:space="preserve">and 79% with Type 2 diabetes </w:t>
      </w:r>
      <w:r w:rsidR="00C35EC6" w:rsidRPr="00884BE2">
        <w:t xml:space="preserve">(T2DM) </w:t>
      </w:r>
      <w:r w:rsidR="00955DD4" w:rsidRPr="00884BE2">
        <w:t>fast irrespective of advice given to them</w:t>
      </w:r>
      <w:proofErr w:type="gramStart"/>
      <w:r w:rsidR="00955DD4" w:rsidRPr="00884BE2">
        <w:t>.</w:t>
      </w:r>
      <w:r w:rsidR="001B3ECF" w:rsidRPr="00884BE2">
        <w:t>[</w:t>
      </w:r>
      <w:proofErr w:type="gramEnd"/>
      <w:r w:rsidR="007659AE" w:rsidRPr="00884BE2">
        <w:t>6</w:t>
      </w:r>
      <w:r w:rsidR="001B3ECF" w:rsidRPr="00884BE2">
        <w:t>]</w:t>
      </w:r>
      <w:r w:rsidR="00F20CD8" w:rsidRPr="00884BE2" w:rsidDel="00F20CD8">
        <w:t xml:space="preserve"> </w:t>
      </w:r>
    </w:p>
    <w:p w:rsidR="004E1B5F" w:rsidRPr="00884BE2" w:rsidRDefault="004E1B5F" w:rsidP="00511E19">
      <w:pPr>
        <w:tabs>
          <w:tab w:val="left" w:pos="7513"/>
        </w:tabs>
        <w:autoSpaceDE w:val="0"/>
        <w:autoSpaceDN w:val="0"/>
        <w:adjustRightInd w:val="0"/>
        <w:spacing w:after="0" w:line="360" w:lineRule="auto"/>
        <w:jc w:val="both"/>
        <w:rPr>
          <w:rFonts w:cs="ArialMT-Regular"/>
          <w:szCs w:val="20"/>
        </w:rPr>
      </w:pPr>
    </w:p>
    <w:p w:rsidR="00B23535" w:rsidRPr="00884BE2" w:rsidRDefault="00955DD4" w:rsidP="00511E19">
      <w:pPr>
        <w:tabs>
          <w:tab w:val="left" w:pos="7513"/>
        </w:tabs>
        <w:autoSpaceDE w:val="0"/>
        <w:autoSpaceDN w:val="0"/>
        <w:adjustRightInd w:val="0"/>
        <w:spacing w:after="0" w:line="360" w:lineRule="auto"/>
        <w:jc w:val="both"/>
        <w:rPr>
          <w:rFonts w:cs="ArialMT-Regular"/>
          <w:szCs w:val="20"/>
        </w:rPr>
      </w:pPr>
      <w:r w:rsidRPr="00884BE2">
        <w:rPr>
          <w:rFonts w:cs="ArialMT-Regular"/>
          <w:szCs w:val="20"/>
        </w:rPr>
        <w:t xml:space="preserve">Furthermore, </w:t>
      </w:r>
      <w:r w:rsidR="00B23535" w:rsidRPr="00884BE2">
        <w:rPr>
          <w:rFonts w:cs="ArialMT-Regular"/>
          <w:szCs w:val="20"/>
        </w:rPr>
        <w:t xml:space="preserve">approximately 80% of </w:t>
      </w:r>
      <w:r w:rsidR="00356764" w:rsidRPr="00884BE2">
        <w:rPr>
          <w:rFonts w:cs="ArialMT-Regular"/>
          <w:szCs w:val="20"/>
        </w:rPr>
        <w:t>Muslim</w:t>
      </w:r>
      <w:r w:rsidR="00D1677E" w:rsidRPr="00884BE2">
        <w:rPr>
          <w:rFonts w:cs="ArialMT-Regular"/>
          <w:szCs w:val="20"/>
        </w:rPr>
        <w:t>s</w:t>
      </w:r>
      <w:r w:rsidR="00B23535" w:rsidRPr="00884BE2">
        <w:rPr>
          <w:rFonts w:cs="ArialMT-Regular"/>
          <w:szCs w:val="20"/>
        </w:rPr>
        <w:t xml:space="preserve"> with diabetes fast for at least 15 days.</w:t>
      </w:r>
      <w:r w:rsidR="0010245E" w:rsidRPr="00884BE2">
        <w:rPr>
          <w:rFonts w:cs="ArialMT-Regular"/>
          <w:szCs w:val="20"/>
        </w:rPr>
        <w:t>[</w:t>
      </w:r>
      <w:r w:rsidR="00856D15" w:rsidRPr="00884BE2">
        <w:rPr>
          <w:rFonts w:cs="ArialMT-Regular"/>
          <w:szCs w:val="20"/>
        </w:rPr>
        <w:t>6</w:t>
      </w:r>
      <w:r w:rsidRPr="00884BE2">
        <w:rPr>
          <w:rFonts w:cs="ArialMT-Regular"/>
          <w:szCs w:val="20"/>
        </w:rPr>
        <w:t>]</w:t>
      </w:r>
      <w:r w:rsidR="00B23535" w:rsidRPr="00884BE2">
        <w:rPr>
          <w:rFonts w:cs="ArialMT-Regular"/>
          <w:szCs w:val="20"/>
        </w:rPr>
        <w:t xml:space="preserve"> </w:t>
      </w:r>
      <w:r w:rsidR="0065416D" w:rsidRPr="00884BE2">
        <w:rPr>
          <w:rFonts w:cs="ArialMT-Regular"/>
          <w:szCs w:val="20"/>
        </w:rPr>
        <w:t>Ex</w:t>
      </w:r>
      <w:r w:rsidR="00DC79AE" w:rsidRPr="00884BE2">
        <w:rPr>
          <w:rFonts w:cs="ArialMT-Regular"/>
          <w:szCs w:val="20"/>
        </w:rPr>
        <w:t xml:space="preserve">trapolating these figures </w:t>
      </w:r>
      <w:r w:rsidR="0065416D" w:rsidRPr="00884BE2">
        <w:rPr>
          <w:rFonts w:cs="ArialMT-Regular"/>
          <w:szCs w:val="20"/>
        </w:rPr>
        <w:t xml:space="preserve">suggests that approximately </w:t>
      </w:r>
      <w:r w:rsidR="00D47524" w:rsidRPr="00884BE2">
        <w:rPr>
          <w:rFonts w:cs="ArialMT-Regular"/>
          <w:szCs w:val="20"/>
        </w:rPr>
        <w:t>0.32</w:t>
      </w:r>
      <w:r w:rsidR="00B23535" w:rsidRPr="00884BE2">
        <w:rPr>
          <w:rFonts w:cs="ArialMT-Regular"/>
          <w:szCs w:val="20"/>
        </w:rPr>
        <w:t xml:space="preserve"> million</w:t>
      </w:r>
      <w:r w:rsidR="006D6801" w:rsidRPr="00884BE2">
        <w:rPr>
          <w:rFonts w:cs="ArialMT-Regular"/>
          <w:szCs w:val="20"/>
        </w:rPr>
        <w:t xml:space="preserve"> </w:t>
      </w:r>
      <w:r w:rsidR="00B23535" w:rsidRPr="00884BE2">
        <w:rPr>
          <w:rFonts w:cs="ArialMT-Regular"/>
          <w:szCs w:val="20"/>
        </w:rPr>
        <w:t>Muslims</w:t>
      </w:r>
      <w:r w:rsidR="00356764" w:rsidRPr="00884BE2">
        <w:rPr>
          <w:rFonts w:cs="ArialMT-Regular"/>
          <w:szCs w:val="20"/>
        </w:rPr>
        <w:t xml:space="preserve"> with diabetes</w:t>
      </w:r>
      <w:r w:rsidR="00B23535" w:rsidRPr="00884BE2">
        <w:rPr>
          <w:rFonts w:cs="ArialMT-Regular"/>
          <w:szCs w:val="20"/>
        </w:rPr>
        <w:t xml:space="preserve"> </w:t>
      </w:r>
      <w:r w:rsidR="0065416D" w:rsidRPr="00884BE2">
        <w:rPr>
          <w:rFonts w:cs="ArialMT-Regular"/>
          <w:szCs w:val="20"/>
        </w:rPr>
        <w:t xml:space="preserve">in the UK and more than 50 million Muslims </w:t>
      </w:r>
      <w:r w:rsidR="00385B10" w:rsidRPr="00884BE2">
        <w:rPr>
          <w:rFonts w:cs="ArialMT-Regular"/>
          <w:szCs w:val="20"/>
        </w:rPr>
        <w:t xml:space="preserve">globally </w:t>
      </w:r>
      <w:r w:rsidR="0065416D" w:rsidRPr="00884BE2">
        <w:rPr>
          <w:rFonts w:cs="ArialMT-Regular"/>
          <w:szCs w:val="20"/>
        </w:rPr>
        <w:t xml:space="preserve">with diabetes </w:t>
      </w:r>
      <w:r w:rsidR="00385B10" w:rsidRPr="00884BE2">
        <w:rPr>
          <w:rFonts w:cs="ArialMT-Regular"/>
          <w:szCs w:val="20"/>
        </w:rPr>
        <w:t xml:space="preserve">will </w:t>
      </w:r>
      <w:r w:rsidR="00B23535" w:rsidRPr="00884BE2">
        <w:rPr>
          <w:rFonts w:cs="ArialMT-Regular"/>
          <w:szCs w:val="20"/>
        </w:rPr>
        <w:t>fast</w:t>
      </w:r>
      <w:r w:rsidR="00356764" w:rsidRPr="00884BE2">
        <w:rPr>
          <w:rFonts w:cs="ArialMT-Regular"/>
          <w:szCs w:val="20"/>
        </w:rPr>
        <w:t xml:space="preserve"> for at least half </w:t>
      </w:r>
      <w:r w:rsidR="0065416D" w:rsidRPr="00884BE2">
        <w:rPr>
          <w:rFonts w:cs="ArialMT-Regular"/>
          <w:szCs w:val="20"/>
        </w:rPr>
        <w:t xml:space="preserve">of </w:t>
      </w:r>
      <w:r w:rsidR="00356764" w:rsidRPr="00884BE2">
        <w:rPr>
          <w:rFonts w:cs="ArialMT-Regular"/>
          <w:szCs w:val="20"/>
        </w:rPr>
        <w:t>Ramadan</w:t>
      </w:r>
      <w:r w:rsidR="00B23535" w:rsidRPr="00884BE2">
        <w:rPr>
          <w:rFonts w:cs="ArialMT-Regular"/>
          <w:szCs w:val="20"/>
        </w:rPr>
        <w:t>.</w:t>
      </w:r>
      <w:r w:rsidR="001B3ECF" w:rsidRPr="00884BE2">
        <w:rPr>
          <w:rFonts w:cs="ArialMT-Regular"/>
          <w:szCs w:val="20"/>
        </w:rPr>
        <w:t>[</w:t>
      </w:r>
      <w:r w:rsidR="00856D15" w:rsidRPr="00884BE2">
        <w:rPr>
          <w:rFonts w:cs="ArialMT-Regular"/>
          <w:szCs w:val="20"/>
        </w:rPr>
        <w:t>7</w:t>
      </w:r>
      <w:r w:rsidR="001B3ECF" w:rsidRPr="00884BE2">
        <w:rPr>
          <w:rFonts w:cs="ArialMT-Regular"/>
          <w:szCs w:val="20"/>
        </w:rPr>
        <w:t>]</w:t>
      </w:r>
    </w:p>
    <w:p w:rsidR="00AC0B29" w:rsidRPr="00884BE2" w:rsidRDefault="00AC0B29" w:rsidP="00511E19">
      <w:pPr>
        <w:tabs>
          <w:tab w:val="left" w:pos="7513"/>
        </w:tabs>
        <w:autoSpaceDE w:val="0"/>
        <w:autoSpaceDN w:val="0"/>
        <w:adjustRightInd w:val="0"/>
        <w:spacing w:after="0" w:line="360" w:lineRule="auto"/>
        <w:jc w:val="both"/>
      </w:pPr>
    </w:p>
    <w:p w:rsidR="00E948B5" w:rsidRPr="00884BE2" w:rsidRDefault="00240A07" w:rsidP="00511E19">
      <w:pPr>
        <w:tabs>
          <w:tab w:val="left" w:pos="7513"/>
        </w:tabs>
        <w:spacing w:line="360" w:lineRule="auto"/>
        <w:jc w:val="both"/>
        <w:rPr>
          <w:b/>
          <w:sz w:val="24"/>
        </w:rPr>
      </w:pPr>
      <w:r w:rsidRPr="00884BE2">
        <w:rPr>
          <w:b/>
          <w:sz w:val="24"/>
        </w:rPr>
        <w:t>Fasting in Ramadan</w:t>
      </w:r>
    </w:p>
    <w:p w:rsidR="00342225" w:rsidRPr="00884BE2" w:rsidRDefault="00F32F9E" w:rsidP="00511E19">
      <w:pPr>
        <w:tabs>
          <w:tab w:val="left" w:pos="7513"/>
        </w:tabs>
        <w:autoSpaceDE w:val="0"/>
        <w:autoSpaceDN w:val="0"/>
        <w:adjustRightInd w:val="0"/>
        <w:spacing w:after="0" w:line="360" w:lineRule="auto"/>
        <w:jc w:val="both"/>
        <w:rPr>
          <w:rFonts w:cs="Meta Serif Pro Book"/>
          <w:color w:val="000000"/>
        </w:rPr>
      </w:pPr>
      <w:r w:rsidRPr="00884BE2">
        <w:rPr>
          <w:rFonts w:cs="Meta Serif Pro Book"/>
          <w:color w:val="000000"/>
        </w:rPr>
        <w:t xml:space="preserve">Fasting in Ramadan forms one of the five </w:t>
      </w:r>
      <w:r w:rsidR="004F7170" w:rsidRPr="00884BE2">
        <w:rPr>
          <w:rFonts w:cs="Meta Serif Pro Book"/>
          <w:color w:val="000000"/>
        </w:rPr>
        <w:t xml:space="preserve">mandatory acts of faith in </w:t>
      </w:r>
      <w:r w:rsidRPr="00884BE2">
        <w:rPr>
          <w:rFonts w:cs="Meta Serif Pro Book"/>
          <w:color w:val="000000"/>
        </w:rPr>
        <w:t>Islam. The month of R</w:t>
      </w:r>
      <w:r w:rsidRPr="00884BE2">
        <w:t xml:space="preserve">amadan lasts </w:t>
      </w:r>
      <w:r w:rsidR="00D96FB9" w:rsidRPr="00884BE2">
        <w:t>29-</w:t>
      </w:r>
      <w:r w:rsidRPr="00884BE2">
        <w:t>30 days</w:t>
      </w:r>
      <w:r w:rsidR="00FC6E68" w:rsidRPr="00884BE2">
        <w:t xml:space="preserve"> and </w:t>
      </w:r>
      <w:r w:rsidRPr="00884BE2">
        <w:t xml:space="preserve">Muslims must abstain from </w:t>
      </w:r>
      <w:r w:rsidR="00FC621B" w:rsidRPr="00884BE2">
        <w:t xml:space="preserve">eating </w:t>
      </w:r>
      <w:r w:rsidRPr="00884BE2">
        <w:t>and drink</w:t>
      </w:r>
      <w:r w:rsidR="00FC621B" w:rsidRPr="00884BE2">
        <w:t>ing</w:t>
      </w:r>
      <w:r w:rsidRPr="00884BE2">
        <w:t xml:space="preserve"> during </w:t>
      </w:r>
      <w:r w:rsidR="00FC6E68" w:rsidRPr="00884BE2">
        <w:t xml:space="preserve">daylight </w:t>
      </w:r>
      <w:r w:rsidRPr="00884BE2">
        <w:t xml:space="preserve">hours of dawn to sunset. </w:t>
      </w:r>
      <w:r w:rsidR="00FC621B" w:rsidRPr="00884BE2">
        <w:t xml:space="preserve">There are no restrictions to intake outside of these hours. </w:t>
      </w:r>
      <w:r w:rsidR="00661F68" w:rsidRPr="00884BE2">
        <w:t xml:space="preserve">Those fasting </w:t>
      </w:r>
      <w:r w:rsidRPr="00884BE2">
        <w:t>will take two meals per da</w:t>
      </w:r>
      <w:r w:rsidR="00FC6E68" w:rsidRPr="00884BE2">
        <w:t xml:space="preserve">y; </w:t>
      </w:r>
      <w:proofErr w:type="spellStart"/>
      <w:r w:rsidR="00FC6E68" w:rsidRPr="00884BE2">
        <w:t>Suhoo</w:t>
      </w:r>
      <w:r w:rsidRPr="00884BE2">
        <w:t>r</w:t>
      </w:r>
      <w:proofErr w:type="spellEnd"/>
      <w:r w:rsidR="00661F68" w:rsidRPr="00884BE2">
        <w:t xml:space="preserve"> (preceding dawn) and </w:t>
      </w:r>
      <w:proofErr w:type="spellStart"/>
      <w:r w:rsidR="00661F68" w:rsidRPr="00884BE2">
        <w:t>I</w:t>
      </w:r>
      <w:r w:rsidRPr="00884BE2">
        <w:t>ftar</w:t>
      </w:r>
      <w:proofErr w:type="spellEnd"/>
      <w:r w:rsidRPr="00884BE2">
        <w:t xml:space="preserve"> (sunset). </w:t>
      </w:r>
      <w:r w:rsidR="002F5BAD" w:rsidRPr="00884BE2">
        <w:rPr>
          <w:rFonts w:cs="Meta Serif Pro Book"/>
          <w:color w:val="000000"/>
        </w:rPr>
        <w:t xml:space="preserve">The Islamic year follows a lunar calendar </w:t>
      </w:r>
      <w:r w:rsidR="00134CF1" w:rsidRPr="00884BE2">
        <w:rPr>
          <w:rFonts w:cs="Meta Serif Pro Book"/>
          <w:color w:val="000000"/>
        </w:rPr>
        <w:t>thus</w:t>
      </w:r>
      <w:r w:rsidR="002F5BAD" w:rsidRPr="00884BE2">
        <w:rPr>
          <w:rFonts w:cs="Meta Serif Pro Book"/>
          <w:color w:val="000000"/>
        </w:rPr>
        <w:t xml:space="preserve">, </w:t>
      </w:r>
      <w:r w:rsidR="00CF4216" w:rsidRPr="00884BE2">
        <w:rPr>
          <w:rFonts w:cs="Meta Serif Pro Book"/>
          <w:color w:val="000000"/>
        </w:rPr>
        <w:t xml:space="preserve">Ramadan </w:t>
      </w:r>
      <w:r w:rsidR="00661F68" w:rsidRPr="00884BE2">
        <w:rPr>
          <w:rFonts w:cs="Meta Serif Pro Book"/>
          <w:color w:val="000000"/>
        </w:rPr>
        <w:t>advances</w:t>
      </w:r>
      <w:r w:rsidR="002F5BAD" w:rsidRPr="00884BE2">
        <w:rPr>
          <w:rFonts w:cs="Meta Serif Pro Book"/>
          <w:color w:val="000000"/>
        </w:rPr>
        <w:t xml:space="preserve"> forward </w:t>
      </w:r>
      <w:r w:rsidR="00661F68" w:rsidRPr="00884BE2">
        <w:rPr>
          <w:rFonts w:cs="Meta Serif Pro Book"/>
          <w:color w:val="000000"/>
        </w:rPr>
        <w:t xml:space="preserve">in the Gregorian calendar </w:t>
      </w:r>
      <w:r w:rsidR="002F5BAD" w:rsidRPr="00884BE2">
        <w:rPr>
          <w:rFonts w:cs="Meta Serif Pro Book"/>
          <w:color w:val="000000"/>
        </w:rPr>
        <w:t>11 days every year</w:t>
      </w:r>
      <w:r w:rsidR="00951461" w:rsidRPr="00884BE2">
        <w:rPr>
          <w:rFonts w:cs="Meta Serif Pro Book"/>
          <w:color w:val="000000"/>
        </w:rPr>
        <w:t>, h</w:t>
      </w:r>
      <w:r w:rsidR="002F5BAD" w:rsidRPr="00884BE2">
        <w:rPr>
          <w:rFonts w:cs="Meta Serif Pro Book"/>
          <w:color w:val="000000"/>
        </w:rPr>
        <w:t>ence travers</w:t>
      </w:r>
      <w:r w:rsidR="00951461" w:rsidRPr="00884BE2">
        <w:rPr>
          <w:rFonts w:cs="Meta Serif Pro Book"/>
          <w:color w:val="000000"/>
        </w:rPr>
        <w:t>ing</w:t>
      </w:r>
      <w:r w:rsidR="002F5BAD" w:rsidRPr="00884BE2">
        <w:rPr>
          <w:rFonts w:cs="Meta Serif Pro Book"/>
          <w:color w:val="000000"/>
        </w:rPr>
        <w:t xml:space="preserve"> the seasons over time. For </w:t>
      </w:r>
      <w:r w:rsidR="00342225" w:rsidRPr="00884BE2">
        <w:rPr>
          <w:rFonts w:cs="Meta Serif Pro Book"/>
          <w:color w:val="000000"/>
        </w:rPr>
        <w:t xml:space="preserve">non-equatorial </w:t>
      </w:r>
      <w:r w:rsidR="002F5BAD" w:rsidRPr="00884BE2">
        <w:rPr>
          <w:rFonts w:cs="Meta Serif Pro Book"/>
          <w:color w:val="000000"/>
        </w:rPr>
        <w:t>countries in the northern hemisphere</w:t>
      </w:r>
      <w:r w:rsidR="00342225" w:rsidRPr="00884BE2">
        <w:rPr>
          <w:rFonts w:cs="Meta Serif Pro Book"/>
          <w:color w:val="000000"/>
        </w:rPr>
        <w:t>, such as the UK</w:t>
      </w:r>
      <w:r w:rsidR="002F5BAD" w:rsidRPr="00884BE2">
        <w:rPr>
          <w:rFonts w:cs="Meta Serif Pro Book"/>
          <w:color w:val="000000"/>
        </w:rPr>
        <w:t xml:space="preserve">, the implication of this is that </w:t>
      </w:r>
      <w:r w:rsidR="00342225" w:rsidRPr="00884BE2">
        <w:rPr>
          <w:rFonts w:cs="Meta Serif Pro Book"/>
          <w:color w:val="000000"/>
        </w:rPr>
        <w:t>for the next de</w:t>
      </w:r>
      <w:r w:rsidR="00ED5077" w:rsidRPr="00884BE2">
        <w:rPr>
          <w:rFonts w:cs="Meta Serif Pro Book"/>
          <w:color w:val="000000"/>
        </w:rPr>
        <w:t xml:space="preserve">cade, Ramadan shall fall in </w:t>
      </w:r>
      <w:r w:rsidR="00342225" w:rsidRPr="00884BE2">
        <w:rPr>
          <w:rFonts w:cs="Meta Serif Pro Book"/>
          <w:color w:val="000000"/>
        </w:rPr>
        <w:t>summer</w:t>
      </w:r>
      <w:r w:rsidR="002F5BAD" w:rsidRPr="00884BE2">
        <w:rPr>
          <w:rFonts w:cs="Meta Serif Pro Book"/>
          <w:color w:val="000000"/>
        </w:rPr>
        <w:t xml:space="preserve">. In non-equatorial countries, </w:t>
      </w:r>
      <w:r w:rsidR="00342225" w:rsidRPr="00884BE2">
        <w:rPr>
          <w:rFonts w:cs="Meta Serif Pro Book"/>
          <w:color w:val="000000"/>
        </w:rPr>
        <w:t>including the UK, daylight hours va</w:t>
      </w:r>
      <w:r w:rsidR="002F5BAD" w:rsidRPr="00884BE2">
        <w:rPr>
          <w:rFonts w:cs="Meta Serif Pro Book"/>
          <w:color w:val="000000"/>
        </w:rPr>
        <w:t>ry significantly b</w:t>
      </w:r>
      <w:r w:rsidR="00342225" w:rsidRPr="00884BE2">
        <w:rPr>
          <w:rFonts w:cs="Meta Serif Pro Book"/>
          <w:color w:val="000000"/>
        </w:rPr>
        <w:t xml:space="preserve">etween </w:t>
      </w:r>
      <w:proofErr w:type="gramStart"/>
      <w:r w:rsidR="00342225" w:rsidRPr="00884BE2">
        <w:rPr>
          <w:rFonts w:cs="Meta Serif Pro Book"/>
          <w:color w:val="000000"/>
        </w:rPr>
        <w:t>summer</w:t>
      </w:r>
      <w:proofErr w:type="gramEnd"/>
      <w:r w:rsidR="00342225" w:rsidRPr="00884BE2">
        <w:rPr>
          <w:rFonts w:cs="Meta Serif Pro Book"/>
          <w:color w:val="000000"/>
        </w:rPr>
        <w:t xml:space="preserve"> and winter months;</w:t>
      </w:r>
      <w:r w:rsidR="002F5BAD" w:rsidRPr="00884BE2">
        <w:rPr>
          <w:rFonts w:cs="Meta Serif Pro Book"/>
          <w:color w:val="000000"/>
        </w:rPr>
        <w:t xml:space="preserve"> </w:t>
      </w:r>
      <w:r w:rsidR="00342225" w:rsidRPr="00884BE2">
        <w:rPr>
          <w:rFonts w:cs="Meta Serif Pro Book"/>
          <w:color w:val="000000"/>
        </w:rPr>
        <w:t xml:space="preserve">with </w:t>
      </w:r>
      <w:r w:rsidR="002F5BAD" w:rsidRPr="00884BE2">
        <w:rPr>
          <w:rFonts w:cs="Meta Serif Pro Book"/>
          <w:color w:val="000000"/>
        </w:rPr>
        <w:t>the length of fast</w:t>
      </w:r>
      <w:r w:rsidR="005320B4" w:rsidRPr="00884BE2">
        <w:rPr>
          <w:rFonts w:cs="Meta Serif Pro Book"/>
          <w:color w:val="000000"/>
        </w:rPr>
        <w:t>s</w:t>
      </w:r>
      <w:r w:rsidR="002F5BAD" w:rsidRPr="00884BE2">
        <w:rPr>
          <w:rFonts w:cs="Meta Serif Pro Book"/>
          <w:color w:val="000000"/>
        </w:rPr>
        <w:t xml:space="preserve"> in summer </w:t>
      </w:r>
      <w:r w:rsidR="00342225" w:rsidRPr="00884BE2">
        <w:rPr>
          <w:rFonts w:cs="Meta Serif Pro Book"/>
          <w:color w:val="000000"/>
        </w:rPr>
        <w:t>between</w:t>
      </w:r>
      <w:r w:rsidR="002F5BAD" w:rsidRPr="00884BE2">
        <w:rPr>
          <w:rFonts w:cs="Meta Serif Pro Book"/>
          <w:color w:val="000000"/>
        </w:rPr>
        <w:t xml:space="preserve"> 16-20 hours</w:t>
      </w:r>
      <w:r w:rsidR="005B66ED" w:rsidRPr="00884BE2">
        <w:rPr>
          <w:rFonts w:cs="Meta Serif Pro Book"/>
          <w:color w:val="000000"/>
        </w:rPr>
        <w:t>, compared to 7-11 hours in winter</w:t>
      </w:r>
      <w:r w:rsidR="002F5BAD" w:rsidRPr="00884BE2">
        <w:rPr>
          <w:rFonts w:cs="Meta Serif Pro Book"/>
          <w:color w:val="000000"/>
        </w:rPr>
        <w:t xml:space="preserve">. </w:t>
      </w:r>
      <w:r w:rsidR="00134CF1" w:rsidRPr="00884BE2">
        <w:t xml:space="preserve">The EPIDIAR study </w:t>
      </w:r>
      <w:r w:rsidR="005B66ED" w:rsidRPr="00884BE2">
        <w:t>was conducted during winter months, largely in countries within the Northern hemisphere when the duration of fast</w:t>
      </w:r>
      <w:r w:rsidR="005320B4" w:rsidRPr="00884BE2">
        <w:t>s</w:t>
      </w:r>
      <w:r w:rsidR="005B66ED" w:rsidRPr="00884BE2">
        <w:t xml:space="preserve"> was short.</w:t>
      </w:r>
      <w:r w:rsidR="00856D15" w:rsidRPr="00884BE2">
        <w:t>[6</w:t>
      </w:r>
      <w:r w:rsidR="00E5746C" w:rsidRPr="00884BE2">
        <w:t>]</w:t>
      </w:r>
      <w:r w:rsidR="005B66ED" w:rsidRPr="00884BE2">
        <w:t xml:space="preserve"> There is no available </w:t>
      </w:r>
      <w:r w:rsidR="005B66ED" w:rsidRPr="00884BE2">
        <w:lastRenderedPageBreak/>
        <w:t xml:space="preserve">data regarding how many Muslims with diabetes fast </w:t>
      </w:r>
      <w:r w:rsidR="00423490" w:rsidRPr="00884BE2">
        <w:t>in</w:t>
      </w:r>
      <w:r w:rsidR="005B66ED" w:rsidRPr="00884BE2">
        <w:t xml:space="preserve"> Ramadan during summer time </w:t>
      </w:r>
      <w:r w:rsidR="00A504BA" w:rsidRPr="00884BE2">
        <w:t>or the</w:t>
      </w:r>
      <w:r w:rsidR="00423490" w:rsidRPr="00884BE2">
        <w:t xml:space="preserve"> associated physiological consequences</w:t>
      </w:r>
      <w:r w:rsidR="00BD42BC" w:rsidRPr="00884BE2">
        <w:t>,</w:t>
      </w:r>
      <w:r w:rsidR="00423490" w:rsidRPr="00884BE2">
        <w:t xml:space="preserve"> </w:t>
      </w:r>
      <w:r w:rsidR="005B66ED" w:rsidRPr="00884BE2">
        <w:t>when the duration of fasting is much longer.</w:t>
      </w:r>
    </w:p>
    <w:p w:rsidR="00342225" w:rsidRPr="00884BE2" w:rsidRDefault="00342225" w:rsidP="00511E19">
      <w:pPr>
        <w:tabs>
          <w:tab w:val="left" w:pos="7513"/>
        </w:tabs>
        <w:autoSpaceDE w:val="0"/>
        <w:autoSpaceDN w:val="0"/>
        <w:adjustRightInd w:val="0"/>
        <w:spacing w:after="0" w:line="360" w:lineRule="auto"/>
        <w:jc w:val="both"/>
        <w:rPr>
          <w:rFonts w:cs="Meta Serif Pro Book"/>
          <w:color w:val="000000"/>
        </w:rPr>
      </w:pPr>
    </w:p>
    <w:p w:rsidR="00B47EDC" w:rsidRPr="00884BE2" w:rsidRDefault="001E2C63" w:rsidP="00511E19">
      <w:pPr>
        <w:tabs>
          <w:tab w:val="left" w:pos="7513"/>
        </w:tabs>
        <w:autoSpaceDE w:val="0"/>
        <w:autoSpaceDN w:val="0"/>
        <w:adjustRightInd w:val="0"/>
        <w:spacing w:after="0" w:line="360" w:lineRule="auto"/>
        <w:jc w:val="both"/>
        <w:rPr>
          <w:rFonts w:cs="Meta Serif Pro Book"/>
          <w:color w:val="000000"/>
        </w:rPr>
      </w:pPr>
      <w:r w:rsidRPr="00884BE2">
        <w:rPr>
          <w:rFonts w:cs="Meta Serif Pro Book"/>
          <w:color w:val="000000"/>
        </w:rPr>
        <w:t xml:space="preserve">Two previous reviews </w:t>
      </w:r>
      <w:r w:rsidR="00137E3E" w:rsidRPr="00884BE2">
        <w:rPr>
          <w:rFonts w:cs="Meta Serif Pro Book"/>
          <w:color w:val="000000"/>
        </w:rPr>
        <w:t xml:space="preserve">and the American Diabetes Associations </w:t>
      </w:r>
      <w:r w:rsidR="00D00172" w:rsidRPr="00884BE2">
        <w:rPr>
          <w:rFonts w:cs="Meta Serif Pro Book"/>
          <w:color w:val="000000"/>
        </w:rPr>
        <w:t xml:space="preserve">2010 </w:t>
      </w:r>
      <w:r w:rsidR="00137E3E" w:rsidRPr="00884BE2">
        <w:rPr>
          <w:rFonts w:cs="Meta Serif Pro Book"/>
          <w:color w:val="000000"/>
        </w:rPr>
        <w:t>recommendations</w:t>
      </w:r>
      <w:r w:rsidR="002D7251" w:rsidRPr="00884BE2">
        <w:rPr>
          <w:rFonts w:cs="Meta Serif Pro Book"/>
          <w:color w:val="000000"/>
        </w:rPr>
        <w:t xml:space="preserve"> </w:t>
      </w:r>
      <w:r w:rsidR="008456DB" w:rsidRPr="00884BE2">
        <w:rPr>
          <w:rFonts w:cs="Meta Serif Pro Book"/>
          <w:color w:val="000000"/>
        </w:rPr>
        <w:t>ha</w:t>
      </w:r>
      <w:r w:rsidR="002D7251" w:rsidRPr="00884BE2">
        <w:rPr>
          <w:rFonts w:cs="Meta Serif Pro Book"/>
          <w:color w:val="000000"/>
        </w:rPr>
        <w:t>ve</w:t>
      </w:r>
      <w:r w:rsidR="008456DB" w:rsidRPr="00884BE2">
        <w:rPr>
          <w:rFonts w:cs="Meta Serif Pro Book"/>
          <w:color w:val="000000"/>
        </w:rPr>
        <w:t xml:space="preserve"> provided </w:t>
      </w:r>
      <w:r w:rsidR="00B73BD3" w:rsidRPr="00884BE2">
        <w:rPr>
          <w:rFonts w:cs="Meta Serif Pro Book"/>
          <w:color w:val="000000"/>
        </w:rPr>
        <w:t>guidance</w:t>
      </w:r>
      <w:r w:rsidR="008456DB" w:rsidRPr="00884BE2">
        <w:rPr>
          <w:rFonts w:cs="Meta Serif Pro Book"/>
          <w:color w:val="000000"/>
        </w:rPr>
        <w:t xml:space="preserve"> in the management of diabetes in Ramadan</w:t>
      </w:r>
      <w:r w:rsidR="001E334D" w:rsidRPr="00884BE2">
        <w:rPr>
          <w:rFonts w:cs="Meta Serif Pro Book"/>
          <w:color w:val="000000"/>
        </w:rPr>
        <w:t>.</w:t>
      </w:r>
      <w:r w:rsidR="001B3ECF" w:rsidRPr="00884BE2">
        <w:rPr>
          <w:rFonts w:cs="Meta Serif Pro Book"/>
          <w:color w:val="000000"/>
        </w:rPr>
        <w:t>[</w:t>
      </w:r>
      <w:r w:rsidRPr="00884BE2">
        <w:rPr>
          <w:rFonts w:cs="Meta Serif Pro Book"/>
          <w:color w:val="000000"/>
        </w:rPr>
        <w:t>8,9</w:t>
      </w:r>
      <w:r w:rsidR="001B3ECF" w:rsidRPr="00884BE2">
        <w:rPr>
          <w:rFonts w:cs="Meta Serif Pro Book"/>
          <w:color w:val="000000"/>
        </w:rPr>
        <w:t>]</w:t>
      </w:r>
      <w:r w:rsidR="001E334D" w:rsidRPr="00884BE2">
        <w:rPr>
          <w:rFonts w:cs="Meta Serif Pro Book"/>
          <w:color w:val="000000"/>
        </w:rPr>
        <w:t xml:space="preserve"> However, </w:t>
      </w:r>
      <w:r w:rsidR="00F16B87" w:rsidRPr="00884BE2">
        <w:rPr>
          <w:rFonts w:cs="Meta Serif Pro Book"/>
          <w:color w:val="000000"/>
        </w:rPr>
        <w:t xml:space="preserve">at the time </w:t>
      </w:r>
      <w:r w:rsidR="00D00172" w:rsidRPr="00884BE2">
        <w:rPr>
          <w:rFonts w:cs="Meta Serif Pro Book"/>
          <w:color w:val="000000"/>
        </w:rPr>
        <w:t xml:space="preserve">of publication </w:t>
      </w:r>
      <w:r w:rsidR="001E334D" w:rsidRPr="00884BE2">
        <w:rPr>
          <w:rFonts w:cs="Meta Serif Pro Book"/>
          <w:color w:val="000000"/>
        </w:rPr>
        <w:t xml:space="preserve">there was limited information regarding </w:t>
      </w:r>
      <w:r w:rsidR="00B73BD3" w:rsidRPr="00884BE2">
        <w:rPr>
          <w:rFonts w:cs="Meta Serif Pro Book"/>
          <w:color w:val="000000"/>
        </w:rPr>
        <w:t xml:space="preserve">the </w:t>
      </w:r>
      <w:r w:rsidR="008456DB" w:rsidRPr="00884BE2">
        <w:rPr>
          <w:rFonts w:cs="Meta Serif Pro Book"/>
          <w:color w:val="000000"/>
        </w:rPr>
        <w:t>us</w:t>
      </w:r>
      <w:r w:rsidR="00D92880" w:rsidRPr="00884BE2">
        <w:rPr>
          <w:rFonts w:cs="Meta Serif Pro Book"/>
          <w:color w:val="000000"/>
        </w:rPr>
        <w:t xml:space="preserve">e </w:t>
      </w:r>
      <w:r w:rsidR="00B73BD3" w:rsidRPr="00884BE2">
        <w:rPr>
          <w:rFonts w:cs="Meta Serif Pro Book"/>
          <w:color w:val="000000"/>
        </w:rPr>
        <w:t xml:space="preserve">of </w:t>
      </w:r>
      <w:proofErr w:type="spellStart"/>
      <w:r w:rsidR="008450E1" w:rsidRPr="00884BE2">
        <w:rPr>
          <w:rFonts w:cs="Meta Serif Pro Book"/>
          <w:color w:val="000000"/>
        </w:rPr>
        <w:t>incretin</w:t>
      </w:r>
      <w:proofErr w:type="spellEnd"/>
      <w:r w:rsidR="008450E1" w:rsidRPr="00884BE2">
        <w:rPr>
          <w:rFonts w:cs="Meta Serif Pro Book"/>
          <w:color w:val="000000"/>
        </w:rPr>
        <w:t xml:space="preserve"> based therapies and newer agents, such as </w:t>
      </w:r>
      <w:r w:rsidR="005B66ED" w:rsidRPr="00884BE2">
        <w:rPr>
          <w:rFonts w:cs="Meta Serif Pro Book"/>
          <w:color w:val="000000"/>
        </w:rPr>
        <w:t xml:space="preserve">the </w:t>
      </w:r>
      <w:r w:rsidR="00134CF1" w:rsidRPr="00884BE2">
        <w:rPr>
          <w:rFonts w:cs="Meta Serif Pro Book"/>
          <w:color w:val="000000"/>
        </w:rPr>
        <w:t xml:space="preserve">SGLT-2 </w:t>
      </w:r>
      <w:r w:rsidR="008450E1" w:rsidRPr="00884BE2">
        <w:rPr>
          <w:rFonts w:cs="Meta Serif Pro Book"/>
          <w:color w:val="000000"/>
        </w:rPr>
        <w:t>inhibitors</w:t>
      </w:r>
      <w:r w:rsidR="00134CF1" w:rsidRPr="00884BE2">
        <w:rPr>
          <w:rFonts w:cs="Meta Serif Pro Book"/>
          <w:color w:val="000000"/>
        </w:rPr>
        <w:t xml:space="preserve"> </w:t>
      </w:r>
      <w:r w:rsidR="00D92880" w:rsidRPr="00884BE2">
        <w:rPr>
          <w:rFonts w:cs="Meta Serif Pro Book"/>
          <w:color w:val="000000"/>
        </w:rPr>
        <w:t xml:space="preserve">in </w:t>
      </w:r>
      <w:r w:rsidR="001E334D" w:rsidRPr="00884BE2">
        <w:rPr>
          <w:rFonts w:cs="Meta Serif Pro Book"/>
          <w:color w:val="000000"/>
        </w:rPr>
        <w:t xml:space="preserve">Ramadan. With emergence of </w:t>
      </w:r>
      <w:r w:rsidR="00F16B87" w:rsidRPr="00884BE2">
        <w:rPr>
          <w:rFonts w:cs="Meta Serif Pro Book"/>
          <w:color w:val="000000"/>
        </w:rPr>
        <w:t xml:space="preserve">recent </w:t>
      </w:r>
      <w:r w:rsidR="00781BE7" w:rsidRPr="00884BE2">
        <w:rPr>
          <w:rFonts w:cs="Meta Serif Pro Book"/>
          <w:color w:val="000000"/>
        </w:rPr>
        <w:t>randomised controlled trial</w:t>
      </w:r>
      <w:r w:rsidR="00F93DFE" w:rsidRPr="00884BE2">
        <w:rPr>
          <w:rFonts w:cs="Meta Serif Pro Book"/>
          <w:color w:val="000000"/>
        </w:rPr>
        <w:t>s</w:t>
      </w:r>
      <w:r w:rsidR="00781BE7" w:rsidRPr="00884BE2">
        <w:rPr>
          <w:rFonts w:cs="Meta Serif Pro Book"/>
          <w:color w:val="000000"/>
        </w:rPr>
        <w:t>, STEADFAST</w:t>
      </w:r>
      <w:r w:rsidR="00F93DFE" w:rsidRPr="00884BE2">
        <w:rPr>
          <w:rFonts w:cs="Meta Serif Pro Book"/>
          <w:color w:val="000000"/>
        </w:rPr>
        <w:t xml:space="preserve"> </w:t>
      </w:r>
      <w:r w:rsidR="005B66ED" w:rsidRPr="00884BE2">
        <w:rPr>
          <w:rFonts w:cs="Meta Serif Pro Book"/>
          <w:color w:val="000000"/>
        </w:rPr>
        <w:t>[</w:t>
      </w:r>
      <w:r w:rsidRPr="00884BE2">
        <w:rPr>
          <w:rFonts w:cs="Meta Serif Pro Book"/>
          <w:color w:val="000000"/>
        </w:rPr>
        <w:t>10</w:t>
      </w:r>
      <w:r w:rsidR="005B66ED" w:rsidRPr="00884BE2">
        <w:rPr>
          <w:rFonts w:cs="Meta Serif Pro Book"/>
          <w:color w:val="000000"/>
        </w:rPr>
        <w:t xml:space="preserve">] </w:t>
      </w:r>
      <w:r w:rsidR="00F93DFE" w:rsidRPr="00884BE2">
        <w:rPr>
          <w:rFonts w:cs="Meta Serif Pro Book"/>
          <w:color w:val="000000"/>
        </w:rPr>
        <w:t>and Treat 4 Ramadan</w:t>
      </w:r>
      <w:r w:rsidR="00510A16" w:rsidRPr="00884BE2">
        <w:rPr>
          <w:rFonts w:cs="Meta Serif Pro Book"/>
          <w:color w:val="000000"/>
        </w:rPr>
        <w:t xml:space="preserve"> [1</w:t>
      </w:r>
      <w:r w:rsidRPr="00884BE2">
        <w:rPr>
          <w:rFonts w:cs="Meta Serif Pro Book"/>
          <w:color w:val="000000"/>
        </w:rPr>
        <w:t>1</w:t>
      </w:r>
      <w:r w:rsidR="00510A16" w:rsidRPr="00884BE2">
        <w:rPr>
          <w:rFonts w:cs="Meta Serif Pro Book"/>
          <w:color w:val="000000"/>
        </w:rPr>
        <w:t>]</w:t>
      </w:r>
      <w:r w:rsidR="00F93DFE" w:rsidRPr="00884BE2">
        <w:rPr>
          <w:rFonts w:cs="Meta Serif Pro Book"/>
          <w:color w:val="000000"/>
        </w:rPr>
        <w:t>,</w:t>
      </w:r>
      <w:r w:rsidR="00781BE7" w:rsidRPr="00884BE2">
        <w:rPr>
          <w:rFonts w:cs="Meta Serif Pro Book"/>
          <w:color w:val="000000"/>
        </w:rPr>
        <w:t xml:space="preserve"> </w:t>
      </w:r>
      <w:r w:rsidR="008450E1" w:rsidRPr="00884BE2">
        <w:rPr>
          <w:rFonts w:cs="Meta Serif Pro Book"/>
          <w:color w:val="000000"/>
        </w:rPr>
        <w:t xml:space="preserve">together with several observational studies </w:t>
      </w:r>
      <w:r w:rsidR="00E5746C" w:rsidRPr="00884BE2">
        <w:rPr>
          <w:rFonts w:cs="Meta Serif Pro Book"/>
          <w:color w:val="000000"/>
        </w:rPr>
        <w:t>[</w:t>
      </w:r>
      <w:r w:rsidR="00B233DC" w:rsidRPr="00884BE2">
        <w:rPr>
          <w:rFonts w:cs="Meta Serif Pro Book"/>
          <w:color w:val="000000"/>
        </w:rPr>
        <w:t>1</w:t>
      </w:r>
      <w:r w:rsidR="008D24F1" w:rsidRPr="00884BE2">
        <w:rPr>
          <w:rFonts w:cs="Meta Serif Pro Book"/>
          <w:color w:val="000000"/>
        </w:rPr>
        <w:t>2</w:t>
      </w:r>
      <w:r w:rsidR="00B233DC" w:rsidRPr="00884BE2">
        <w:rPr>
          <w:rFonts w:cs="Meta Serif Pro Book"/>
          <w:color w:val="000000"/>
        </w:rPr>
        <w:t>,</w:t>
      </w:r>
      <w:r w:rsidR="00E5746C" w:rsidRPr="00884BE2">
        <w:rPr>
          <w:rFonts w:cs="Meta Serif Pro Book"/>
          <w:color w:val="000000"/>
        </w:rPr>
        <w:t>1</w:t>
      </w:r>
      <w:r w:rsidR="008D24F1" w:rsidRPr="00884BE2">
        <w:rPr>
          <w:rFonts w:cs="Meta Serif Pro Book"/>
          <w:color w:val="000000"/>
        </w:rPr>
        <w:t>3</w:t>
      </w:r>
      <w:r w:rsidR="00E5746C" w:rsidRPr="00884BE2">
        <w:rPr>
          <w:rFonts w:cs="Meta Serif Pro Book"/>
          <w:color w:val="000000"/>
        </w:rPr>
        <w:t xml:space="preserve">] </w:t>
      </w:r>
      <w:r w:rsidR="008450E1" w:rsidRPr="00884BE2">
        <w:rPr>
          <w:rFonts w:cs="Meta Serif Pro Book"/>
          <w:color w:val="000000"/>
        </w:rPr>
        <w:t xml:space="preserve">and </w:t>
      </w:r>
      <w:r w:rsidR="001E334D" w:rsidRPr="00884BE2">
        <w:rPr>
          <w:rFonts w:cs="Meta Serif Pro Book"/>
          <w:color w:val="000000"/>
        </w:rPr>
        <w:t>the</w:t>
      </w:r>
      <w:r w:rsidR="008D5C0A" w:rsidRPr="00884BE2">
        <w:rPr>
          <w:rFonts w:cs="Meta Serif Pro Book"/>
          <w:color w:val="000000"/>
        </w:rPr>
        <w:t xml:space="preserve"> increasing use of these agents </w:t>
      </w:r>
      <w:r w:rsidR="001E334D" w:rsidRPr="00884BE2">
        <w:rPr>
          <w:rFonts w:cs="Meta Serif Pro Book"/>
          <w:color w:val="000000"/>
        </w:rPr>
        <w:t>in p</w:t>
      </w:r>
      <w:r w:rsidR="002047C6" w:rsidRPr="00884BE2">
        <w:rPr>
          <w:rFonts w:cs="Meta Serif Pro Book"/>
          <w:color w:val="000000"/>
        </w:rPr>
        <w:t>eople</w:t>
      </w:r>
      <w:r w:rsidR="001E334D" w:rsidRPr="00884BE2">
        <w:rPr>
          <w:rFonts w:cs="Meta Serif Pro Book"/>
          <w:color w:val="000000"/>
        </w:rPr>
        <w:t xml:space="preserve"> with </w:t>
      </w:r>
      <w:r w:rsidR="00B0706B" w:rsidRPr="00884BE2">
        <w:rPr>
          <w:rFonts w:cs="Meta Serif Pro Book"/>
          <w:color w:val="000000"/>
        </w:rPr>
        <w:t xml:space="preserve">type 2 </w:t>
      </w:r>
      <w:r w:rsidR="001E334D" w:rsidRPr="00884BE2">
        <w:rPr>
          <w:rFonts w:cs="Meta Serif Pro Book"/>
          <w:color w:val="000000"/>
        </w:rPr>
        <w:t>diabetes</w:t>
      </w:r>
      <w:r w:rsidR="00362D20" w:rsidRPr="00884BE2">
        <w:rPr>
          <w:rFonts w:cs="Meta Serif Pro Book"/>
          <w:color w:val="000000"/>
        </w:rPr>
        <w:t xml:space="preserve">, </w:t>
      </w:r>
      <w:r w:rsidR="00B73BD3" w:rsidRPr="00884BE2">
        <w:rPr>
          <w:rFonts w:cs="Meta Serif Pro Book"/>
          <w:color w:val="000000"/>
        </w:rPr>
        <w:t>newer guidance is required.</w:t>
      </w:r>
      <w:r w:rsidR="00510A16" w:rsidRPr="00884BE2">
        <w:rPr>
          <w:rFonts w:cs="Meta Serif Pro Book"/>
          <w:color w:val="000000"/>
        </w:rPr>
        <w:t xml:space="preserve"> </w:t>
      </w:r>
      <w:r w:rsidR="001E334D" w:rsidRPr="00884BE2">
        <w:rPr>
          <w:rFonts w:cs="Meta Serif Pro Book"/>
          <w:color w:val="000000"/>
        </w:rPr>
        <w:t>Thus, w</w:t>
      </w:r>
      <w:r w:rsidR="00B73BD3" w:rsidRPr="00884BE2">
        <w:rPr>
          <w:rFonts w:cs="Meta Serif Pro Book"/>
          <w:color w:val="000000"/>
        </w:rPr>
        <w:t xml:space="preserve">e have </w:t>
      </w:r>
      <w:r w:rsidR="001E334D" w:rsidRPr="00884BE2">
        <w:rPr>
          <w:rFonts w:cs="Meta Serif Pro Book"/>
          <w:color w:val="000000"/>
        </w:rPr>
        <w:t xml:space="preserve">reviewed </w:t>
      </w:r>
      <w:r w:rsidR="00B73BD3" w:rsidRPr="00884BE2">
        <w:rPr>
          <w:rFonts w:cs="Meta Serif Pro Book"/>
          <w:color w:val="000000"/>
        </w:rPr>
        <w:t>b</w:t>
      </w:r>
      <w:r w:rsidR="001E334D" w:rsidRPr="00884BE2">
        <w:rPr>
          <w:rFonts w:cs="Meta Serif Pro Book"/>
          <w:color w:val="000000"/>
        </w:rPr>
        <w:t xml:space="preserve">oth current </w:t>
      </w:r>
      <w:r w:rsidR="00B73BD3" w:rsidRPr="00884BE2">
        <w:rPr>
          <w:rFonts w:cs="Meta Serif Pro Book"/>
          <w:color w:val="000000"/>
        </w:rPr>
        <w:t>evidence</w:t>
      </w:r>
      <w:r w:rsidR="001E334D" w:rsidRPr="00884BE2">
        <w:rPr>
          <w:rFonts w:cs="Meta Serif Pro Book"/>
          <w:color w:val="000000"/>
        </w:rPr>
        <w:t xml:space="preserve"> and </w:t>
      </w:r>
      <w:r w:rsidR="00B0706B" w:rsidRPr="00884BE2">
        <w:rPr>
          <w:rFonts w:cs="Meta Serif Pro Book"/>
          <w:color w:val="000000"/>
        </w:rPr>
        <w:t xml:space="preserve">expert consensus </w:t>
      </w:r>
      <w:r w:rsidR="001E334D" w:rsidRPr="00884BE2">
        <w:rPr>
          <w:rFonts w:cs="Meta Serif Pro Book"/>
          <w:color w:val="000000"/>
        </w:rPr>
        <w:t>guidelines</w:t>
      </w:r>
      <w:r w:rsidR="00B73BD3" w:rsidRPr="00884BE2">
        <w:rPr>
          <w:rFonts w:cs="Meta Serif Pro Book"/>
          <w:color w:val="000000"/>
        </w:rPr>
        <w:t xml:space="preserve"> </w:t>
      </w:r>
      <w:r w:rsidR="001E334D" w:rsidRPr="00884BE2">
        <w:rPr>
          <w:rFonts w:cs="Meta Serif Pro Book"/>
          <w:color w:val="000000"/>
        </w:rPr>
        <w:t>for management of diabetes in Ramadan</w:t>
      </w:r>
      <w:r w:rsidR="00B14D54" w:rsidRPr="00884BE2">
        <w:rPr>
          <w:rFonts w:cs="Meta Serif Pro Book"/>
          <w:color w:val="000000"/>
        </w:rPr>
        <w:t>. Here, we</w:t>
      </w:r>
      <w:r w:rsidR="001E334D" w:rsidRPr="00884BE2">
        <w:rPr>
          <w:rFonts w:cs="Meta Serif Pro Book"/>
          <w:color w:val="000000"/>
        </w:rPr>
        <w:t xml:space="preserve"> pr</w:t>
      </w:r>
      <w:r w:rsidR="00B14D54" w:rsidRPr="00884BE2">
        <w:rPr>
          <w:rFonts w:cs="Meta Serif Pro Book"/>
          <w:color w:val="000000"/>
        </w:rPr>
        <w:t>esent</w:t>
      </w:r>
      <w:r w:rsidR="001E334D" w:rsidRPr="00884BE2">
        <w:rPr>
          <w:rFonts w:cs="Meta Serif Pro Book"/>
          <w:color w:val="000000"/>
        </w:rPr>
        <w:t xml:space="preserve"> our recommendations for the optimal</w:t>
      </w:r>
      <w:r w:rsidR="00B73BD3" w:rsidRPr="00884BE2">
        <w:rPr>
          <w:rFonts w:cs="Meta Serif Pro Book"/>
          <w:color w:val="000000"/>
        </w:rPr>
        <w:t xml:space="preserve"> management of Muslim patients with diabetes who wish to fast during Ramadan. </w:t>
      </w:r>
    </w:p>
    <w:p w:rsidR="00555C88" w:rsidRPr="00884BE2" w:rsidRDefault="00555C88" w:rsidP="00511E19">
      <w:pPr>
        <w:tabs>
          <w:tab w:val="left" w:pos="7513"/>
        </w:tabs>
        <w:autoSpaceDE w:val="0"/>
        <w:autoSpaceDN w:val="0"/>
        <w:adjustRightInd w:val="0"/>
        <w:spacing w:after="0" w:line="360" w:lineRule="auto"/>
        <w:jc w:val="both"/>
        <w:rPr>
          <w:rFonts w:cs="ArialMT-Regular"/>
          <w:sz w:val="24"/>
          <w:szCs w:val="20"/>
        </w:rPr>
      </w:pPr>
    </w:p>
    <w:p w:rsidR="004C10E2" w:rsidRPr="00884BE2" w:rsidRDefault="00FF288B" w:rsidP="00511E19">
      <w:pPr>
        <w:tabs>
          <w:tab w:val="left" w:pos="7513"/>
        </w:tabs>
        <w:spacing w:line="360" w:lineRule="auto"/>
        <w:jc w:val="both"/>
        <w:rPr>
          <w:b/>
          <w:sz w:val="24"/>
        </w:rPr>
      </w:pPr>
      <w:r w:rsidRPr="00884BE2">
        <w:rPr>
          <w:b/>
          <w:sz w:val="24"/>
        </w:rPr>
        <w:t>Risks associated with</w:t>
      </w:r>
      <w:r w:rsidR="006A559D" w:rsidRPr="00884BE2">
        <w:rPr>
          <w:b/>
          <w:sz w:val="24"/>
        </w:rPr>
        <w:t xml:space="preserve"> fasting</w:t>
      </w:r>
    </w:p>
    <w:p w:rsidR="00DF60DB" w:rsidRPr="00884BE2" w:rsidRDefault="00703859" w:rsidP="00511E19">
      <w:pPr>
        <w:tabs>
          <w:tab w:val="left" w:pos="7513"/>
        </w:tabs>
        <w:spacing w:line="360" w:lineRule="auto"/>
        <w:jc w:val="both"/>
        <w:rPr>
          <w:b/>
        </w:rPr>
      </w:pPr>
      <w:r w:rsidRPr="00884BE2">
        <w:t>In certain circumstances</w:t>
      </w:r>
      <w:r w:rsidR="0099790F" w:rsidRPr="00884BE2">
        <w:t xml:space="preserve"> of ill-health</w:t>
      </w:r>
      <w:r w:rsidR="00B26849" w:rsidRPr="00884BE2">
        <w:t xml:space="preserve">, fasting </w:t>
      </w:r>
      <w:r w:rsidR="00ED2E96" w:rsidRPr="00884BE2">
        <w:t xml:space="preserve">can be detrimental. </w:t>
      </w:r>
      <w:r w:rsidR="000874FA" w:rsidRPr="00884BE2">
        <w:t xml:space="preserve">The Qur’an states that in illness, an individual is exempt from fasting. </w:t>
      </w:r>
      <w:r w:rsidR="00D95996" w:rsidRPr="00884BE2">
        <w:t>I</w:t>
      </w:r>
      <w:r w:rsidR="00600E4F" w:rsidRPr="00884BE2">
        <w:t xml:space="preserve">f </w:t>
      </w:r>
      <w:r w:rsidR="005439C4" w:rsidRPr="00884BE2">
        <w:t xml:space="preserve">an individual </w:t>
      </w:r>
      <w:r w:rsidR="00D95996" w:rsidRPr="00884BE2">
        <w:t>is</w:t>
      </w:r>
      <w:r w:rsidR="005439C4" w:rsidRPr="00884BE2">
        <w:t xml:space="preserve"> </w:t>
      </w:r>
      <w:r w:rsidR="00600E4F" w:rsidRPr="00884BE2">
        <w:t xml:space="preserve">advised </w:t>
      </w:r>
      <w:r w:rsidR="005439C4" w:rsidRPr="00884BE2">
        <w:t>by a medical professional that fasting would be potentially detrimental</w:t>
      </w:r>
      <w:r w:rsidR="00600E4F" w:rsidRPr="00884BE2">
        <w:t xml:space="preserve">, then </w:t>
      </w:r>
      <w:r w:rsidR="005439C4" w:rsidRPr="00884BE2">
        <w:t xml:space="preserve">most Muslims and their religious authorities would agree </w:t>
      </w:r>
      <w:r w:rsidR="00600E4F" w:rsidRPr="00884BE2">
        <w:t xml:space="preserve">that </w:t>
      </w:r>
      <w:r w:rsidR="005439C4" w:rsidRPr="00884BE2">
        <w:t xml:space="preserve">the individual should </w:t>
      </w:r>
      <w:r w:rsidR="00600E4F" w:rsidRPr="00884BE2">
        <w:t>abstain from fasting</w:t>
      </w:r>
      <w:proofErr w:type="gramStart"/>
      <w:r w:rsidR="00600E4F" w:rsidRPr="00884BE2">
        <w:t>.</w:t>
      </w:r>
      <w:r w:rsidR="001B3ECF" w:rsidRPr="00884BE2">
        <w:t>[</w:t>
      </w:r>
      <w:proofErr w:type="gramEnd"/>
      <w:r w:rsidR="00856D15" w:rsidRPr="00884BE2">
        <w:t>1</w:t>
      </w:r>
      <w:r w:rsidR="008D24F1" w:rsidRPr="00884BE2">
        <w:t>4</w:t>
      </w:r>
      <w:r w:rsidR="001B3ECF" w:rsidRPr="00884BE2">
        <w:t>]</w:t>
      </w:r>
    </w:p>
    <w:p w:rsidR="009235D4" w:rsidRPr="00884BE2" w:rsidRDefault="00B446BA" w:rsidP="00511E19">
      <w:pPr>
        <w:tabs>
          <w:tab w:val="left" w:pos="7513"/>
        </w:tabs>
        <w:autoSpaceDE w:val="0"/>
        <w:autoSpaceDN w:val="0"/>
        <w:adjustRightInd w:val="0"/>
        <w:spacing w:before="240" w:after="0" w:line="360" w:lineRule="auto"/>
        <w:jc w:val="both"/>
        <w:rPr>
          <w:rFonts w:cs="ArialMT-Regular"/>
          <w:color w:val="0070C0"/>
          <w:sz w:val="24"/>
          <w:szCs w:val="20"/>
        </w:rPr>
      </w:pPr>
      <w:r w:rsidRPr="00884BE2">
        <w:t>The</w:t>
      </w:r>
      <w:r w:rsidR="00ED2E96" w:rsidRPr="00884BE2">
        <w:t xml:space="preserve"> </w:t>
      </w:r>
      <w:r w:rsidRPr="00884BE2">
        <w:t xml:space="preserve">risks of fasting to patients with diabetes are </w:t>
      </w:r>
      <w:r w:rsidR="00A41910" w:rsidRPr="00884BE2">
        <w:t xml:space="preserve">principally </w:t>
      </w:r>
      <w:r w:rsidRPr="00884BE2">
        <w:t>hypoglycaemia, hyperglycaemia and dehydration</w:t>
      </w:r>
      <w:r w:rsidR="007E3A3D" w:rsidRPr="00884BE2">
        <w:t xml:space="preserve">, </w:t>
      </w:r>
      <w:r w:rsidR="001F484B" w:rsidRPr="00884BE2">
        <w:t xml:space="preserve">as well as an </w:t>
      </w:r>
      <w:r w:rsidR="00D64E25" w:rsidRPr="00884BE2">
        <w:t xml:space="preserve">increased risk of thrombosis, </w:t>
      </w:r>
      <w:r w:rsidR="007E3A3D" w:rsidRPr="00884BE2">
        <w:t>occ</w:t>
      </w:r>
      <w:r w:rsidR="00D64E25" w:rsidRPr="00884BE2">
        <w:t>ur</w:t>
      </w:r>
      <w:r w:rsidR="007E3A3D" w:rsidRPr="00884BE2">
        <w:t>ring</w:t>
      </w:r>
      <w:r w:rsidR="00D64E25" w:rsidRPr="00884BE2">
        <w:t xml:space="preserve"> in association with dehyd</w:t>
      </w:r>
      <w:r w:rsidR="00856D15" w:rsidRPr="00884BE2">
        <w:t>ration and hyperglycaemia</w:t>
      </w:r>
      <w:proofErr w:type="gramStart"/>
      <w:r w:rsidR="00ED2E96" w:rsidRPr="00884BE2">
        <w:t>.</w:t>
      </w:r>
      <w:r w:rsidR="001B3ECF" w:rsidRPr="00884BE2">
        <w:t>[</w:t>
      </w:r>
      <w:proofErr w:type="gramEnd"/>
      <w:r w:rsidR="001E2C63" w:rsidRPr="00884BE2">
        <w:t>8</w:t>
      </w:r>
      <w:r w:rsidR="001B3ECF" w:rsidRPr="00884BE2">
        <w:t>]</w:t>
      </w:r>
      <w:r w:rsidR="00D64E25" w:rsidRPr="00884BE2">
        <w:t xml:space="preserve"> </w:t>
      </w:r>
      <w:r w:rsidR="00E84B67" w:rsidRPr="00884BE2">
        <w:t>These risks are greater as the length of fast increases.</w:t>
      </w:r>
      <w:r w:rsidR="009235D4" w:rsidRPr="00884BE2">
        <w:t xml:space="preserve"> </w:t>
      </w:r>
      <w:r w:rsidR="009235D4" w:rsidRPr="00884BE2">
        <w:rPr>
          <w:rFonts w:cs="Arial"/>
          <w:szCs w:val="20"/>
          <w:shd w:val="clear" w:color="auto" w:fill="FFFFFF"/>
        </w:rPr>
        <w:t>It is also noteworthy that Ramadan does not entail fasting only, representing instead cycles of day-time fasting and night-time re-feeding. Health concerns therefore stem from both fasting and feeding, which may lead to indulgent eating and feasting.</w:t>
      </w:r>
      <w:r w:rsidR="009235D4" w:rsidRPr="00884BE2">
        <w:rPr>
          <w:rFonts w:cs="ArialMT-Regular"/>
          <w:color w:val="0070C0"/>
          <w:sz w:val="24"/>
          <w:szCs w:val="20"/>
        </w:rPr>
        <w:t xml:space="preserve"> </w:t>
      </w:r>
    </w:p>
    <w:p w:rsidR="004E69DE" w:rsidRPr="00884BE2" w:rsidRDefault="004E69DE" w:rsidP="00511E19">
      <w:pPr>
        <w:tabs>
          <w:tab w:val="left" w:pos="7513"/>
        </w:tabs>
        <w:spacing w:line="360" w:lineRule="auto"/>
        <w:jc w:val="both"/>
      </w:pPr>
    </w:p>
    <w:p w:rsidR="004C10E2" w:rsidRPr="00884BE2" w:rsidRDefault="004E69DE" w:rsidP="00511E19">
      <w:pPr>
        <w:tabs>
          <w:tab w:val="left" w:pos="7513"/>
        </w:tabs>
        <w:autoSpaceDE w:val="0"/>
        <w:autoSpaceDN w:val="0"/>
        <w:adjustRightInd w:val="0"/>
        <w:spacing w:after="0" w:line="360" w:lineRule="auto"/>
        <w:jc w:val="both"/>
        <w:rPr>
          <w:b/>
        </w:rPr>
      </w:pPr>
      <w:r w:rsidRPr="00884BE2">
        <w:rPr>
          <w:b/>
        </w:rPr>
        <w:t>Hypoglycaemia</w:t>
      </w:r>
    </w:p>
    <w:p w:rsidR="009C29C8" w:rsidRPr="00884BE2" w:rsidRDefault="004E69DE" w:rsidP="00511E19">
      <w:pPr>
        <w:tabs>
          <w:tab w:val="left" w:pos="7513"/>
        </w:tabs>
        <w:autoSpaceDE w:val="0"/>
        <w:autoSpaceDN w:val="0"/>
        <w:adjustRightInd w:val="0"/>
        <w:spacing w:after="0" w:line="360" w:lineRule="auto"/>
        <w:jc w:val="both"/>
      </w:pPr>
      <w:r w:rsidRPr="00884BE2">
        <w:t xml:space="preserve">It is well-recognised that with a decrease in food intake, patients with diabetes </w:t>
      </w:r>
      <w:r w:rsidR="00FC0652" w:rsidRPr="00884BE2">
        <w:t>are</w:t>
      </w:r>
      <w:r w:rsidRPr="00884BE2">
        <w:t xml:space="preserve"> at a higher risk of hypoglycaemic events</w:t>
      </w:r>
      <w:r w:rsidR="00FC0652" w:rsidRPr="00884BE2">
        <w:t>;</w:t>
      </w:r>
      <w:r w:rsidRPr="00884BE2">
        <w:t xml:space="preserve"> </w:t>
      </w:r>
      <w:r w:rsidR="00510A16" w:rsidRPr="00884BE2">
        <w:t>in particular with patients</w:t>
      </w:r>
      <w:r w:rsidRPr="00884BE2">
        <w:t xml:space="preserve"> on </w:t>
      </w:r>
      <w:r w:rsidR="00202E7C" w:rsidRPr="00884BE2">
        <w:t xml:space="preserve">sulphonylureas, </w:t>
      </w:r>
      <w:r w:rsidR="002C1FE7" w:rsidRPr="00884BE2">
        <w:t xml:space="preserve">other insulin </w:t>
      </w:r>
      <w:proofErr w:type="spellStart"/>
      <w:r w:rsidR="00202E7C" w:rsidRPr="00884BE2">
        <w:t>secretagogues</w:t>
      </w:r>
      <w:proofErr w:type="spellEnd"/>
      <w:r w:rsidRPr="00884BE2">
        <w:t xml:space="preserve"> or insulin</w:t>
      </w:r>
      <w:r w:rsidR="002C1FE7" w:rsidRPr="00884BE2">
        <w:t xml:space="preserve"> therapy</w:t>
      </w:r>
      <w:r w:rsidRPr="00884BE2">
        <w:t xml:space="preserve">. </w:t>
      </w:r>
    </w:p>
    <w:p w:rsidR="009C29C8" w:rsidRPr="00884BE2" w:rsidRDefault="009C29C8" w:rsidP="00511E19">
      <w:pPr>
        <w:tabs>
          <w:tab w:val="left" w:pos="7513"/>
        </w:tabs>
        <w:autoSpaceDE w:val="0"/>
        <w:autoSpaceDN w:val="0"/>
        <w:adjustRightInd w:val="0"/>
        <w:spacing w:after="0" w:line="360" w:lineRule="auto"/>
        <w:jc w:val="both"/>
      </w:pPr>
    </w:p>
    <w:p w:rsidR="00495AD2" w:rsidRPr="00884BE2" w:rsidRDefault="009C29C8" w:rsidP="00511E19">
      <w:pPr>
        <w:tabs>
          <w:tab w:val="left" w:pos="7513"/>
        </w:tabs>
        <w:autoSpaceDE w:val="0"/>
        <w:autoSpaceDN w:val="0"/>
        <w:adjustRightInd w:val="0"/>
        <w:spacing w:after="0" w:line="360" w:lineRule="auto"/>
        <w:jc w:val="both"/>
      </w:pPr>
      <w:r w:rsidRPr="00884BE2">
        <w:t xml:space="preserve">Much of our current knowledge surrounding diabetes and Ramadan comes from </w:t>
      </w:r>
      <w:r w:rsidR="00CA6EA8" w:rsidRPr="00884BE2">
        <w:t>t</w:t>
      </w:r>
      <w:r w:rsidR="00B446BA" w:rsidRPr="00884BE2">
        <w:t>he EPIDIAR study</w:t>
      </w:r>
      <w:r w:rsidR="00CA6EA8" w:rsidRPr="00884BE2">
        <w:t>,</w:t>
      </w:r>
      <w:r w:rsidR="00FF288B" w:rsidRPr="00884BE2">
        <w:t xml:space="preserve"> which involved 12,243</w:t>
      </w:r>
      <w:r w:rsidR="00CA6EA8" w:rsidRPr="00884BE2">
        <w:t xml:space="preserve"> patients</w:t>
      </w:r>
      <w:r w:rsidR="00B446BA" w:rsidRPr="00884BE2">
        <w:t xml:space="preserve"> </w:t>
      </w:r>
      <w:r w:rsidR="007616DA" w:rsidRPr="00884BE2">
        <w:t>across</w:t>
      </w:r>
      <w:r w:rsidR="00B446BA" w:rsidRPr="00884BE2">
        <w:t xml:space="preserve"> 13 countries.</w:t>
      </w:r>
      <w:r w:rsidR="001B3ECF" w:rsidRPr="00884BE2">
        <w:t>[</w:t>
      </w:r>
      <w:r w:rsidR="00212DAE" w:rsidRPr="00884BE2">
        <w:t>6</w:t>
      </w:r>
      <w:r w:rsidR="001B3ECF" w:rsidRPr="00884BE2">
        <w:t>]</w:t>
      </w:r>
      <w:r w:rsidR="00CA0155" w:rsidRPr="00884BE2">
        <w:t xml:space="preserve"> </w:t>
      </w:r>
      <w:proofErr w:type="spellStart"/>
      <w:r w:rsidR="00B446BA" w:rsidRPr="00884BE2">
        <w:t>Salti</w:t>
      </w:r>
      <w:proofErr w:type="spellEnd"/>
      <w:r w:rsidR="00B446BA" w:rsidRPr="00884BE2">
        <w:t xml:space="preserve"> et al</w:t>
      </w:r>
      <w:r w:rsidR="00DF60DB" w:rsidRPr="00884BE2">
        <w:t>.</w:t>
      </w:r>
      <w:r w:rsidR="00B446BA" w:rsidRPr="00884BE2">
        <w:t xml:space="preserve"> found the risk of severe hypoglycaemia</w:t>
      </w:r>
      <w:r w:rsidR="00E419D5" w:rsidRPr="00884BE2">
        <w:t>, defined as hypoglycaemia leading to hospitalisation,</w:t>
      </w:r>
      <w:r w:rsidR="00716027" w:rsidRPr="00884BE2">
        <w:t xml:space="preserve"> </w:t>
      </w:r>
      <w:r w:rsidR="00B446BA" w:rsidRPr="00884BE2">
        <w:t xml:space="preserve">increased by 4.7-fold </w:t>
      </w:r>
      <w:r w:rsidR="00716027" w:rsidRPr="00884BE2">
        <w:t xml:space="preserve">in </w:t>
      </w:r>
      <w:r w:rsidR="00633D43" w:rsidRPr="00884BE2">
        <w:t>T1DM</w:t>
      </w:r>
      <w:r w:rsidR="00716027" w:rsidRPr="00884BE2">
        <w:t xml:space="preserve"> </w:t>
      </w:r>
      <w:r w:rsidR="00B446BA" w:rsidRPr="00884BE2">
        <w:t xml:space="preserve">and 7.5-fold </w:t>
      </w:r>
      <w:r w:rsidR="00716027" w:rsidRPr="00884BE2">
        <w:t xml:space="preserve">in </w:t>
      </w:r>
      <w:r w:rsidR="00633D43" w:rsidRPr="00884BE2">
        <w:t>T2DM</w:t>
      </w:r>
      <w:r w:rsidR="00716027" w:rsidRPr="00884BE2">
        <w:t xml:space="preserve"> </w:t>
      </w:r>
      <w:r w:rsidR="007616DA" w:rsidRPr="00884BE2">
        <w:t>under fasting conditions</w:t>
      </w:r>
      <w:r w:rsidR="00796CBF" w:rsidRPr="00884BE2">
        <w:t xml:space="preserve">. </w:t>
      </w:r>
    </w:p>
    <w:p w:rsidR="00EF1FF3" w:rsidRPr="00884BE2" w:rsidRDefault="00EF1FF3" w:rsidP="00511E19">
      <w:pPr>
        <w:tabs>
          <w:tab w:val="left" w:pos="7513"/>
        </w:tabs>
        <w:autoSpaceDE w:val="0"/>
        <w:autoSpaceDN w:val="0"/>
        <w:adjustRightInd w:val="0"/>
        <w:spacing w:after="0" w:line="360" w:lineRule="auto"/>
        <w:jc w:val="both"/>
      </w:pPr>
    </w:p>
    <w:p w:rsidR="00021135" w:rsidRPr="00884BE2" w:rsidRDefault="007616DA" w:rsidP="00511E19">
      <w:pPr>
        <w:tabs>
          <w:tab w:val="left" w:pos="7513"/>
        </w:tabs>
        <w:autoSpaceDE w:val="0"/>
        <w:autoSpaceDN w:val="0"/>
        <w:adjustRightInd w:val="0"/>
        <w:spacing w:after="0" w:line="360" w:lineRule="auto"/>
        <w:jc w:val="both"/>
      </w:pPr>
      <w:r w:rsidRPr="00884BE2">
        <w:t xml:space="preserve">In contrast, </w:t>
      </w:r>
      <w:r w:rsidR="00495AD2" w:rsidRPr="00884BE2">
        <w:t xml:space="preserve">smaller </w:t>
      </w:r>
      <w:r w:rsidR="0003635C" w:rsidRPr="00884BE2">
        <w:t>studies, including patients treated with oral hypoglycaemic medications or insulin</w:t>
      </w:r>
      <w:r w:rsidR="00495AD2" w:rsidRPr="00884BE2">
        <w:t xml:space="preserve"> </w:t>
      </w:r>
      <w:r w:rsidRPr="00884BE2">
        <w:t>have</w:t>
      </w:r>
      <w:r w:rsidR="00495AD2" w:rsidRPr="00884BE2">
        <w:t xml:space="preserve"> not show</w:t>
      </w:r>
      <w:r w:rsidRPr="00884BE2">
        <w:t>n</w:t>
      </w:r>
      <w:r w:rsidR="00495AD2" w:rsidRPr="00884BE2">
        <w:t xml:space="preserve"> a significant increase in hypoglycaemia</w:t>
      </w:r>
      <w:proofErr w:type="gramStart"/>
      <w:r w:rsidR="0003635C" w:rsidRPr="00884BE2">
        <w:t>.</w:t>
      </w:r>
      <w:r w:rsidR="001B3ECF" w:rsidRPr="00884BE2">
        <w:t>[</w:t>
      </w:r>
      <w:proofErr w:type="gramEnd"/>
      <w:r w:rsidR="00212DAE" w:rsidRPr="00884BE2">
        <w:t>1</w:t>
      </w:r>
      <w:r w:rsidR="008D24F1" w:rsidRPr="00884BE2">
        <w:t>5</w:t>
      </w:r>
      <w:r w:rsidR="001B3ECF" w:rsidRPr="00884BE2">
        <w:t>]</w:t>
      </w:r>
      <w:r w:rsidR="0003635C" w:rsidRPr="00884BE2">
        <w:t xml:space="preserve"> </w:t>
      </w:r>
      <w:r w:rsidR="004C10E2" w:rsidRPr="00884BE2">
        <w:t xml:space="preserve">Differences in </w:t>
      </w:r>
      <w:r w:rsidRPr="00884BE2">
        <w:t xml:space="preserve">these </w:t>
      </w:r>
      <w:r w:rsidR="004C10E2" w:rsidRPr="00884BE2">
        <w:t xml:space="preserve">results may </w:t>
      </w:r>
      <w:r w:rsidR="006A00CE" w:rsidRPr="00884BE2">
        <w:t xml:space="preserve">be largely attributable to </w:t>
      </w:r>
      <w:r w:rsidR="004C10E2" w:rsidRPr="00884BE2">
        <w:t xml:space="preserve">differences in </w:t>
      </w:r>
      <w:r w:rsidR="006A00CE" w:rsidRPr="00884BE2">
        <w:t xml:space="preserve">the classification and reporting of </w:t>
      </w:r>
      <w:r w:rsidR="00EF1FF3" w:rsidRPr="00884BE2">
        <w:t>hypoglycaemi</w:t>
      </w:r>
      <w:r w:rsidR="006A00CE" w:rsidRPr="00884BE2">
        <w:t xml:space="preserve">c events, </w:t>
      </w:r>
      <w:r w:rsidR="004C10E2" w:rsidRPr="00884BE2">
        <w:t>the season in which Ramadan fell in these studies</w:t>
      </w:r>
      <w:r w:rsidR="006A00CE" w:rsidRPr="00884BE2">
        <w:t xml:space="preserve"> and potentially the </w:t>
      </w:r>
      <w:r w:rsidR="0020096C" w:rsidRPr="00884BE2">
        <w:t>sample size</w:t>
      </w:r>
      <w:r w:rsidR="004C10E2" w:rsidRPr="00884BE2">
        <w:t>.</w:t>
      </w:r>
    </w:p>
    <w:p w:rsidR="004013B9" w:rsidRPr="00884BE2" w:rsidRDefault="004013B9" w:rsidP="00511E19">
      <w:pPr>
        <w:tabs>
          <w:tab w:val="left" w:pos="7513"/>
        </w:tabs>
        <w:autoSpaceDE w:val="0"/>
        <w:autoSpaceDN w:val="0"/>
        <w:adjustRightInd w:val="0"/>
        <w:spacing w:after="0" w:line="360" w:lineRule="auto"/>
        <w:jc w:val="both"/>
      </w:pPr>
    </w:p>
    <w:p w:rsidR="004C10E2" w:rsidRPr="00884BE2" w:rsidRDefault="004013B9" w:rsidP="00511E19">
      <w:pPr>
        <w:tabs>
          <w:tab w:val="left" w:pos="7513"/>
        </w:tabs>
        <w:autoSpaceDE w:val="0"/>
        <w:autoSpaceDN w:val="0"/>
        <w:adjustRightInd w:val="0"/>
        <w:spacing w:after="0" w:line="360" w:lineRule="auto"/>
        <w:jc w:val="both"/>
        <w:rPr>
          <w:b/>
        </w:rPr>
      </w:pPr>
      <w:r w:rsidRPr="00884BE2">
        <w:rPr>
          <w:b/>
        </w:rPr>
        <w:t>Hyperglycaemia and diabetic ketoacidosis</w:t>
      </w:r>
      <w:r w:rsidR="0004417D" w:rsidRPr="00884BE2">
        <w:rPr>
          <w:b/>
        </w:rPr>
        <w:t xml:space="preserve"> (DKA)</w:t>
      </w:r>
    </w:p>
    <w:p w:rsidR="0004417D" w:rsidRPr="00884BE2" w:rsidRDefault="004C10E2" w:rsidP="00511E19">
      <w:pPr>
        <w:tabs>
          <w:tab w:val="left" w:pos="7513"/>
        </w:tabs>
        <w:autoSpaceDE w:val="0"/>
        <w:autoSpaceDN w:val="0"/>
        <w:adjustRightInd w:val="0"/>
        <w:spacing w:after="0" w:line="360" w:lineRule="auto"/>
        <w:jc w:val="both"/>
      </w:pPr>
      <w:r w:rsidRPr="00884BE2">
        <w:t xml:space="preserve">One would anticipate that by </w:t>
      </w:r>
      <w:r w:rsidR="004013B9" w:rsidRPr="00884BE2">
        <w:t>decr</w:t>
      </w:r>
      <w:r w:rsidRPr="00884BE2">
        <w:t>easing</w:t>
      </w:r>
      <w:r w:rsidR="004013B9" w:rsidRPr="00884BE2">
        <w:t xml:space="preserve"> food intake, individuals would be less likely to </w:t>
      </w:r>
      <w:r w:rsidR="00F6293F" w:rsidRPr="00884BE2">
        <w:t xml:space="preserve">have deterioration in glucose control. </w:t>
      </w:r>
      <w:r w:rsidR="00215191" w:rsidRPr="00884BE2">
        <w:t xml:space="preserve">In fact, </w:t>
      </w:r>
      <w:r w:rsidR="00836109" w:rsidRPr="00884BE2">
        <w:t>t</w:t>
      </w:r>
      <w:r w:rsidR="004562E0" w:rsidRPr="00884BE2">
        <w:t>he EPIDIAR study</w:t>
      </w:r>
      <w:r w:rsidR="00836109" w:rsidRPr="00884BE2">
        <w:t xml:space="preserve"> showed that</w:t>
      </w:r>
      <w:r w:rsidR="004562E0" w:rsidRPr="00884BE2">
        <w:t xml:space="preserve"> </w:t>
      </w:r>
      <w:r w:rsidR="00A44FFF" w:rsidRPr="00884BE2">
        <w:t>during Ramadan</w:t>
      </w:r>
      <w:r w:rsidR="009E517F" w:rsidRPr="00884BE2">
        <w:t>,</w:t>
      </w:r>
      <w:r w:rsidR="00A44FFF" w:rsidRPr="00884BE2">
        <w:t xml:space="preserve"> </w:t>
      </w:r>
      <w:r w:rsidR="00A77BA8" w:rsidRPr="00884BE2">
        <w:t>hospitalisations due to severe hyperglycaemia</w:t>
      </w:r>
      <w:r w:rsidR="00836109" w:rsidRPr="00884BE2">
        <w:t xml:space="preserve"> </w:t>
      </w:r>
      <w:r w:rsidR="00A504BA" w:rsidRPr="00884BE2">
        <w:t xml:space="preserve">DKA increased </w:t>
      </w:r>
      <w:r w:rsidR="00836109" w:rsidRPr="00884BE2">
        <w:t>5</w:t>
      </w:r>
      <w:r w:rsidR="009E517F" w:rsidRPr="00884BE2">
        <w:t>-</w:t>
      </w:r>
      <w:r w:rsidR="00B21509" w:rsidRPr="00884BE2">
        <w:t>fold</w:t>
      </w:r>
      <w:r w:rsidR="00836109" w:rsidRPr="00884BE2">
        <w:t xml:space="preserve"> in p</w:t>
      </w:r>
      <w:r w:rsidR="00B21509" w:rsidRPr="00884BE2">
        <w:t>eople</w:t>
      </w:r>
      <w:r w:rsidR="00836109" w:rsidRPr="00884BE2">
        <w:t xml:space="preserve"> with T2</w:t>
      </w:r>
      <w:r w:rsidR="00633D43" w:rsidRPr="00884BE2">
        <w:t>DM</w:t>
      </w:r>
      <w:r w:rsidR="00A77BA8" w:rsidRPr="00884BE2">
        <w:t xml:space="preserve"> (from 1 to 5 events</w:t>
      </w:r>
      <w:r w:rsidR="009E517F" w:rsidRPr="00884BE2">
        <w:t>/</w:t>
      </w:r>
      <w:r w:rsidR="00A77BA8" w:rsidRPr="00884BE2">
        <w:t>100 people</w:t>
      </w:r>
      <w:r w:rsidR="009E517F" w:rsidRPr="00884BE2">
        <w:t>/</w:t>
      </w:r>
      <w:r w:rsidR="00A77BA8" w:rsidRPr="00884BE2">
        <w:t xml:space="preserve">month) and in </w:t>
      </w:r>
      <w:r w:rsidR="00633D43" w:rsidRPr="00884BE2">
        <w:t>T1DM</w:t>
      </w:r>
      <w:r w:rsidR="00A77BA8" w:rsidRPr="00884BE2">
        <w:t>, the incidence of severe hyperglycaemia with or without ketoacidosis increased 3</w:t>
      </w:r>
      <w:r w:rsidR="009E517F" w:rsidRPr="00884BE2">
        <w:t>-</w:t>
      </w:r>
      <w:r w:rsidR="00EF1FF3" w:rsidRPr="00884BE2">
        <w:t>fold</w:t>
      </w:r>
      <w:r w:rsidR="00A77BA8" w:rsidRPr="00884BE2">
        <w:t xml:space="preserve"> (from 5 to 17 eve</w:t>
      </w:r>
      <w:r w:rsidR="00633D43" w:rsidRPr="00884BE2">
        <w:t>nts</w:t>
      </w:r>
      <w:r w:rsidR="009E517F" w:rsidRPr="00884BE2">
        <w:t>/</w:t>
      </w:r>
      <w:r w:rsidR="00633D43" w:rsidRPr="00884BE2">
        <w:t>100 people</w:t>
      </w:r>
      <w:r w:rsidR="009E517F" w:rsidRPr="00884BE2">
        <w:t>/</w:t>
      </w:r>
      <w:r w:rsidR="00633D43" w:rsidRPr="00884BE2">
        <w:t>month)</w:t>
      </w:r>
      <w:proofErr w:type="gramStart"/>
      <w:r w:rsidR="001B3ECF" w:rsidRPr="00884BE2">
        <w:t>.</w:t>
      </w:r>
      <w:r w:rsidR="00633D43" w:rsidRPr="00884BE2">
        <w:t>[</w:t>
      </w:r>
      <w:proofErr w:type="gramEnd"/>
      <w:r w:rsidR="00212DAE" w:rsidRPr="00884BE2">
        <w:t>6</w:t>
      </w:r>
      <w:r w:rsidR="00A77BA8" w:rsidRPr="00884BE2">
        <w:t xml:space="preserve">] This increased event rate appeared to be related to excessive reductions in medication doses, and in those who reported increase intake of food and/or sugar. Individuals with </w:t>
      </w:r>
      <w:r w:rsidR="00633D43" w:rsidRPr="00884BE2">
        <w:t>T1DM</w:t>
      </w:r>
      <w:r w:rsidR="00A77BA8" w:rsidRPr="00884BE2">
        <w:t xml:space="preserve"> were more prone to developing </w:t>
      </w:r>
      <w:r w:rsidR="0004417D" w:rsidRPr="00884BE2">
        <w:t>DKA</w:t>
      </w:r>
      <w:r w:rsidR="00A77BA8" w:rsidRPr="00884BE2">
        <w:t xml:space="preserve">, particularly if their glycaemic control </w:t>
      </w:r>
      <w:r w:rsidR="001B3ECF" w:rsidRPr="00884BE2">
        <w:t>was suboptimal prior to Ramadan</w:t>
      </w:r>
      <w:proofErr w:type="gramStart"/>
      <w:r w:rsidR="001B3ECF" w:rsidRPr="00884BE2">
        <w:t>.</w:t>
      </w:r>
      <w:r w:rsidR="00A77BA8" w:rsidRPr="00884BE2">
        <w:t>[</w:t>
      </w:r>
      <w:proofErr w:type="gramEnd"/>
      <w:r w:rsidR="00212DAE" w:rsidRPr="00884BE2">
        <w:t>6</w:t>
      </w:r>
      <w:r w:rsidR="00A77BA8" w:rsidRPr="00884BE2">
        <w:t>]</w:t>
      </w:r>
      <w:r w:rsidR="00F80215" w:rsidRPr="00884BE2">
        <w:t xml:space="preserve">  </w:t>
      </w:r>
      <w:r w:rsidR="0004417D" w:rsidRPr="00884BE2">
        <w:t>There is limited data on DKA and Ramadan in those with T2DM</w:t>
      </w:r>
      <w:r w:rsidR="009E517F" w:rsidRPr="00884BE2">
        <w:t>,</w:t>
      </w:r>
      <w:r w:rsidR="009E2FBA" w:rsidRPr="00884BE2">
        <w:t xml:space="preserve"> however, a</w:t>
      </w:r>
      <w:r w:rsidR="0004417D" w:rsidRPr="00884BE2">
        <w:t xml:space="preserve"> recent study reported no significant increase in the incidence and mortality of DKA for those with T2DM fasting during Ramadan.</w:t>
      </w:r>
      <w:r w:rsidR="009E517F" w:rsidRPr="00884BE2">
        <w:t>[</w:t>
      </w:r>
      <w:r w:rsidR="008D24F1" w:rsidRPr="00884BE2">
        <w:t>16</w:t>
      </w:r>
      <w:r w:rsidR="009E517F" w:rsidRPr="00884BE2">
        <w:t>]</w:t>
      </w:r>
      <w:r w:rsidR="0004417D" w:rsidRPr="00884BE2">
        <w:t xml:space="preserve"> </w:t>
      </w:r>
      <w:r w:rsidR="009E517F" w:rsidRPr="00884BE2">
        <w:t>This s</w:t>
      </w:r>
      <w:r w:rsidR="009E2FBA" w:rsidRPr="00884BE2">
        <w:t>uggest</w:t>
      </w:r>
      <w:r w:rsidR="009E517F" w:rsidRPr="00884BE2">
        <w:t>s</w:t>
      </w:r>
      <w:r w:rsidR="009E2FBA" w:rsidRPr="00884BE2">
        <w:t xml:space="preserve"> DKA may not present a risk for this patient population</w:t>
      </w:r>
      <w:r w:rsidR="009E517F" w:rsidRPr="00884BE2">
        <w:t>, however</w:t>
      </w:r>
      <w:r w:rsidR="009E2FBA" w:rsidRPr="00884BE2">
        <w:t xml:space="preserve"> more evidence is required to substantiate this. Interestingly</w:t>
      </w:r>
      <w:r w:rsidR="0004417D" w:rsidRPr="00884BE2">
        <w:t>,</w:t>
      </w:r>
      <w:r w:rsidR="009E2FBA" w:rsidRPr="00884BE2">
        <w:t xml:space="preserve"> the authors report</w:t>
      </w:r>
      <w:r w:rsidR="0004417D" w:rsidRPr="00884BE2">
        <w:t xml:space="preserve"> the </w:t>
      </w:r>
      <w:r w:rsidR="0004417D" w:rsidRPr="00884BE2">
        <w:rPr>
          <w:lang w:val="en"/>
        </w:rPr>
        <w:t>commonest trigger</w:t>
      </w:r>
      <w:r w:rsidR="005040AA" w:rsidRPr="00884BE2">
        <w:rPr>
          <w:lang w:val="en"/>
        </w:rPr>
        <w:t>s</w:t>
      </w:r>
      <w:r w:rsidR="0004417D" w:rsidRPr="00884BE2">
        <w:rPr>
          <w:lang w:val="en"/>
        </w:rPr>
        <w:t xml:space="preserve"> for DKA during Ramadan was infection followed by </w:t>
      </w:r>
      <w:proofErr w:type="spellStart"/>
      <w:r w:rsidR="0004417D" w:rsidRPr="00884BE2">
        <w:rPr>
          <w:lang w:val="en"/>
        </w:rPr>
        <w:t>mis</w:t>
      </w:r>
      <w:proofErr w:type="spellEnd"/>
      <w:r w:rsidR="00511E19" w:rsidRPr="00884BE2">
        <w:rPr>
          <w:lang w:val="en"/>
        </w:rPr>
        <w:t>-</w:t>
      </w:r>
      <w:r w:rsidR="0004417D" w:rsidRPr="00884BE2">
        <w:rPr>
          <w:lang w:val="en"/>
        </w:rPr>
        <w:t>dosing</w:t>
      </w:r>
      <w:proofErr w:type="gramStart"/>
      <w:r w:rsidR="00511E19" w:rsidRPr="00884BE2">
        <w:rPr>
          <w:lang w:val="en"/>
        </w:rPr>
        <w:t>,</w:t>
      </w:r>
      <w:r w:rsidR="009E517F" w:rsidRPr="00884BE2">
        <w:rPr>
          <w:lang w:val="en"/>
        </w:rPr>
        <w:t>[</w:t>
      </w:r>
      <w:proofErr w:type="gramEnd"/>
      <w:r w:rsidR="008D24F1" w:rsidRPr="00884BE2">
        <w:rPr>
          <w:lang w:val="en"/>
        </w:rPr>
        <w:t>16</w:t>
      </w:r>
      <w:r w:rsidR="009E517F" w:rsidRPr="00884BE2">
        <w:rPr>
          <w:lang w:val="en"/>
        </w:rPr>
        <w:t>]</w:t>
      </w:r>
      <w:r w:rsidR="00511E19" w:rsidRPr="00884BE2">
        <w:rPr>
          <w:lang w:val="en"/>
        </w:rPr>
        <w:t xml:space="preserve"> supporting the need for up-</w:t>
      </w:r>
      <w:r w:rsidR="00621A92" w:rsidRPr="00884BE2">
        <w:rPr>
          <w:lang w:val="en"/>
        </w:rPr>
        <w:t>to</w:t>
      </w:r>
      <w:r w:rsidR="00511E19" w:rsidRPr="00884BE2">
        <w:rPr>
          <w:lang w:val="en"/>
        </w:rPr>
        <w:t>-</w:t>
      </w:r>
      <w:r w:rsidR="00621A92" w:rsidRPr="00884BE2">
        <w:rPr>
          <w:lang w:val="en"/>
        </w:rPr>
        <w:t>date dosing guidelines</w:t>
      </w:r>
      <w:r w:rsidR="0004417D" w:rsidRPr="00884BE2">
        <w:rPr>
          <w:lang w:val="en"/>
        </w:rPr>
        <w:t>.</w:t>
      </w:r>
      <w:r w:rsidR="0004417D" w:rsidRPr="00884BE2">
        <w:t xml:space="preserve"> </w:t>
      </w:r>
    </w:p>
    <w:p w:rsidR="000645D7" w:rsidRPr="00884BE2" w:rsidRDefault="000645D7" w:rsidP="00511E19">
      <w:pPr>
        <w:tabs>
          <w:tab w:val="left" w:pos="7513"/>
        </w:tabs>
        <w:autoSpaceDE w:val="0"/>
        <w:autoSpaceDN w:val="0"/>
        <w:adjustRightInd w:val="0"/>
        <w:spacing w:after="0" w:line="360" w:lineRule="auto"/>
        <w:jc w:val="both"/>
      </w:pPr>
    </w:p>
    <w:p w:rsidR="00A77BA8" w:rsidRPr="00884BE2" w:rsidRDefault="0047612E" w:rsidP="00511E19">
      <w:pPr>
        <w:tabs>
          <w:tab w:val="left" w:pos="7513"/>
        </w:tabs>
        <w:autoSpaceDE w:val="0"/>
        <w:autoSpaceDN w:val="0"/>
        <w:adjustRightInd w:val="0"/>
        <w:spacing w:after="0" w:line="360" w:lineRule="auto"/>
        <w:jc w:val="both"/>
        <w:rPr>
          <w:b/>
        </w:rPr>
      </w:pPr>
      <w:r w:rsidRPr="00884BE2">
        <w:rPr>
          <w:b/>
        </w:rPr>
        <w:t>Dehydration</w:t>
      </w:r>
    </w:p>
    <w:p w:rsidR="0047612E" w:rsidRPr="00884BE2" w:rsidRDefault="0047612E" w:rsidP="00511E19">
      <w:pPr>
        <w:tabs>
          <w:tab w:val="left" w:pos="7513"/>
        </w:tabs>
        <w:autoSpaceDE w:val="0"/>
        <w:autoSpaceDN w:val="0"/>
        <w:adjustRightInd w:val="0"/>
        <w:spacing w:after="0" w:line="360" w:lineRule="auto"/>
        <w:jc w:val="both"/>
      </w:pPr>
      <w:r w:rsidRPr="00884BE2">
        <w:t>As expected, long fast</w:t>
      </w:r>
      <w:r w:rsidR="00FD52DD" w:rsidRPr="00884BE2">
        <w:t>s</w:t>
      </w:r>
      <w:r w:rsidRPr="00884BE2">
        <w:t xml:space="preserve"> with restrictions to fluid intake will increase the risk of dehydration. This risk </w:t>
      </w:r>
      <w:r w:rsidR="00FD52DD" w:rsidRPr="00884BE2">
        <w:t xml:space="preserve">is </w:t>
      </w:r>
      <w:r w:rsidRPr="00884BE2">
        <w:t>greater in countries</w:t>
      </w:r>
      <w:r w:rsidR="005040AA" w:rsidRPr="00884BE2">
        <w:t xml:space="preserve"> and/or seasons</w:t>
      </w:r>
      <w:r w:rsidRPr="00884BE2">
        <w:t xml:space="preserve"> where fasts are</w:t>
      </w:r>
      <w:r w:rsidR="005040AA" w:rsidRPr="00884BE2">
        <w:t xml:space="preserve"> </w:t>
      </w:r>
      <w:r w:rsidRPr="00884BE2">
        <w:t>long</w:t>
      </w:r>
      <w:r w:rsidR="005040AA" w:rsidRPr="00884BE2">
        <w:t xml:space="preserve">er </w:t>
      </w:r>
      <w:r w:rsidR="00F379C5" w:rsidRPr="00884BE2">
        <w:t>and if hyperglycaemia is present due to osmotic diuresis.</w:t>
      </w:r>
      <w:r w:rsidR="005421EF" w:rsidRPr="00884BE2">
        <w:t>[</w:t>
      </w:r>
      <w:r w:rsidR="00081A42" w:rsidRPr="00884BE2">
        <w:t>8</w:t>
      </w:r>
      <w:r w:rsidR="005421EF" w:rsidRPr="00884BE2">
        <w:t>]</w:t>
      </w:r>
      <w:r w:rsidRPr="00884BE2">
        <w:t xml:space="preserve"> </w:t>
      </w:r>
      <w:r w:rsidR="00F379C5" w:rsidRPr="00884BE2">
        <w:t>Dehydration can present with a number of associated health issues, such as syncope and falls, heat exhaustion and increased blood viscosity leading to thrombosis.</w:t>
      </w:r>
      <w:r w:rsidR="00A36475" w:rsidRPr="00884BE2">
        <w:t>[</w:t>
      </w:r>
      <w:r w:rsidR="00081A42" w:rsidRPr="00884BE2">
        <w:t>8</w:t>
      </w:r>
      <w:r w:rsidR="00212DAE" w:rsidRPr="00884BE2">
        <w:t>,1</w:t>
      </w:r>
      <w:r w:rsidR="008D24F1" w:rsidRPr="00884BE2">
        <w:t>7</w:t>
      </w:r>
      <w:r w:rsidR="00A36475" w:rsidRPr="00884BE2">
        <w:t>]</w:t>
      </w:r>
    </w:p>
    <w:p w:rsidR="00866D58" w:rsidRPr="00884BE2" w:rsidRDefault="00866D58" w:rsidP="00511E19">
      <w:pPr>
        <w:tabs>
          <w:tab w:val="left" w:pos="7513"/>
        </w:tabs>
        <w:autoSpaceDE w:val="0"/>
        <w:autoSpaceDN w:val="0"/>
        <w:adjustRightInd w:val="0"/>
        <w:spacing w:after="0" w:line="360" w:lineRule="auto"/>
        <w:jc w:val="both"/>
      </w:pPr>
    </w:p>
    <w:p w:rsidR="008877B4" w:rsidRPr="00884BE2" w:rsidRDefault="0047612E" w:rsidP="00511E19">
      <w:pPr>
        <w:tabs>
          <w:tab w:val="left" w:pos="7513"/>
        </w:tabs>
        <w:autoSpaceDE w:val="0"/>
        <w:autoSpaceDN w:val="0"/>
        <w:adjustRightInd w:val="0"/>
        <w:spacing w:after="0" w:line="360" w:lineRule="auto"/>
        <w:jc w:val="both"/>
        <w:rPr>
          <w:rFonts w:ascii="Berkeley-Book" w:hAnsi="Berkeley-Book" w:cs="Berkeley-Book"/>
          <w:b/>
          <w:sz w:val="20"/>
          <w:szCs w:val="20"/>
        </w:rPr>
      </w:pPr>
      <w:r w:rsidRPr="00884BE2">
        <w:rPr>
          <w:b/>
        </w:rPr>
        <w:t>Thrombosis</w:t>
      </w:r>
    </w:p>
    <w:p w:rsidR="00A77BA8" w:rsidRPr="00884BE2" w:rsidRDefault="00E84B67" w:rsidP="00511E19">
      <w:pPr>
        <w:tabs>
          <w:tab w:val="left" w:pos="7513"/>
        </w:tabs>
        <w:autoSpaceDE w:val="0"/>
        <w:autoSpaceDN w:val="0"/>
        <w:adjustRightInd w:val="0"/>
        <w:spacing w:after="0" w:line="360" w:lineRule="auto"/>
        <w:jc w:val="both"/>
        <w:rPr>
          <w:rFonts w:cs="Arial"/>
          <w:color w:val="000000"/>
          <w:shd w:val="clear" w:color="auto" w:fill="FFFFFF"/>
        </w:rPr>
      </w:pPr>
      <w:r w:rsidRPr="00884BE2">
        <w:t>Hyperglycaemia and hypovolaemia contribute towards hypercoagulability, increas</w:t>
      </w:r>
      <w:r w:rsidR="00FD52DD" w:rsidRPr="00884BE2">
        <w:t>ing</w:t>
      </w:r>
      <w:r w:rsidRPr="00884BE2">
        <w:t xml:space="preserve"> the risk of thrombosis and strokes</w:t>
      </w:r>
      <w:r w:rsidR="00C72F28" w:rsidRPr="00884BE2">
        <w:t>.</w:t>
      </w:r>
      <w:r w:rsidR="00287979" w:rsidRPr="00884BE2">
        <w:t>[</w:t>
      </w:r>
      <w:r w:rsidR="00212DAE" w:rsidRPr="00884BE2">
        <w:t>1</w:t>
      </w:r>
      <w:r w:rsidR="008D24F1" w:rsidRPr="00884BE2">
        <w:t>7</w:t>
      </w:r>
      <w:r w:rsidR="00287979" w:rsidRPr="00884BE2">
        <w:t>]</w:t>
      </w:r>
      <w:r w:rsidR="000F39BD" w:rsidRPr="00884BE2">
        <w:t xml:space="preserve"> </w:t>
      </w:r>
      <w:r w:rsidR="00FD52DD" w:rsidRPr="00884BE2">
        <w:rPr>
          <w:rFonts w:cs="Arial"/>
          <w:color w:val="000000"/>
          <w:shd w:val="clear" w:color="auto" w:fill="FFFFFF"/>
        </w:rPr>
        <w:t>A number of studies have shown that the incidence of acute cardiac illness during Ramadan fasting was similar to non-fasting days.[</w:t>
      </w:r>
      <w:r w:rsidR="008D24F1" w:rsidRPr="00884BE2">
        <w:rPr>
          <w:rFonts w:cs="Arial"/>
          <w:color w:val="000000"/>
          <w:shd w:val="clear" w:color="auto" w:fill="FFFFFF"/>
        </w:rPr>
        <w:t>18</w:t>
      </w:r>
      <w:r w:rsidR="00FD52DD" w:rsidRPr="00884BE2">
        <w:rPr>
          <w:rFonts w:cs="Arial"/>
          <w:color w:val="000000"/>
          <w:shd w:val="clear" w:color="auto" w:fill="FFFFFF"/>
        </w:rPr>
        <w:t>] Other r</w:t>
      </w:r>
      <w:r w:rsidR="00C72F28" w:rsidRPr="00884BE2">
        <w:t xml:space="preserve">etrospective studies suggest that </w:t>
      </w:r>
      <w:r w:rsidR="000F39BD" w:rsidRPr="00884BE2">
        <w:t xml:space="preserve">thrombotic events, such as </w:t>
      </w:r>
      <w:r w:rsidR="00C72F28" w:rsidRPr="00884BE2">
        <w:rPr>
          <w:rFonts w:cs="Arial"/>
          <w:color w:val="000000"/>
          <w:shd w:val="clear" w:color="auto" w:fill="FFFFFF"/>
        </w:rPr>
        <w:t>cer</w:t>
      </w:r>
      <w:r w:rsidR="000F39BD" w:rsidRPr="00884BE2">
        <w:rPr>
          <w:rFonts w:cs="Arial"/>
          <w:color w:val="000000"/>
          <w:shd w:val="clear" w:color="auto" w:fill="FFFFFF"/>
        </w:rPr>
        <w:t xml:space="preserve">ebral venous and </w:t>
      </w:r>
      <w:r w:rsidR="00C72F28" w:rsidRPr="00884BE2">
        <w:rPr>
          <w:rFonts w:cs="Arial"/>
          <w:color w:val="000000"/>
          <w:shd w:val="clear" w:color="auto" w:fill="FFFFFF"/>
        </w:rPr>
        <w:t xml:space="preserve">sinus thrombosis </w:t>
      </w:r>
      <w:r w:rsidR="000F39BD" w:rsidRPr="00884BE2">
        <w:rPr>
          <w:rFonts w:cs="Arial"/>
          <w:color w:val="000000"/>
          <w:shd w:val="clear" w:color="auto" w:fill="FFFFFF"/>
        </w:rPr>
        <w:t>may be more common</w:t>
      </w:r>
      <w:r w:rsidR="00212DAE" w:rsidRPr="00884BE2">
        <w:rPr>
          <w:rFonts w:cs="Arial"/>
          <w:color w:val="000000"/>
          <w:shd w:val="clear" w:color="auto" w:fill="FFFFFF"/>
        </w:rPr>
        <w:t xml:space="preserve"> in fasting diabetic patients</w:t>
      </w:r>
      <w:r w:rsidR="00E419D5" w:rsidRPr="00884BE2">
        <w:rPr>
          <w:rFonts w:cs="Arial"/>
          <w:color w:val="000000"/>
          <w:shd w:val="clear" w:color="auto" w:fill="FFFFFF"/>
        </w:rPr>
        <w:t>,</w:t>
      </w:r>
      <w:r w:rsidR="00E419D5" w:rsidRPr="00884BE2">
        <w:rPr>
          <w:rStyle w:val="FootnoteReference"/>
        </w:rPr>
        <w:t xml:space="preserve"> </w:t>
      </w:r>
      <w:r w:rsidR="005040AA" w:rsidRPr="00884BE2">
        <w:rPr>
          <w:rFonts w:cs="Arial"/>
          <w:color w:val="000000"/>
          <w:shd w:val="clear" w:color="auto" w:fill="FFFFFF"/>
        </w:rPr>
        <w:t>but largely the findings are inconsistent and</w:t>
      </w:r>
      <w:r w:rsidR="00E419D5" w:rsidRPr="00884BE2">
        <w:rPr>
          <w:rFonts w:cs="Arial"/>
          <w:color w:val="000000"/>
          <w:shd w:val="clear" w:color="auto" w:fill="FFFFFF"/>
        </w:rPr>
        <w:t xml:space="preserve"> further clarification </w:t>
      </w:r>
      <w:r w:rsidR="00FD52DD" w:rsidRPr="00884BE2">
        <w:rPr>
          <w:rFonts w:cs="Arial"/>
          <w:color w:val="000000"/>
          <w:shd w:val="clear" w:color="auto" w:fill="FFFFFF"/>
        </w:rPr>
        <w:t>of</w:t>
      </w:r>
      <w:r w:rsidR="00E419D5" w:rsidRPr="00884BE2">
        <w:rPr>
          <w:rFonts w:cs="Arial"/>
          <w:color w:val="000000"/>
          <w:shd w:val="clear" w:color="auto" w:fill="FFFFFF"/>
        </w:rPr>
        <w:t xml:space="preserve"> </w:t>
      </w:r>
      <w:r w:rsidR="00E419D5" w:rsidRPr="00884BE2">
        <w:t>whether thrombotic events are truly increased during Ramadan</w:t>
      </w:r>
      <w:r w:rsidR="00FD52DD" w:rsidRPr="00884BE2">
        <w:rPr>
          <w:rFonts w:cs="Arial"/>
          <w:color w:val="000000"/>
          <w:shd w:val="clear" w:color="auto" w:fill="FFFFFF"/>
        </w:rPr>
        <w:t xml:space="preserve"> is required</w:t>
      </w:r>
      <w:r w:rsidR="00E419D5" w:rsidRPr="00884BE2">
        <w:t>.[</w:t>
      </w:r>
      <w:r w:rsidR="004670B1" w:rsidRPr="00884BE2">
        <w:t>19</w:t>
      </w:r>
      <w:r w:rsidR="00E419D5" w:rsidRPr="00884BE2">
        <w:t>]</w:t>
      </w:r>
    </w:p>
    <w:p w:rsidR="00E84B67" w:rsidRPr="00884BE2" w:rsidRDefault="00E84B67" w:rsidP="00511E19">
      <w:pPr>
        <w:tabs>
          <w:tab w:val="left" w:pos="7513"/>
        </w:tabs>
        <w:autoSpaceDE w:val="0"/>
        <w:autoSpaceDN w:val="0"/>
        <w:adjustRightInd w:val="0"/>
        <w:spacing w:after="0" w:line="360" w:lineRule="auto"/>
        <w:jc w:val="both"/>
      </w:pPr>
    </w:p>
    <w:p w:rsidR="00303106" w:rsidRPr="00884BE2" w:rsidRDefault="00303106" w:rsidP="00511E19">
      <w:pPr>
        <w:tabs>
          <w:tab w:val="left" w:pos="7513"/>
        </w:tabs>
        <w:autoSpaceDE w:val="0"/>
        <w:autoSpaceDN w:val="0"/>
        <w:adjustRightInd w:val="0"/>
        <w:spacing w:after="0" w:line="360" w:lineRule="auto"/>
        <w:jc w:val="both"/>
      </w:pPr>
    </w:p>
    <w:p w:rsidR="00303106" w:rsidRPr="00884BE2" w:rsidRDefault="00303106" w:rsidP="00511E19">
      <w:pPr>
        <w:tabs>
          <w:tab w:val="left" w:pos="7513"/>
        </w:tabs>
        <w:autoSpaceDE w:val="0"/>
        <w:autoSpaceDN w:val="0"/>
        <w:adjustRightInd w:val="0"/>
        <w:spacing w:after="0" w:line="360" w:lineRule="auto"/>
        <w:jc w:val="both"/>
      </w:pPr>
    </w:p>
    <w:p w:rsidR="00C82CF0" w:rsidRPr="00884BE2" w:rsidRDefault="00C82CF0" w:rsidP="00511E19">
      <w:pPr>
        <w:tabs>
          <w:tab w:val="left" w:pos="7513"/>
        </w:tabs>
        <w:spacing w:line="360" w:lineRule="auto"/>
        <w:jc w:val="both"/>
        <w:rPr>
          <w:b/>
          <w:sz w:val="24"/>
        </w:rPr>
      </w:pPr>
      <w:r w:rsidRPr="00884BE2">
        <w:rPr>
          <w:b/>
          <w:sz w:val="24"/>
        </w:rPr>
        <w:lastRenderedPageBreak/>
        <w:t>Pre-Ramadan assessment</w:t>
      </w:r>
      <w:r w:rsidR="0089417B" w:rsidRPr="00884BE2">
        <w:rPr>
          <w:b/>
          <w:sz w:val="24"/>
        </w:rPr>
        <w:t>: Preparing your patient for Ramadan</w:t>
      </w:r>
    </w:p>
    <w:p w:rsidR="00CE7F22" w:rsidRPr="00884BE2" w:rsidRDefault="00C82CF0" w:rsidP="00511E19">
      <w:pPr>
        <w:tabs>
          <w:tab w:val="left" w:pos="7513"/>
        </w:tabs>
        <w:spacing w:line="360" w:lineRule="auto"/>
        <w:jc w:val="both"/>
        <w:rPr>
          <w:rFonts w:cs="ArialMT-Regular"/>
          <w:szCs w:val="20"/>
        </w:rPr>
      </w:pPr>
      <w:r w:rsidRPr="00884BE2">
        <w:t xml:space="preserve">Preparation is </w:t>
      </w:r>
      <w:r w:rsidR="0089417B" w:rsidRPr="00884BE2">
        <w:t xml:space="preserve">paramount in achieving optimal </w:t>
      </w:r>
      <w:r w:rsidRPr="00884BE2">
        <w:t>management</w:t>
      </w:r>
      <w:r w:rsidR="00FD52DD" w:rsidRPr="00884BE2">
        <w:t xml:space="preserve">. </w:t>
      </w:r>
      <w:proofErr w:type="gramStart"/>
      <w:r w:rsidR="00FD52DD" w:rsidRPr="00884BE2">
        <w:t>T</w:t>
      </w:r>
      <w:r w:rsidRPr="00884BE2">
        <w:t>herefore</w:t>
      </w:r>
      <w:r w:rsidR="00FD52DD" w:rsidRPr="00884BE2">
        <w:t>,</w:t>
      </w:r>
      <w:r w:rsidRPr="00884BE2">
        <w:t xml:space="preserve"> a </w:t>
      </w:r>
      <w:r w:rsidR="0089417B" w:rsidRPr="00884BE2">
        <w:t xml:space="preserve">consultation before </w:t>
      </w:r>
      <w:r w:rsidRPr="00884BE2">
        <w:t>Ramadan should be made as early as possible</w:t>
      </w:r>
      <w:r w:rsidR="00FD52DD" w:rsidRPr="00884BE2">
        <w:t>;</w:t>
      </w:r>
      <w:r w:rsidR="007C462E" w:rsidRPr="00884BE2">
        <w:t xml:space="preserve"> </w:t>
      </w:r>
      <w:r w:rsidR="00303106" w:rsidRPr="00884BE2">
        <w:t xml:space="preserve">preferably </w:t>
      </w:r>
      <w:r w:rsidRPr="00884BE2">
        <w:t>at least one to two months prior to Ramadan</w:t>
      </w:r>
      <w:r w:rsidR="00D47524" w:rsidRPr="00884BE2">
        <w:t>.</w:t>
      </w:r>
      <w:proofErr w:type="gramEnd"/>
      <w:r w:rsidR="00D47524" w:rsidRPr="00884BE2">
        <w:t xml:space="preserve"> In </w:t>
      </w:r>
      <w:r w:rsidR="00041A6E" w:rsidRPr="00884BE2">
        <w:t>areas with large Muslim populations</w:t>
      </w:r>
      <w:r w:rsidR="00D47524" w:rsidRPr="00884BE2">
        <w:t>,</w:t>
      </w:r>
      <w:r w:rsidR="00041A6E" w:rsidRPr="00884BE2">
        <w:t xml:space="preserve"> this </w:t>
      </w:r>
      <w:r w:rsidR="00D47524" w:rsidRPr="00884BE2">
        <w:t>may</w:t>
      </w:r>
      <w:r w:rsidR="00041A6E" w:rsidRPr="00884BE2">
        <w:t xml:space="preserve"> not </w:t>
      </w:r>
      <w:r w:rsidR="00AC60E4" w:rsidRPr="00884BE2">
        <w:t xml:space="preserve">be </w:t>
      </w:r>
      <w:r w:rsidR="00041A6E" w:rsidRPr="00884BE2">
        <w:t xml:space="preserve">possible </w:t>
      </w:r>
      <w:r w:rsidR="00AC60E4" w:rsidRPr="00884BE2">
        <w:t xml:space="preserve">and so the pre-Ramadan assessment </w:t>
      </w:r>
      <w:r w:rsidR="00041A6E" w:rsidRPr="00884BE2">
        <w:t>should be brought</w:t>
      </w:r>
      <w:r w:rsidR="00AC60E4" w:rsidRPr="00884BE2">
        <w:t xml:space="preserve"> </w:t>
      </w:r>
      <w:r w:rsidR="00041A6E" w:rsidRPr="00884BE2">
        <w:t xml:space="preserve">up at the time of </w:t>
      </w:r>
      <w:r w:rsidR="007C462E" w:rsidRPr="00884BE2">
        <w:t xml:space="preserve">next opportune </w:t>
      </w:r>
      <w:r w:rsidR="00041A6E" w:rsidRPr="00884BE2">
        <w:t>consultation</w:t>
      </w:r>
      <w:r w:rsidR="00AC60E4" w:rsidRPr="00884BE2">
        <w:t xml:space="preserve">, as is done </w:t>
      </w:r>
      <w:r w:rsidR="007C462E" w:rsidRPr="00884BE2">
        <w:t xml:space="preserve">routinely </w:t>
      </w:r>
      <w:r w:rsidR="00AC60E4" w:rsidRPr="00884BE2">
        <w:t xml:space="preserve">with </w:t>
      </w:r>
      <w:r w:rsidR="00FD52DD" w:rsidRPr="00884BE2">
        <w:t>pre</w:t>
      </w:r>
      <w:r w:rsidR="00AC60E4" w:rsidRPr="00884BE2">
        <w:t>conception</w:t>
      </w:r>
      <w:r w:rsidR="00041A6E" w:rsidRPr="00884BE2">
        <w:t xml:space="preserve"> and diabetes</w:t>
      </w:r>
      <w:proofErr w:type="gramStart"/>
      <w:r w:rsidR="006E5931" w:rsidRPr="00884BE2">
        <w:t>.</w:t>
      </w:r>
      <w:r w:rsidRPr="00884BE2">
        <w:t>[</w:t>
      </w:r>
      <w:proofErr w:type="gramEnd"/>
      <w:r w:rsidR="00081A42" w:rsidRPr="00884BE2">
        <w:t>8</w:t>
      </w:r>
      <w:r w:rsidRPr="00884BE2">
        <w:t xml:space="preserve">] </w:t>
      </w:r>
      <w:r w:rsidR="00FD52DD" w:rsidRPr="00884BE2">
        <w:t>Di</w:t>
      </w:r>
      <w:r w:rsidR="007C462E" w:rsidRPr="00884BE2">
        <w:t>scussion</w:t>
      </w:r>
      <w:r w:rsidRPr="00884BE2">
        <w:t xml:space="preserve"> should be made according to </w:t>
      </w:r>
      <w:r w:rsidR="00825883" w:rsidRPr="00884BE2">
        <w:t xml:space="preserve">risk </w:t>
      </w:r>
      <w:r w:rsidRPr="00884BE2">
        <w:t>assessment of fasting</w:t>
      </w:r>
      <w:r w:rsidR="007C462E" w:rsidRPr="00884BE2">
        <w:t>, see below</w:t>
      </w:r>
      <w:r w:rsidRPr="00884BE2">
        <w:t xml:space="preserve">. </w:t>
      </w:r>
      <w:hyperlink w:anchor="Table1" w:history="1">
        <w:r w:rsidR="00097BD4" w:rsidRPr="00884BE2">
          <w:rPr>
            <w:rStyle w:val="Hyperlink"/>
          </w:rPr>
          <w:t>Table 1</w:t>
        </w:r>
      </w:hyperlink>
      <w:r w:rsidR="00097BD4" w:rsidRPr="00884BE2">
        <w:t xml:space="preserve"> summarises </w:t>
      </w:r>
      <w:r w:rsidR="007C462E" w:rsidRPr="00884BE2">
        <w:t>recommended</w:t>
      </w:r>
      <w:r w:rsidR="00097BD4" w:rsidRPr="00884BE2">
        <w:t xml:space="preserve"> topics to cover in the pre-Ramadan assessment.</w:t>
      </w:r>
      <w:r w:rsidR="007C462E" w:rsidRPr="00884BE2">
        <w:t xml:space="preserve"> It is imperative that the patient feels supported in their </w:t>
      </w:r>
      <w:r w:rsidR="00195346" w:rsidRPr="00884BE2">
        <w:t>choice to fast and that their choice is respected and managed accordingly.</w:t>
      </w:r>
      <w:r w:rsidR="00FC0369" w:rsidRPr="00884BE2">
        <w:t xml:space="preserve"> In some centres</w:t>
      </w:r>
      <w:r w:rsidR="00A01E28" w:rsidRPr="00884BE2">
        <w:t xml:space="preserve"> using structured education</w:t>
      </w:r>
      <w:r w:rsidR="00FC0369" w:rsidRPr="00884BE2">
        <w:t>, a group consultation can address issues surrounding Ramadan</w:t>
      </w:r>
      <w:proofErr w:type="gramStart"/>
      <w:r w:rsidR="00212DAE" w:rsidRPr="00884BE2">
        <w:t>.[</w:t>
      </w:r>
      <w:proofErr w:type="gramEnd"/>
      <w:r w:rsidR="00212DAE" w:rsidRPr="00884BE2">
        <w:t>2</w:t>
      </w:r>
      <w:r w:rsidR="004670B1" w:rsidRPr="00884BE2">
        <w:t>0</w:t>
      </w:r>
      <w:r w:rsidR="00A01E28" w:rsidRPr="00884BE2">
        <w:t>]</w:t>
      </w:r>
      <w:r w:rsidR="00FC0369" w:rsidRPr="00884BE2">
        <w:t xml:space="preserve"> </w:t>
      </w:r>
    </w:p>
    <w:p w:rsidR="006A559D" w:rsidRPr="00884BE2" w:rsidRDefault="00E84B67" w:rsidP="00511E19">
      <w:pPr>
        <w:tabs>
          <w:tab w:val="left" w:pos="7513"/>
        </w:tabs>
        <w:spacing w:line="360" w:lineRule="auto"/>
        <w:jc w:val="both"/>
        <w:rPr>
          <w:b/>
          <w:sz w:val="24"/>
        </w:rPr>
      </w:pPr>
      <w:r w:rsidRPr="00884BE2">
        <w:rPr>
          <w:b/>
          <w:sz w:val="24"/>
        </w:rPr>
        <w:t>Risk stratification</w:t>
      </w:r>
    </w:p>
    <w:p w:rsidR="008F4BDD" w:rsidRPr="00884BE2" w:rsidRDefault="00C82CF0" w:rsidP="00511E19">
      <w:pPr>
        <w:tabs>
          <w:tab w:val="left" w:pos="7513"/>
        </w:tabs>
        <w:spacing w:line="360" w:lineRule="auto"/>
        <w:jc w:val="both"/>
      </w:pPr>
      <w:r w:rsidRPr="00884BE2">
        <w:t>C</w:t>
      </w:r>
      <w:r w:rsidR="00E84B67" w:rsidRPr="00884BE2">
        <w:t xml:space="preserve">lassifying patients into </w:t>
      </w:r>
      <w:r w:rsidR="00DB6F62" w:rsidRPr="00884BE2">
        <w:t xml:space="preserve">risk </w:t>
      </w:r>
      <w:r w:rsidR="00E84B67" w:rsidRPr="00884BE2">
        <w:t xml:space="preserve">groups </w:t>
      </w:r>
      <w:r w:rsidR="000025AC" w:rsidRPr="00884BE2">
        <w:t xml:space="preserve">based on health status </w:t>
      </w:r>
      <w:r w:rsidR="0006499A" w:rsidRPr="00884BE2">
        <w:t>assist</w:t>
      </w:r>
      <w:r w:rsidR="000025AC" w:rsidRPr="00884BE2">
        <w:t>s</w:t>
      </w:r>
      <w:r w:rsidR="0006499A" w:rsidRPr="00884BE2">
        <w:t xml:space="preserve"> health</w:t>
      </w:r>
      <w:r w:rsidR="00B21509" w:rsidRPr="00884BE2">
        <w:t>-care</w:t>
      </w:r>
      <w:r w:rsidR="0006499A" w:rsidRPr="00884BE2">
        <w:t xml:space="preserve"> professionals</w:t>
      </w:r>
      <w:r w:rsidR="001714AA" w:rsidRPr="00884BE2">
        <w:t xml:space="preserve"> (HCP)</w:t>
      </w:r>
      <w:r w:rsidR="000D6FDC" w:rsidRPr="00884BE2">
        <w:t>,</w:t>
      </w:r>
      <w:r w:rsidR="0006499A" w:rsidRPr="00884BE2">
        <w:t xml:space="preserve"> patients </w:t>
      </w:r>
      <w:r w:rsidR="000D6FDC" w:rsidRPr="00884BE2">
        <w:t xml:space="preserve">and religious authorities </w:t>
      </w:r>
      <w:r w:rsidR="00B21509" w:rsidRPr="00884BE2">
        <w:t xml:space="preserve">to identify individuals </w:t>
      </w:r>
      <w:r w:rsidRPr="00884BE2">
        <w:t>who</w:t>
      </w:r>
      <w:r w:rsidR="0006499A" w:rsidRPr="00884BE2">
        <w:t xml:space="preserve"> shoul</w:t>
      </w:r>
      <w:r w:rsidR="00D725CA" w:rsidRPr="00884BE2">
        <w:t>d be exempted from fasting (</w:t>
      </w:r>
      <w:hyperlink w:anchor="Table2" w:history="1">
        <w:r w:rsidR="0006499A" w:rsidRPr="00884BE2">
          <w:rPr>
            <w:rStyle w:val="Hyperlink"/>
          </w:rPr>
          <w:t xml:space="preserve">Table </w:t>
        </w:r>
        <w:r w:rsidR="00097BD4" w:rsidRPr="00884BE2">
          <w:rPr>
            <w:rStyle w:val="Hyperlink"/>
          </w:rPr>
          <w:t>2</w:t>
        </w:r>
      </w:hyperlink>
      <w:r w:rsidR="0006499A" w:rsidRPr="00884BE2">
        <w:t>)</w:t>
      </w:r>
      <w:r w:rsidR="00DB6F62" w:rsidRPr="00884BE2">
        <w:t xml:space="preserve">; allowing </w:t>
      </w:r>
      <w:r w:rsidR="0006499A" w:rsidRPr="00884BE2">
        <w:t>for</w:t>
      </w:r>
      <w:r w:rsidR="00DB6F62" w:rsidRPr="00884BE2">
        <w:t xml:space="preserve"> appropriate advice, education and informed decisions</w:t>
      </w:r>
      <w:r w:rsidR="00410DC8" w:rsidRPr="00884BE2">
        <w:t xml:space="preserve"> </w:t>
      </w:r>
      <w:r w:rsidR="0006499A" w:rsidRPr="00884BE2">
        <w:t xml:space="preserve">regarding fasting. </w:t>
      </w:r>
      <w:r w:rsidR="00F11568" w:rsidRPr="00884BE2">
        <w:t>There</w:t>
      </w:r>
      <w:r w:rsidR="0006499A" w:rsidRPr="00884BE2">
        <w:t xml:space="preserve"> will be individuals who fast despite medical advice</w:t>
      </w:r>
      <w:r w:rsidR="00F11568" w:rsidRPr="00884BE2">
        <w:t xml:space="preserve">. As </w:t>
      </w:r>
      <w:r w:rsidR="000D6FDC" w:rsidRPr="00884BE2">
        <w:t xml:space="preserve">this represents personal choice, </w:t>
      </w:r>
      <w:r w:rsidRPr="00884BE2">
        <w:t>it is imperative to support those who choose to fast to ensure they do so safely</w:t>
      </w:r>
      <w:r w:rsidR="0006499A" w:rsidRPr="00884BE2">
        <w:t xml:space="preserve">. </w:t>
      </w:r>
      <w:r w:rsidR="008F4B73" w:rsidRPr="00884BE2">
        <w:t xml:space="preserve"> </w:t>
      </w:r>
    </w:p>
    <w:p w:rsidR="00707F27" w:rsidRPr="00884BE2" w:rsidRDefault="00707F27" w:rsidP="00511E19">
      <w:pPr>
        <w:tabs>
          <w:tab w:val="left" w:pos="7513"/>
        </w:tabs>
        <w:spacing w:line="360" w:lineRule="auto"/>
        <w:jc w:val="both"/>
        <w:rPr>
          <w:b/>
          <w:sz w:val="24"/>
        </w:rPr>
      </w:pPr>
      <w:r w:rsidRPr="00884BE2">
        <w:rPr>
          <w:b/>
          <w:sz w:val="24"/>
        </w:rPr>
        <w:t>Patient education</w:t>
      </w:r>
    </w:p>
    <w:p w:rsidR="00D87A35" w:rsidRPr="00884BE2" w:rsidRDefault="00C52F4C" w:rsidP="00511E19">
      <w:pPr>
        <w:tabs>
          <w:tab w:val="left" w:pos="7513"/>
        </w:tabs>
        <w:spacing w:line="360" w:lineRule="auto"/>
        <w:jc w:val="both"/>
      </w:pPr>
      <w:r w:rsidRPr="00884BE2">
        <w:t xml:space="preserve">NICE advocates structured education </w:t>
      </w:r>
      <w:r w:rsidR="005040AA" w:rsidRPr="00884BE2">
        <w:t>integral</w:t>
      </w:r>
      <w:r w:rsidRPr="00884BE2">
        <w:t xml:space="preserve"> in the management of </w:t>
      </w:r>
      <w:r w:rsidR="00A641F3" w:rsidRPr="00884BE2">
        <w:t xml:space="preserve">people with </w:t>
      </w:r>
      <w:r w:rsidRPr="00884BE2">
        <w:t>diabetes.</w:t>
      </w:r>
      <w:r w:rsidR="002C3F71" w:rsidRPr="00884BE2">
        <w:t xml:space="preserve"> Diabetes in Ramadan is a</w:t>
      </w:r>
      <w:r w:rsidR="00A641F3" w:rsidRPr="00884BE2">
        <w:t xml:space="preserve"> situation w</w:t>
      </w:r>
      <w:r w:rsidR="002C3F71" w:rsidRPr="00884BE2">
        <w:t xml:space="preserve">here </w:t>
      </w:r>
      <w:r w:rsidR="00287979" w:rsidRPr="00884BE2">
        <w:t xml:space="preserve">a </w:t>
      </w:r>
      <w:r w:rsidR="002C3F71" w:rsidRPr="00884BE2">
        <w:t xml:space="preserve">structured education </w:t>
      </w:r>
      <w:r w:rsidR="00A641F3" w:rsidRPr="00884BE2">
        <w:t xml:space="preserve">programme </w:t>
      </w:r>
      <w:r w:rsidR="002C3F71" w:rsidRPr="00884BE2">
        <w:t>may be of great benefit</w:t>
      </w:r>
      <w:proofErr w:type="gramStart"/>
      <w:r w:rsidR="002C3F71" w:rsidRPr="00884BE2">
        <w:t>.</w:t>
      </w:r>
      <w:r w:rsidR="006E5931" w:rsidRPr="00884BE2">
        <w:t>[</w:t>
      </w:r>
      <w:proofErr w:type="gramEnd"/>
      <w:r w:rsidR="004670B1" w:rsidRPr="00884BE2">
        <w:t>20</w:t>
      </w:r>
      <w:r w:rsidR="006E5931" w:rsidRPr="00884BE2">
        <w:t>]</w:t>
      </w:r>
      <w:r w:rsidR="002C3F71" w:rsidRPr="00884BE2">
        <w:t xml:space="preserve"> </w:t>
      </w:r>
    </w:p>
    <w:p w:rsidR="00D87A35" w:rsidRPr="00884BE2" w:rsidRDefault="00D87A35" w:rsidP="00D87A35">
      <w:pPr>
        <w:tabs>
          <w:tab w:val="left" w:pos="7513"/>
        </w:tabs>
        <w:spacing w:line="360" w:lineRule="auto"/>
        <w:jc w:val="both"/>
      </w:pPr>
      <w:r w:rsidRPr="00884BE2">
        <w:t>In an observational study (n=111), patients with T2DM who had not received structural education and fasted during Ramadan were four times more likely to suffer from hypoglycaemia. Those who received pre-Ramadan education exhibited approximately 50% reduction in hypoglycaemia, whilst maintaining stable glycaemic control and lost a small amount of weight compared to weight gain in the control group</w:t>
      </w:r>
      <w:proofErr w:type="gramStart"/>
      <w:r w:rsidRPr="00884BE2">
        <w:t>.[</w:t>
      </w:r>
      <w:proofErr w:type="gramEnd"/>
      <w:r w:rsidRPr="00884BE2">
        <w:t>2</w:t>
      </w:r>
      <w:r w:rsidR="004670B1" w:rsidRPr="00884BE2">
        <w:t>1</w:t>
      </w:r>
      <w:r w:rsidRPr="00884BE2">
        <w:t xml:space="preserve">] </w:t>
      </w:r>
    </w:p>
    <w:p w:rsidR="008F4B73" w:rsidRPr="00884BE2" w:rsidRDefault="00B4470C" w:rsidP="00511E19">
      <w:pPr>
        <w:tabs>
          <w:tab w:val="left" w:pos="7513"/>
        </w:tabs>
        <w:spacing w:line="360" w:lineRule="auto"/>
        <w:jc w:val="both"/>
      </w:pPr>
      <w:r w:rsidRPr="00884BE2">
        <w:t xml:space="preserve">A structured education programme entitled ‘A Safer Ramadan’ has been developed </w:t>
      </w:r>
      <w:r w:rsidR="00DF3D0B" w:rsidRPr="00884BE2">
        <w:t xml:space="preserve">to support safer fasting and feasting </w:t>
      </w:r>
      <w:r w:rsidR="00FF4D5C" w:rsidRPr="00884BE2">
        <w:t xml:space="preserve">for those with T2DM </w:t>
      </w:r>
      <w:r w:rsidR="00DF3D0B" w:rsidRPr="00884BE2">
        <w:t>during Ramadan</w:t>
      </w:r>
      <w:r w:rsidR="00FF4D5C" w:rsidRPr="00884BE2">
        <w:t>, and to</w:t>
      </w:r>
      <w:r w:rsidR="00DF3D0B" w:rsidRPr="00884BE2">
        <w:t xml:space="preserve"> help</w:t>
      </w:r>
      <w:r w:rsidR="004670B1" w:rsidRPr="00884BE2">
        <w:t xml:space="preserve"> patients prepare for Ramadan.[22</w:t>
      </w:r>
      <w:r w:rsidR="00DF3D0B" w:rsidRPr="00884BE2">
        <w:t>]</w:t>
      </w:r>
      <w:r w:rsidRPr="00884BE2">
        <w:t xml:space="preserve"> </w:t>
      </w:r>
      <w:r w:rsidR="00FF4D5C" w:rsidRPr="00884BE2">
        <w:t xml:space="preserve">It </w:t>
      </w:r>
      <w:r w:rsidR="008F4B73" w:rsidRPr="00884BE2">
        <w:t xml:space="preserve">comprises of three individual educational components for the patient, the community and the HCP. </w:t>
      </w:r>
      <w:r w:rsidR="00FF4D5C" w:rsidRPr="00884BE2">
        <w:t xml:space="preserve"> </w:t>
      </w:r>
      <w:r w:rsidRPr="00884BE2">
        <w:t xml:space="preserve">The success of this programme, and any other alike, are largely dictated by involvement and engagement with religious leaders and respected elders within the local Muslim communities to spread awareness and support the programme.  </w:t>
      </w:r>
    </w:p>
    <w:p w:rsidR="008F4B73" w:rsidRPr="00884BE2" w:rsidRDefault="008F4B73" w:rsidP="00BE6818">
      <w:pPr>
        <w:spacing w:line="360" w:lineRule="auto"/>
      </w:pPr>
      <w:r w:rsidRPr="00884BE2">
        <w:t xml:space="preserve">Having religious clerics on board is important in spreading awareness and supporting those patients who should be medically exempt from fasting. In the UK, the Muslim Council of Britain is </w:t>
      </w:r>
      <w:r w:rsidR="00BE6818" w:rsidRPr="00884BE2">
        <w:t xml:space="preserve">committed to this, by </w:t>
      </w:r>
      <w:r w:rsidR="00BE6818" w:rsidRPr="00884BE2">
        <w:lastRenderedPageBreak/>
        <w:t>organising a community event educating on Diabetes and Ramadan, as well as producing a recent leaflet in collaboration with Diabetes UK.[</w:t>
      </w:r>
      <w:r w:rsidR="004670B1" w:rsidRPr="00884BE2">
        <w:t>23</w:t>
      </w:r>
      <w:r w:rsidR="00BE6818" w:rsidRPr="00884BE2">
        <w:t xml:space="preserve">] </w:t>
      </w:r>
    </w:p>
    <w:p w:rsidR="009A3F65" w:rsidRPr="00884BE2" w:rsidRDefault="009A3F65" w:rsidP="00511E19">
      <w:pPr>
        <w:tabs>
          <w:tab w:val="left" w:pos="7513"/>
        </w:tabs>
        <w:spacing w:line="360" w:lineRule="auto"/>
        <w:jc w:val="both"/>
        <w:rPr>
          <w:b/>
          <w:sz w:val="24"/>
        </w:rPr>
      </w:pPr>
      <w:r w:rsidRPr="00884BE2">
        <w:rPr>
          <w:b/>
          <w:sz w:val="24"/>
        </w:rPr>
        <w:t>Blood glucose monitoring</w:t>
      </w:r>
    </w:p>
    <w:p w:rsidR="00493BF6" w:rsidRPr="00884BE2" w:rsidRDefault="009A3F65" w:rsidP="00511E19">
      <w:pPr>
        <w:tabs>
          <w:tab w:val="left" w:pos="7513"/>
        </w:tabs>
        <w:spacing w:line="360" w:lineRule="auto"/>
        <w:jc w:val="both"/>
      </w:pPr>
      <w:r w:rsidRPr="00884BE2">
        <w:t xml:space="preserve">Monitoring blood glucose levels during fasting </w:t>
      </w:r>
      <w:r w:rsidR="000940DF" w:rsidRPr="00884BE2">
        <w:t>e</w:t>
      </w:r>
      <w:r w:rsidRPr="00884BE2">
        <w:t>nsure</w:t>
      </w:r>
      <w:r w:rsidR="000940DF" w:rsidRPr="00884BE2">
        <w:t>s</w:t>
      </w:r>
      <w:r w:rsidRPr="00884BE2">
        <w:t xml:space="preserve"> safety</w:t>
      </w:r>
      <w:r w:rsidR="00934DD0" w:rsidRPr="00884BE2">
        <w:t xml:space="preserve"> and patients should be reassured this does not break their fast</w:t>
      </w:r>
      <w:proofErr w:type="gramStart"/>
      <w:r w:rsidR="00934DD0" w:rsidRPr="00884BE2">
        <w:t>.[</w:t>
      </w:r>
      <w:proofErr w:type="gramEnd"/>
      <w:r w:rsidR="00934DD0" w:rsidRPr="00884BE2">
        <w:t>2</w:t>
      </w:r>
      <w:r w:rsidR="004670B1" w:rsidRPr="00884BE2">
        <w:t>4</w:t>
      </w:r>
      <w:r w:rsidR="00934DD0" w:rsidRPr="00884BE2">
        <w:t>]</w:t>
      </w:r>
      <w:r w:rsidRPr="00884BE2">
        <w:t xml:space="preserve"> </w:t>
      </w:r>
      <w:r w:rsidR="000940DF" w:rsidRPr="00884BE2">
        <w:t xml:space="preserve">Patients should be </w:t>
      </w:r>
      <w:r w:rsidRPr="00884BE2">
        <w:t>provide</w:t>
      </w:r>
      <w:r w:rsidR="000940DF" w:rsidRPr="00884BE2">
        <w:t>d with</w:t>
      </w:r>
      <w:r w:rsidR="00DB30D9" w:rsidRPr="00884BE2">
        <w:t xml:space="preserve"> means </w:t>
      </w:r>
      <w:r w:rsidRPr="00884BE2">
        <w:t>to test their blood glucose, including those who normally do</w:t>
      </w:r>
      <w:r w:rsidR="00DB30D9" w:rsidRPr="00884BE2">
        <w:t xml:space="preserve"> no</w:t>
      </w:r>
      <w:r w:rsidRPr="00884BE2">
        <w:t xml:space="preserve">t </w:t>
      </w:r>
      <w:r w:rsidR="00DB30D9" w:rsidRPr="00884BE2">
        <w:t>test</w:t>
      </w:r>
      <w:r w:rsidRPr="00884BE2">
        <w:t xml:space="preserve">. </w:t>
      </w:r>
      <w:r w:rsidR="00DB30D9" w:rsidRPr="00884BE2">
        <w:t xml:space="preserve">Patients should check blood glucose levels </w:t>
      </w:r>
      <w:r w:rsidR="00934DD0" w:rsidRPr="00884BE2">
        <w:t xml:space="preserve">if </w:t>
      </w:r>
      <w:r w:rsidR="00DB30D9" w:rsidRPr="00884BE2">
        <w:t xml:space="preserve">concerned </w:t>
      </w:r>
      <w:r w:rsidR="004D358C" w:rsidRPr="00884BE2">
        <w:t>about hypoglycaemia or if they feel unwell.</w:t>
      </w:r>
      <w:r w:rsidR="00D64E25" w:rsidRPr="00884BE2">
        <w:t xml:space="preserve"> </w:t>
      </w:r>
      <w:r w:rsidR="00BE5F1A" w:rsidRPr="00884BE2">
        <w:t>Ensuring patients can respond appropriately to self-monitoring of blood glucose levels is important.</w:t>
      </w:r>
      <w:r w:rsidR="00462A9B" w:rsidRPr="00884BE2">
        <w:t xml:space="preserve"> Guidance on self-monitoring </w:t>
      </w:r>
      <w:r w:rsidR="00D725CA" w:rsidRPr="00884BE2">
        <w:t xml:space="preserve">of blood glucose is shown in </w:t>
      </w:r>
      <w:hyperlink w:anchor="Table3" w:history="1">
        <w:r w:rsidR="00D725CA" w:rsidRPr="00884BE2">
          <w:rPr>
            <w:rStyle w:val="Hyperlink"/>
          </w:rPr>
          <w:t>T</w:t>
        </w:r>
        <w:r w:rsidR="00DE40D0" w:rsidRPr="00884BE2">
          <w:rPr>
            <w:rStyle w:val="Hyperlink"/>
          </w:rPr>
          <w:t>able 3</w:t>
        </w:r>
      </w:hyperlink>
      <w:r w:rsidR="00DE40D0" w:rsidRPr="00884BE2">
        <w:t>.</w:t>
      </w:r>
      <w:r w:rsidR="00462A9B" w:rsidRPr="00884BE2">
        <w:t xml:space="preserve"> </w:t>
      </w:r>
    </w:p>
    <w:p w:rsidR="004D358C" w:rsidRPr="00884BE2" w:rsidRDefault="001F1791" w:rsidP="00511E19">
      <w:pPr>
        <w:tabs>
          <w:tab w:val="left" w:pos="7513"/>
        </w:tabs>
        <w:spacing w:line="360" w:lineRule="auto"/>
        <w:jc w:val="both"/>
        <w:rPr>
          <w:b/>
          <w:sz w:val="24"/>
        </w:rPr>
      </w:pPr>
      <w:r w:rsidRPr="00884BE2">
        <w:rPr>
          <w:b/>
          <w:sz w:val="24"/>
        </w:rPr>
        <w:t>M</w:t>
      </w:r>
      <w:r w:rsidR="0039421C" w:rsidRPr="00884BE2">
        <w:rPr>
          <w:b/>
          <w:sz w:val="24"/>
        </w:rPr>
        <w:t>anagement</w:t>
      </w:r>
      <w:r w:rsidRPr="00884BE2">
        <w:rPr>
          <w:b/>
          <w:sz w:val="24"/>
        </w:rPr>
        <w:t xml:space="preserve"> of treatment regimes</w:t>
      </w:r>
    </w:p>
    <w:p w:rsidR="007407F1" w:rsidRPr="00884BE2" w:rsidRDefault="0039421C" w:rsidP="00511E19">
      <w:pPr>
        <w:tabs>
          <w:tab w:val="left" w:pos="7513"/>
        </w:tabs>
        <w:spacing w:line="360" w:lineRule="auto"/>
        <w:jc w:val="both"/>
      </w:pPr>
      <w:r w:rsidRPr="00884BE2">
        <w:t xml:space="preserve">In addition to general advice about diet, exercise and monitoring blood glucose levels, all </w:t>
      </w:r>
      <w:r w:rsidR="00A01E28" w:rsidRPr="00884BE2">
        <w:t xml:space="preserve">glucose-lowering </w:t>
      </w:r>
      <w:r w:rsidRPr="00884BE2">
        <w:t xml:space="preserve">medications should be reviewed. Unsurprisingly, some medications </w:t>
      </w:r>
      <w:r w:rsidR="008A446C" w:rsidRPr="00884BE2">
        <w:t>are</w:t>
      </w:r>
      <w:r w:rsidRPr="00884BE2">
        <w:t xml:space="preserve"> more likely </w:t>
      </w:r>
      <w:r w:rsidR="00C26182" w:rsidRPr="00884BE2">
        <w:t xml:space="preserve">to be </w:t>
      </w:r>
      <w:r w:rsidRPr="00884BE2">
        <w:t>associated with hypoglycaemia</w:t>
      </w:r>
      <w:r w:rsidR="008A446C" w:rsidRPr="00884BE2">
        <w:t>, which</w:t>
      </w:r>
      <w:r w:rsidRPr="00884BE2">
        <w:t xml:space="preserve"> is a significant barrier to treatment adherence.</w:t>
      </w:r>
      <w:r w:rsidR="006E5931" w:rsidRPr="00884BE2">
        <w:t>[</w:t>
      </w:r>
      <w:r w:rsidR="00212DAE" w:rsidRPr="00884BE2">
        <w:t>2</w:t>
      </w:r>
      <w:r w:rsidR="004670B1" w:rsidRPr="00884BE2">
        <w:t>5</w:t>
      </w:r>
      <w:r w:rsidR="006E5931" w:rsidRPr="00884BE2">
        <w:t>]</w:t>
      </w:r>
      <w:r w:rsidRPr="00884BE2">
        <w:t xml:space="preserve"> Studies </w:t>
      </w:r>
      <w:r w:rsidR="0070213A" w:rsidRPr="00884BE2">
        <w:t xml:space="preserve">in Ramadan </w:t>
      </w:r>
      <w:r w:rsidRPr="00884BE2">
        <w:t>have shown that patients change doses and tim</w:t>
      </w:r>
      <w:r w:rsidR="008A446C" w:rsidRPr="00884BE2">
        <w:t>ing of</w:t>
      </w:r>
      <w:r w:rsidRPr="00884BE2">
        <w:t xml:space="preserve"> </w:t>
      </w:r>
      <w:r w:rsidR="008A446C" w:rsidRPr="00884BE2">
        <w:t xml:space="preserve">medications </w:t>
      </w:r>
      <w:r w:rsidRPr="00884BE2">
        <w:t>without</w:t>
      </w:r>
      <w:r w:rsidR="0070213A" w:rsidRPr="00884BE2">
        <w:t xml:space="preserve"> seeking</w:t>
      </w:r>
      <w:r w:rsidRPr="00884BE2">
        <w:t xml:space="preserve"> medical </w:t>
      </w:r>
      <w:r w:rsidR="0070213A" w:rsidRPr="00884BE2">
        <w:t>a</w:t>
      </w:r>
      <w:r w:rsidRPr="00884BE2">
        <w:t>dvice.</w:t>
      </w:r>
      <w:r w:rsidR="006E5931" w:rsidRPr="00884BE2">
        <w:t>[</w:t>
      </w:r>
      <w:r w:rsidR="00212DAE" w:rsidRPr="00884BE2">
        <w:t>2</w:t>
      </w:r>
      <w:r w:rsidR="004670B1" w:rsidRPr="00884BE2">
        <w:t>6</w:t>
      </w:r>
      <w:r w:rsidR="006E5931" w:rsidRPr="00884BE2">
        <w:t>]</w:t>
      </w:r>
      <w:r w:rsidR="0070213A" w:rsidRPr="00884BE2">
        <w:rPr>
          <w:vertAlign w:val="superscript"/>
        </w:rPr>
        <w:t xml:space="preserve"> </w:t>
      </w:r>
      <w:r w:rsidR="006C5259" w:rsidRPr="00884BE2">
        <w:t>D</w:t>
      </w:r>
      <w:r w:rsidR="0070213A" w:rsidRPr="00884BE2">
        <w:t xml:space="preserve">oing so, patients believe they avoid unwanted and unpleasant </w:t>
      </w:r>
      <w:r w:rsidR="00C26182" w:rsidRPr="00884BE2">
        <w:t xml:space="preserve">effects of </w:t>
      </w:r>
      <w:r w:rsidR="0070213A" w:rsidRPr="00884BE2">
        <w:t xml:space="preserve">hypoglycaemia with the ability to continuing fasting. </w:t>
      </w:r>
    </w:p>
    <w:p w:rsidR="00905A87" w:rsidRPr="00884BE2" w:rsidRDefault="0039421C" w:rsidP="00511E19">
      <w:pPr>
        <w:tabs>
          <w:tab w:val="left" w:pos="7513"/>
        </w:tabs>
        <w:spacing w:line="360" w:lineRule="auto"/>
        <w:jc w:val="both"/>
      </w:pPr>
      <w:r w:rsidRPr="00884BE2">
        <w:t>Considering the potential</w:t>
      </w:r>
      <w:r w:rsidRPr="00884BE2">
        <w:rPr>
          <w:sz w:val="24"/>
        </w:rPr>
        <w:t xml:space="preserve"> </w:t>
      </w:r>
      <w:r w:rsidRPr="00884BE2">
        <w:t>medical complications and poor treatment adherence associated</w:t>
      </w:r>
      <w:r w:rsidRPr="00884BE2">
        <w:rPr>
          <w:sz w:val="24"/>
        </w:rPr>
        <w:t xml:space="preserve"> </w:t>
      </w:r>
      <w:r w:rsidRPr="00884BE2">
        <w:t xml:space="preserve">with fasting, the choice of </w:t>
      </w:r>
      <w:r w:rsidR="0020096C" w:rsidRPr="00884BE2">
        <w:t>glucose lowering</w:t>
      </w:r>
      <w:r w:rsidR="003E260F" w:rsidRPr="00884BE2">
        <w:t xml:space="preserve"> medication, dosage and timing are essential issues to address prior to Ramadan</w:t>
      </w:r>
      <w:r w:rsidRPr="00884BE2">
        <w:t xml:space="preserve">. </w:t>
      </w:r>
      <w:r w:rsidR="007018A8" w:rsidRPr="00884BE2">
        <w:t xml:space="preserve">The classes of medications </w:t>
      </w:r>
      <w:r w:rsidR="006C5259" w:rsidRPr="00884BE2">
        <w:t>is</w:t>
      </w:r>
      <w:r w:rsidR="007018A8" w:rsidRPr="00884BE2">
        <w:t xml:space="preserve"> discussed in more depth below</w:t>
      </w:r>
      <w:r w:rsidR="006E4F35" w:rsidRPr="00884BE2">
        <w:t xml:space="preserve"> and summarised in </w:t>
      </w:r>
      <w:hyperlink w:anchor="Table4" w:history="1">
        <w:r w:rsidR="006E4F35" w:rsidRPr="00884BE2">
          <w:rPr>
            <w:rStyle w:val="Hyperlink"/>
          </w:rPr>
          <w:t xml:space="preserve">Table </w:t>
        </w:r>
        <w:r w:rsidR="008E4A92" w:rsidRPr="00884BE2">
          <w:rPr>
            <w:rStyle w:val="Hyperlink"/>
          </w:rPr>
          <w:t>4</w:t>
        </w:r>
      </w:hyperlink>
      <w:r w:rsidR="007018A8" w:rsidRPr="00884BE2">
        <w:t xml:space="preserve">, </w:t>
      </w:r>
      <w:r w:rsidR="000F1D24" w:rsidRPr="00884BE2">
        <w:t>as</w:t>
      </w:r>
      <w:r w:rsidR="007018A8" w:rsidRPr="00884BE2">
        <w:t xml:space="preserve"> it is important to bear in mind that c</w:t>
      </w:r>
      <w:r w:rsidR="00A0359E" w:rsidRPr="00884BE2">
        <w:t>ertain classes are less likely to cause hypoglycaemia</w:t>
      </w:r>
      <w:r w:rsidR="007018A8" w:rsidRPr="00884BE2">
        <w:t xml:space="preserve"> </w:t>
      </w:r>
      <w:r w:rsidR="00A0359E" w:rsidRPr="00884BE2">
        <w:t xml:space="preserve">and require </w:t>
      </w:r>
      <w:r w:rsidR="007018A8" w:rsidRPr="00884BE2">
        <w:t xml:space="preserve">less </w:t>
      </w:r>
      <w:r w:rsidR="00A0359E" w:rsidRPr="00884BE2">
        <w:t>dose adjustments</w:t>
      </w:r>
      <w:r w:rsidR="007018A8" w:rsidRPr="00884BE2">
        <w:t xml:space="preserve">, conversely others </w:t>
      </w:r>
      <w:r w:rsidR="00A0359E" w:rsidRPr="00884BE2">
        <w:t xml:space="preserve">are associated with higher risks of hypoglycaemia and therefore will need </w:t>
      </w:r>
      <w:r w:rsidR="007018A8" w:rsidRPr="00884BE2">
        <w:t xml:space="preserve">dose and/ or timing </w:t>
      </w:r>
      <w:r w:rsidR="00A0359E" w:rsidRPr="00884BE2">
        <w:t>adjustments</w:t>
      </w:r>
      <w:r w:rsidR="00AA4A59" w:rsidRPr="00884BE2">
        <w:t xml:space="preserve"> or even avoidance</w:t>
      </w:r>
      <w:r w:rsidR="00A0359E" w:rsidRPr="00884BE2">
        <w:t xml:space="preserve">. </w:t>
      </w:r>
      <w:hyperlink w:anchor="Table5" w:history="1">
        <w:r w:rsidR="00905A87" w:rsidRPr="00884BE2">
          <w:rPr>
            <w:rStyle w:val="Hyperlink"/>
          </w:rPr>
          <w:t>Table 5</w:t>
        </w:r>
      </w:hyperlink>
      <w:r w:rsidR="00905A87" w:rsidRPr="00884BE2">
        <w:t xml:space="preserve"> summarises the current studies investigating treatment regimes in Ramadan. </w:t>
      </w:r>
    </w:p>
    <w:p w:rsidR="001F40C4" w:rsidRPr="00884BE2" w:rsidRDefault="001F40C4" w:rsidP="00511E19">
      <w:pPr>
        <w:tabs>
          <w:tab w:val="left" w:pos="7513"/>
        </w:tabs>
        <w:spacing w:line="360" w:lineRule="auto"/>
        <w:jc w:val="both"/>
      </w:pPr>
    </w:p>
    <w:p w:rsidR="007407F1" w:rsidRPr="00884BE2" w:rsidRDefault="00724BA0" w:rsidP="00511E19">
      <w:pPr>
        <w:tabs>
          <w:tab w:val="left" w:pos="7513"/>
        </w:tabs>
        <w:spacing w:line="360" w:lineRule="auto"/>
        <w:jc w:val="both"/>
        <w:rPr>
          <w:b/>
          <w:bCs/>
          <w:sz w:val="24"/>
        </w:rPr>
      </w:pPr>
      <w:r w:rsidRPr="00884BE2">
        <w:rPr>
          <w:b/>
          <w:bCs/>
          <w:sz w:val="24"/>
        </w:rPr>
        <w:t xml:space="preserve">Managing </w:t>
      </w:r>
      <w:r w:rsidR="007407F1" w:rsidRPr="00884BE2">
        <w:rPr>
          <w:b/>
          <w:bCs/>
          <w:sz w:val="24"/>
        </w:rPr>
        <w:t>patients with type 1 diabetes</w:t>
      </w:r>
    </w:p>
    <w:p w:rsidR="0087593C" w:rsidRPr="00884BE2" w:rsidRDefault="007407F1" w:rsidP="00511E19">
      <w:pPr>
        <w:tabs>
          <w:tab w:val="left" w:pos="7513"/>
        </w:tabs>
        <w:spacing w:line="360" w:lineRule="auto"/>
        <w:jc w:val="both"/>
      </w:pPr>
      <w:r w:rsidRPr="00884BE2">
        <w:t xml:space="preserve">Although the general advice to patients with </w:t>
      </w:r>
      <w:r w:rsidR="00AF0405" w:rsidRPr="00884BE2">
        <w:t>T1DM</w:t>
      </w:r>
      <w:r w:rsidRPr="00884BE2">
        <w:t xml:space="preserve"> is that they should not fast, </w:t>
      </w:r>
      <w:r w:rsidR="00B21509" w:rsidRPr="00884BE2">
        <w:t>evidence from the</w:t>
      </w:r>
      <w:r w:rsidRPr="00884BE2">
        <w:t xml:space="preserve"> EPIDIAR study </w:t>
      </w:r>
      <w:r w:rsidR="00B21509" w:rsidRPr="00884BE2">
        <w:t>suggests</w:t>
      </w:r>
      <w:r w:rsidR="006C5259" w:rsidRPr="00884BE2">
        <w:t xml:space="preserve"> </w:t>
      </w:r>
      <w:r w:rsidRPr="00884BE2">
        <w:t xml:space="preserve">43% of patients with </w:t>
      </w:r>
      <w:r w:rsidR="00AF0405" w:rsidRPr="00884BE2">
        <w:t xml:space="preserve">T1DM </w:t>
      </w:r>
      <w:r w:rsidR="00D67BB5" w:rsidRPr="00884BE2">
        <w:t>do</w:t>
      </w:r>
      <w:proofErr w:type="gramStart"/>
      <w:r w:rsidR="00AF0405" w:rsidRPr="00884BE2">
        <w:t>.[</w:t>
      </w:r>
      <w:proofErr w:type="gramEnd"/>
      <w:r w:rsidR="00212DAE" w:rsidRPr="00884BE2">
        <w:t>6</w:t>
      </w:r>
      <w:r w:rsidRPr="00884BE2">
        <w:t xml:space="preserve">] The safest way for these individuals to fast would be with a basal bolus regime, preferably </w:t>
      </w:r>
      <w:r w:rsidR="0020096C" w:rsidRPr="00884BE2">
        <w:t xml:space="preserve">with insulin </w:t>
      </w:r>
      <w:r w:rsidRPr="00884BE2">
        <w:t>analogues with frequent blood glucose monitoring</w:t>
      </w:r>
      <w:r w:rsidR="00AF0405" w:rsidRPr="00884BE2">
        <w:t xml:space="preserve"> or </w:t>
      </w:r>
      <w:r w:rsidR="006C5324" w:rsidRPr="00884BE2">
        <w:t>an</w:t>
      </w:r>
      <w:r w:rsidR="00AF0405" w:rsidRPr="00884BE2">
        <w:t xml:space="preserve"> insulin pump</w:t>
      </w:r>
      <w:r w:rsidRPr="00884BE2">
        <w:t xml:space="preserve">.  </w:t>
      </w:r>
    </w:p>
    <w:p w:rsidR="007407F1" w:rsidRPr="00884BE2" w:rsidRDefault="007407F1" w:rsidP="00511E19">
      <w:pPr>
        <w:tabs>
          <w:tab w:val="left" w:pos="7513"/>
        </w:tabs>
        <w:spacing w:line="360" w:lineRule="auto"/>
        <w:jc w:val="both"/>
      </w:pPr>
      <w:proofErr w:type="spellStart"/>
      <w:r w:rsidRPr="00884BE2">
        <w:t>Glargine</w:t>
      </w:r>
      <w:proofErr w:type="spellEnd"/>
      <w:r w:rsidRPr="00884BE2">
        <w:t xml:space="preserve"> was reviewed in a small study (n=15) </w:t>
      </w:r>
      <w:r w:rsidR="000B6E43" w:rsidRPr="00884BE2">
        <w:t xml:space="preserve">of </w:t>
      </w:r>
      <w:r w:rsidRPr="00884BE2">
        <w:t xml:space="preserve">relatively well-controlled patients with </w:t>
      </w:r>
      <w:r w:rsidR="000B6E43" w:rsidRPr="00884BE2">
        <w:t>T1DM</w:t>
      </w:r>
      <w:r w:rsidRPr="00884BE2">
        <w:t xml:space="preserve"> who fasted for 18 hours.</w:t>
      </w:r>
      <w:r w:rsidR="006E5931" w:rsidRPr="00884BE2">
        <w:t>[</w:t>
      </w:r>
      <w:r w:rsidR="004670B1" w:rsidRPr="00884BE2">
        <w:t>27</w:t>
      </w:r>
      <w:r w:rsidR="006E5931" w:rsidRPr="00884BE2">
        <w:t>]</w:t>
      </w:r>
      <w:r w:rsidRPr="00884BE2">
        <w:t xml:space="preserve"> Only two episodes of hypoglycaemia and a minimal decline in mean plasma glucose (125 to 93mg/dl</w:t>
      </w:r>
      <w:r w:rsidR="006C5324" w:rsidRPr="00884BE2">
        <w:t>; equivalent 6.9 to 5.2mmol/l</w:t>
      </w:r>
      <w:r w:rsidRPr="00884BE2">
        <w:t>) were reported.</w:t>
      </w:r>
    </w:p>
    <w:p w:rsidR="007407F1" w:rsidRPr="00884BE2" w:rsidRDefault="007407F1" w:rsidP="00511E19">
      <w:pPr>
        <w:tabs>
          <w:tab w:val="left" w:pos="7513"/>
        </w:tabs>
        <w:spacing w:line="360" w:lineRule="auto"/>
        <w:jc w:val="both"/>
      </w:pPr>
      <w:r w:rsidRPr="00884BE2">
        <w:lastRenderedPageBreak/>
        <w:t>A</w:t>
      </w:r>
      <w:r w:rsidR="000B6E43" w:rsidRPr="00884BE2">
        <w:t>nother</w:t>
      </w:r>
      <w:r w:rsidRPr="00884BE2">
        <w:t xml:space="preserve"> small study </w:t>
      </w:r>
      <w:r w:rsidR="005322BF" w:rsidRPr="00884BE2">
        <w:t>observed</w:t>
      </w:r>
      <w:r w:rsidR="000B6E43" w:rsidRPr="00884BE2">
        <w:t xml:space="preserve"> the use of </w:t>
      </w:r>
      <w:proofErr w:type="spellStart"/>
      <w:r w:rsidR="000B6E43" w:rsidRPr="00884BE2">
        <w:t>glargine</w:t>
      </w:r>
      <w:proofErr w:type="spellEnd"/>
      <w:r w:rsidR="000B6E43" w:rsidRPr="00884BE2">
        <w:t xml:space="preserve"> plus</w:t>
      </w:r>
      <w:r w:rsidRPr="00884BE2">
        <w:t xml:space="preserve"> insulin </w:t>
      </w:r>
      <w:proofErr w:type="spellStart"/>
      <w:r w:rsidRPr="00884BE2">
        <w:t>lispro</w:t>
      </w:r>
      <w:proofErr w:type="spellEnd"/>
      <w:r w:rsidRPr="00884BE2">
        <w:t xml:space="preserve"> or </w:t>
      </w:r>
      <w:proofErr w:type="spellStart"/>
      <w:r w:rsidRPr="00884BE2">
        <w:t>aspart</w:t>
      </w:r>
      <w:proofErr w:type="spellEnd"/>
      <w:r w:rsidRPr="00884BE2">
        <w:t xml:space="preserve"> in nine patients with type 1 diabetes</w:t>
      </w:r>
      <w:proofErr w:type="gramStart"/>
      <w:r w:rsidRPr="00884BE2">
        <w:t>.</w:t>
      </w:r>
      <w:r w:rsidR="006E5931" w:rsidRPr="00884BE2">
        <w:t>[</w:t>
      </w:r>
      <w:proofErr w:type="gramEnd"/>
      <w:r w:rsidR="004670B1" w:rsidRPr="00884BE2">
        <w:t>28</w:t>
      </w:r>
      <w:r w:rsidR="006E5931" w:rsidRPr="00884BE2">
        <w:t>]</w:t>
      </w:r>
      <w:r w:rsidRPr="00884BE2">
        <w:t xml:space="preserve"> </w:t>
      </w:r>
      <w:r w:rsidR="006C5259" w:rsidRPr="00884BE2">
        <w:t>S</w:t>
      </w:r>
      <w:r w:rsidRPr="00884BE2">
        <w:t>even patients fast</w:t>
      </w:r>
      <w:r w:rsidR="000B6E43" w:rsidRPr="00884BE2">
        <w:t>ed</w:t>
      </w:r>
      <w:r w:rsidR="00D67BB5" w:rsidRPr="00884BE2">
        <w:t>,</w:t>
      </w:r>
      <w:r w:rsidR="000B6E43" w:rsidRPr="00884BE2">
        <w:t xml:space="preserve"> </w:t>
      </w:r>
      <w:r w:rsidR="00D67BB5" w:rsidRPr="00884BE2">
        <w:t>with five</w:t>
      </w:r>
      <w:r w:rsidR="000B6E43" w:rsidRPr="00884BE2">
        <w:t xml:space="preserve"> managing to fast </w:t>
      </w:r>
      <w:r w:rsidRPr="00884BE2">
        <w:t xml:space="preserve">for the </w:t>
      </w:r>
      <w:r w:rsidR="007A553F" w:rsidRPr="00884BE2">
        <w:t xml:space="preserve">entire </w:t>
      </w:r>
      <w:r w:rsidR="000B6E43" w:rsidRPr="00884BE2">
        <w:t xml:space="preserve"> Ramadan</w:t>
      </w:r>
      <w:r w:rsidRPr="00884BE2">
        <w:t>. No</w:t>
      </w:r>
      <w:r w:rsidR="006C5259" w:rsidRPr="00884BE2">
        <w:t xml:space="preserve"> </w:t>
      </w:r>
      <w:r w:rsidRPr="00884BE2">
        <w:t xml:space="preserve">patients </w:t>
      </w:r>
      <w:r w:rsidR="005322BF" w:rsidRPr="00884BE2">
        <w:t xml:space="preserve">reported </w:t>
      </w:r>
      <w:r w:rsidRPr="00884BE2">
        <w:t>episodes of severe hypoglycaemia or diabetic ketoacidosis requiring admis</w:t>
      </w:r>
      <w:r w:rsidRPr="00884BE2">
        <w:softHyphen/>
        <w:t xml:space="preserve">sion to hospital, and </w:t>
      </w:r>
      <w:r w:rsidR="00C628DE" w:rsidRPr="00884BE2">
        <w:t xml:space="preserve">glycaemic control measured by </w:t>
      </w:r>
      <w:r w:rsidR="005322BF" w:rsidRPr="00884BE2">
        <w:t>HbA1c</w:t>
      </w:r>
      <w:r w:rsidRPr="00884BE2">
        <w:t xml:space="preserve"> remained stable at the end of Ramadan. </w:t>
      </w:r>
      <w:r w:rsidR="005322BF" w:rsidRPr="00884BE2">
        <w:t>T</w:t>
      </w:r>
      <w:r w:rsidRPr="00884BE2">
        <w:t xml:space="preserve">he insulin requirement in this study group </w:t>
      </w:r>
      <w:r w:rsidR="005322BF" w:rsidRPr="00884BE2">
        <w:t xml:space="preserve">significantly </w:t>
      </w:r>
      <w:r w:rsidRPr="00884BE2">
        <w:t xml:space="preserve">decreased by 28% from baseline, </w:t>
      </w:r>
      <w:r w:rsidR="005322BF" w:rsidRPr="00884BE2">
        <w:t>hence reducing the usual insulin dose by 20-30% seems reasonable during the fasting period</w:t>
      </w:r>
      <w:r w:rsidRPr="00884BE2">
        <w:t xml:space="preserve">. </w:t>
      </w:r>
    </w:p>
    <w:p w:rsidR="007407F1" w:rsidRPr="00884BE2" w:rsidRDefault="007D3E50" w:rsidP="00511E19">
      <w:pPr>
        <w:tabs>
          <w:tab w:val="left" w:pos="7513"/>
        </w:tabs>
        <w:spacing w:line="360" w:lineRule="auto"/>
        <w:jc w:val="both"/>
      </w:pPr>
      <w:r w:rsidRPr="00884BE2">
        <w:t>An open-</w:t>
      </w:r>
      <w:r w:rsidR="007407F1" w:rsidRPr="00884BE2">
        <w:t xml:space="preserve">label, comparative, crossover study of 64 patients with </w:t>
      </w:r>
      <w:r w:rsidRPr="00884BE2">
        <w:t>T1DM</w:t>
      </w:r>
      <w:r w:rsidR="007407F1" w:rsidRPr="00884BE2">
        <w:t xml:space="preserve"> found significantly lower</w:t>
      </w:r>
      <w:r w:rsidRPr="00884BE2">
        <w:t xml:space="preserve"> </w:t>
      </w:r>
      <w:r w:rsidR="007407F1" w:rsidRPr="00884BE2">
        <w:t xml:space="preserve">postprandial glucose </w:t>
      </w:r>
      <w:r w:rsidR="00B21509" w:rsidRPr="00884BE2">
        <w:t xml:space="preserve"> levels</w:t>
      </w:r>
      <w:r w:rsidR="007407F1" w:rsidRPr="00884BE2">
        <w:t xml:space="preserve"> after </w:t>
      </w:r>
      <w:r w:rsidR="00C26182" w:rsidRPr="00884BE2">
        <w:t>the evening meal (</w:t>
      </w:r>
      <w:proofErr w:type="spellStart"/>
      <w:r w:rsidRPr="00884BE2">
        <w:t>I</w:t>
      </w:r>
      <w:r w:rsidR="007407F1" w:rsidRPr="00884BE2">
        <w:t>ftar</w:t>
      </w:r>
      <w:proofErr w:type="spellEnd"/>
      <w:r w:rsidR="00C26182" w:rsidRPr="00884BE2">
        <w:t>)</w:t>
      </w:r>
      <w:r w:rsidR="007407F1" w:rsidRPr="00884BE2">
        <w:t xml:space="preserve"> and fewer hypoglycaemic events w</w:t>
      </w:r>
      <w:r w:rsidRPr="00884BE2">
        <w:t xml:space="preserve">hen </w:t>
      </w:r>
      <w:proofErr w:type="spellStart"/>
      <w:r w:rsidRPr="00884BE2">
        <w:t>isophane</w:t>
      </w:r>
      <w:proofErr w:type="spellEnd"/>
      <w:r w:rsidRPr="00884BE2">
        <w:t xml:space="preserve"> insulin (</w:t>
      </w:r>
      <w:proofErr w:type="spellStart"/>
      <w:r w:rsidRPr="00884BE2">
        <w:t>Humulin</w:t>
      </w:r>
      <w:proofErr w:type="spellEnd"/>
      <w:r w:rsidRPr="00884BE2">
        <w:t xml:space="preserve"> I) was combined with </w:t>
      </w:r>
      <w:r w:rsidR="007407F1" w:rsidRPr="00884BE2">
        <w:t xml:space="preserve">insulin </w:t>
      </w:r>
      <w:proofErr w:type="spellStart"/>
      <w:r w:rsidR="007407F1" w:rsidRPr="00884BE2">
        <w:t>lispro</w:t>
      </w:r>
      <w:proofErr w:type="spellEnd"/>
      <w:r w:rsidR="007407F1" w:rsidRPr="00884BE2">
        <w:t xml:space="preserve"> </w:t>
      </w:r>
      <w:r w:rsidRPr="00884BE2">
        <w:t xml:space="preserve">rather </w:t>
      </w:r>
      <w:r w:rsidR="007407F1" w:rsidRPr="00884BE2">
        <w:t xml:space="preserve">than </w:t>
      </w:r>
      <w:r w:rsidRPr="00884BE2">
        <w:t xml:space="preserve">with short-acting </w:t>
      </w:r>
      <w:r w:rsidR="007407F1" w:rsidRPr="00884BE2">
        <w:t>human insulin.</w:t>
      </w:r>
      <w:r w:rsidR="006E5931" w:rsidRPr="00884BE2">
        <w:t>[</w:t>
      </w:r>
      <w:r w:rsidR="004670B1" w:rsidRPr="00884BE2">
        <w:t>29</w:t>
      </w:r>
      <w:r w:rsidR="006E5931" w:rsidRPr="00884BE2">
        <w:t>]</w:t>
      </w:r>
      <w:r w:rsidR="007407F1" w:rsidRPr="00884BE2">
        <w:t xml:space="preserve"> </w:t>
      </w:r>
    </w:p>
    <w:p w:rsidR="00EE2116" w:rsidRPr="00884BE2" w:rsidRDefault="007407F1" w:rsidP="00511E19">
      <w:pPr>
        <w:tabs>
          <w:tab w:val="left" w:pos="7513"/>
        </w:tabs>
        <w:spacing w:line="360" w:lineRule="auto"/>
        <w:jc w:val="both"/>
      </w:pPr>
      <w:r w:rsidRPr="00884BE2">
        <w:t xml:space="preserve">We </w:t>
      </w:r>
      <w:r w:rsidR="006C5259" w:rsidRPr="00884BE2">
        <w:t>recommend</w:t>
      </w:r>
      <w:r w:rsidRPr="00884BE2">
        <w:t xml:space="preserve"> patients with </w:t>
      </w:r>
      <w:r w:rsidR="00EE2116" w:rsidRPr="00884BE2">
        <w:t>T1DM</w:t>
      </w:r>
      <w:r w:rsidRPr="00884BE2">
        <w:t xml:space="preserve"> </w:t>
      </w:r>
      <w:r w:rsidR="00EE2116" w:rsidRPr="00884BE2">
        <w:t xml:space="preserve">are </w:t>
      </w:r>
      <w:r w:rsidR="006C5259" w:rsidRPr="00884BE2">
        <w:t xml:space="preserve">generally </w:t>
      </w:r>
      <w:r w:rsidRPr="00884BE2">
        <w:t>dis</w:t>
      </w:r>
      <w:r w:rsidRPr="00884BE2">
        <w:softHyphen/>
        <w:t>couraged from fasting owing to the</w:t>
      </w:r>
      <w:r w:rsidR="00EE2116" w:rsidRPr="00884BE2">
        <w:t xml:space="preserve"> risks of hypoglycaemia, hyperglycaemia and diabetic ketoacidosis</w:t>
      </w:r>
      <w:r w:rsidRPr="00884BE2">
        <w:t xml:space="preserve">. </w:t>
      </w:r>
      <w:r w:rsidR="006C5259" w:rsidRPr="00884BE2">
        <w:t>S</w:t>
      </w:r>
      <w:r w:rsidR="00EE2116" w:rsidRPr="00884BE2">
        <w:t xml:space="preserve">hould a </w:t>
      </w:r>
      <w:r w:rsidRPr="00884BE2">
        <w:t xml:space="preserve">patient choose to fast, </w:t>
      </w:r>
      <w:r w:rsidR="00EE2116" w:rsidRPr="00884BE2">
        <w:t xml:space="preserve">patient </w:t>
      </w:r>
      <w:r w:rsidRPr="00884BE2">
        <w:t>familiar</w:t>
      </w:r>
      <w:r w:rsidR="00EE2116" w:rsidRPr="00884BE2">
        <w:t>ity</w:t>
      </w:r>
      <w:r w:rsidRPr="00884BE2">
        <w:t xml:space="preserve"> with carbohydrate counting</w:t>
      </w:r>
      <w:r w:rsidR="00EE2116" w:rsidRPr="00884BE2">
        <w:t xml:space="preserve"> is of great </w:t>
      </w:r>
      <w:r w:rsidR="00F336D7" w:rsidRPr="00884BE2">
        <w:t>assistance.</w:t>
      </w:r>
    </w:p>
    <w:p w:rsidR="007407F1" w:rsidRPr="00884BE2" w:rsidRDefault="00EE2116" w:rsidP="00511E19">
      <w:pPr>
        <w:tabs>
          <w:tab w:val="left" w:pos="7513"/>
        </w:tabs>
        <w:spacing w:line="360" w:lineRule="auto"/>
        <w:jc w:val="both"/>
      </w:pPr>
      <w:r w:rsidRPr="00884BE2">
        <w:t>In addition, w</w:t>
      </w:r>
      <w:r w:rsidR="007407F1" w:rsidRPr="00884BE2">
        <w:t>e suggest th</w:t>
      </w:r>
      <w:r w:rsidRPr="00884BE2">
        <w:t xml:space="preserve">at basal long-acting </w:t>
      </w:r>
      <w:r w:rsidR="007407F1" w:rsidRPr="00884BE2">
        <w:t xml:space="preserve">insulin </w:t>
      </w:r>
      <w:r w:rsidRPr="00884BE2">
        <w:t xml:space="preserve">is reduced </w:t>
      </w:r>
      <w:r w:rsidR="007407F1" w:rsidRPr="00884BE2">
        <w:t xml:space="preserve">by 20% </w:t>
      </w:r>
      <w:r w:rsidR="00073DBD" w:rsidRPr="00884BE2">
        <w:t>and taken with the evening meal (</w:t>
      </w:r>
      <w:proofErr w:type="spellStart"/>
      <w:r w:rsidR="00073DBD" w:rsidRPr="00884BE2">
        <w:t>Iftar</w:t>
      </w:r>
      <w:proofErr w:type="spellEnd"/>
      <w:r w:rsidR="00073DBD" w:rsidRPr="00884BE2">
        <w:t xml:space="preserve">). We also suggest that </w:t>
      </w:r>
      <w:r w:rsidR="00511E19" w:rsidRPr="00884BE2">
        <w:t xml:space="preserve">patients on a basal bolus regimen should omit </w:t>
      </w:r>
      <w:r w:rsidR="00073DBD" w:rsidRPr="00884BE2">
        <w:t>th</w:t>
      </w:r>
      <w:r w:rsidRPr="00884BE2">
        <w:t>e midday rapid-</w:t>
      </w:r>
      <w:r w:rsidR="007407F1" w:rsidRPr="00884BE2">
        <w:t>acting insulin</w:t>
      </w:r>
      <w:r w:rsidR="00511E19" w:rsidRPr="00884BE2">
        <w:t xml:space="preserve"> whilst fasting</w:t>
      </w:r>
      <w:proofErr w:type="gramStart"/>
      <w:r w:rsidR="007407F1" w:rsidRPr="00884BE2">
        <w:t>.</w:t>
      </w:r>
      <w:r w:rsidR="00212DAE" w:rsidRPr="00884BE2">
        <w:t>[</w:t>
      </w:r>
      <w:proofErr w:type="gramEnd"/>
      <w:r w:rsidR="00217D00" w:rsidRPr="00884BE2">
        <w:t>8</w:t>
      </w:r>
      <w:r w:rsidR="00C628DE" w:rsidRPr="00884BE2">
        <w:t>]</w:t>
      </w:r>
      <w:r w:rsidR="007407F1" w:rsidRPr="00884BE2">
        <w:t xml:space="preserve"> </w:t>
      </w:r>
      <w:r w:rsidRPr="00884BE2">
        <w:t>Patients should be encouraged to test frequently throughout the fasting period.</w:t>
      </w:r>
      <w:r w:rsidR="007407F1" w:rsidRPr="00884BE2">
        <w:t xml:space="preserve"> </w:t>
      </w:r>
    </w:p>
    <w:p w:rsidR="007407F1" w:rsidRPr="00884BE2" w:rsidRDefault="007407F1" w:rsidP="00511E19">
      <w:pPr>
        <w:tabs>
          <w:tab w:val="left" w:pos="7513"/>
        </w:tabs>
        <w:spacing w:line="360" w:lineRule="auto"/>
        <w:jc w:val="both"/>
        <w:rPr>
          <w:b/>
        </w:rPr>
      </w:pPr>
      <w:r w:rsidRPr="00884BE2">
        <w:rPr>
          <w:b/>
        </w:rPr>
        <w:t>Insulin pump</w:t>
      </w:r>
    </w:p>
    <w:p w:rsidR="009235D4" w:rsidRPr="00884BE2" w:rsidRDefault="007407F1" w:rsidP="00511E19">
      <w:pPr>
        <w:tabs>
          <w:tab w:val="left" w:pos="7513"/>
        </w:tabs>
        <w:spacing w:line="360" w:lineRule="auto"/>
        <w:jc w:val="both"/>
      </w:pPr>
      <w:r w:rsidRPr="00884BE2">
        <w:t>Insulin pumps deliver continuous insulin over 24 hours with basal infusion rates programmed and individualised according to diet, exercise and lifestyle changes. Patients are able to deliver boluses of insulin at meal times or if hyperglycaemia occurs. This system requires frequent blood glucose monitoring but gives much flexibility to the individual, such that risks of hypoglycaemia from fasting and hyperglycaemia from feasting can be bett</w:t>
      </w:r>
      <w:r w:rsidR="007E0E50" w:rsidRPr="00884BE2">
        <w:t>e</w:t>
      </w:r>
      <w:r w:rsidR="009648C7" w:rsidRPr="00884BE2">
        <w:t xml:space="preserve">r managed. </w:t>
      </w:r>
      <w:r w:rsidR="00453EF2" w:rsidRPr="00884BE2">
        <w:t xml:space="preserve">Ensuring </w:t>
      </w:r>
      <w:r w:rsidRPr="00884BE2">
        <w:t xml:space="preserve">patients </w:t>
      </w:r>
      <w:r w:rsidR="009648C7" w:rsidRPr="00884BE2">
        <w:t xml:space="preserve">who are </w:t>
      </w:r>
      <w:r w:rsidR="00073DBD" w:rsidRPr="00884BE2">
        <w:t>already on insulin pumps</w:t>
      </w:r>
      <w:r w:rsidR="00453EF2" w:rsidRPr="00884BE2">
        <w:t xml:space="preserve"> have full support and education</w:t>
      </w:r>
      <w:r w:rsidR="00073DBD" w:rsidRPr="00884BE2">
        <w:t xml:space="preserve">, </w:t>
      </w:r>
      <w:r w:rsidRPr="00884BE2">
        <w:t xml:space="preserve">will </w:t>
      </w:r>
      <w:r w:rsidR="001F299A" w:rsidRPr="00884BE2">
        <w:t xml:space="preserve">give them </w:t>
      </w:r>
      <w:r w:rsidR="00711599" w:rsidRPr="00884BE2">
        <w:t xml:space="preserve">skills and </w:t>
      </w:r>
      <w:r w:rsidR="001F299A" w:rsidRPr="00884BE2">
        <w:t>confidence</w:t>
      </w:r>
      <w:r w:rsidRPr="00884BE2">
        <w:t xml:space="preserve"> and may allow for s</w:t>
      </w:r>
      <w:r w:rsidR="001F299A" w:rsidRPr="00884BE2">
        <w:t>afer</w:t>
      </w:r>
      <w:r w:rsidRPr="00884BE2">
        <w:t xml:space="preserve"> fasting in Ramadan provided they are otherwise metabolically stable, not acutely unwell and do not suffer from any other contraindication to fasting. </w:t>
      </w:r>
      <w:r w:rsidR="005B575B" w:rsidRPr="00884BE2">
        <w:t>The limited data on insulin pumps are limited</w:t>
      </w:r>
      <w:r w:rsidRPr="00884BE2">
        <w:t xml:space="preserve"> </w:t>
      </w:r>
      <w:r w:rsidR="005B575B" w:rsidRPr="00884BE2">
        <w:t>indicate</w:t>
      </w:r>
      <w:r w:rsidRPr="00884BE2">
        <w:t xml:space="preserve"> no major problems with hypoglycaemia nor hyperglycaemia, exhibiting the </w:t>
      </w:r>
      <w:r w:rsidR="007E0E50" w:rsidRPr="00884BE2">
        <w:t>feasibility</w:t>
      </w:r>
      <w:r w:rsidRPr="00884BE2">
        <w:t xml:space="preserve"> of fasting safely in educated and well-controlled patients with </w:t>
      </w:r>
      <w:r w:rsidR="00990EA8" w:rsidRPr="00884BE2">
        <w:t>T1DM</w:t>
      </w:r>
      <w:proofErr w:type="gramStart"/>
      <w:r w:rsidR="007A1006" w:rsidRPr="00884BE2">
        <w:t>.</w:t>
      </w:r>
      <w:r w:rsidR="006E5931" w:rsidRPr="00884BE2">
        <w:t>[</w:t>
      </w:r>
      <w:proofErr w:type="gramEnd"/>
      <w:r w:rsidR="004670B1" w:rsidRPr="00884BE2">
        <w:t>30</w:t>
      </w:r>
      <w:r w:rsidR="006E5931" w:rsidRPr="00884BE2">
        <w:t>]</w:t>
      </w:r>
      <w:r w:rsidR="00073DBD" w:rsidRPr="00884BE2">
        <w:rPr>
          <w:vertAlign w:val="superscript"/>
        </w:rPr>
        <w:t xml:space="preserve"> </w:t>
      </w:r>
      <w:r w:rsidR="00073DBD" w:rsidRPr="00884BE2">
        <w:t>Insulin pumps however, are not available to many patients</w:t>
      </w:r>
      <w:r w:rsidR="007A1006" w:rsidRPr="00884BE2">
        <w:t>,</w:t>
      </w:r>
      <w:r w:rsidR="00073DBD" w:rsidRPr="00884BE2">
        <w:t xml:space="preserve"> are costly</w:t>
      </w:r>
      <w:r w:rsidR="00F336D7" w:rsidRPr="00884BE2">
        <w:t xml:space="preserve"> and may not be recommended as specific method of managing diabetes during Ramadan</w:t>
      </w:r>
      <w:r w:rsidR="004540E8" w:rsidRPr="00884BE2">
        <w:t>, particularly as time and good preparation is required for patients to adjust pump therapy.</w:t>
      </w:r>
    </w:p>
    <w:p w:rsidR="005B575B" w:rsidRPr="00884BE2" w:rsidRDefault="005B575B" w:rsidP="00511E19">
      <w:pPr>
        <w:tabs>
          <w:tab w:val="left" w:pos="7513"/>
        </w:tabs>
        <w:spacing w:line="360" w:lineRule="auto"/>
        <w:jc w:val="both"/>
        <w:rPr>
          <w:b/>
          <w:sz w:val="24"/>
        </w:rPr>
      </w:pPr>
    </w:p>
    <w:p w:rsidR="0020096C" w:rsidRPr="00884BE2" w:rsidRDefault="0020096C" w:rsidP="00511E19">
      <w:pPr>
        <w:tabs>
          <w:tab w:val="left" w:pos="7513"/>
        </w:tabs>
        <w:spacing w:line="360" w:lineRule="auto"/>
        <w:jc w:val="both"/>
        <w:rPr>
          <w:b/>
          <w:sz w:val="24"/>
        </w:rPr>
      </w:pPr>
    </w:p>
    <w:p w:rsidR="0020096C" w:rsidRPr="00884BE2" w:rsidRDefault="0020096C" w:rsidP="00511E19">
      <w:pPr>
        <w:tabs>
          <w:tab w:val="left" w:pos="7513"/>
        </w:tabs>
        <w:spacing w:line="360" w:lineRule="auto"/>
        <w:jc w:val="both"/>
        <w:rPr>
          <w:b/>
          <w:sz w:val="24"/>
        </w:rPr>
      </w:pPr>
    </w:p>
    <w:p w:rsidR="009851F4" w:rsidRPr="00884BE2" w:rsidRDefault="009851F4" w:rsidP="00511E19">
      <w:pPr>
        <w:tabs>
          <w:tab w:val="left" w:pos="7513"/>
        </w:tabs>
        <w:spacing w:line="360" w:lineRule="auto"/>
        <w:jc w:val="both"/>
        <w:rPr>
          <w:b/>
          <w:sz w:val="24"/>
        </w:rPr>
      </w:pPr>
      <w:r w:rsidRPr="00884BE2">
        <w:rPr>
          <w:b/>
          <w:sz w:val="24"/>
        </w:rPr>
        <w:lastRenderedPageBreak/>
        <w:t>Manag</w:t>
      </w:r>
      <w:r w:rsidR="00724BA0" w:rsidRPr="00884BE2">
        <w:rPr>
          <w:b/>
          <w:sz w:val="24"/>
        </w:rPr>
        <w:t>ing</w:t>
      </w:r>
      <w:r w:rsidRPr="00884BE2">
        <w:rPr>
          <w:b/>
          <w:sz w:val="24"/>
        </w:rPr>
        <w:t xml:space="preserve"> patients with type 2 diabetes</w:t>
      </w:r>
    </w:p>
    <w:p w:rsidR="007E0E50" w:rsidRPr="00884BE2" w:rsidRDefault="009851F4" w:rsidP="00511E19">
      <w:pPr>
        <w:tabs>
          <w:tab w:val="left" w:pos="7513"/>
        </w:tabs>
        <w:spacing w:line="360" w:lineRule="auto"/>
        <w:jc w:val="both"/>
        <w:rPr>
          <w:b/>
        </w:rPr>
      </w:pPr>
      <w:r w:rsidRPr="00884BE2">
        <w:rPr>
          <w:b/>
        </w:rPr>
        <w:t>Diet-controlled diabetes</w:t>
      </w:r>
    </w:p>
    <w:p w:rsidR="00C0648F" w:rsidRPr="00884BE2" w:rsidRDefault="009851F4" w:rsidP="00511E19">
      <w:pPr>
        <w:tabs>
          <w:tab w:val="left" w:pos="7513"/>
        </w:tabs>
        <w:spacing w:line="360" w:lineRule="auto"/>
        <w:jc w:val="both"/>
        <w:rPr>
          <w:b/>
        </w:rPr>
      </w:pPr>
      <w:r w:rsidRPr="00884BE2">
        <w:t xml:space="preserve">In patients controlled with </w:t>
      </w:r>
      <w:r w:rsidR="001F5D92" w:rsidRPr="00884BE2">
        <w:t>diet</w:t>
      </w:r>
      <w:r w:rsidRPr="00884BE2">
        <w:t xml:space="preserve"> </w:t>
      </w:r>
      <w:r w:rsidR="00425ED6" w:rsidRPr="00884BE2">
        <w:t xml:space="preserve">and lifestyle </w:t>
      </w:r>
      <w:r w:rsidRPr="00884BE2">
        <w:t>alone, the risks of fasting are low. There is a possibility of postprandial hyperglycaemia occur</w:t>
      </w:r>
      <w:r w:rsidR="002512C0" w:rsidRPr="00884BE2">
        <w:t>ring</w:t>
      </w:r>
      <w:r w:rsidRPr="00884BE2">
        <w:t xml:space="preserve"> with indulgent eating. These patients should be reminded to eat sensibly</w:t>
      </w:r>
      <w:r w:rsidR="00C0648F" w:rsidRPr="00884BE2">
        <w:t xml:space="preserve"> and may benefit from increasing physical activity.</w:t>
      </w:r>
    </w:p>
    <w:p w:rsidR="004D358C" w:rsidRPr="00884BE2" w:rsidRDefault="004D358C" w:rsidP="00511E19">
      <w:pPr>
        <w:tabs>
          <w:tab w:val="left" w:pos="7513"/>
        </w:tabs>
        <w:spacing w:line="360" w:lineRule="auto"/>
        <w:jc w:val="both"/>
        <w:rPr>
          <w:b/>
        </w:rPr>
      </w:pPr>
      <w:r w:rsidRPr="00884BE2">
        <w:rPr>
          <w:b/>
        </w:rPr>
        <w:t>Metformin</w:t>
      </w:r>
    </w:p>
    <w:p w:rsidR="00875D6C" w:rsidRPr="00884BE2" w:rsidRDefault="00875D6C" w:rsidP="00511E19">
      <w:pPr>
        <w:tabs>
          <w:tab w:val="left" w:pos="7513"/>
        </w:tabs>
        <w:spacing w:line="360" w:lineRule="auto"/>
        <w:jc w:val="both"/>
      </w:pPr>
      <w:r w:rsidRPr="00884BE2">
        <w:t>Although t</w:t>
      </w:r>
      <w:r w:rsidR="00E25003" w:rsidRPr="00884BE2">
        <w:t>o date, there are no studies examinin</w:t>
      </w:r>
      <w:r w:rsidR="00253E4E" w:rsidRPr="00884BE2">
        <w:t xml:space="preserve">g </w:t>
      </w:r>
      <w:r w:rsidRPr="00884BE2">
        <w:t xml:space="preserve">rate of </w:t>
      </w:r>
      <w:r w:rsidR="00253E4E" w:rsidRPr="00884BE2">
        <w:t>hypoglycaemia</w:t>
      </w:r>
      <w:r w:rsidRPr="00884BE2">
        <w:t xml:space="preserve"> during fasting with metformin alone</w:t>
      </w:r>
      <w:r w:rsidR="00E25003" w:rsidRPr="00884BE2">
        <w:t xml:space="preserve">, </w:t>
      </w:r>
      <w:r w:rsidRPr="00884BE2">
        <w:t xml:space="preserve">the </w:t>
      </w:r>
      <w:r w:rsidR="008745F5" w:rsidRPr="00884BE2">
        <w:t xml:space="preserve">hypothetical risk </w:t>
      </w:r>
      <w:r w:rsidRPr="00884BE2">
        <w:t>of severe hypoglycaemia is low</w:t>
      </w:r>
      <w:r w:rsidR="00E25003" w:rsidRPr="00884BE2">
        <w:t>, since it increases insulin sensitivity rather than insulin secretion</w:t>
      </w:r>
      <w:r w:rsidRPr="00884BE2">
        <w:t>. Henc</w:t>
      </w:r>
      <w:r w:rsidR="00E25003" w:rsidRPr="00884BE2">
        <w:t xml:space="preserve">e, patients on metformin </w:t>
      </w:r>
      <w:r w:rsidR="00DA1AA0" w:rsidRPr="00884BE2">
        <w:t>monotherapy</w:t>
      </w:r>
      <w:r w:rsidR="00E25003" w:rsidRPr="00884BE2">
        <w:t xml:space="preserve"> </w:t>
      </w:r>
      <w:r w:rsidRPr="00884BE2">
        <w:t>should be able to fast safely. Our recommendation is that the</w:t>
      </w:r>
      <w:r w:rsidR="00E25003" w:rsidRPr="00884BE2">
        <w:t xml:space="preserve"> </w:t>
      </w:r>
      <w:r w:rsidR="000A4808" w:rsidRPr="00884BE2">
        <w:t xml:space="preserve">total </w:t>
      </w:r>
      <w:r w:rsidRPr="00884BE2">
        <w:t xml:space="preserve">dose </w:t>
      </w:r>
      <w:r w:rsidR="00E25003" w:rsidRPr="00884BE2">
        <w:t xml:space="preserve">of metformin </w:t>
      </w:r>
      <w:r w:rsidR="000A4808" w:rsidRPr="00884BE2">
        <w:t>over 24 hours can stay the same. S</w:t>
      </w:r>
      <w:r w:rsidRPr="00884BE2">
        <w:t xml:space="preserve">hould </w:t>
      </w:r>
      <w:r w:rsidR="000A4808" w:rsidRPr="00884BE2">
        <w:t xml:space="preserve">patients take a lunch-time dose this can be taken </w:t>
      </w:r>
      <w:r w:rsidR="00E25003" w:rsidRPr="00884BE2">
        <w:t xml:space="preserve">at </w:t>
      </w:r>
      <w:proofErr w:type="spellStart"/>
      <w:proofErr w:type="gramStart"/>
      <w:r w:rsidR="00E25003" w:rsidRPr="00884BE2">
        <w:t>I</w:t>
      </w:r>
      <w:r w:rsidRPr="00884BE2">
        <w:t>ftar</w:t>
      </w:r>
      <w:proofErr w:type="spellEnd"/>
      <w:r w:rsidRPr="00884BE2">
        <w:t>.</w:t>
      </w:r>
      <w:proofErr w:type="gramEnd"/>
    </w:p>
    <w:p w:rsidR="004D358C" w:rsidRPr="00884BE2" w:rsidRDefault="004D358C" w:rsidP="00511E19">
      <w:pPr>
        <w:tabs>
          <w:tab w:val="left" w:pos="7513"/>
        </w:tabs>
        <w:spacing w:line="360" w:lineRule="auto"/>
        <w:jc w:val="both"/>
        <w:rPr>
          <w:b/>
        </w:rPr>
      </w:pPr>
      <w:proofErr w:type="spellStart"/>
      <w:r w:rsidRPr="00884BE2">
        <w:rPr>
          <w:b/>
        </w:rPr>
        <w:t>Acarbose</w:t>
      </w:r>
      <w:proofErr w:type="spellEnd"/>
    </w:p>
    <w:p w:rsidR="004B5343" w:rsidRPr="00884BE2" w:rsidRDefault="00E10E1E" w:rsidP="00511E19">
      <w:pPr>
        <w:tabs>
          <w:tab w:val="left" w:pos="7513"/>
        </w:tabs>
        <w:spacing w:line="360" w:lineRule="auto"/>
        <w:jc w:val="both"/>
      </w:pPr>
      <w:proofErr w:type="spellStart"/>
      <w:r w:rsidRPr="00884BE2">
        <w:t>Acarbose</w:t>
      </w:r>
      <w:proofErr w:type="spellEnd"/>
      <w:r w:rsidR="003D728B" w:rsidRPr="00884BE2">
        <w:t xml:space="preserve"> </w:t>
      </w:r>
      <w:r w:rsidR="006D05E6" w:rsidRPr="00884BE2">
        <w:t>inhibits</w:t>
      </w:r>
      <w:r w:rsidR="003D728B" w:rsidRPr="00884BE2">
        <w:t xml:space="preserve"> the enzyme </w:t>
      </w:r>
      <w:r w:rsidR="00E25003" w:rsidRPr="00884BE2">
        <w:t>alpha-glucosidase,</w:t>
      </w:r>
      <w:r w:rsidRPr="00884BE2">
        <w:t xml:space="preserve"> </w:t>
      </w:r>
      <w:r w:rsidR="006D05E6" w:rsidRPr="00884BE2">
        <w:t xml:space="preserve">needed to digest and absorb </w:t>
      </w:r>
      <w:r w:rsidR="00B2309F" w:rsidRPr="00884BE2">
        <w:t xml:space="preserve">glucose </w:t>
      </w:r>
      <w:r w:rsidR="006D05E6" w:rsidRPr="00884BE2">
        <w:t xml:space="preserve">from </w:t>
      </w:r>
      <w:r w:rsidR="008745F5" w:rsidRPr="00884BE2">
        <w:t xml:space="preserve">ingested </w:t>
      </w:r>
      <w:r w:rsidR="006D05E6" w:rsidRPr="00884BE2">
        <w:t>carbohydrate</w:t>
      </w:r>
      <w:r w:rsidR="008745F5" w:rsidRPr="00884BE2">
        <w:t>s</w:t>
      </w:r>
      <w:r w:rsidR="00B2309F" w:rsidRPr="00884BE2">
        <w:t>.</w:t>
      </w:r>
      <w:r w:rsidR="006D05E6" w:rsidRPr="00884BE2">
        <w:t xml:space="preserve"> </w:t>
      </w:r>
      <w:r w:rsidR="00B2309F" w:rsidRPr="00884BE2">
        <w:t>Although the</w:t>
      </w:r>
      <w:r w:rsidR="008745F5" w:rsidRPr="00884BE2">
        <w:t>re</w:t>
      </w:r>
      <w:r w:rsidR="00073DBD" w:rsidRPr="00884BE2">
        <w:t xml:space="preserve"> </w:t>
      </w:r>
      <w:r w:rsidR="004B5343" w:rsidRPr="00884BE2">
        <w:t>is</w:t>
      </w:r>
      <w:r w:rsidR="008745F5" w:rsidRPr="00884BE2">
        <w:t xml:space="preserve"> no data in Ramadan </w:t>
      </w:r>
      <w:r w:rsidR="008745F5" w:rsidRPr="00884BE2">
        <w:rPr>
          <w:i/>
        </w:rPr>
        <w:t>per se</w:t>
      </w:r>
      <w:r w:rsidR="008745F5" w:rsidRPr="00884BE2">
        <w:t xml:space="preserve">, </w:t>
      </w:r>
      <w:proofErr w:type="spellStart"/>
      <w:r w:rsidR="008745F5" w:rsidRPr="00884BE2">
        <w:t>acarbose</w:t>
      </w:r>
      <w:proofErr w:type="spellEnd"/>
      <w:r w:rsidR="008745F5" w:rsidRPr="00884BE2">
        <w:t xml:space="preserve"> has a low independent</w:t>
      </w:r>
      <w:r w:rsidR="00B2309F" w:rsidRPr="00884BE2">
        <w:t xml:space="preserve"> risk of hypoglycaemia</w:t>
      </w:r>
      <w:r w:rsidR="008745F5" w:rsidRPr="00884BE2">
        <w:t>.</w:t>
      </w:r>
      <w:r w:rsidR="006E5931" w:rsidRPr="00884BE2">
        <w:t>[</w:t>
      </w:r>
      <w:r w:rsidR="00212DAE" w:rsidRPr="00884BE2">
        <w:t>3</w:t>
      </w:r>
      <w:r w:rsidR="004670B1" w:rsidRPr="00884BE2">
        <w:t>1</w:t>
      </w:r>
      <w:r w:rsidR="006E5931" w:rsidRPr="00884BE2">
        <w:t>]</w:t>
      </w:r>
      <w:r w:rsidR="00B2309F" w:rsidRPr="00884BE2">
        <w:t xml:space="preserve"> </w:t>
      </w:r>
      <w:r w:rsidR="00642ACE" w:rsidRPr="00884BE2">
        <w:t xml:space="preserve">Hence, the dose of </w:t>
      </w:r>
      <w:proofErr w:type="spellStart"/>
      <w:r w:rsidR="00642ACE" w:rsidRPr="00884BE2">
        <w:t>acarbose</w:t>
      </w:r>
      <w:proofErr w:type="spellEnd"/>
      <w:r w:rsidR="00642ACE" w:rsidRPr="00884BE2">
        <w:t xml:space="preserve"> need </w:t>
      </w:r>
      <w:r w:rsidR="008745F5" w:rsidRPr="00884BE2">
        <w:t>not</w:t>
      </w:r>
      <w:r w:rsidR="00642ACE" w:rsidRPr="00884BE2">
        <w:t xml:space="preserve"> change provided it is taken </w:t>
      </w:r>
      <w:r w:rsidR="00A239BB" w:rsidRPr="00884BE2">
        <w:t>with meals during Ramadan.</w:t>
      </w:r>
    </w:p>
    <w:p w:rsidR="00642ACE" w:rsidRPr="00884BE2" w:rsidRDefault="00E078E9" w:rsidP="00511E19">
      <w:pPr>
        <w:tabs>
          <w:tab w:val="left" w:pos="7513"/>
        </w:tabs>
        <w:spacing w:line="360" w:lineRule="auto"/>
        <w:jc w:val="both"/>
        <w:rPr>
          <w:b/>
          <w:iCs/>
        </w:rPr>
      </w:pPr>
      <w:r w:rsidRPr="00884BE2">
        <w:rPr>
          <w:b/>
          <w:iCs/>
        </w:rPr>
        <w:t xml:space="preserve">Short-acting insulin </w:t>
      </w:r>
      <w:proofErr w:type="spellStart"/>
      <w:r w:rsidRPr="00884BE2">
        <w:rPr>
          <w:b/>
          <w:iCs/>
        </w:rPr>
        <w:t>secreta</w:t>
      </w:r>
      <w:r w:rsidR="00642ACE" w:rsidRPr="00884BE2">
        <w:rPr>
          <w:b/>
          <w:iCs/>
        </w:rPr>
        <w:t>gogues</w:t>
      </w:r>
      <w:proofErr w:type="spellEnd"/>
      <w:r w:rsidR="0020096C" w:rsidRPr="00884BE2">
        <w:rPr>
          <w:b/>
          <w:iCs/>
        </w:rPr>
        <w:t xml:space="preserve"> (</w:t>
      </w:r>
      <w:proofErr w:type="spellStart"/>
      <w:r w:rsidR="0020096C" w:rsidRPr="00884BE2">
        <w:rPr>
          <w:b/>
          <w:iCs/>
        </w:rPr>
        <w:t>Meglitinides</w:t>
      </w:r>
      <w:proofErr w:type="spellEnd"/>
      <w:r w:rsidR="0020096C" w:rsidRPr="00884BE2">
        <w:rPr>
          <w:b/>
          <w:iCs/>
        </w:rPr>
        <w:t>)</w:t>
      </w:r>
    </w:p>
    <w:p w:rsidR="001F40C4" w:rsidRPr="00884BE2" w:rsidRDefault="0020096C" w:rsidP="00511E19">
      <w:pPr>
        <w:tabs>
          <w:tab w:val="left" w:pos="7513"/>
        </w:tabs>
        <w:spacing w:line="360" w:lineRule="auto"/>
        <w:jc w:val="both"/>
        <w:rPr>
          <w:iCs/>
        </w:rPr>
      </w:pPr>
      <w:r w:rsidRPr="00884BE2">
        <w:rPr>
          <w:iCs/>
        </w:rPr>
        <w:t>D</w:t>
      </w:r>
      <w:r w:rsidR="009C36E0" w:rsidRPr="00884BE2">
        <w:rPr>
          <w:iCs/>
        </w:rPr>
        <w:t>rug</w:t>
      </w:r>
      <w:r w:rsidRPr="00884BE2">
        <w:rPr>
          <w:iCs/>
        </w:rPr>
        <w:t>s</w:t>
      </w:r>
      <w:r w:rsidR="009C36E0" w:rsidRPr="00884BE2">
        <w:rPr>
          <w:iCs/>
        </w:rPr>
        <w:t xml:space="preserve"> </w:t>
      </w:r>
      <w:r w:rsidR="00E078E9" w:rsidRPr="00884BE2">
        <w:rPr>
          <w:iCs/>
        </w:rPr>
        <w:t xml:space="preserve">in this </w:t>
      </w:r>
      <w:r w:rsidR="00642ACE" w:rsidRPr="00884BE2">
        <w:rPr>
          <w:iCs/>
        </w:rPr>
        <w:t xml:space="preserve">class </w:t>
      </w:r>
      <w:r w:rsidRPr="00884BE2">
        <w:rPr>
          <w:iCs/>
        </w:rPr>
        <w:t>include</w:t>
      </w:r>
      <w:r w:rsidR="00E078E9" w:rsidRPr="00884BE2">
        <w:rPr>
          <w:iCs/>
        </w:rPr>
        <w:t xml:space="preserve"> </w:t>
      </w:r>
      <w:r w:rsidR="00642ACE" w:rsidRPr="00884BE2">
        <w:rPr>
          <w:iCs/>
        </w:rPr>
        <w:t>repaglinide</w:t>
      </w:r>
      <w:r w:rsidRPr="00884BE2">
        <w:rPr>
          <w:iCs/>
        </w:rPr>
        <w:t xml:space="preserve"> and </w:t>
      </w:r>
      <w:proofErr w:type="spellStart"/>
      <w:r w:rsidRPr="00884BE2">
        <w:rPr>
          <w:iCs/>
        </w:rPr>
        <w:t>nateglinide</w:t>
      </w:r>
      <w:proofErr w:type="spellEnd"/>
      <w:r w:rsidR="00E078E9" w:rsidRPr="00884BE2">
        <w:rPr>
          <w:iCs/>
        </w:rPr>
        <w:t xml:space="preserve"> </w:t>
      </w:r>
      <w:r w:rsidRPr="00884BE2">
        <w:rPr>
          <w:iCs/>
        </w:rPr>
        <w:t>and are useful due to their</w:t>
      </w:r>
      <w:r w:rsidR="00E078E9" w:rsidRPr="00884BE2">
        <w:rPr>
          <w:iCs/>
        </w:rPr>
        <w:t xml:space="preserve"> rapid and short action on insulin secretion</w:t>
      </w:r>
      <w:r w:rsidR="00642ACE" w:rsidRPr="00884BE2">
        <w:rPr>
          <w:iCs/>
        </w:rPr>
        <w:t xml:space="preserve">. </w:t>
      </w:r>
      <w:r w:rsidR="00711599" w:rsidRPr="00884BE2">
        <w:rPr>
          <w:iCs/>
        </w:rPr>
        <w:t xml:space="preserve">As these drugs are insulin </w:t>
      </w:r>
      <w:proofErr w:type="spellStart"/>
      <w:r w:rsidR="00711599" w:rsidRPr="00884BE2">
        <w:rPr>
          <w:iCs/>
        </w:rPr>
        <w:t>secretagogues</w:t>
      </w:r>
      <w:proofErr w:type="spellEnd"/>
      <w:r w:rsidR="00711599" w:rsidRPr="00884BE2">
        <w:rPr>
          <w:iCs/>
        </w:rPr>
        <w:t>, they are associated with hypoglycaemia and weight gain</w:t>
      </w:r>
      <w:r w:rsidR="00FC7103" w:rsidRPr="00884BE2">
        <w:rPr>
          <w:iCs/>
        </w:rPr>
        <w:t>. A systemic review in the general population showed no difference in weight gain and the rates of hypoglycaemia when compared to sulp</w:t>
      </w:r>
      <w:r w:rsidR="005B575B" w:rsidRPr="00884BE2">
        <w:rPr>
          <w:iCs/>
        </w:rPr>
        <w:t>honylurea</w:t>
      </w:r>
      <w:r w:rsidR="00FC7103" w:rsidRPr="00884BE2">
        <w:rPr>
          <w:iCs/>
        </w:rPr>
        <w:t xml:space="preserve"> treatment</w:t>
      </w:r>
      <w:proofErr w:type="gramStart"/>
      <w:r w:rsidR="00711599" w:rsidRPr="00884BE2">
        <w:rPr>
          <w:iCs/>
        </w:rPr>
        <w:t>.</w:t>
      </w:r>
      <w:r w:rsidR="00FC7103" w:rsidRPr="00884BE2">
        <w:rPr>
          <w:iCs/>
        </w:rPr>
        <w:t>[</w:t>
      </w:r>
      <w:proofErr w:type="gramEnd"/>
      <w:r w:rsidR="00212DAE" w:rsidRPr="00884BE2">
        <w:rPr>
          <w:iCs/>
        </w:rPr>
        <w:t>3</w:t>
      </w:r>
      <w:r w:rsidR="004670B1" w:rsidRPr="00884BE2">
        <w:rPr>
          <w:iCs/>
        </w:rPr>
        <w:t>2</w:t>
      </w:r>
      <w:r w:rsidR="00FC7103" w:rsidRPr="00884BE2">
        <w:rPr>
          <w:iCs/>
        </w:rPr>
        <w:t>]</w:t>
      </w:r>
      <w:r w:rsidR="00711599" w:rsidRPr="00884BE2">
        <w:rPr>
          <w:iCs/>
        </w:rPr>
        <w:t xml:space="preserve"> </w:t>
      </w:r>
      <w:r w:rsidR="00BF4FC7" w:rsidRPr="00884BE2">
        <w:rPr>
          <w:iCs/>
        </w:rPr>
        <w:t>Two Ramadan studies</w:t>
      </w:r>
      <w:r w:rsidR="00711599" w:rsidRPr="00884BE2">
        <w:rPr>
          <w:iCs/>
        </w:rPr>
        <w:t xml:space="preserve"> </w:t>
      </w:r>
      <w:r w:rsidR="000404A7" w:rsidRPr="00884BE2">
        <w:rPr>
          <w:iCs/>
        </w:rPr>
        <w:t>s</w:t>
      </w:r>
      <w:r w:rsidR="00C27135" w:rsidRPr="00884BE2">
        <w:rPr>
          <w:iCs/>
        </w:rPr>
        <w:t>howed</w:t>
      </w:r>
      <w:r w:rsidR="000404A7" w:rsidRPr="00884BE2">
        <w:rPr>
          <w:iCs/>
        </w:rPr>
        <w:t xml:space="preserve"> </w:t>
      </w:r>
      <w:r w:rsidR="00711599" w:rsidRPr="00884BE2">
        <w:rPr>
          <w:iCs/>
        </w:rPr>
        <w:t>w</w:t>
      </w:r>
      <w:r w:rsidR="00642ACE" w:rsidRPr="00884BE2">
        <w:rPr>
          <w:iCs/>
        </w:rPr>
        <w:t xml:space="preserve">hen compared to </w:t>
      </w:r>
      <w:r w:rsidR="00E33410" w:rsidRPr="00884BE2">
        <w:rPr>
          <w:iCs/>
        </w:rPr>
        <w:t xml:space="preserve">sulphonylureas, </w:t>
      </w:r>
      <w:r w:rsidR="00642ACE" w:rsidRPr="00884BE2">
        <w:rPr>
          <w:iCs/>
        </w:rPr>
        <w:t xml:space="preserve">repaglinide contributed towards improved glycaemic control with decreased hypoglycaemic events in fasting patients </w:t>
      </w:r>
      <w:r w:rsidR="00E33410" w:rsidRPr="00884BE2">
        <w:rPr>
          <w:iCs/>
        </w:rPr>
        <w:t xml:space="preserve">with </w:t>
      </w:r>
      <w:r w:rsidR="009C36E0" w:rsidRPr="00884BE2">
        <w:rPr>
          <w:iCs/>
        </w:rPr>
        <w:t>T2DM</w:t>
      </w:r>
      <w:r w:rsidR="00642ACE" w:rsidRPr="00884BE2">
        <w:rPr>
          <w:iCs/>
        </w:rPr>
        <w:t>.</w:t>
      </w:r>
      <w:r w:rsidR="006E5931" w:rsidRPr="00884BE2">
        <w:rPr>
          <w:iCs/>
        </w:rPr>
        <w:t>[</w:t>
      </w:r>
      <w:r w:rsidR="00081A42" w:rsidRPr="00884BE2">
        <w:rPr>
          <w:iCs/>
        </w:rPr>
        <w:t>3</w:t>
      </w:r>
      <w:r w:rsidR="004670B1" w:rsidRPr="00884BE2">
        <w:rPr>
          <w:iCs/>
        </w:rPr>
        <w:t>3,34</w:t>
      </w:r>
      <w:r w:rsidR="006E5931" w:rsidRPr="00884BE2">
        <w:rPr>
          <w:iCs/>
        </w:rPr>
        <w:t>]</w:t>
      </w:r>
      <w:r w:rsidR="00E33410" w:rsidRPr="00884BE2">
        <w:rPr>
          <w:iCs/>
        </w:rPr>
        <w:t xml:space="preserve"> </w:t>
      </w:r>
      <w:r w:rsidR="00FC7103" w:rsidRPr="00884BE2">
        <w:rPr>
          <w:iCs/>
        </w:rPr>
        <w:t xml:space="preserve">We suggest </w:t>
      </w:r>
      <w:proofErr w:type="spellStart"/>
      <w:r w:rsidRPr="00884BE2">
        <w:rPr>
          <w:iCs/>
        </w:rPr>
        <w:t>meglitinides</w:t>
      </w:r>
      <w:proofErr w:type="spellEnd"/>
      <w:r w:rsidR="00FE56CB" w:rsidRPr="00884BE2">
        <w:rPr>
          <w:iCs/>
        </w:rPr>
        <w:t xml:space="preserve"> be taken with the two meals of Ramadan</w:t>
      </w:r>
      <w:r w:rsidR="004B5343" w:rsidRPr="00884BE2">
        <w:rPr>
          <w:iCs/>
        </w:rPr>
        <w:t xml:space="preserve">, but </w:t>
      </w:r>
      <w:r w:rsidR="00FC7103" w:rsidRPr="00884BE2">
        <w:rPr>
          <w:iCs/>
        </w:rPr>
        <w:t>used with caution</w:t>
      </w:r>
      <w:r w:rsidR="00FE56CB" w:rsidRPr="00884BE2">
        <w:rPr>
          <w:iCs/>
        </w:rPr>
        <w:t>.</w:t>
      </w:r>
    </w:p>
    <w:p w:rsidR="00310CE6" w:rsidRPr="00884BE2" w:rsidRDefault="00310CE6" w:rsidP="00511E19">
      <w:pPr>
        <w:tabs>
          <w:tab w:val="left" w:pos="7513"/>
        </w:tabs>
        <w:spacing w:line="360" w:lineRule="auto"/>
        <w:jc w:val="both"/>
        <w:rPr>
          <w:b/>
          <w:iCs/>
        </w:rPr>
      </w:pPr>
      <w:r w:rsidRPr="00884BE2">
        <w:rPr>
          <w:b/>
          <w:iCs/>
        </w:rPr>
        <w:t>Sulphonylureas</w:t>
      </w:r>
    </w:p>
    <w:p w:rsidR="00FB5A54" w:rsidRPr="00884BE2" w:rsidRDefault="0049394D" w:rsidP="00511E19">
      <w:pPr>
        <w:tabs>
          <w:tab w:val="left" w:pos="7513"/>
        </w:tabs>
        <w:spacing w:before="240" w:line="360" w:lineRule="auto"/>
        <w:jc w:val="both"/>
        <w:rPr>
          <w:iCs/>
        </w:rPr>
      </w:pPr>
      <w:r w:rsidRPr="00884BE2">
        <w:rPr>
          <w:iCs/>
        </w:rPr>
        <w:t xml:space="preserve">Sulphonylureas act </w:t>
      </w:r>
      <w:r w:rsidR="00B20621" w:rsidRPr="00884BE2">
        <w:rPr>
          <w:iCs/>
        </w:rPr>
        <w:t xml:space="preserve">by </w:t>
      </w:r>
      <w:r w:rsidRPr="00884BE2">
        <w:rPr>
          <w:iCs/>
        </w:rPr>
        <w:t>increasing insulin release from pancreatic beta cells</w:t>
      </w:r>
      <w:r w:rsidR="002249D2" w:rsidRPr="00884BE2">
        <w:rPr>
          <w:iCs/>
        </w:rPr>
        <w:t xml:space="preserve"> and thereby have an inherent risk of hypoglycaemia</w:t>
      </w:r>
      <w:r w:rsidR="00574701" w:rsidRPr="00884BE2">
        <w:rPr>
          <w:iCs/>
        </w:rPr>
        <w:t xml:space="preserve">. </w:t>
      </w:r>
    </w:p>
    <w:p w:rsidR="005A52DA" w:rsidRPr="00884BE2" w:rsidRDefault="00FB5A54" w:rsidP="00511E19">
      <w:pPr>
        <w:tabs>
          <w:tab w:val="left" w:pos="7513"/>
        </w:tabs>
        <w:spacing w:before="240" w:line="360" w:lineRule="auto"/>
        <w:jc w:val="both"/>
        <w:rPr>
          <w:iCs/>
        </w:rPr>
      </w:pPr>
      <w:r w:rsidRPr="00884BE2">
        <w:rPr>
          <w:iCs/>
        </w:rPr>
        <w:t xml:space="preserve">Sari et al </w:t>
      </w:r>
      <w:r w:rsidR="009F5173" w:rsidRPr="00884BE2">
        <w:rPr>
          <w:iCs/>
        </w:rPr>
        <w:t>examined</w:t>
      </w:r>
      <w:r w:rsidRPr="00884BE2">
        <w:rPr>
          <w:iCs/>
        </w:rPr>
        <w:t xml:space="preserve"> the effects of diet, sulphonylurea and repaglinide therapy in Ramadan, reporting only one hypoglycaemic episode in </w:t>
      </w:r>
      <w:r w:rsidR="007407F1" w:rsidRPr="00884BE2">
        <w:rPr>
          <w:iCs/>
        </w:rPr>
        <w:t>a patient taking glimepiride</w:t>
      </w:r>
      <w:r w:rsidR="00990F26" w:rsidRPr="00884BE2">
        <w:rPr>
          <w:iCs/>
        </w:rPr>
        <w:t>.</w:t>
      </w:r>
      <w:r w:rsidR="007407F1" w:rsidRPr="00884BE2">
        <w:rPr>
          <w:iCs/>
        </w:rPr>
        <w:t>[</w:t>
      </w:r>
      <w:r w:rsidR="00212DAE" w:rsidRPr="00884BE2">
        <w:rPr>
          <w:iCs/>
        </w:rPr>
        <w:t>3</w:t>
      </w:r>
      <w:r w:rsidR="00217D00" w:rsidRPr="00884BE2">
        <w:rPr>
          <w:iCs/>
        </w:rPr>
        <w:t>4</w:t>
      </w:r>
      <w:r w:rsidRPr="00884BE2">
        <w:rPr>
          <w:iCs/>
        </w:rPr>
        <w:t xml:space="preserve">] </w:t>
      </w:r>
      <w:r w:rsidR="005A52DA" w:rsidRPr="00884BE2">
        <w:rPr>
          <w:iCs/>
        </w:rPr>
        <w:t>An</w:t>
      </w:r>
      <w:r w:rsidR="00B47914" w:rsidRPr="00884BE2">
        <w:rPr>
          <w:iCs/>
        </w:rPr>
        <w:t>other</w:t>
      </w:r>
      <w:r w:rsidR="005A52DA" w:rsidRPr="00884BE2">
        <w:rPr>
          <w:iCs/>
        </w:rPr>
        <w:t xml:space="preserve"> small study confirmed no significant difference in rates of hypoglycaemia between glimepiride and repaglinide.</w:t>
      </w:r>
      <w:r w:rsidR="00212DAE" w:rsidRPr="00884BE2">
        <w:rPr>
          <w:iCs/>
        </w:rPr>
        <w:t>[3</w:t>
      </w:r>
      <w:r w:rsidR="00217D00" w:rsidRPr="00884BE2">
        <w:rPr>
          <w:iCs/>
        </w:rPr>
        <w:t>5</w:t>
      </w:r>
      <w:r w:rsidR="00160492" w:rsidRPr="00884BE2">
        <w:rPr>
          <w:iCs/>
        </w:rPr>
        <w:t>]</w:t>
      </w:r>
      <w:r w:rsidR="005A52DA" w:rsidRPr="00884BE2">
        <w:rPr>
          <w:iCs/>
        </w:rPr>
        <w:t xml:space="preserve"> </w:t>
      </w:r>
    </w:p>
    <w:p w:rsidR="005A52DA" w:rsidRPr="00884BE2" w:rsidRDefault="005A52DA" w:rsidP="00511E19">
      <w:pPr>
        <w:tabs>
          <w:tab w:val="left" w:pos="7513"/>
        </w:tabs>
        <w:spacing w:before="240" w:line="360" w:lineRule="auto"/>
        <w:jc w:val="both"/>
        <w:rPr>
          <w:iCs/>
        </w:rPr>
      </w:pPr>
      <w:r w:rsidRPr="00884BE2">
        <w:rPr>
          <w:iCs/>
        </w:rPr>
        <w:lastRenderedPageBreak/>
        <w:t>GLIRA, a</w:t>
      </w:r>
      <w:r w:rsidR="00E118C7" w:rsidRPr="00884BE2">
        <w:rPr>
          <w:iCs/>
        </w:rPr>
        <w:t xml:space="preserve"> large prospective observational study</w:t>
      </w:r>
      <w:r w:rsidRPr="00884BE2">
        <w:rPr>
          <w:iCs/>
        </w:rPr>
        <w:t xml:space="preserve"> involving </w:t>
      </w:r>
      <w:r w:rsidR="00E118C7" w:rsidRPr="00884BE2">
        <w:rPr>
          <w:iCs/>
        </w:rPr>
        <w:t>332</w:t>
      </w:r>
      <w:r w:rsidRPr="00884BE2">
        <w:rPr>
          <w:iCs/>
        </w:rPr>
        <w:t xml:space="preserve"> patients in 6 countries,</w:t>
      </w:r>
      <w:r w:rsidR="00E118C7" w:rsidRPr="00884BE2">
        <w:rPr>
          <w:iCs/>
        </w:rPr>
        <w:t xml:space="preserve"> demonstrated </w:t>
      </w:r>
      <w:r w:rsidR="002F1A53" w:rsidRPr="00884BE2">
        <w:rPr>
          <w:iCs/>
        </w:rPr>
        <w:t xml:space="preserve">the incidence of hypoglycaemia </w:t>
      </w:r>
      <w:r w:rsidR="00F465A8" w:rsidRPr="00884BE2">
        <w:rPr>
          <w:iCs/>
        </w:rPr>
        <w:t>was 3% in newly-</w:t>
      </w:r>
      <w:r w:rsidR="002F1A53" w:rsidRPr="00884BE2">
        <w:rPr>
          <w:iCs/>
        </w:rPr>
        <w:t xml:space="preserve">diagnosed patients and 3.7% in previously-treated patients, which was similar to pre- and post-Ramadan periods. </w:t>
      </w:r>
      <w:r w:rsidR="00A42E14" w:rsidRPr="00884BE2">
        <w:rPr>
          <w:iCs/>
        </w:rPr>
        <w:t>C</w:t>
      </w:r>
      <w:r w:rsidR="00E118C7" w:rsidRPr="00884BE2">
        <w:rPr>
          <w:iCs/>
        </w:rPr>
        <w:t xml:space="preserve">hanging </w:t>
      </w:r>
      <w:r w:rsidR="002F1A53" w:rsidRPr="00884BE2">
        <w:rPr>
          <w:iCs/>
        </w:rPr>
        <w:t xml:space="preserve">the timing of </w:t>
      </w:r>
      <w:r w:rsidR="00E118C7" w:rsidRPr="00884BE2">
        <w:rPr>
          <w:iCs/>
        </w:rPr>
        <w:t xml:space="preserve">glimepiride </w:t>
      </w:r>
      <w:r w:rsidR="002F1A53" w:rsidRPr="00884BE2">
        <w:rPr>
          <w:iCs/>
        </w:rPr>
        <w:t>from</w:t>
      </w:r>
      <w:r w:rsidR="00E118C7" w:rsidRPr="00884BE2">
        <w:rPr>
          <w:iCs/>
        </w:rPr>
        <w:t xml:space="preserve"> a </w:t>
      </w:r>
      <w:r w:rsidR="002F1A53" w:rsidRPr="00884BE2">
        <w:rPr>
          <w:iCs/>
        </w:rPr>
        <w:t xml:space="preserve">morning dose before Ramadan to be taken at </w:t>
      </w:r>
      <w:proofErr w:type="spellStart"/>
      <w:r w:rsidR="002F1A53" w:rsidRPr="00884BE2">
        <w:rPr>
          <w:iCs/>
        </w:rPr>
        <w:t>Iftar</w:t>
      </w:r>
      <w:proofErr w:type="spellEnd"/>
      <w:r w:rsidR="002F1A53" w:rsidRPr="00884BE2">
        <w:rPr>
          <w:iCs/>
        </w:rPr>
        <w:t xml:space="preserve"> </w:t>
      </w:r>
      <w:r w:rsidR="00E118C7" w:rsidRPr="00884BE2">
        <w:rPr>
          <w:iCs/>
        </w:rPr>
        <w:t xml:space="preserve">during Ramadan, did not </w:t>
      </w:r>
      <w:r w:rsidR="00D34BAE" w:rsidRPr="00884BE2">
        <w:rPr>
          <w:iCs/>
        </w:rPr>
        <w:t>affect</w:t>
      </w:r>
      <w:r w:rsidR="00E118C7" w:rsidRPr="00884BE2">
        <w:rPr>
          <w:iCs/>
        </w:rPr>
        <w:t xml:space="preserve"> the rate of hypoglycaemia or glycaemic control</w:t>
      </w:r>
      <w:proofErr w:type="gramStart"/>
      <w:r w:rsidR="00E118C7" w:rsidRPr="00884BE2">
        <w:rPr>
          <w:iCs/>
        </w:rPr>
        <w:t>.</w:t>
      </w:r>
      <w:r w:rsidR="006E5931" w:rsidRPr="00884BE2">
        <w:rPr>
          <w:iCs/>
        </w:rPr>
        <w:t>[</w:t>
      </w:r>
      <w:proofErr w:type="gramEnd"/>
      <w:r w:rsidR="00217D00" w:rsidRPr="00884BE2">
        <w:rPr>
          <w:iCs/>
        </w:rPr>
        <w:t>36</w:t>
      </w:r>
      <w:r w:rsidR="006E5931" w:rsidRPr="00884BE2">
        <w:rPr>
          <w:iCs/>
        </w:rPr>
        <w:t>]</w:t>
      </w:r>
    </w:p>
    <w:p w:rsidR="0060120A" w:rsidRPr="00884BE2" w:rsidRDefault="0060120A" w:rsidP="00511E19">
      <w:pPr>
        <w:tabs>
          <w:tab w:val="left" w:pos="7513"/>
        </w:tabs>
        <w:spacing w:before="240" w:line="360" w:lineRule="auto"/>
        <w:jc w:val="both"/>
        <w:rPr>
          <w:iCs/>
        </w:rPr>
      </w:pPr>
      <w:r w:rsidRPr="00884BE2">
        <w:rPr>
          <w:iCs/>
        </w:rPr>
        <w:t xml:space="preserve">A more recent study </w:t>
      </w:r>
      <w:r w:rsidR="00D34BAE" w:rsidRPr="00884BE2">
        <w:rPr>
          <w:iCs/>
        </w:rPr>
        <w:t>(n=</w:t>
      </w:r>
      <w:r w:rsidRPr="00884BE2">
        <w:rPr>
          <w:iCs/>
        </w:rPr>
        <w:t>235</w:t>
      </w:r>
      <w:r w:rsidR="00D34BAE" w:rsidRPr="00884BE2">
        <w:rPr>
          <w:iCs/>
        </w:rPr>
        <w:t>)</w:t>
      </w:r>
      <w:r w:rsidRPr="00884BE2">
        <w:rPr>
          <w:iCs/>
        </w:rPr>
        <w:t xml:space="preserve">, identified there was no difference in glycaemic control between those treated with </w:t>
      </w:r>
      <w:proofErr w:type="spellStart"/>
      <w:r w:rsidRPr="00884BE2">
        <w:rPr>
          <w:iCs/>
        </w:rPr>
        <w:t>glibenclamide</w:t>
      </w:r>
      <w:proofErr w:type="spellEnd"/>
      <w:r w:rsidRPr="00884BE2">
        <w:rPr>
          <w:iCs/>
        </w:rPr>
        <w:t xml:space="preserve"> and those treated with repaglinide, </w:t>
      </w:r>
      <w:r w:rsidR="00D34BAE" w:rsidRPr="00884BE2">
        <w:rPr>
          <w:iCs/>
        </w:rPr>
        <w:t xml:space="preserve">however </w:t>
      </w:r>
      <w:r w:rsidRPr="00884BE2">
        <w:rPr>
          <w:iCs/>
        </w:rPr>
        <w:t>the rate of hypoglycaemia</w:t>
      </w:r>
      <w:r w:rsidR="00D34BAE" w:rsidRPr="00884BE2">
        <w:rPr>
          <w:iCs/>
        </w:rPr>
        <w:t xml:space="preserve"> was greater with </w:t>
      </w:r>
      <w:proofErr w:type="spellStart"/>
      <w:r w:rsidR="00D34BAE" w:rsidRPr="00884BE2">
        <w:rPr>
          <w:iCs/>
        </w:rPr>
        <w:t>glibenclamide</w:t>
      </w:r>
      <w:proofErr w:type="spellEnd"/>
      <w:r w:rsidRPr="00884BE2">
        <w:rPr>
          <w:iCs/>
        </w:rPr>
        <w:t xml:space="preserve"> (2.8% vs. 7.9%).[</w:t>
      </w:r>
      <w:r w:rsidR="00212DAE" w:rsidRPr="00884BE2">
        <w:rPr>
          <w:iCs/>
        </w:rPr>
        <w:t>3</w:t>
      </w:r>
      <w:r w:rsidR="00217D00" w:rsidRPr="00884BE2">
        <w:rPr>
          <w:iCs/>
        </w:rPr>
        <w:t>3</w:t>
      </w:r>
      <w:r w:rsidRPr="00884BE2">
        <w:rPr>
          <w:iCs/>
        </w:rPr>
        <w:t xml:space="preserve">] </w:t>
      </w:r>
    </w:p>
    <w:p w:rsidR="000D1079" w:rsidRPr="00884BE2" w:rsidRDefault="00FB5A54" w:rsidP="00511E19">
      <w:pPr>
        <w:tabs>
          <w:tab w:val="left" w:pos="7513"/>
        </w:tabs>
        <w:spacing w:before="240" w:line="360" w:lineRule="auto"/>
        <w:jc w:val="both"/>
      </w:pPr>
      <w:r w:rsidRPr="00884BE2">
        <w:rPr>
          <w:iCs/>
        </w:rPr>
        <w:t xml:space="preserve">Their widespread use and low cost, means that many patients with type 2 diabetes will inevitably be taking </w:t>
      </w:r>
      <w:r w:rsidR="00F33508" w:rsidRPr="00884BE2">
        <w:rPr>
          <w:iCs/>
        </w:rPr>
        <w:t>sulphonylureas</w:t>
      </w:r>
      <w:r w:rsidR="00200134" w:rsidRPr="00884BE2">
        <w:rPr>
          <w:iCs/>
        </w:rPr>
        <w:t xml:space="preserve">. We recommend sulphonylureas </w:t>
      </w:r>
      <w:r w:rsidRPr="00884BE2">
        <w:rPr>
          <w:iCs/>
        </w:rPr>
        <w:t>should be used with caution in Ramadan</w:t>
      </w:r>
      <w:r w:rsidR="00200134" w:rsidRPr="00884BE2">
        <w:rPr>
          <w:iCs/>
        </w:rPr>
        <w:t>; particularly l</w:t>
      </w:r>
      <w:r w:rsidR="00F465A8" w:rsidRPr="00884BE2">
        <w:rPr>
          <w:iCs/>
        </w:rPr>
        <w:t>onger-</w:t>
      </w:r>
      <w:r w:rsidRPr="00884BE2">
        <w:rPr>
          <w:iCs/>
        </w:rPr>
        <w:t xml:space="preserve">acting sulphonylureas, such as </w:t>
      </w:r>
      <w:proofErr w:type="spellStart"/>
      <w:r w:rsidRPr="00884BE2">
        <w:rPr>
          <w:iCs/>
        </w:rPr>
        <w:t>glibenclamide</w:t>
      </w:r>
      <w:proofErr w:type="spellEnd"/>
      <w:r w:rsidRPr="00884BE2">
        <w:rPr>
          <w:iCs/>
        </w:rPr>
        <w:t xml:space="preserve"> and </w:t>
      </w:r>
      <w:proofErr w:type="spellStart"/>
      <w:r w:rsidRPr="00884BE2">
        <w:rPr>
          <w:iCs/>
        </w:rPr>
        <w:t>gliclazide</w:t>
      </w:r>
      <w:proofErr w:type="spellEnd"/>
      <w:r w:rsidRPr="00884BE2">
        <w:rPr>
          <w:iCs/>
        </w:rPr>
        <w:t xml:space="preserve"> MR</w:t>
      </w:r>
      <w:r w:rsidR="00200134" w:rsidRPr="00884BE2">
        <w:rPr>
          <w:iCs/>
        </w:rPr>
        <w:t>, as these</w:t>
      </w:r>
      <w:r w:rsidRPr="00884BE2">
        <w:rPr>
          <w:iCs/>
        </w:rPr>
        <w:t xml:space="preserve"> are more likely to induce hypoglycaemia than shorter-acting </w:t>
      </w:r>
      <w:r w:rsidR="00D116AB" w:rsidRPr="00884BE2">
        <w:rPr>
          <w:iCs/>
        </w:rPr>
        <w:t>sulphonylureas</w:t>
      </w:r>
      <w:r w:rsidRPr="00884BE2">
        <w:rPr>
          <w:iCs/>
        </w:rPr>
        <w:t xml:space="preserve">. </w:t>
      </w:r>
      <w:r w:rsidR="00200134" w:rsidRPr="00884BE2">
        <w:rPr>
          <w:iCs/>
        </w:rPr>
        <w:t xml:space="preserve">In the case of once daily </w:t>
      </w:r>
      <w:r w:rsidR="006D05E6" w:rsidRPr="00884BE2">
        <w:t>sulphonylureas</w:t>
      </w:r>
      <w:r w:rsidR="00200134" w:rsidRPr="00884BE2">
        <w:t>, patients should switch the timing</w:t>
      </w:r>
      <w:r w:rsidR="001C2EBD" w:rsidRPr="00884BE2">
        <w:t xml:space="preserve"> to t</w:t>
      </w:r>
      <w:r w:rsidR="00200134" w:rsidRPr="00884BE2">
        <w:t>ake with t</w:t>
      </w:r>
      <w:r w:rsidR="001C2EBD" w:rsidRPr="00884BE2">
        <w:t xml:space="preserve">he evening </w:t>
      </w:r>
      <w:proofErr w:type="spellStart"/>
      <w:r w:rsidR="00200134" w:rsidRPr="00884BE2">
        <w:t>Iftar</w:t>
      </w:r>
      <w:proofErr w:type="spellEnd"/>
      <w:r w:rsidR="009235D4" w:rsidRPr="00884BE2">
        <w:t>.</w:t>
      </w:r>
      <w:r w:rsidR="0020096C" w:rsidRPr="00884BE2">
        <w:t xml:space="preserve"> In patients with a history of hypoglycaemia on sulphonylureas</w:t>
      </w:r>
      <w:r w:rsidR="00691F67" w:rsidRPr="00884BE2">
        <w:t xml:space="preserve"> the clinician should consider a switch to an alternative class of glucose lowering therapy with a lower risk of hypoglycaemia such as DPP-IV inhibitors. In those with an HbA1c &lt;7.5% a significant reduction in the dosing of their sulphonylurea might be advantageous.  </w:t>
      </w:r>
      <w:r w:rsidR="0020096C" w:rsidRPr="00884BE2">
        <w:t xml:space="preserve"> </w:t>
      </w:r>
      <w:r w:rsidR="001C2EBD" w:rsidRPr="00884BE2">
        <w:t xml:space="preserve"> </w:t>
      </w:r>
      <w:r w:rsidR="00200134" w:rsidRPr="00884BE2">
        <w:t>With shorter</w:t>
      </w:r>
      <w:r w:rsidR="00F465A8" w:rsidRPr="00884BE2">
        <w:t>-</w:t>
      </w:r>
      <w:r w:rsidR="00200134" w:rsidRPr="00884BE2">
        <w:t xml:space="preserve">acting sulphonylureas, such as </w:t>
      </w:r>
      <w:proofErr w:type="spellStart"/>
      <w:r w:rsidR="00200134" w:rsidRPr="00884BE2">
        <w:t>g</w:t>
      </w:r>
      <w:r w:rsidR="001C2EBD" w:rsidRPr="00884BE2">
        <w:t>liclazide</w:t>
      </w:r>
      <w:proofErr w:type="spellEnd"/>
      <w:r w:rsidR="00200134" w:rsidRPr="00884BE2">
        <w:t>, we recommend the</w:t>
      </w:r>
      <w:r w:rsidR="001C2EBD" w:rsidRPr="00884BE2">
        <w:t xml:space="preserve"> </w:t>
      </w:r>
      <w:r w:rsidR="00200134" w:rsidRPr="00884BE2">
        <w:t xml:space="preserve">morning dose with </w:t>
      </w:r>
      <w:proofErr w:type="spellStart"/>
      <w:r w:rsidR="00200134" w:rsidRPr="00884BE2">
        <w:t>Suhoor</w:t>
      </w:r>
      <w:proofErr w:type="spellEnd"/>
      <w:r w:rsidR="00200134" w:rsidRPr="00884BE2">
        <w:t xml:space="preserve"> should be reduced and the larger dose should be taken with </w:t>
      </w:r>
      <w:proofErr w:type="spellStart"/>
      <w:r w:rsidR="00200134" w:rsidRPr="00884BE2">
        <w:t>Iftar</w:t>
      </w:r>
      <w:proofErr w:type="spellEnd"/>
      <w:r w:rsidR="00200134" w:rsidRPr="00884BE2">
        <w:t>.</w:t>
      </w:r>
    </w:p>
    <w:p w:rsidR="00A11585" w:rsidRPr="00884BE2" w:rsidRDefault="00A11585" w:rsidP="00511E19">
      <w:pPr>
        <w:tabs>
          <w:tab w:val="left" w:pos="7513"/>
        </w:tabs>
        <w:spacing w:line="360" w:lineRule="auto"/>
        <w:jc w:val="both"/>
        <w:rPr>
          <w:b/>
          <w:iCs/>
        </w:rPr>
      </w:pPr>
      <w:proofErr w:type="spellStart"/>
      <w:r w:rsidRPr="00884BE2">
        <w:rPr>
          <w:b/>
          <w:iCs/>
        </w:rPr>
        <w:t>Thiazolidenediones</w:t>
      </w:r>
      <w:proofErr w:type="spellEnd"/>
    </w:p>
    <w:p w:rsidR="00273A43" w:rsidRPr="00884BE2" w:rsidRDefault="001C2EBD" w:rsidP="00511E19">
      <w:pPr>
        <w:tabs>
          <w:tab w:val="left" w:pos="7513"/>
        </w:tabs>
        <w:spacing w:line="360" w:lineRule="auto"/>
        <w:jc w:val="both"/>
      </w:pPr>
      <w:r w:rsidRPr="00884BE2">
        <w:t xml:space="preserve">Overall the use of </w:t>
      </w:r>
      <w:proofErr w:type="spellStart"/>
      <w:r w:rsidRPr="00884BE2">
        <w:t>thiazolidenediones</w:t>
      </w:r>
      <w:proofErr w:type="spellEnd"/>
      <w:r w:rsidRPr="00884BE2">
        <w:t xml:space="preserve"> in Ramadan is thought to be safe</w:t>
      </w:r>
      <w:r w:rsidR="00011785" w:rsidRPr="00884BE2">
        <w:t>,</w:t>
      </w:r>
      <w:r w:rsidR="00C925B5" w:rsidRPr="00884BE2">
        <w:t xml:space="preserve"> as the</w:t>
      </w:r>
      <w:r w:rsidR="00011785" w:rsidRPr="00884BE2">
        <w:t>ir use itself is not</w:t>
      </w:r>
      <w:r w:rsidR="00380EBE" w:rsidRPr="00884BE2">
        <w:t xml:space="preserve"> </w:t>
      </w:r>
      <w:r w:rsidR="00C925B5" w:rsidRPr="00884BE2">
        <w:t>associated with hypoglycaemia</w:t>
      </w:r>
      <w:r w:rsidR="00011785" w:rsidRPr="00884BE2">
        <w:t>, h</w:t>
      </w:r>
      <w:r w:rsidR="00C925B5" w:rsidRPr="00884BE2">
        <w:t xml:space="preserve">owever </w:t>
      </w:r>
      <w:r w:rsidR="00011785" w:rsidRPr="00884BE2">
        <w:t xml:space="preserve">they may augment the hypoglycaemia caused by other medications when used in combination, as well as </w:t>
      </w:r>
      <w:r w:rsidR="00380EBE" w:rsidRPr="00884BE2">
        <w:t xml:space="preserve">cause unwanted weight gain and increase </w:t>
      </w:r>
      <w:r w:rsidR="00011785" w:rsidRPr="00884BE2">
        <w:t xml:space="preserve">in </w:t>
      </w:r>
      <w:r w:rsidR="00380EBE" w:rsidRPr="00884BE2">
        <w:t>appetite</w:t>
      </w:r>
      <w:r w:rsidR="00C925B5" w:rsidRPr="00884BE2">
        <w:t>.[</w:t>
      </w:r>
      <w:r w:rsidR="00081A42" w:rsidRPr="00884BE2">
        <w:t>8</w:t>
      </w:r>
      <w:r w:rsidR="00C925B5" w:rsidRPr="00884BE2">
        <w:t>]</w:t>
      </w:r>
      <w:r w:rsidRPr="00884BE2">
        <w:t xml:space="preserve"> </w:t>
      </w:r>
    </w:p>
    <w:p w:rsidR="00A239BB" w:rsidRPr="00884BE2" w:rsidRDefault="001C2EBD" w:rsidP="00511E19">
      <w:pPr>
        <w:tabs>
          <w:tab w:val="left" w:pos="7513"/>
        </w:tabs>
        <w:spacing w:line="360" w:lineRule="auto"/>
        <w:jc w:val="both"/>
      </w:pPr>
      <w:r w:rsidRPr="00884BE2">
        <w:t>A randomised controlled trial compar</w:t>
      </w:r>
      <w:r w:rsidR="00273A43" w:rsidRPr="00884BE2">
        <w:t xml:space="preserve">ing </w:t>
      </w:r>
      <w:r w:rsidRPr="00884BE2">
        <w:t xml:space="preserve">pioglitazone 30mg to placebo in patients taking other oral </w:t>
      </w:r>
      <w:r w:rsidR="006D05E6" w:rsidRPr="00884BE2">
        <w:t>hypoglycaemic</w:t>
      </w:r>
      <w:r w:rsidR="00273A43" w:rsidRPr="00884BE2">
        <w:t xml:space="preserve"> agents or alone, however did not </w:t>
      </w:r>
      <w:r w:rsidRPr="00884BE2">
        <w:t>f</w:t>
      </w:r>
      <w:r w:rsidR="00273A43" w:rsidRPr="00884BE2">
        <w:t>ind an</w:t>
      </w:r>
      <w:r w:rsidRPr="00884BE2">
        <w:t xml:space="preserve"> increase in hypoglycaemic </w:t>
      </w:r>
      <w:r w:rsidR="00273A43" w:rsidRPr="00884BE2">
        <w:t>episodes</w:t>
      </w:r>
      <w:r w:rsidRPr="00884BE2">
        <w:t xml:space="preserve"> during </w:t>
      </w:r>
      <w:r w:rsidR="009C4ACE" w:rsidRPr="00884BE2">
        <w:t>Ramadan</w:t>
      </w:r>
      <w:r w:rsidRPr="00884BE2">
        <w:t>.</w:t>
      </w:r>
      <w:r w:rsidR="00A54236" w:rsidRPr="00884BE2">
        <w:t>[</w:t>
      </w:r>
      <w:r w:rsidR="00217D00" w:rsidRPr="00884BE2">
        <w:t>37</w:t>
      </w:r>
      <w:r w:rsidR="006E5931" w:rsidRPr="00884BE2">
        <w:t>]</w:t>
      </w:r>
      <w:r w:rsidR="00273A43" w:rsidRPr="00884BE2">
        <w:t xml:space="preserve"> The </w:t>
      </w:r>
      <w:r w:rsidR="00691F67" w:rsidRPr="00884BE2">
        <w:t>glucose lowering</w:t>
      </w:r>
      <w:r w:rsidR="00273A43" w:rsidRPr="00884BE2">
        <w:t xml:space="preserve"> benefits of </w:t>
      </w:r>
      <w:proofErr w:type="spellStart"/>
      <w:r w:rsidR="00273A43" w:rsidRPr="00884BE2">
        <w:t>thiazolidenediones</w:t>
      </w:r>
      <w:proofErr w:type="spellEnd"/>
      <w:r w:rsidR="00273A43" w:rsidRPr="00884BE2">
        <w:t xml:space="preserve"> take some 2-4 weeks to come into effect and hence are not an alternative </w:t>
      </w:r>
      <w:r w:rsidR="006E4BCA" w:rsidRPr="00884BE2">
        <w:t>as an</w:t>
      </w:r>
      <w:r w:rsidR="00273A43" w:rsidRPr="00884BE2">
        <w:t xml:space="preserve"> immediate pre-Ramadan </w:t>
      </w:r>
      <w:r w:rsidR="00D5244A" w:rsidRPr="00884BE2">
        <w:t>switch</w:t>
      </w:r>
      <w:r w:rsidR="00273A43" w:rsidRPr="00884BE2">
        <w:t>.</w:t>
      </w:r>
      <w:r w:rsidR="00011785" w:rsidRPr="00884BE2">
        <w:t>[</w:t>
      </w:r>
      <w:r w:rsidR="00081A42" w:rsidRPr="00884BE2">
        <w:t>8</w:t>
      </w:r>
      <w:r w:rsidR="00011785" w:rsidRPr="00884BE2">
        <w:t>]</w:t>
      </w:r>
    </w:p>
    <w:p w:rsidR="00A11585" w:rsidRPr="00884BE2" w:rsidRDefault="00A11585" w:rsidP="00511E19">
      <w:pPr>
        <w:tabs>
          <w:tab w:val="left" w:pos="7513"/>
        </w:tabs>
        <w:spacing w:line="360" w:lineRule="auto"/>
        <w:jc w:val="both"/>
        <w:rPr>
          <w:b/>
          <w:iCs/>
        </w:rPr>
      </w:pPr>
      <w:proofErr w:type="spellStart"/>
      <w:r w:rsidRPr="00884BE2">
        <w:rPr>
          <w:b/>
          <w:iCs/>
        </w:rPr>
        <w:t>Dipeptidyl</w:t>
      </w:r>
      <w:proofErr w:type="spellEnd"/>
      <w:r w:rsidRPr="00884BE2">
        <w:rPr>
          <w:b/>
          <w:iCs/>
        </w:rPr>
        <w:t xml:space="preserve"> peptidase-4 inhibitors</w:t>
      </w:r>
    </w:p>
    <w:p w:rsidR="00BC41CF" w:rsidRPr="00884BE2" w:rsidRDefault="009B0016" w:rsidP="00511E19">
      <w:pPr>
        <w:tabs>
          <w:tab w:val="left" w:pos="7513"/>
        </w:tabs>
        <w:autoSpaceDE w:val="0"/>
        <w:autoSpaceDN w:val="0"/>
        <w:adjustRightInd w:val="0"/>
        <w:spacing w:after="0" w:line="360" w:lineRule="auto"/>
        <w:jc w:val="both"/>
      </w:pPr>
      <w:r w:rsidRPr="00884BE2">
        <w:t xml:space="preserve">Dipeptidylpeptidase-4 </w:t>
      </w:r>
      <w:r w:rsidR="00242E2F" w:rsidRPr="00884BE2">
        <w:t xml:space="preserve">(DPP-4) </w:t>
      </w:r>
      <w:r w:rsidRPr="00884BE2">
        <w:t xml:space="preserve">inhibitors </w:t>
      </w:r>
      <w:r w:rsidR="00073B72" w:rsidRPr="00884BE2">
        <w:t xml:space="preserve">increase the sensitivity of both </w:t>
      </w:r>
      <w:proofErr w:type="spellStart"/>
      <w:r w:rsidR="00073B72" w:rsidRPr="00884BE2">
        <w:t>pancreatric</w:t>
      </w:r>
      <w:proofErr w:type="spellEnd"/>
      <w:r w:rsidR="00073B72" w:rsidRPr="00884BE2">
        <w:t xml:space="preserve"> α- and β-cells to glucose, thus resulting in glucose-dependent secretion of insulin and glucagon</w:t>
      </w:r>
      <w:r w:rsidRPr="00884BE2">
        <w:t xml:space="preserve">. </w:t>
      </w:r>
      <w:r w:rsidR="00242E2F" w:rsidRPr="00884BE2">
        <w:t>W</w:t>
      </w:r>
      <w:r w:rsidR="00073B72" w:rsidRPr="00884BE2">
        <w:t xml:space="preserve">ith the preservation of glucagon counter-regulation to hypoglycaemia, </w:t>
      </w:r>
      <w:r w:rsidRPr="00884BE2">
        <w:t>DPP-4 inhibitors are not independently associated with increased risk of hypoglycaemia</w:t>
      </w:r>
      <w:proofErr w:type="gramStart"/>
      <w:r w:rsidR="00073B72" w:rsidRPr="00884BE2">
        <w:t>.</w:t>
      </w:r>
      <w:r w:rsidR="006E5931" w:rsidRPr="00884BE2">
        <w:t>[</w:t>
      </w:r>
      <w:proofErr w:type="gramEnd"/>
      <w:r w:rsidR="00217D00" w:rsidRPr="00884BE2">
        <w:t>38</w:t>
      </w:r>
      <w:r w:rsidR="006E5931" w:rsidRPr="00884BE2">
        <w:t>]</w:t>
      </w:r>
      <w:r w:rsidR="00073B72" w:rsidRPr="00884BE2">
        <w:t xml:space="preserve"> </w:t>
      </w:r>
      <w:r w:rsidR="009F6F81" w:rsidRPr="00884BE2">
        <w:t>T</w:t>
      </w:r>
      <w:r w:rsidRPr="00884BE2">
        <w:t>herefore</w:t>
      </w:r>
      <w:r w:rsidR="009F6F81" w:rsidRPr="00884BE2">
        <w:t>, they</w:t>
      </w:r>
      <w:r w:rsidRPr="00884BE2">
        <w:t xml:space="preserve"> may constitute a sensible alternative for </w:t>
      </w:r>
      <w:r w:rsidRPr="00884BE2">
        <w:lastRenderedPageBreak/>
        <w:t xml:space="preserve">sulphonylureas in Ramadan. </w:t>
      </w:r>
      <w:r w:rsidR="009F6F81" w:rsidRPr="00884BE2">
        <w:t>Amongst the DPP-4 inhibitors, vildagliptin has been the most studied in Ramadan.</w:t>
      </w:r>
    </w:p>
    <w:p w:rsidR="00282818" w:rsidRPr="00884BE2" w:rsidRDefault="00282818" w:rsidP="00511E19">
      <w:pPr>
        <w:tabs>
          <w:tab w:val="left" w:pos="7513"/>
        </w:tabs>
        <w:autoSpaceDE w:val="0"/>
        <w:autoSpaceDN w:val="0"/>
        <w:adjustRightInd w:val="0"/>
        <w:spacing w:after="0" w:line="360" w:lineRule="auto"/>
        <w:jc w:val="both"/>
      </w:pPr>
    </w:p>
    <w:p w:rsidR="00C90CC8" w:rsidRPr="00884BE2" w:rsidRDefault="00172F7B" w:rsidP="00511E19">
      <w:pPr>
        <w:tabs>
          <w:tab w:val="left" w:pos="7513"/>
        </w:tabs>
        <w:autoSpaceDE w:val="0"/>
        <w:autoSpaceDN w:val="0"/>
        <w:adjustRightInd w:val="0"/>
        <w:spacing w:after="0" w:line="360" w:lineRule="auto"/>
        <w:jc w:val="both"/>
        <w:rPr>
          <w:rFonts w:cs="AdvP49C7A2"/>
        </w:rPr>
      </w:pPr>
      <w:r w:rsidRPr="00884BE2">
        <w:rPr>
          <w:rFonts w:cs="AdvP49C7A2"/>
        </w:rPr>
        <w:t>A multi-centred prospective observational cohort study</w:t>
      </w:r>
      <w:r w:rsidR="00235EDD" w:rsidRPr="00884BE2">
        <w:rPr>
          <w:rFonts w:cs="AdvP49C7A2"/>
        </w:rPr>
        <w:t xml:space="preserve"> (n=59)</w:t>
      </w:r>
      <w:r w:rsidRPr="00884BE2">
        <w:rPr>
          <w:rFonts w:cs="AdvP49C7A2"/>
        </w:rPr>
        <w:t xml:space="preserve">, </w:t>
      </w:r>
      <w:r w:rsidR="00CD5353" w:rsidRPr="00884BE2">
        <w:rPr>
          <w:rFonts w:cs="AdvP49C7A2"/>
        </w:rPr>
        <w:t>VECTOR (Vildagliptin Experience</w:t>
      </w:r>
      <w:r w:rsidR="00D912FF" w:rsidRPr="00884BE2">
        <w:rPr>
          <w:rFonts w:cs="AdvP49C7A2"/>
        </w:rPr>
        <w:t xml:space="preserve"> </w:t>
      </w:r>
      <w:r w:rsidR="00CD5353" w:rsidRPr="00884BE2">
        <w:rPr>
          <w:rFonts w:cs="AdvP49C7A2"/>
        </w:rPr>
        <w:t xml:space="preserve">Compared To </w:t>
      </w:r>
      <w:proofErr w:type="spellStart"/>
      <w:r w:rsidR="00CD5353" w:rsidRPr="00884BE2">
        <w:rPr>
          <w:rFonts w:cs="AdvP49C7A2"/>
        </w:rPr>
        <w:t>gliclazide</w:t>
      </w:r>
      <w:proofErr w:type="spellEnd"/>
      <w:r w:rsidR="00CD5353" w:rsidRPr="00884BE2">
        <w:rPr>
          <w:rFonts w:cs="AdvP49C7A2"/>
        </w:rPr>
        <w:t xml:space="preserve"> Observed during Ramadan) </w:t>
      </w:r>
      <w:r w:rsidR="00282818" w:rsidRPr="00884BE2">
        <w:rPr>
          <w:rFonts w:cs="AdvP49EBEE"/>
        </w:rPr>
        <w:t>assess</w:t>
      </w:r>
      <w:r w:rsidR="00556972" w:rsidRPr="00884BE2">
        <w:rPr>
          <w:rFonts w:cs="AdvP49EBEE"/>
        </w:rPr>
        <w:t>ed</w:t>
      </w:r>
      <w:r w:rsidR="00282818" w:rsidRPr="00884BE2">
        <w:rPr>
          <w:rFonts w:cs="AdvP49EBEE"/>
        </w:rPr>
        <w:t xml:space="preserve"> </w:t>
      </w:r>
      <w:r w:rsidR="00235EDD" w:rsidRPr="00884BE2">
        <w:rPr>
          <w:rFonts w:cs="AdvP49C7A2"/>
        </w:rPr>
        <w:t xml:space="preserve">vildagliptin plus metformin or </w:t>
      </w:r>
      <w:proofErr w:type="spellStart"/>
      <w:r w:rsidR="00235EDD" w:rsidRPr="00884BE2">
        <w:rPr>
          <w:rFonts w:cs="AdvP49C7A2"/>
        </w:rPr>
        <w:t>gliclazide</w:t>
      </w:r>
      <w:proofErr w:type="spellEnd"/>
      <w:r w:rsidR="00235EDD" w:rsidRPr="00884BE2">
        <w:rPr>
          <w:rFonts w:cs="AdvP49C7A2"/>
        </w:rPr>
        <w:t xml:space="preserve"> plus metformin</w:t>
      </w:r>
      <w:r w:rsidR="00235EDD" w:rsidRPr="00884BE2">
        <w:rPr>
          <w:rFonts w:cs="AdvP49EBEE"/>
        </w:rPr>
        <w:t xml:space="preserve"> </w:t>
      </w:r>
      <w:r w:rsidR="00282818" w:rsidRPr="00884BE2">
        <w:rPr>
          <w:rFonts w:cs="AdvP49EBEE"/>
        </w:rPr>
        <w:t xml:space="preserve">in </w:t>
      </w:r>
      <w:r w:rsidR="00282818" w:rsidRPr="00884BE2">
        <w:rPr>
          <w:rFonts w:cs="AdvP49C7A2"/>
        </w:rPr>
        <w:t xml:space="preserve">fasting </w:t>
      </w:r>
      <w:r w:rsidR="00282818" w:rsidRPr="00884BE2">
        <w:rPr>
          <w:rFonts w:cs="AdvP49EBEE"/>
        </w:rPr>
        <w:t xml:space="preserve">British Muslims with </w:t>
      </w:r>
      <w:r w:rsidR="00F23A76" w:rsidRPr="00884BE2">
        <w:rPr>
          <w:rFonts w:cs="AdvP49EBEE"/>
        </w:rPr>
        <w:t>T2DM</w:t>
      </w:r>
      <w:r w:rsidR="00282818" w:rsidRPr="00884BE2">
        <w:rPr>
          <w:rFonts w:cs="AdvP49EBEE"/>
        </w:rPr>
        <w:t xml:space="preserve">. </w:t>
      </w:r>
      <w:r w:rsidR="00282818" w:rsidRPr="00884BE2">
        <w:rPr>
          <w:rFonts w:cs="AdvP49C7A2"/>
        </w:rPr>
        <w:t xml:space="preserve">Patients in the vildagliptin group </w:t>
      </w:r>
      <w:r w:rsidR="00F23A76" w:rsidRPr="00884BE2">
        <w:rPr>
          <w:rFonts w:cs="AdvP49C7A2"/>
        </w:rPr>
        <w:t>were reported to have</w:t>
      </w:r>
      <w:r w:rsidR="00282818" w:rsidRPr="00884BE2">
        <w:rPr>
          <w:rFonts w:cs="AdvP49C7A2"/>
        </w:rPr>
        <w:t xml:space="preserve"> </w:t>
      </w:r>
      <w:r w:rsidR="00CD5353" w:rsidRPr="00884BE2">
        <w:rPr>
          <w:rFonts w:cs="AdvP49C7A2"/>
        </w:rPr>
        <w:t xml:space="preserve">reduced HbA1c </w:t>
      </w:r>
      <w:r w:rsidR="00DD28DE" w:rsidRPr="00884BE2">
        <w:rPr>
          <w:rFonts w:cs="AdvP49C7A2"/>
        </w:rPr>
        <w:t xml:space="preserve">levels </w:t>
      </w:r>
      <w:r w:rsidR="00CD5353" w:rsidRPr="00884BE2">
        <w:rPr>
          <w:rFonts w:cs="AdvP49C7A2"/>
        </w:rPr>
        <w:t xml:space="preserve">without hypoglycaemia in contrast to </w:t>
      </w:r>
      <w:proofErr w:type="spellStart"/>
      <w:r w:rsidR="00CD5353" w:rsidRPr="00884BE2">
        <w:rPr>
          <w:rFonts w:cs="AdvP49C7A2"/>
        </w:rPr>
        <w:t>gliclazide</w:t>
      </w:r>
      <w:proofErr w:type="spellEnd"/>
      <w:r w:rsidR="00CD5353" w:rsidRPr="00884BE2">
        <w:rPr>
          <w:rFonts w:cs="AdvP49C7A2"/>
        </w:rPr>
        <w:t xml:space="preserve"> </w:t>
      </w:r>
      <w:r w:rsidR="00282818" w:rsidRPr="00884BE2">
        <w:rPr>
          <w:rFonts w:cs="AdvP49C7A2"/>
        </w:rPr>
        <w:t>group</w:t>
      </w:r>
      <w:r w:rsidR="00EB3A68" w:rsidRPr="00884BE2">
        <w:rPr>
          <w:rFonts w:cs="AdvP49C7A2"/>
        </w:rPr>
        <w:t>.</w:t>
      </w:r>
      <w:r w:rsidR="006E5931" w:rsidRPr="00884BE2">
        <w:rPr>
          <w:rFonts w:cs="AdvP49C7A2"/>
        </w:rPr>
        <w:t>[</w:t>
      </w:r>
      <w:r w:rsidR="001E3E38" w:rsidRPr="00884BE2">
        <w:rPr>
          <w:rFonts w:cs="AdvP49C7A2"/>
        </w:rPr>
        <w:t>1</w:t>
      </w:r>
      <w:r w:rsidR="008D24F1" w:rsidRPr="00884BE2">
        <w:rPr>
          <w:rFonts w:cs="AdvP49C7A2"/>
        </w:rPr>
        <w:t>2</w:t>
      </w:r>
      <w:r w:rsidR="006E5931" w:rsidRPr="00884BE2">
        <w:rPr>
          <w:rFonts w:cs="AdvP49C7A2"/>
        </w:rPr>
        <w:t>]</w:t>
      </w:r>
      <w:r w:rsidR="00CD5353" w:rsidRPr="00884BE2">
        <w:rPr>
          <w:rFonts w:cs="AdvP49C7A2"/>
        </w:rPr>
        <w:t xml:space="preserve"> </w:t>
      </w:r>
      <w:r w:rsidR="00556972" w:rsidRPr="00884BE2">
        <w:rPr>
          <w:rFonts w:cs="AdvP49C7A2"/>
        </w:rPr>
        <w:t xml:space="preserve">Adherence to treatment with vildagliptin was better than with </w:t>
      </w:r>
      <w:proofErr w:type="spellStart"/>
      <w:r w:rsidR="00556972" w:rsidRPr="00884BE2">
        <w:rPr>
          <w:rFonts w:cs="AdvP49C7A2"/>
        </w:rPr>
        <w:t>gliclazide</w:t>
      </w:r>
      <w:proofErr w:type="spellEnd"/>
      <w:r w:rsidR="007C1E1E" w:rsidRPr="00884BE2">
        <w:rPr>
          <w:rFonts w:cs="AdvP49EBEE"/>
        </w:rPr>
        <w:t xml:space="preserve">; </w:t>
      </w:r>
      <w:r w:rsidR="00CD5353" w:rsidRPr="00884BE2">
        <w:rPr>
          <w:rFonts w:cs="AdvP49EBEE"/>
        </w:rPr>
        <w:t>mean</w:t>
      </w:r>
      <w:r w:rsidR="00F23A76" w:rsidRPr="00884BE2">
        <w:rPr>
          <w:rFonts w:cs="AdvP49EBEE"/>
        </w:rPr>
        <w:t xml:space="preserve"> </w:t>
      </w:r>
      <w:r w:rsidR="00CD5353" w:rsidRPr="00884BE2">
        <w:rPr>
          <w:rFonts w:cs="AdvP49EBEE"/>
        </w:rPr>
        <w:t xml:space="preserve">proportions of doses missed during fasting </w:t>
      </w:r>
      <w:r w:rsidR="00556972" w:rsidRPr="00884BE2">
        <w:rPr>
          <w:rFonts w:cs="AdvP49EBEE"/>
        </w:rPr>
        <w:t xml:space="preserve">being </w:t>
      </w:r>
      <w:r w:rsidR="00CD5353" w:rsidRPr="00884BE2">
        <w:rPr>
          <w:rFonts w:cs="AdvP49EBEE"/>
        </w:rPr>
        <w:t xml:space="preserve">0.2% </w:t>
      </w:r>
      <w:r w:rsidR="00F23A76" w:rsidRPr="00884BE2">
        <w:rPr>
          <w:rFonts w:cs="AdvP49EBEE"/>
        </w:rPr>
        <w:t xml:space="preserve">(vildagliptin) </w:t>
      </w:r>
      <w:r w:rsidR="00CD5353" w:rsidRPr="00884BE2">
        <w:rPr>
          <w:rFonts w:cs="AdvP49EBEE"/>
        </w:rPr>
        <w:t xml:space="preserve">and </w:t>
      </w:r>
      <w:r w:rsidR="00CF4227" w:rsidRPr="00884BE2">
        <w:rPr>
          <w:rFonts w:cs="AdvP49EBEE"/>
        </w:rPr>
        <w:t>7.6</w:t>
      </w:r>
      <w:r w:rsidR="00CD5353" w:rsidRPr="00884BE2">
        <w:rPr>
          <w:rFonts w:cs="AdvP49EBEE"/>
        </w:rPr>
        <w:t xml:space="preserve">% </w:t>
      </w:r>
      <w:r w:rsidR="00F23A76" w:rsidRPr="00884BE2">
        <w:rPr>
          <w:rFonts w:cs="AdvP49EBEE"/>
        </w:rPr>
        <w:t>(</w:t>
      </w:r>
      <w:proofErr w:type="spellStart"/>
      <w:r w:rsidR="00F23A76" w:rsidRPr="00884BE2">
        <w:rPr>
          <w:rFonts w:cs="AdvP49EBEE"/>
        </w:rPr>
        <w:t>gliclazide</w:t>
      </w:r>
      <w:proofErr w:type="spellEnd"/>
      <w:r w:rsidR="00F23A76" w:rsidRPr="00884BE2">
        <w:rPr>
          <w:rFonts w:cs="AdvP49EBEE"/>
        </w:rPr>
        <w:t>)</w:t>
      </w:r>
      <w:r w:rsidR="00CF4227" w:rsidRPr="00884BE2">
        <w:rPr>
          <w:rFonts w:cs="AdvP49EBEE"/>
        </w:rPr>
        <w:t>,</w:t>
      </w:r>
      <w:r w:rsidR="00691F67" w:rsidRPr="00884BE2">
        <w:rPr>
          <w:rFonts w:cs="AdvP49EBEE"/>
        </w:rPr>
        <w:t xml:space="preserve"> p=</w:t>
      </w:r>
      <w:r w:rsidR="00CF4227" w:rsidRPr="00884BE2">
        <w:rPr>
          <w:rFonts w:cs="AdvP49EBEE"/>
        </w:rPr>
        <w:t>0.0204)</w:t>
      </w:r>
      <w:r w:rsidR="00CD5353" w:rsidRPr="00884BE2">
        <w:rPr>
          <w:rFonts w:cs="AdvP49EBEE"/>
        </w:rPr>
        <w:t xml:space="preserve">. </w:t>
      </w:r>
      <w:r w:rsidR="00556972" w:rsidRPr="00884BE2">
        <w:rPr>
          <w:rFonts w:cs="AdvP49EBEE"/>
        </w:rPr>
        <w:t xml:space="preserve">This </w:t>
      </w:r>
      <w:r w:rsidR="00556972" w:rsidRPr="00884BE2">
        <w:rPr>
          <w:rFonts w:cs="AdvP49C7A2"/>
        </w:rPr>
        <w:t>was most likely due to better tolerability with patients</w:t>
      </w:r>
      <w:r w:rsidR="00556972" w:rsidRPr="00884BE2">
        <w:rPr>
          <w:rFonts w:cs="AdvP49EBEE"/>
        </w:rPr>
        <w:t xml:space="preserve"> </w:t>
      </w:r>
      <w:r w:rsidR="00556972" w:rsidRPr="00884BE2">
        <w:rPr>
          <w:rFonts w:cs="AdvP49C7A2"/>
        </w:rPr>
        <w:t>having less fear of hypoglycaemia</w:t>
      </w:r>
      <w:proofErr w:type="gramStart"/>
      <w:r w:rsidR="00556972" w:rsidRPr="00884BE2">
        <w:rPr>
          <w:rFonts w:cs="AdvP49C7A2"/>
        </w:rPr>
        <w:t>.[</w:t>
      </w:r>
      <w:proofErr w:type="gramEnd"/>
      <w:r w:rsidR="00217D00" w:rsidRPr="00884BE2">
        <w:rPr>
          <w:rFonts w:cs="AdvP49C7A2"/>
        </w:rPr>
        <w:t>39</w:t>
      </w:r>
      <w:r w:rsidR="00556972" w:rsidRPr="00884BE2">
        <w:rPr>
          <w:rFonts w:cs="AdvP49C7A2"/>
        </w:rPr>
        <w:t xml:space="preserve">] </w:t>
      </w:r>
    </w:p>
    <w:p w:rsidR="00060C2A" w:rsidRPr="00884BE2" w:rsidRDefault="00060C2A" w:rsidP="00511E19">
      <w:pPr>
        <w:tabs>
          <w:tab w:val="left" w:pos="7513"/>
        </w:tabs>
        <w:autoSpaceDE w:val="0"/>
        <w:autoSpaceDN w:val="0"/>
        <w:adjustRightInd w:val="0"/>
        <w:spacing w:after="0" w:line="360" w:lineRule="auto"/>
        <w:jc w:val="both"/>
        <w:rPr>
          <w:rFonts w:cs="AdvP49EBEE"/>
        </w:rPr>
      </w:pPr>
    </w:p>
    <w:p w:rsidR="009973CE" w:rsidRPr="00884BE2" w:rsidRDefault="00E85D26" w:rsidP="00511E19">
      <w:pPr>
        <w:tabs>
          <w:tab w:val="left" w:pos="7513"/>
        </w:tabs>
        <w:autoSpaceDE w:val="0"/>
        <w:autoSpaceDN w:val="0"/>
        <w:adjustRightInd w:val="0"/>
        <w:spacing w:after="0" w:line="360" w:lineRule="auto"/>
        <w:jc w:val="both"/>
        <w:rPr>
          <w:rFonts w:cs="AdvP49C7A2"/>
        </w:rPr>
      </w:pPr>
      <w:r w:rsidRPr="00884BE2">
        <w:rPr>
          <w:rFonts w:cs="AdvP49C7A2"/>
        </w:rPr>
        <w:t xml:space="preserve">A randomised controlled trial </w:t>
      </w:r>
      <w:r w:rsidR="00CD5353" w:rsidRPr="00884BE2">
        <w:rPr>
          <w:rFonts w:cs="AdvP49C7A2"/>
        </w:rPr>
        <w:t>compar</w:t>
      </w:r>
      <w:r w:rsidR="007C4FBA" w:rsidRPr="00884BE2">
        <w:rPr>
          <w:rFonts w:cs="AdvP49C7A2"/>
        </w:rPr>
        <w:t xml:space="preserve">ing another DPP-4 inhibitor, </w:t>
      </w:r>
      <w:r w:rsidR="00CD5353" w:rsidRPr="00884BE2">
        <w:rPr>
          <w:rFonts w:cs="AdvP49C7A2"/>
        </w:rPr>
        <w:t xml:space="preserve">sitagliptin with </w:t>
      </w:r>
      <w:r w:rsidR="007C4FBA" w:rsidRPr="00884BE2">
        <w:rPr>
          <w:rFonts w:cs="AdvP49C7A2"/>
        </w:rPr>
        <w:t xml:space="preserve">sulphonylurea </w:t>
      </w:r>
      <w:r w:rsidR="00CD5353" w:rsidRPr="00884BE2">
        <w:rPr>
          <w:rFonts w:cs="AdvP49C7A2"/>
        </w:rPr>
        <w:t>treatment</w:t>
      </w:r>
      <w:r w:rsidR="009973CE" w:rsidRPr="00884BE2">
        <w:rPr>
          <w:rFonts w:cs="AdvP49C7A2"/>
        </w:rPr>
        <w:t xml:space="preserve"> </w:t>
      </w:r>
      <w:r w:rsidR="00CD5353" w:rsidRPr="00884BE2">
        <w:rPr>
          <w:rFonts w:cs="AdvP49C7A2"/>
        </w:rPr>
        <w:t xml:space="preserve">also </w:t>
      </w:r>
      <w:r w:rsidR="007C4FBA" w:rsidRPr="00884BE2">
        <w:rPr>
          <w:rFonts w:cs="AdvP49C7A2"/>
        </w:rPr>
        <w:t xml:space="preserve">confirmed the </w:t>
      </w:r>
      <w:r w:rsidR="00CD5353" w:rsidRPr="00884BE2">
        <w:rPr>
          <w:rFonts w:cs="AdvP49C7A2"/>
        </w:rPr>
        <w:t>low</w:t>
      </w:r>
      <w:r w:rsidR="007C4FBA" w:rsidRPr="00884BE2">
        <w:rPr>
          <w:rFonts w:cs="AdvP49C7A2"/>
        </w:rPr>
        <w:t>er</w:t>
      </w:r>
      <w:r w:rsidR="00CD5353" w:rsidRPr="00884BE2">
        <w:rPr>
          <w:rFonts w:cs="AdvP49C7A2"/>
        </w:rPr>
        <w:t xml:space="preserve"> risk of hypoglycaemia with </w:t>
      </w:r>
      <w:r w:rsidR="007C4FBA" w:rsidRPr="00884BE2">
        <w:rPr>
          <w:rFonts w:cs="AdvP49C7A2"/>
        </w:rPr>
        <w:t xml:space="preserve">DPP-4 inhibitors in </w:t>
      </w:r>
      <w:r w:rsidR="00946E9F" w:rsidRPr="00884BE2">
        <w:rPr>
          <w:rFonts w:cs="AdvP49C7A2"/>
        </w:rPr>
        <w:t>fasting patients with T2DM</w:t>
      </w:r>
      <w:r w:rsidR="00504305" w:rsidRPr="00884BE2">
        <w:rPr>
          <w:rFonts w:cs="AdvP49C7A2"/>
        </w:rPr>
        <w:t xml:space="preserve"> </w:t>
      </w:r>
      <w:r w:rsidR="00CD5353" w:rsidRPr="00884BE2">
        <w:rPr>
          <w:rFonts w:cs="AdvP49C7A2"/>
        </w:rPr>
        <w:t>during Ramadan</w:t>
      </w:r>
      <w:proofErr w:type="gramStart"/>
      <w:r w:rsidR="00946E9F" w:rsidRPr="00884BE2">
        <w:rPr>
          <w:rFonts w:cs="AdvP49C7A2"/>
        </w:rPr>
        <w:t>.</w:t>
      </w:r>
      <w:r w:rsidR="006E5931" w:rsidRPr="00884BE2">
        <w:rPr>
          <w:rFonts w:cs="AdvP49C7A2"/>
        </w:rPr>
        <w:t>[</w:t>
      </w:r>
      <w:proofErr w:type="gramEnd"/>
      <w:r w:rsidR="00C63462" w:rsidRPr="00884BE2">
        <w:rPr>
          <w:rFonts w:cs="AdvP49C7A2"/>
        </w:rPr>
        <w:t>4</w:t>
      </w:r>
      <w:r w:rsidR="00217D00" w:rsidRPr="00884BE2">
        <w:rPr>
          <w:rFonts w:cs="AdvP49C7A2"/>
        </w:rPr>
        <w:t>0</w:t>
      </w:r>
      <w:r w:rsidR="006E5931" w:rsidRPr="00884BE2">
        <w:rPr>
          <w:rFonts w:cs="AdvP49C7A2"/>
        </w:rPr>
        <w:t>]</w:t>
      </w:r>
      <w:r w:rsidR="00765F00" w:rsidRPr="00884BE2">
        <w:rPr>
          <w:rFonts w:cs="AdvP49C7A2"/>
        </w:rPr>
        <w:t xml:space="preserve"> </w:t>
      </w:r>
      <w:r w:rsidR="007C4FBA" w:rsidRPr="00884BE2">
        <w:rPr>
          <w:rFonts w:cs="AdvP49C7A2"/>
        </w:rPr>
        <w:t>In this study, results were attributed to</w:t>
      </w:r>
      <w:r w:rsidR="00CD5353" w:rsidRPr="00884BE2">
        <w:rPr>
          <w:rFonts w:cs="AdvP49C7A2"/>
        </w:rPr>
        <w:t xml:space="preserve"> better adherence, less</w:t>
      </w:r>
      <w:r w:rsidR="009973CE" w:rsidRPr="00884BE2">
        <w:rPr>
          <w:rFonts w:cs="AdvP49EBEE"/>
        </w:rPr>
        <w:t xml:space="preserve"> </w:t>
      </w:r>
      <w:r w:rsidR="00CD5353" w:rsidRPr="00884BE2">
        <w:rPr>
          <w:rFonts w:cs="AdvP49C7A2"/>
        </w:rPr>
        <w:t>defensive eating, and/or higher baseline HbA1c in patients</w:t>
      </w:r>
      <w:r w:rsidR="00946E9F" w:rsidRPr="00884BE2">
        <w:rPr>
          <w:rFonts w:cs="AdvP49EBEE"/>
        </w:rPr>
        <w:t xml:space="preserve"> </w:t>
      </w:r>
      <w:r w:rsidR="00946E9F" w:rsidRPr="00884BE2">
        <w:rPr>
          <w:rFonts w:cs="AdvP49C7A2"/>
        </w:rPr>
        <w:t>i</w:t>
      </w:r>
      <w:r w:rsidR="00CD5353" w:rsidRPr="00884BE2">
        <w:rPr>
          <w:rFonts w:cs="AdvP49C7A2"/>
        </w:rPr>
        <w:t xml:space="preserve">n this cohort </w:t>
      </w:r>
      <w:r w:rsidR="0052625D" w:rsidRPr="00884BE2">
        <w:rPr>
          <w:rFonts w:cs="AdvP49C7A2"/>
        </w:rPr>
        <w:t>[</w:t>
      </w:r>
      <w:r w:rsidR="00CD5353" w:rsidRPr="00884BE2">
        <w:rPr>
          <w:rFonts w:cs="AdvP49C7A2"/>
        </w:rPr>
        <w:t xml:space="preserve">7.7% </w:t>
      </w:r>
      <w:r w:rsidR="0052625D" w:rsidRPr="00884BE2">
        <w:rPr>
          <w:rFonts w:cs="AdvP49C7A2"/>
        </w:rPr>
        <w:t>(61mmol/</w:t>
      </w:r>
      <w:proofErr w:type="spellStart"/>
      <w:r w:rsidR="0052625D" w:rsidRPr="00884BE2">
        <w:rPr>
          <w:rFonts w:cs="AdvP49C7A2"/>
        </w:rPr>
        <w:t>mol</w:t>
      </w:r>
      <w:proofErr w:type="spellEnd"/>
      <w:r w:rsidR="0052625D" w:rsidRPr="00884BE2">
        <w:rPr>
          <w:rFonts w:cs="AdvP49C7A2"/>
        </w:rPr>
        <w:t xml:space="preserve">) </w:t>
      </w:r>
      <w:r w:rsidR="00CD5353" w:rsidRPr="00884BE2">
        <w:rPr>
          <w:rFonts w:cs="AdvP49C7A2"/>
        </w:rPr>
        <w:t>vs. 7.2%</w:t>
      </w:r>
      <w:r w:rsidR="0052625D" w:rsidRPr="00884BE2">
        <w:rPr>
          <w:rFonts w:cs="AdvP49C7A2"/>
        </w:rPr>
        <w:t xml:space="preserve"> (55mmol/</w:t>
      </w:r>
      <w:proofErr w:type="spellStart"/>
      <w:r w:rsidR="0052625D" w:rsidRPr="00884BE2">
        <w:rPr>
          <w:rFonts w:cs="AdvP49C7A2"/>
        </w:rPr>
        <w:t>mol</w:t>
      </w:r>
      <w:proofErr w:type="spellEnd"/>
      <w:r w:rsidR="0052625D" w:rsidRPr="00884BE2">
        <w:rPr>
          <w:rFonts w:cs="AdvP49C7A2"/>
        </w:rPr>
        <w:t>)]</w:t>
      </w:r>
      <w:r w:rsidR="00CD5353" w:rsidRPr="00884BE2">
        <w:rPr>
          <w:rFonts w:cs="AdvP49C7A2"/>
        </w:rPr>
        <w:t xml:space="preserve"> than the </w:t>
      </w:r>
      <w:r w:rsidR="007C4FBA" w:rsidRPr="00884BE2">
        <w:rPr>
          <w:rFonts w:cs="AdvP49C7A2"/>
        </w:rPr>
        <w:t xml:space="preserve">sulphonylurea </w:t>
      </w:r>
      <w:r w:rsidR="00CD5353" w:rsidRPr="00884BE2">
        <w:rPr>
          <w:rFonts w:cs="AdvP49C7A2"/>
        </w:rPr>
        <w:t xml:space="preserve">group. </w:t>
      </w:r>
    </w:p>
    <w:p w:rsidR="00EC4D7B" w:rsidRPr="00884BE2" w:rsidRDefault="00EC4D7B" w:rsidP="00511E19">
      <w:pPr>
        <w:tabs>
          <w:tab w:val="left" w:pos="7513"/>
        </w:tabs>
        <w:autoSpaceDE w:val="0"/>
        <w:autoSpaceDN w:val="0"/>
        <w:adjustRightInd w:val="0"/>
        <w:spacing w:after="0" w:line="360" w:lineRule="auto"/>
        <w:jc w:val="both"/>
        <w:rPr>
          <w:rFonts w:cs="AdvP49C7A2"/>
        </w:rPr>
      </w:pPr>
    </w:p>
    <w:p w:rsidR="00EC4D7B" w:rsidRPr="00884BE2" w:rsidRDefault="00EC4D7B" w:rsidP="00511E19">
      <w:pPr>
        <w:tabs>
          <w:tab w:val="left" w:pos="7513"/>
        </w:tabs>
        <w:autoSpaceDE w:val="0"/>
        <w:autoSpaceDN w:val="0"/>
        <w:adjustRightInd w:val="0"/>
        <w:spacing w:after="0" w:line="360" w:lineRule="auto"/>
        <w:jc w:val="both"/>
        <w:rPr>
          <w:rFonts w:cs="AdvP49C7A2"/>
        </w:rPr>
      </w:pPr>
      <w:r w:rsidRPr="00884BE2">
        <w:rPr>
          <w:rFonts w:cs="AdvP49C7A2"/>
        </w:rPr>
        <w:t>In another, larger observational study conducted over 10 countries (n&gt;1300), VIRTUE (</w:t>
      </w:r>
      <w:proofErr w:type="spellStart"/>
      <w:r w:rsidRPr="00884BE2">
        <w:rPr>
          <w:rFonts w:cs="AdvP49C7A2"/>
        </w:rPr>
        <w:t>V</w:t>
      </w:r>
      <w:r w:rsidR="00D116AB" w:rsidRPr="00884BE2">
        <w:rPr>
          <w:rFonts w:cs="AdvP49C7A2"/>
        </w:rPr>
        <w:t>I</w:t>
      </w:r>
      <w:r w:rsidRPr="00884BE2">
        <w:rPr>
          <w:rFonts w:cs="AdvP49C7A2"/>
        </w:rPr>
        <w:t>ldagliptIn</w:t>
      </w:r>
      <w:proofErr w:type="spellEnd"/>
      <w:r w:rsidRPr="00884BE2">
        <w:rPr>
          <w:rFonts w:cs="AdvP49C7A2"/>
        </w:rPr>
        <w:t xml:space="preserve"> </w:t>
      </w:r>
      <w:proofErr w:type="spellStart"/>
      <w:r w:rsidRPr="00884BE2">
        <w:rPr>
          <w:rFonts w:cs="AdvP49C7A2"/>
        </w:rPr>
        <w:t>expe</w:t>
      </w:r>
      <w:r w:rsidR="00616AE4" w:rsidRPr="00884BE2">
        <w:rPr>
          <w:rFonts w:cs="AdvP49C7A2"/>
        </w:rPr>
        <w:t>R</w:t>
      </w:r>
      <w:r w:rsidRPr="00884BE2">
        <w:rPr>
          <w:rFonts w:cs="AdvP49C7A2"/>
        </w:rPr>
        <w:t>ience</w:t>
      </w:r>
      <w:proofErr w:type="spellEnd"/>
      <w:r w:rsidRPr="00884BE2">
        <w:rPr>
          <w:rFonts w:cs="AdvP49C7A2"/>
        </w:rPr>
        <w:t xml:space="preserve"> compared </w:t>
      </w:r>
      <w:proofErr w:type="spellStart"/>
      <w:r w:rsidRPr="00884BE2">
        <w:rPr>
          <w:rFonts w:cs="AdvP49C7A2"/>
        </w:rPr>
        <w:t>wiT</w:t>
      </w:r>
      <w:r w:rsidR="00616AE4" w:rsidRPr="00884BE2">
        <w:rPr>
          <w:rFonts w:cs="AdvP49C7A2"/>
        </w:rPr>
        <w:t>h</w:t>
      </w:r>
      <w:proofErr w:type="spellEnd"/>
      <w:r w:rsidRPr="00884BE2">
        <w:rPr>
          <w:rFonts w:cs="AdvP49C7A2"/>
        </w:rPr>
        <w:t xml:space="preserve"> </w:t>
      </w:r>
      <w:proofErr w:type="spellStart"/>
      <w:r w:rsidRPr="00884BE2">
        <w:rPr>
          <w:rFonts w:cs="AdvP49C7A2"/>
        </w:rPr>
        <w:t>sulphonylUreas</w:t>
      </w:r>
      <w:proofErr w:type="spellEnd"/>
      <w:r w:rsidRPr="00884BE2">
        <w:rPr>
          <w:rFonts w:cs="AdvP49C7A2"/>
        </w:rPr>
        <w:t xml:space="preserve"> </w:t>
      </w:r>
      <w:proofErr w:type="spellStart"/>
      <w:r w:rsidRPr="00884BE2">
        <w:rPr>
          <w:rFonts w:cs="AdvP49C7A2"/>
        </w:rPr>
        <w:t>obs</w:t>
      </w:r>
      <w:r w:rsidR="00616AE4" w:rsidRPr="00884BE2">
        <w:rPr>
          <w:rFonts w:cs="AdvP49C7A2"/>
        </w:rPr>
        <w:t>E</w:t>
      </w:r>
      <w:r w:rsidR="00DD28DE" w:rsidRPr="00884BE2">
        <w:rPr>
          <w:rFonts w:cs="AdvP49C7A2"/>
        </w:rPr>
        <w:t>rved</w:t>
      </w:r>
      <w:proofErr w:type="spellEnd"/>
      <w:r w:rsidR="00DD28DE" w:rsidRPr="00884BE2">
        <w:rPr>
          <w:rFonts w:cs="AdvP49C7A2"/>
        </w:rPr>
        <w:t xml:space="preserve"> during Ramadan), </w:t>
      </w:r>
      <w:r w:rsidRPr="00884BE2">
        <w:rPr>
          <w:rFonts w:cs="AdvP49C7A2"/>
        </w:rPr>
        <w:t xml:space="preserve">significantly fewer patients had hypoglycaemic events with vildagliptin compared with those taking sulphonylureas </w:t>
      </w:r>
      <w:r w:rsidR="00E340C0" w:rsidRPr="00884BE2">
        <w:rPr>
          <w:rFonts w:cs="AdvP49C7A2"/>
        </w:rPr>
        <w:t>[</w:t>
      </w:r>
      <w:r w:rsidRPr="00884BE2">
        <w:rPr>
          <w:rFonts w:cs="AdvP49C7A2"/>
        </w:rPr>
        <w:t>5.4% versus 19.8%</w:t>
      </w:r>
      <w:r w:rsidR="00E340C0" w:rsidRPr="00884BE2">
        <w:rPr>
          <w:rFonts w:cs="AdvP49C7A2"/>
        </w:rPr>
        <w:t>; OR (95% CI) = 0.23 (0.1</w:t>
      </w:r>
      <w:r w:rsidR="00616AE4" w:rsidRPr="00884BE2">
        <w:rPr>
          <w:rFonts w:cs="AdvP49C7A2"/>
        </w:rPr>
        <w:t>6</w:t>
      </w:r>
      <w:r w:rsidR="00E340C0" w:rsidRPr="00884BE2">
        <w:rPr>
          <w:rFonts w:cs="AdvP49C7A2"/>
        </w:rPr>
        <w:t>; 0.34), p &lt; 0.001]</w:t>
      </w:r>
      <w:r w:rsidRPr="00884BE2">
        <w:rPr>
          <w:rFonts w:cs="AdvP49C7A2"/>
        </w:rPr>
        <w:t>, with improv</w:t>
      </w:r>
      <w:r w:rsidR="00342CAD" w:rsidRPr="00884BE2">
        <w:rPr>
          <w:rFonts w:cs="AdvP49C7A2"/>
        </w:rPr>
        <w:t xml:space="preserve">ed </w:t>
      </w:r>
      <w:r w:rsidRPr="00884BE2">
        <w:rPr>
          <w:rFonts w:cs="AdvP49C7A2"/>
        </w:rPr>
        <w:t xml:space="preserve">glycaemic control (HbA1c change -0.24% versus </w:t>
      </w:r>
      <w:r w:rsidR="00F371BE" w:rsidRPr="00884BE2">
        <w:rPr>
          <w:rFonts w:cs="AdvP49C7A2"/>
        </w:rPr>
        <w:t>+0.02%) and weight control (-0.76kg versus -0.13kg)</w:t>
      </w:r>
      <w:proofErr w:type="gramStart"/>
      <w:r w:rsidR="00F371BE" w:rsidRPr="00884BE2">
        <w:rPr>
          <w:rFonts w:cs="AdvP49C7A2"/>
        </w:rPr>
        <w:t>.</w:t>
      </w:r>
      <w:r w:rsidR="006E5931" w:rsidRPr="00884BE2">
        <w:rPr>
          <w:rFonts w:cs="AdvP49C7A2"/>
        </w:rPr>
        <w:t>[</w:t>
      </w:r>
      <w:proofErr w:type="gramEnd"/>
      <w:r w:rsidR="00C63462" w:rsidRPr="00884BE2">
        <w:rPr>
          <w:rFonts w:cs="AdvP49C7A2"/>
        </w:rPr>
        <w:t>1</w:t>
      </w:r>
      <w:r w:rsidR="00217D00" w:rsidRPr="00884BE2">
        <w:rPr>
          <w:rFonts w:cs="AdvP49C7A2"/>
        </w:rPr>
        <w:t>3</w:t>
      </w:r>
      <w:r w:rsidR="006E5931" w:rsidRPr="00884BE2">
        <w:rPr>
          <w:rFonts w:cs="AdvP49C7A2"/>
        </w:rPr>
        <w:t>]</w:t>
      </w:r>
    </w:p>
    <w:p w:rsidR="006A2316" w:rsidRPr="00884BE2" w:rsidRDefault="006A2316" w:rsidP="00511E19">
      <w:pPr>
        <w:tabs>
          <w:tab w:val="left" w:pos="7513"/>
        </w:tabs>
        <w:autoSpaceDE w:val="0"/>
        <w:autoSpaceDN w:val="0"/>
        <w:adjustRightInd w:val="0"/>
        <w:spacing w:after="0" w:line="360" w:lineRule="auto"/>
        <w:jc w:val="both"/>
        <w:rPr>
          <w:rFonts w:cs="AdvP49C7A2"/>
        </w:rPr>
      </w:pPr>
    </w:p>
    <w:p w:rsidR="00B015FE" w:rsidRPr="00884BE2" w:rsidRDefault="000626A5" w:rsidP="00511E19">
      <w:pPr>
        <w:tabs>
          <w:tab w:val="left" w:pos="7513"/>
        </w:tabs>
        <w:autoSpaceDE w:val="0"/>
        <w:autoSpaceDN w:val="0"/>
        <w:adjustRightInd w:val="0"/>
        <w:spacing w:after="0" w:line="360" w:lineRule="auto"/>
        <w:jc w:val="both"/>
        <w:rPr>
          <w:rFonts w:cs="AdvP49C7A2"/>
        </w:rPr>
      </w:pPr>
      <w:r w:rsidRPr="00884BE2">
        <w:rPr>
          <w:rFonts w:cs="AdvP49C7A2"/>
        </w:rPr>
        <w:t xml:space="preserve">Consistent </w:t>
      </w:r>
      <w:r w:rsidR="006A2316" w:rsidRPr="00884BE2">
        <w:rPr>
          <w:rFonts w:cs="AdvP49C7A2"/>
        </w:rPr>
        <w:t>with the</w:t>
      </w:r>
      <w:r w:rsidR="00DD28DE" w:rsidRPr="00884BE2">
        <w:rPr>
          <w:rFonts w:cs="AdvP49C7A2"/>
        </w:rPr>
        <w:t>se</w:t>
      </w:r>
      <w:r w:rsidR="006A2316" w:rsidRPr="00884BE2">
        <w:rPr>
          <w:rFonts w:cs="AdvP49C7A2"/>
        </w:rPr>
        <w:t xml:space="preserve"> findings are the results of a recent multi-centred,</w:t>
      </w:r>
      <w:r w:rsidR="0089181B" w:rsidRPr="00884BE2">
        <w:rPr>
          <w:rFonts w:cs="AdvP49C7A2"/>
        </w:rPr>
        <w:t xml:space="preserve"> randomised controlled</w:t>
      </w:r>
      <w:r w:rsidR="006A2316" w:rsidRPr="00884BE2">
        <w:rPr>
          <w:rFonts w:cs="AdvP49C7A2"/>
        </w:rPr>
        <w:t xml:space="preserve"> double-blind study</w:t>
      </w:r>
      <w:r w:rsidR="007E2F7D" w:rsidRPr="00884BE2">
        <w:rPr>
          <w:rFonts w:cs="AdvP49C7A2"/>
        </w:rPr>
        <w:t xml:space="preserve"> in 16 countries</w:t>
      </w:r>
      <w:r w:rsidR="00CB2212" w:rsidRPr="00884BE2">
        <w:rPr>
          <w:rFonts w:cs="AdvP49C7A2"/>
        </w:rPr>
        <w:t xml:space="preserve">, </w:t>
      </w:r>
      <w:proofErr w:type="spellStart"/>
      <w:r w:rsidR="00CB2212" w:rsidRPr="00884BE2">
        <w:rPr>
          <w:rFonts w:cs="AdvP49C7A2"/>
        </w:rPr>
        <w:t>STudy</w:t>
      </w:r>
      <w:proofErr w:type="spellEnd"/>
      <w:r w:rsidR="00CB2212" w:rsidRPr="00884BE2">
        <w:rPr>
          <w:rFonts w:cs="AdvP49C7A2"/>
        </w:rPr>
        <w:t xml:space="preserve"> Evaluating </w:t>
      </w:r>
      <w:proofErr w:type="spellStart"/>
      <w:r w:rsidR="00CB2212" w:rsidRPr="00884BE2">
        <w:rPr>
          <w:rFonts w:cs="AdvP49C7A2"/>
        </w:rPr>
        <w:t>vildA</w:t>
      </w:r>
      <w:r w:rsidR="006A2316" w:rsidRPr="00884BE2">
        <w:rPr>
          <w:rFonts w:cs="AdvP49C7A2"/>
        </w:rPr>
        <w:t>gliptin</w:t>
      </w:r>
      <w:proofErr w:type="spellEnd"/>
      <w:r w:rsidR="006A2316" w:rsidRPr="00884BE2">
        <w:rPr>
          <w:rFonts w:cs="AdvP49C7A2"/>
        </w:rPr>
        <w:t xml:space="preserve"> </w:t>
      </w:r>
      <w:proofErr w:type="spellStart"/>
      <w:r w:rsidR="006A2316" w:rsidRPr="00884BE2">
        <w:rPr>
          <w:rFonts w:cs="AdvP49C7A2"/>
        </w:rPr>
        <w:t>compare</w:t>
      </w:r>
      <w:r w:rsidR="00CB2212" w:rsidRPr="00884BE2">
        <w:rPr>
          <w:rFonts w:cs="AdvP49C7A2"/>
        </w:rPr>
        <w:t>D</w:t>
      </w:r>
      <w:proofErr w:type="spellEnd"/>
      <w:r w:rsidR="006A2316" w:rsidRPr="00884BE2">
        <w:rPr>
          <w:rFonts w:cs="AdvP49C7A2"/>
        </w:rPr>
        <w:t xml:space="preserve"> to </w:t>
      </w:r>
      <w:proofErr w:type="spellStart"/>
      <w:r w:rsidR="006A2316" w:rsidRPr="00884BE2">
        <w:rPr>
          <w:rFonts w:cs="AdvP49C7A2"/>
        </w:rPr>
        <w:t>gliclazide</w:t>
      </w:r>
      <w:proofErr w:type="spellEnd"/>
      <w:r w:rsidR="006A2316" w:rsidRPr="00884BE2">
        <w:rPr>
          <w:rFonts w:cs="AdvP49C7A2"/>
        </w:rPr>
        <w:t xml:space="preserve"> in patients with type 2 diabetes </w:t>
      </w:r>
      <w:proofErr w:type="spellStart"/>
      <w:r w:rsidR="006A2316" w:rsidRPr="00884BE2">
        <w:rPr>
          <w:rFonts w:cs="AdvP49C7A2"/>
        </w:rPr>
        <w:t>FASTing</w:t>
      </w:r>
      <w:proofErr w:type="spellEnd"/>
      <w:r w:rsidR="006A2316" w:rsidRPr="00884BE2">
        <w:rPr>
          <w:rFonts w:cs="AdvP49C7A2"/>
        </w:rPr>
        <w:t xml:space="preserve"> during Ramadan (STEADFAST).</w:t>
      </w:r>
      <w:r w:rsidR="004A6083" w:rsidRPr="00884BE2">
        <w:rPr>
          <w:rFonts w:cs="AdvP49C7A2"/>
        </w:rPr>
        <w:t>[</w:t>
      </w:r>
      <w:r w:rsidR="00081A42" w:rsidRPr="00884BE2">
        <w:rPr>
          <w:rFonts w:cs="AdvP49C7A2"/>
        </w:rPr>
        <w:t>10</w:t>
      </w:r>
      <w:r w:rsidR="004A6083" w:rsidRPr="00884BE2">
        <w:rPr>
          <w:rFonts w:cs="AdvP49C7A2"/>
        </w:rPr>
        <w:t>]</w:t>
      </w:r>
      <w:r w:rsidR="00850A85" w:rsidRPr="00884BE2">
        <w:rPr>
          <w:rFonts w:cs="AdvP49C7A2"/>
        </w:rPr>
        <w:t xml:space="preserve"> </w:t>
      </w:r>
      <w:r w:rsidR="0089181B" w:rsidRPr="00884BE2">
        <w:rPr>
          <w:rFonts w:cs="AdvP49C7A2"/>
        </w:rPr>
        <w:t xml:space="preserve">Patients (n=557) with well-controlled </w:t>
      </w:r>
      <w:r w:rsidRPr="00884BE2">
        <w:rPr>
          <w:rFonts w:cs="AdvP49C7A2"/>
        </w:rPr>
        <w:t>T2DM</w:t>
      </w:r>
      <w:r w:rsidR="0089181B" w:rsidRPr="00884BE2">
        <w:rPr>
          <w:rFonts w:cs="AdvP49C7A2"/>
        </w:rPr>
        <w:t xml:space="preserve">, previously treated with metformin </w:t>
      </w:r>
      <w:r w:rsidR="007E2F7D" w:rsidRPr="00884BE2">
        <w:rPr>
          <w:rFonts w:cs="AdvP49C7A2"/>
        </w:rPr>
        <w:t xml:space="preserve">and </w:t>
      </w:r>
      <w:r w:rsidR="0089181B" w:rsidRPr="00884BE2">
        <w:rPr>
          <w:rFonts w:cs="AdvP49C7A2"/>
        </w:rPr>
        <w:t>any sulphonylurea, were randomised to receive ei</w:t>
      </w:r>
      <w:r w:rsidR="007E2F7D" w:rsidRPr="00884BE2">
        <w:rPr>
          <w:rFonts w:cs="AdvP49C7A2"/>
        </w:rPr>
        <w:t xml:space="preserve">ther vildagliptin or </w:t>
      </w:r>
      <w:proofErr w:type="spellStart"/>
      <w:r w:rsidR="007E2F7D" w:rsidRPr="00884BE2">
        <w:rPr>
          <w:rFonts w:cs="AdvP49C7A2"/>
        </w:rPr>
        <w:t>gliclazide</w:t>
      </w:r>
      <w:proofErr w:type="spellEnd"/>
      <w:r w:rsidR="007E2F7D" w:rsidRPr="00884BE2">
        <w:rPr>
          <w:rFonts w:cs="AdvP49C7A2"/>
        </w:rPr>
        <w:t>, in addition to</w:t>
      </w:r>
      <w:r w:rsidR="0089181B" w:rsidRPr="00884BE2">
        <w:rPr>
          <w:rFonts w:cs="AdvP49C7A2"/>
        </w:rPr>
        <w:t xml:space="preserve"> metformin. </w:t>
      </w:r>
      <w:r w:rsidR="008F3187" w:rsidRPr="00884BE2">
        <w:rPr>
          <w:rFonts w:cs="AdvP49C7A2"/>
        </w:rPr>
        <w:t>Patients in the vildagliptin group reported</w:t>
      </w:r>
      <w:r w:rsidR="007E2F7D" w:rsidRPr="00884BE2">
        <w:rPr>
          <w:rFonts w:cs="AdvP49C7A2"/>
        </w:rPr>
        <w:t xml:space="preserve"> fewer hypoglycaemic events compared to the </w:t>
      </w:r>
      <w:proofErr w:type="spellStart"/>
      <w:r w:rsidR="007E2F7D" w:rsidRPr="00884BE2">
        <w:rPr>
          <w:rFonts w:cs="AdvP49C7A2"/>
        </w:rPr>
        <w:t>gliclazide</w:t>
      </w:r>
      <w:proofErr w:type="spellEnd"/>
      <w:r w:rsidR="007E2F7D" w:rsidRPr="00884BE2">
        <w:rPr>
          <w:rFonts w:cs="AdvP49C7A2"/>
        </w:rPr>
        <w:t xml:space="preserve"> group (3.0% </w:t>
      </w:r>
      <w:r w:rsidR="00342CAD" w:rsidRPr="00884BE2">
        <w:rPr>
          <w:rFonts w:cs="AdvP49C7A2"/>
          <w:i/>
        </w:rPr>
        <w:t>vs.</w:t>
      </w:r>
      <w:r w:rsidR="007E2F7D" w:rsidRPr="00884BE2">
        <w:rPr>
          <w:rFonts w:cs="AdvP49C7A2"/>
        </w:rPr>
        <w:t xml:space="preserve"> 7.0%). There was no </w:t>
      </w:r>
      <w:r w:rsidR="00085AE9" w:rsidRPr="00884BE2">
        <w:rPr>
          <w:rFonts w:cs="AdvP49C7A2"/>
        </w:rPr>
        <w:t xml:space="preserve">significant </w:t>
      </w:r>
      <w:r w:rsidR="007E2F7D" w:rsidRPr="00884BE2">
        <w:rPr>
          <w:rFonts w:cs="AdvP49C7A2"/>
        </w:rPr>
        <w:t xml:space="preserve">difference in weight loss </w:t>
      </w:r>
      <w:r w:rsidR="003246B0" w:rsidRPr="00884BE2">
        <w:rPr>
          <w:rFonts w:cs="AdvP49C7A2"/>
        </w:rPr>
        <w:t>(-1.1kg)</w:t>
      </w:r>
      <w:r w:rsidR="004A6083" w:rsidRPr="00884BE2">
        <w:rPr>
          <w:rFonts w:cs="AdvP49C7A2"/>
        </w:rPr>
        <w:t>, treatment adherence</w:t>
      </w:r>
      <w:r w:rsidR="003246B0" w:rsidRPr="00884BE2">
        <w:rPr>
          <w:rFonts w:cs="AdvP49C7A2"/>
        </w:rPr>
        <w:t xml:space="preserve"> </w:t>
      </w:r>
      <w:r w:rsidR="007E2F7D" w:rsidRPr="00884BE2">
        <w:rPr>
          <w:rFonts w:cs="AdvP49C7A2"/>
        </w:rPr>
        <w:t xml:space="preserve">or glycaemic control </w:t>
      </w:r>
      <w:r w:rsidR="003246B0" w:rsidRPr="00884BE2">
        <w:rPr>
          <w:rFonts w:cs="AdvP49C7A2"/>
        </w:rPr>
        <w:t xml:space="preserve">(HbA1c +0.05% </w:t>
      </w:r>
      <w:r w:rsidR="003246B0" w:rsidRPr="00884BE2">
        <w:rPr>
          <w:rFonts w:cs="AdvP49C7A2"/>
          <w:i/>
        </w:rPr>
        <w:t>v</w:t>
      </w:r>
      <w:r w:rsidR="00342CAD" w:rsidRPr="00884BE2">
        <w:rPr>
          <w:rFonts w:cs="AdvP49C7A2"/>
          <w:i/>
        </w:rPr>
        <w:t>s.</w:t>
      </w:r>
      <w:r w:rsidR="003246B0" w:rsidRPr="00884BE2">
        <w:rPr>
          <w:rFonts w:cs="AdvP49C7A2"/>
        </w:rPr>
        <w:t xml:space="preserve"> -0.03%) </w:t>
      </w:r>
      <w:r w:rsidR="007E2F7D" w:rsidRPr="00884BE2">
        <w:rPr>
          <w:rFonts w:cs="AdvP49C7A2"/>
        </w:rPr>
        <w:t xml:space="preserve">between the groups. </w:t>
      </w:r>
      <w:r w:rsidR="00E86492" w:rsidRPr="00884BE2">
        <w:rPr>
          <w:rFonts w:cs="AdvP49C7A2"/>
        </w:rPr>
        <w:t>T</w:t>
      </w:r>
      <w:r w:rsidR="003246B0" w:rsidRPr="00884BE2">
        <w:rPr>
          <w:rFonts w:cs="AdvP49C7A2"/>
        </w:rPr>
        <w:t xml:space="preserve">he number of hypoglycaemic events encountered with </w:t>
      </w:r>
      <w:proofErr w:type="spellStart"/>
      <w:r w:rsidR="003246B0" w:rsidRPr="00884BE2">
        <w:rPr>
          <w:rFonts w:cs="AdvP49C7A2"/>
        </w:rPr>
        <w:t>gliclazide</w:t>
      </w:r>
      <w:proofErr w:type="spellEnd"/>
      <w:r w:rsidR="003246B0" w:rsidRPr="00884BE2">
        <w:rPr>
          <w:rFonts w:cs="AdvP49C7A2"/>
        </w:rPr>
        <w:t xml:space="preserve"> treatment was lower in this study than shown previously</w:t>
      </w:r>
      <w:r w:rsidR="004A6083" w:rsidRPr="00884BE2">
        <w:rPr>
          <w:rFonts w:cs="AdvP49C7A2"/>
        </w:rPr>
        <w:t>,</w:t>
      </w:r>
      <w:r w:rsidR="003246B0" w:rsidRPr="00884BE2">
        <w:rPr>
          <w:rFonts w:cs="AdvP49C7A2"/>
        </w:rPr>
        <w:t xml:space="preserve"> which may be a</w:t>
      </w:r>
      <w:r w:rsidR="00946383" w:rsidRPr="00884BE2">
        <w:rPr>
          <w:rFonts w:cs="AdvP49C7A2"/>
        </w:rPr>
        <w:t>ttributed to the fact that those</w:t>
      </w:r>
      <w:r w:rsidR="003246B0" w:rsidRPr="00884BE2">
        <w:rPr>
          <w:rFonts w:cs="AdvP49C7A2"/>
        </w:rPr>
        <w:t xml:space="preserve"> recruited </w:t>
      </w:r>
      <w:r w:rsidR="00946383" w:rsidRPr="00884BE2">
        <w:rPr>
          <w:rFonts w:cs="AdvP49C7A2"/>
        </w:rPr>
        <w:t xml:space="preserve">had good glycaemic control </w:t>
      </w:r>
      <w:r w:rsidR="003246B0" w:rsidRPr="00884BE2">
        <w:rPr>
          <w:rFonts w:cs="AdvP49C7A2"/>
        </w:rPr>
        <w:t>pre-Ramadan</w:t>
      </w:r>
      <w:r w:rsidR="00946383" w:rsidRPr="00884BE2">
        <w:rPr>
          <w:rFonts w:cs="AdvP49C7A2"/>
        </w:rPr>
        <w:t xml:space="preserve"> in addition to the </w:t>
      </w:r>
      <w:r w:rsidR="003246B0" w:rsidRPr="00884BE2">
        <w:rPr>
          <w:rFonts w:cs="AdvP49C7A2"/>
        </w:rPr>
        <w:t>intensive patient-physician contact</w:t>
      </w:r>
      <w:r w:rsidR="00946383" w:rsidRPr="00884BE2">
        <w:rPr>
          <w:rFonts w:cs="AdvP49C7A2"/>
        </w:rPr>
        <w:t xml:space="preserve"> received during the trial</w:t>
      </w:r>
      <w:r w:rsidR="003246B0" w:rsidRPr="00884BE2">
        <w:rPr>
          <w:rFonts w:cs="AdvP49C7A2"/>
        </w:rPr>
        <w:t xml:space="preserve">. </w:t>
      </w:r>
    </w:p>
    <w:p w:rsidR="00B015FE" w:rsidRPr="00884BE2" w:rsidRDefault="00B015FE" w:rsidP="00511E19">
      <w:pPr>
        <w:tabs>
          <w:tab w:val="left" w:pos="7513"/>
        </w:tabs>
        <w:autoSpaceDE w:val="0"/>
        <w:autoSpaceDN w:val="0"/>
        <w:adjustRightInd w:val="0"/>
        <w:spacing w:after="0" w:line="360" w:lineRule="auto"/>
        <w:jc w:val="both"/>
        <w:rPr>
          <w:rFonts w:cs="AdvP49C7A2"/>
        </w:rPr>
      </w:pPr>
    </w:p>
    <w:p w:rsidR="006A2316" w:rsidRPr="00884BE2" w:rsidRDefault="00882BAF" w:rsidP="00511E19">
      <w:pPr>
        <w:tabs>
          <w:tab w:val="left" w:pos="7513"/>
        </w:tabs>
        <w:autoSpaceDE w:val="0"/>
        <w:autoSpaceDN w:val="0"/>
        <w:adjustRightInd w:val="0"/>
        <w:spacing w:after="0" w:line="360" w:lineRule="auto"/>
        <w:jc w:val="both"/>
        <w:rPr>
          <w:rFonts w:cs="AdvP49C7A2"/>
        </w:rPr>
      </w:pPr>
      <w:r w:rsidRPr="00884BE2">
        <w:rPr>
          <w:rFonts w:cs="AdvP49C7A2"/>
        </w:rPr>
        <w:t>T</w:t>
      </w:r>
      <w:r w:rsidR="00B015FE" w:rsidRPr="00884BE2">
        <w:rPr>
          <w:rFonts w:cs="AdvP49C7A2"/>
        </w:rPr>
        <w:t>he</w:t>
      </w:r>
      <w:r w:rsidR="00342CAD" w:rsidRPr="00884BE2">
        <w:rPr>
          <w:rFonts w:cs="AdvP49C7A2"/>
        </w:rPr>
        <w:t xml:space="preserve">re is a large variability in incident </w:t>
      </w:r>
      <w:r w:rsidR="00B015FE" w:rsidRPr="00884BE2">
        <w:rPr>
          <w:rFonts w:cs="AdvP49C7A2"/>
        </w:rPr>
        <w:t xml:space="preserve">hypoglycaemia with sulphonylureas </w:t>
      </w:r>
      <w:r w:rsidR="00342CAD" w:rsidRPr="00884BE2">
        <w:rPr>
          <w:rFonts w:cs="AdvP49C7A2"/>
        </w:rPr>
        <w:t>between studies</w:t>
      </w:r>
      <w:r w:rsidR="00B015FE" w:rsidRPr="00884BE2">
        <w:rPr>
          <w:rFonts w:cs="AdvP49C7A2"/>
        </w:rPr>
        <w:t>; 41.7% in VECTOR</w:t>
      </w:r>
      <w:r w:rsidR="00217D00" w:rsidRPr="00884BE2">
        <w:rPr>
          <w:rFonts w:cs="AdvP49C7A2"/>
        </w:rPr>
        <w:t xml:space="preserve"> [12]</w:t>
      </w:r>
      <w:r w:rsidR="00B015FE" w:rsidRPr="00884BE2">
        <w:rPr>
          <w:rFonts w:cs="AdvP49C7A2"/>
        </w:rPr>
        <w:t xml:space="preserve">, 19.8% </w:t>
      </w:r>
      <w:r w:rsidR="00342CAD" w:rsidRPr="00884BE2">
        <w:rPr>
          <w:rFonts w:cs="AdvP49C7A2"/>
        </w:rPr>
        <w:t>in VIRTUE</w:t>
      </w:r>
      <w:r w:rsidR="00217D00" w:rsidRPr="00884BE2">
        <w:rPr>
          <w:rFonts w:cs="AdvP49C7A2"/>
        </w:rPr>
        <w:t xml:space="preserve"> [13] and 8.7% in STEADFAST </w:t>
      </w:r>
      <w:r w:rsidR="00C63462" w:rsidRPr="00884BE2">
        <w:rPr>
          <w:rFonts w:cs="AdvP49C7A2"/>
        </w:rPr>
        <w:t>[</w:t>
      </w:r>
      <w:r w:rsidR="00217D00" w:rsidRPr="00884BE2">
        <w:rPr>
          <w:rFonts w:cs="AdvP49C7A2"/>
        </w:rPr>
        <w:t>10</w:t>
      </w:r>
      <w:r w:rsidR="00B015FE" w:rsidRPr="00884BE2">
        <w:rPr>
          <w:rFonts w:cs="AdvP49C7A2"/>
        </w:rPr>
        <w:t xml:space="preserve">] </w:t>
      </w:r>
      <w:r w:rsidR="00342CAD" w:rsidRPr="00884BE2">
        <w:rPr>
          <w:rFonts w:cs="AdvP49C7A2"/>
        </w:rPr>
        <w:t xml:space="preserve">which </w:t>
      </w:r>
      <w:r w:rsidR="00B015FE" w:rsidRPr="00884BE2">
        <w:rPr>
          <w:rFonts w:cs="AdvP49C7A2"/>
        </w:rPr>
        <w:t xml:space="preserve">may be due to a number of reasons </w:t>
      </w:r>
      <w:r w:rsidR="00B015FE" w:rsidRPr="00884BE2">
        <w:rPr>
          <w:rFonts w:cs="AdvP49C7A2"/>
        </w:rPr>
        <w:lastRenderedPageBreak/>
        <w:t>including duration of fasts, pre-Ramadan counselling and education, glycaemic control of patients recruited and cultural practices of patient populations.</w:t>
      </w:r>
      <w:r w:rsidR="00691F67" w:rsidRPr="00884BE2">
        <w:rPr>
          <w:rFonts w:cs="AdvP49C7A2"/>
        </w:rPr>
        <w:t xml:space="preserve"> Furthermore, the recording of hypoglycaemia is often by self-report with different definitions em</w:t>
      </w:r>
      <w:r w:rsidR="00127538" w:rsidRPr="00884BE2">
        <w:rPr>
          <w:rFonts w:cs="AdvP49C7A2"/>
        </w:rPr>
        <w:t xml:space="preserve">ployed and thus difficult to pool and/or accurately interpret. </w:t>
      </w:r>
    </w:p>
    <w:p w:rsidR="00A239BB" w:rsidRPr="00884BE2" w:rsidRDefault="00A239BB" w:rsidP="00511E19">
      <w:pPr>
        <w:tabs>
          <w:tab w:val="left" w:pos="7513"/>
        </w:tabs>
        <w:autoSpaceDE w:val="0"/>
        <w:autoSpaceDN w:val="0"/>
        <w:adjustRightInd w:val="0"/>
        <w:spacing w:after="0" w:line="360" w:lineRule="auto"/>
        <w:jc w:val="both"/>
        <w:rPr>
          <w:rFonts w:cs="AdvP49C7A2"/>
        </w:rPr>
      </w:pPr>
    </w:p>
    <w:p w:rsidR="0094159A" w:rsidRPr="00884BE2" w:rsidRDefault="004A6083" w:rsidP="00511E19">
      <w:pPr>
        <w:tabs>
          <w:tab w:val="left" w:pos="7513"/>
        </w:tabs>
        <w:autoSpaceDE w:val="0"/>
        <w:autoSpaceDN w:val="0"/>
        <w:adjustRightInd w:val="0"/>
        <w:spacing w:after="0" w:line="360" w:lineRule="auto"/>
        <w:jc w:val="both"/>
        <w:rPr>
          <w:rFonts w:cs="AdvP49C7A2"/>
        </w:rPr>
      </w:pPr>
      <w:r w:rsidRPr="00884BE2">
        <w:rPr>
          <w:rFonts w:cs="AdvP49C7A2"/>
        </w:rPr>
        <w:t>Overall, studies with DPP-4 inhibitors in Ramadan demonstrate</w:t>
      </w:r>
      <w:r w:rsidR="0094159A" w:rsidRPr="00884BE2">
        <w:rPr>
          <w:rFonts w:cs="AdvP49C7A2"/>
        </w:rPr>
        <w:t xml:space="preserve"> better tolerability</w:t>
      </w:r>
      <w:r w:rsidRPr="00884BE2">
        <w:rPr>
          <w:rFonts w:cs="AdvP49C7A2"/>
        </w:rPr>
        <w:t xml:space="preserve"> and adherence</w:t>
      </w:r>
      <w:r w:rsidR="0094159A" w:rsidRPr="00884BE2">
        <w:rPr>
          <w:rFonts w:cs="AdvP49C7A2"/>
        </w:rPr>
        <w:t xml:space="preserve">, less hypoglycaemia, better glycaemic control and </w:t>
      </w:r>
      <w:r w:rsidR="00946383" w:rsidRPr="00884BE2">
        <w:rPr>
          <w:rFonts w:cs="AdvP49C7A2"/>
        </w:rPr>
        <w:t xml:space="preserve">potentially </w:t>
      </w:r>
      <w:r w:rsidR="0094159A" w:rsidRPr="00884BE2">
        <w:rPr>
          <w:rFonts w:cs="AdvP49C7A2"/>
        </w:rPr>
        <w:t>less weight gain</w:t>
      </w:r>
      <w:r w:rsidRPr="00884BE2">
        <w:rPr>
          <w:rFonts w:cs="AdvP49C7A2"/>
        </w:rPr>
        <w:t xml:space="preserve"> compared with sulphonylureas</w:t>
      </w:r>
      <w:r w:rsidR="0094159A" w:rsidRPr="00884BE2">
        <w:rPr>
          <w:rFonts w:cs="AdvP49C7A2"/>
        </w:rPr>
        <w:t xml:space="preserve">. </w:t>
      </w:r>
      <w:r w:rsidR="009235D4" w:rsidRPr="00884BE2">
        <w:rPr>
          <w:rFonts w:cs="AdvP49C7A2"/>
        </w:rPr>
        <w:t xml:space="preserve"> However, in those patients on dual therapy of DPP-4 </w:t>
      </w:r>
      <w:r w:rsidR="00F56B98" w:rsidRPr="00884BE2">
        <w:rPr>
          <w:rFonts w:cs="AdvP49C7A2"/>
        </w:rPr>
        <w:t xml:space="preserve">inhibitors </w:t>
      </w:r>
      <w:r w:rsidR="009235D4" w:rsidRPr="00884BE2">
        <w:rPr>
          <w:rFonts w:cs="AdvP49C7A2"/>
        </w:rPr>
        <w:t>and a sulphonylurea</w:t>
      </w:r>
      <w:r w:rsidR="00B81482" w:rsidRPr="00884BE2">
        <w:rPr>
          <w:rFonts w:cs="AdvP49C7A2"/>
        </w:rPr>
        <w:t>, stopping the sulphonylurea</w:t>
      </w:r>
      <w:r w:rsidR="00127538" w:rsidRPr="00884BE2">
        <w:rPr>
          <w:rFonts w:cs="AdvP49C7A2"/>
        </w:rPr>
        <w:t xml:space="preserve"> or those with sub-optimal control (HbA1c &lt;7.5%),</w:t>
      </w:r>
      <w:r w:rsidR="00B81482" w:rsidRPr="00884BE2">
        <w:rPr>
          <w:rFonts w:cs="AdvP49C7A2"/>
        </w:rPr>
        <w:t xml:space="preserve"> may be challenging for glycaemic control, therefore</w:t>
      </w:r>
      <w:r w:rsidR="009235D4" w:rsidRPr="00884BE2">
        <w:rPr>
          <w:rFonts w:cs="AdvP49C7A2"/>
        </w:rPr>
        <w:t xml:space="preserve"> we would recommend </w:t>
      </w:r>
      <w:r w:rsidR="00127538" w:rsidRPr="00884BE2">
        <w:rPr>
          <w:rFonts w:cs="AdvP49C7A2"/>
        </w:rPr>
        <w:t xml:space="preserve">in these patients </w:t>
      </w:r>
      <w:r w:rsidR="009235D4" w:rsidRPr="00884BE2">
        <w:rPr>
          <w:rFonts w:cs="AdvP49C7A2"/>
        </w:rPr>
        <w:t xml:space="preserve">altering the </w:t>
      </w:r>
      <w:r w:rsidR="00B81482" w:rsidRPr="00884BE2">
        <w:rPr>
          <w:rFonts w:cs="AdvP49C7A2"/>
        </w:rPr>
        <w:t xml:space="preserve">medication </w:t>
      </w:r>
      <w:r w:rsidR="009235D4" w:rsidRPr="00884BE2">
        <w:rPr>
          <w:rFonts w:cs="AdvP49C7A2"/>
        </w:rPr>
        <w:t>dose and timings</w:t>
      </w:r>
      <w:r w:rsidR="00B81482" w:rsidRPr="00884BE2">
        <w:rPr>
          <w:rFonts w:cs="AdvP49C7A2"/>
        </w:rPr>
        <w:t>,</w:t>
      </w:r>
      <w:r w:rsidR="009235D4" w:rsidRPr="00884BE2">
        <w:rPr>
          <w:rFonts w:cs="AdvP49C7A2"/>
        </w:rPr>
        <w:t xml:space="preserve"> as described in the sulphonylurea section.  </w:t>
      </w:r>
    </w:p>
    <w:p w:rsidR="0076160A" w:rsidRPr="00884BE2" w:rsidRDefault="0076160A" w:rsidP="00511E19">
      <w:pPr>
        <w:tabs>
          <w:tab w:val="left" w:pos="7513"/>
        </w:tabs>
        <w:autoSpaceDE w:val="0"/>
        <w:autoSpaceDN w:val="0"/>
        <w:adjustRightInd w:val="0"/>
        <w:spacing w:after="0" w:line="360" w:lineRule="auto"/>
        <w:jc w:val="both"/>
        <w:rPr>
          <w:rFonts w:cs="AdvP49C7A2"/>
        </w:rPr>
      </w:pPr>
    </w:p>
    <w:p w:rsidR="0076160A" w:rsidRPr="00884BE2" w:rsidRDefault="0076160A" w:rsidP="00511E19">
      <w:pPr>
        <w:tabs>
          <w:tab w:val="left" w:pos="7513"/>
        </w:tabs>
        <w:autoSpaceDE w:val="0"/>
        <w:autoSpaceDN w:val="0"/>
        <w:adjustRightInd w:val="0"/>
        <w:spacing w:after="0" w:line="360" w:lineRule="auto"/>
        <w:jc w:val="both"/>
        <w:rPr>
          <w:rFonts w:cs="AdvP49C7A2"/>
          <w:b/>
        </w:rPr>
      </w:pPr>
      <w:r w:rsidRPr="00884BE2">
        <w:rPr>
          <w:rFonts w:cs="AdvP49C7A2"/>
          <w:b/>
        </w:rPr>
        <w:t>SGLT2</w:t>
      </w:r>
      <w:r w:rsidR="00C00BF0" w:rsidRPr="00884BE2">
        <w:rPr>
          <w:rFonts w:cs="AdvP49C7A2"/>
          <w:b/>
        </w:rPr>
        <w:t xml:space="preserve"> Inhibitors</w:t>
      </w:r>
    </w:p>
    <w:p w:rsidR="00555874" w:rsidRPr="00884BE2" w:rsidRDefault="00134CF1" w:rsidP="00511E19">
      <w:pPr>
        <w:tabs>
          <w:tab w:val="left" w:pos="7513"/>
        </w:tabs>
        <w:autoSpaceDE w:val="0"/>
        <w:autoSpaceDN w:val="0"/>
        <w:adjustRightInd w:val="0"/>
        <w:spacing w:after="0" w:line="360" w:lineRule="auto"/>
        <w:jc w:val="both"/>
        <w:rPr>
          <w:rFonts w:cs="Verdana"/>
          <w:szCs w:val="20"/>
          <w:lang w:eastAsia="en-GB"/>
        </w:rPr>
      </w:pPr>
      <w:r w:rsidRPr="00884BE2">
        <w:rPr>
          <w:color w:val="000000"/>
          <w:shd w:val="clear" w:color="auto" w:fill="FFFFFF"/>
        </w:rPr>
        <w:t>SGLT2-</w:t>
      </w:r>
      <w:r w:rsidR="0084597F" w:rsidRPr="00884BE2">
        <w:rPr>
          <w:color w:val="000000"/>
          <w:shd w:val="clear" w:color="auto" w:fill="FFFFFF"/>
        </w:rPr>
        <w:t>inhibitors</w:t>
      </w:r>
      <w:r w:rsidR="00401387" w:rsidRPr="00884BE2">
        <w:rPr>
          <w:color w:val="000000"/>
          <w:shd w:val="clear" w:color="auto" w:fill="FFFFFF"/>
        </w:rPr>
        <w:t xml:space="preserve"> </w:t>
      </w:r>
      <w:r w:rsidR="001D5591" w:rsidRPr="00884BE2">
        <w:rPr>
          <w:color w:val="000000"/>
          <w:shd w:val="clear" w:color="auto" w:fill="FFFFFF"/>
        </w:rPr>
        <w:t xml:space="preserve">prevent </w:t>
      </w:r>
      <w:r w:rsidR="00C00BF0" w:rsidRPr="00884BE2">
        <w:rPr>
          <w:color w:val="000000"/>
          <w:shd w:val="clear" w:color="auto" w:fill="FFFFFF"/>
        </w:rPr>
        <w:t>glucose absorption from the kidney</w:t>
      </w:r>
      <w:r w:rsidR="00401387" w:rsidRPr="00884BE2">
        <w:rPr>
          <w:color w:val="000000"/>
          <w:shd w:val="clear" w:color="auto" w:fill="FFFFFF"/>
        </w:rPr>
        <w:t xml:space="preserve">, </w:t>
      </w:r>
      <w:r w:rsidR="00C00BF0" w:rsidRPr="00884BE2">
        <w:rPr>
          <w:color w:val="000000"/>
          <w:shd w:val="clear" w:color="auto" w:fill="FFFFFF"/>
        </w:rPr>
        <w:t>independent of insulin</w:t>
      </w:r>
      <w:r w:rsidR="0084597F" w:rsidRPr="00884BE2">
        <w:rPr>
          <w:color w:val="000000"/>
          <w:shd w:val="clear" w:color="auto" w:fill="FFFFFF"/>
        </w:rPr>
        <w:t>.</w:t>
      </w:r>
      <w:r w:rsidR="00060C2A" w:rsidRPr="00884BE2">
        <w:rPr>
          <w:color w:val="000000"/>
          <w:shd w:val="clear" w:color="auto" w:fill="FFFFFF"/>
        </w:rPr>
        <w:t>[</w:t>
      </w:r>
      <w:r w:rsidR="00C63462" w:rsidRPr="00884BE2">
        <w:rPr>
          <w:color w:val="000000"/>
          <w:shd w:val="clear" w:color="auto" w:fill="FFFFFF"/>
        </w:rPr>
        <w:t>4</w:t>
      </w:r>
      <w:r w:rsidR="00217D00" w:rsidRPr="00884BE2">
        <w:rPr>
          <w:color w:val="000000"/>
          <w:shd w:val="clear" w:color="auto" w:fill="FFFFFF"/>
        </w:rPr>
        <w:t>1</w:t>
      </w:r>
      <w:r w:rsidR="00060C2A" w:rsidRPr="00884BE2">
        <w:rPr>
          <w:color w:val="000000"/>
          <w:shd w:val="clear" w:color="auto" w:fill="FFFFFF"/>
        </w:rPr>
        <w:t>]</w:t>
      </w:r>
      <w:r w:rsidR="0084597F" w:rsidRPr="00884BE2">
        <w:rPr>
          <w:color w:val="000000"/>
          <w:shd w:val="clear" w:color="auto" w:fill="FFFFFF"/>
        </w:rPr>
        <w:t xml:space="preserve"> </w:t>
      </w:r>
      <w:r w:rsidR="00C00BF0" w:rsidRPr="00884BE2">
        <w:rPr>
          <w:color w:val="000000"/>
          <w:shd w:val="clear" w:color="auto" w:fill="FFFFFF"/>
        </w:rPr>
        <w:t xml:space="preserve"> </w:t>
      </w:r>
      <w:r w:rsidR="001B77BC" w:rsidRPr="00884BE2">
        <w:rPr>
          <w:rFonts w:cs="Verdana"/>
          <w:szCs w:val="20"/>
          <w:lang w:eastAsia="en-GB"/>
        </w:rPr>
        <w:t xml:space="preserve">The risk of hypoglycaemia is low as </w:t>
      </w:r>
      <w:r w:rsidR="001B77BC" w:rsidRPr="00884BE2">
        <w:rPr>
          <w:color w:val="000000"/>
          <w:shd w:val="clear" w:color="auto" w:fill="FFFFFF"/>
        </w:rPr>
        <w:t>plasma glucose levels are decreased without changing insulin secretion or inhibition of counter-regulatory responses.</w:t>
      </w:r>
      <w:r w:rsidR="006E5931" w:rsidRPr="00884BE2">
        <w:rPr>
          <w:color w:val="000000"/>
          <w:shd w:val="clear" w:color="auto" w:fill="FFFFFF"/>
        </w:rPr>
        <w:t>[</w:t>
      </w:r>
      <w:r w:rsidR="00C63462" w:rsidRPr="00884BE2">
        <w:rPr>
          <w:color w:val="000000"/>
          <w:shd w:val="clear" w:color="auto" w:fill="FFFFFF"/>
        </w:rPr>
        <w:t>4</w:t>
      </w:r>
      <w:r w:rsidR="00217D00" w:rsidRPr="00884BE2">
        <w:rPr>
          <w:color w:val="000000"/>
          <w:shd w:val="clear" w:color="auto" w:fill="FFFFFF"/>
        </w:rPr>
        <w:t>2</w:t>
      </w:r>
      <w:r w:rsidR="006E5931" w:rsidRPr="00884BE2">
        <w:rPr>
          <w:color w:val="000000"/>
          <w:shd w:val="clear" w:color="auto" w:fill="FFFFFF"/>
        </w:rPr>
        <w:t>]</w:t>
      </w:r>
      <w:r w:rsidR="001B77BC" w:rsidRPr="00884BE2">
        <w:rPr>
          <w:rStyle w:val="apple-converted-space"/>
          <w:color w:val="000000"/>
          <w:shd w:val="clear" w:color="auto" w:fill="FFFFFF"/>
        </w:rPr>
        <w:t xml:space="preserve">  </w:t>
      </w:r>
      <w:r w:rsidR="001B77BC" w:rsidRPr="00884BE2">
        <w:rPr>
          <w:color w:val="000000"/>
          <w:shd w:val="clear" w:color="auto" w:fill="FFFFFF"/>
        </w:rPr>
        <w:t>In addition, increased renal glucose elimination may assist with weight loss</w:t>
      </w:r>
      <w:r w:rsidR="00946383" w:rsidRPr="00884BE2">
        <w:rPr>
          <w:color w:val="000000"/>
          <w:shd w:val="clear" w:color="auto" w:fill="FFFFFF"/>
        </w:rPr>
        <w:t xml:space="preserve"> due to net caloric loss</w:t>
      </w:r>
      <w:r w:rsidR="001B77BC" w:rsidRPr="00884BE2">
        <w:rPr>
          <w:color w:val="000000"/>
          <w:shd w:val="clear" w:color="auto" w:fill="FFFFFF"/>
        </w:rPr>
        <w:t>.[</w:t>
      </w:r>
      <w:r w:rsidR="00081A42" w:rsidRPr="00884BE2">
        <w:rPr>
          <w:color w:val="000000"/>
          <w:shd w:val="clear" w:color="auto" w:fill="FFFFFF"/>
        </w:rPr>
        <w:t>4</w:t>
      </w:r>
      <w:r w:rsidR="00217D00" w:rsidRPr="00884BE2">
        <w:rPr>
          <w:color w:val="000000"/>
          <w:shd w:val="clear" w:color="auto" w:fill="FFFFFF"/>
        </w:rPr>
        <w:t>1</w:t>
      </w:r>
      <w:r w:rsidR="001B77BC" w:rsidRPr="00884BE2">
        <w:rPr>
          <w:color w:val="000000"/>
          <w:shd w:val="clear" w:color="auto" w:fill="FFFFFF"/>
        </w:rPr>
        <w:t xml:space="preserve">] </w:t>
      </w:r>
      <w:r w:rsidR="00946383" w:rsidRPr="00884BE2">
        <w:rPr>
          <w:color w:val="000000"/>
          <w:shd w:val="clear" w:color="auto" w:fill="FFFFFF"/>
        </w:rPr>
        <w:t>The</w:t>
      </w:r>
      <w:r w:rsidR="001B77BC" w:rsidRPr="00884BE2">
        <w:rPr>
          <w:color w:val="000000"/>
          <w:shd w:val="clear" w:color="auto" w:fill="FFFFFF"/>
        </w:rPr>
        <w:t xml:space="preserve"> low risk of hypoglycaemia and benefits of weight </w:t>
      </w:r>
      <w:r w:rsidR="00946383" w:rsidRPr="00884BE2">
        <w:rPr>
          <w:color w:val="000000"/>
          <w:shd w:val="clear" w:color="auto" w:fill="FFFFFF"/>
        </w:rPr>
        <w:t xml:space="preserve">reduction </w:t>
      </w:r>
      <w:r w:rsidR="001B77BC" w:rsidRPr="00884BE2">
        <w:rPr>
          <w:color w:val="000000"/>
          <w:shd w:val="clear" w:color="auto" w:fill="FFFFFF"/>
        </w:rPr>
        <w:t xml:space="preserve">make </w:t>
      </w:r>
      <w:r w:rsidR="00946383" w:rsidRPr="00884BE2">
        <w:rPr>
          <w:color w:val="000000"/>
          <w:shd w:val="clear" w:color="auto" w:fill="FFFFFF"/>
        </w:rPr>
        <w:t>this</w:t>
      </w:r>
      <w:r w:rsidR="00714EE2" w:rsidRPr="00884BE2">
        <w:rPr>
          <w:color w:val="000000"/>
          <w:shd w:val="clear" w:color="auto" w:fill="FFFFFF"/>
        </w:rPr>
        <w:t xml:space="preserve"> </w:t>
      </w:r>
      <w:r w:rsidR="00127538" w:rsidRPr="00884BE2">
        <w:rPr>
          <w:color w:val="000000"/>
          <w:shd w:val="clear" w:color="auto" w:fill="FFFFFF"/>
        </w:rPr>
        <w:t>new class of glucose lowering</w:t>
      </w:r>
      <w:r w:rsidR="001B77BC" w:rsidRPr="00884BE2">
        <w:rPr>
          <w:color w:val="000000"/>
          <w:shd w:val="clear" w:color="auto" w:fill="FFFFFF"/>
        </w:rPr>
        <w:t xml:space="preserve"> agents a p</w:t>
      </w:r>
      <w:r w:rsidR="00336861" w:rsidRPr="00884BE2">
        <w:rPr>
          <w:color w:val="000000"/>
          <w:shd w:val="clear" w:color="auto" w:fill="FFFFFF"/>
        </w:rPr>
        <w:t xml:space="preserve">otential </w:t>
      </w:r>
      <w:r w:rsidR="00336861" w:rsidRPr="00884BE2">
        <w:rPr>
          <w:rFonts w:cs="Verdana"/>
          <w:szCs w:val="20"/>
          <w:lang w:eastAsia="en-GB"/>
        </w:rPr>
        <w:t xml:space="preserve">candidate </w:t>
      </w:r>
      <w:r w:rsidR="00316BA7" w:rsidRPr="00884BE2">
        <w:rPr>
          <w:rFonts w:cs="Verdana"/>
          <w:szCs w:val="20"/>
          <w:lang w:eastAsia="en-GB"/>
        </w:rPr>
        <w:t xml:space="preserve">for use during </w:t>
      </w:r>
      <w:r w:rsidR="00336861" w:rsidRPr="00884BE2">
        <w:rPr>
          <w:rFonts w:cs="Verdana"/>
          <w:szCs w:val="20"/>
          <w:lang w:eastAsia="en-GB"/>
        </w:rPr>
        <w:t>Ramadan.</w:t>
      </w:r>
      <w:r w:rsidR="00336861" w:rsidRPr="00884BE2">
        <w:rPr>
          <w:rStyle w:val="FootnoteReference"/>
          <w:rFonts w:cs="Verdana"/>
          <w:szCs w:val="20"/>
          <w:lang w:eastAsia="en-GB"/>
        </w:rPr>
        <w:t xml:space="preserve"> </w:t>
      </w:r>
      <w:r w:rsidR="00060C2A" w:rsidRPr="00884BE2">
        <w:rPr>
          <w:rStyle w:val="FootnoteReference"/>
          <w:rFonts w:cs="Verdana"/>
          <w:szCs w:val="20"/>
          <w:lang w:eastAsia="en-GB"/>
        </w:rPr>
        <w:t xml:space="preserve"> </w:t>
      </w:r>
      <w:r w:rsidR="00316BA7" w:rsidRPr="00884BE2">
        <w:rPr>
          <w:rFonts w:cs="Verdana"/>
          <w:szCs w:val="20"/>
          <w:lang w:eastAsia="en-GB"/>
        </w:rPr>
        <w:t>However, c</w:t>
      </w:r>
      <w:r w:rsidR="00336861" w:rsidRPr="00884BE2">
        <w:rPr>
          <w:rFonts w:cs="Verdana"/>
          <w:szCs w:val="20"/>
          <w:lang w:eastAsia="en-GB"/>
        </w:rPr>
        <w:t xml:space="preserve">aution </w:t>
      </w:r>
      <w:r w:rsidR="00316BA7" w:rsidRPr="00884BE2">
        <w:rPr>
          <w:rFonts w:cs="Verdana"/>
          <w:szCs w:val="20"/>
          <w:lang w:eastAsia="en-GB"/>
        </w:rPr>
        <w:t xml:space="preserve">must be given because this class results in </w:t>
      </w:r>
      <w:r w:rsidR="00336861" w:rsidRPr="00884BE2">
        <w:rPr>
          <w:rFonts w:cs="Verdana"/>
          <w:szCs w:val="20"/>
          <w:lang w:eastAsia="en-GB"/>
        </w:rPr>
        <w:t>glycosuria, and hence</w:t>
      </w:r>
      <w:r w:rsidR="00316BA7" w:rsidRPr="00884BE2">
        <w:rPr>
          <w:rFonts w:cs="Verdana"/>
          <w:szCs w:val="20"/>
          <w:lang w:eastAsia="en-GB"/>
        </w:rPr>
        <w:t xml:space="preserve"> induce</w:t>
      </w:r>
      <w:r w:rsidR="00336861" w:rsidRPr="00884BE2">
        <w:rPr>
          <w:rFonts w:cs="Verdana"/>
          <w:szCs w:val="20"/>
          <w:lang w:eastAsia="en-GB"/>
        </w:rPr>
        <w:t xml:space="preserve"> osmotic diuresis. Therefore, there is a risk of dehydration, particularly in warm countries.</w:t>
      </w:r>
      <w:r w:rsidR="00443C2B" w:rsidRPr="00884BE2">
        <w:rPr>
          <w:rFonts w:cs="Verdana"/>
          <w:szCs w:val="20"/>
          <w:lang w:eastAsia="en-GB"/>
        </w:rPr>
        <w:t xml:space="preserve"> </w:t>
      </w:r>
      <w:r w:rsidR="004B4BF1" w:rsidRPr="00884BE2">
        <w:rPr>
          <w:rFonts w:cs="Verdana"/>
          <w:szCs w:val="20"/>
          <w:lang w:eastAsia="en-GB"/>
        </w:rPr>
        <w:t>Since t</w:t>
      </w:r>
      <w:r w:rsidR="00443C2B" w:rsidRPr="00884BE2">
        <w:rPr>
          <w:rFonts w:cs="Verdana"/>
          <w:szCs w:val="20"/>
          <w:lang w:eastAsia="en-GB"/>
        </w:rPr>
        <w:t xml:space="preserve">hese agents can </w:t>
      </w:r>
      <w:r w:rsidR="004B4BF1" w:rsidRPr="00884BE2">
        <w:rPr>
          <w:rFonts w:cs="Verdana"/>
          <w:szCs w:val="20"/>
          <w:lang w:eastAsia="en-GB"/>
        </w:rPr>
        <w:t xml:space="preserve">also </w:t>
      </w:r>
      <w:r w:rsidR="00443C2B" w:rsidRPr="00884BE2">
        <w:rPr>
          <w:rFonts w:cs="Verdana"/>
          <w:szCs w:val="20"/>
          <w:lang w:eastAsia="en-GB"/>
        </w:rPr>
        <w:t>lower blood pressure</w:t>
      </w:r>
      <w:r w:rsidR="004B4BF1" w:rsidRPr="00884BE2">
        <w:rPr>
          <w:rFonts w:cs="Verdana"/>
          <w:szCs w:val="20"/>
          <w:lang w:eastAsia="en-GB"/>
        </w:rPr>
        <w:t>,</w:t>
      </w:r>
      <w:r w:rsidR="0012513B" w:rsidRPr="00884BE2">
        <w:rPr>
          <w:rFonts w:cs="Verdana"/>
          <w:szCs w:val="20"/>
          <w:lang w:eastAsia="en-GB"/>
        </w:rPr>
        <w:t xml:space="preserve"> </w:t>
      </w:r>
      <w:r w:rsidR="004B4BF1" w:rsidRPr="00884BE2">
        <w:rPr>
          <w:rFonts w:cs="Verdana"/>
          <w:szCs w:val="20"/>
          <w:lang w:eastAsia="en-GB"/>
        </w:rPr>
        <w:t>during fasting</w:t>
      </w:r>
      <w:r w:rsidR="0012513B" w:rsidRPr="00884BE2">
        <w:rPr>
          <w:rFonts w:cs="Verdana"/>
          <w:szCs w:val="20"/>
          <w:lang w:eastAsia="en-GB"/>
        </w:rPr>
        <w:t xml:space="preserve"> there is a risk of postural hypotension</w:t>
      </w:r>
      <w:proofErr w:type="gramStart"/>
      <w:r w:rsidR="0012513B" w:rsidRPr="00884BE2">
        <w:rPr>
          <w:rFonts w:cs="Verdana"/>
          <w:szCs w:val="20"/>
          <w:lang w:eastAsia="en-GB"/>
        </w:rPr>
        <w:t>.</w:t>
      </w:r>
      <w:r w:rsidR="006E5931" w:rsidRPr="00884BE2">
        <w:rPr>
          <w:rFonts w:cs="Verdana"/>
          <w:szCs w:val="20"/>
          <w:lang w:eastAsia="en-GB"/>
        </w:rPr>
        <w:t>[</w:t>
      </w:r>
      <w:proofErr w:type="gramEnd"/>
      <w:r w:rsidR="00C63462" w:rsidRPr="00884BE2">
        <w:rPr>
          <w:rFonts w:cs="Verdana"/>
          <w:szCs w:val="20"/>
          <w:lang w:eastAsia="en-GB"/>
        </w:rPr>
        <w:t>4</w:t>
      </w:r>
      <w:r w:rsidR="001469E7" w:rsidRPr="00884BE2">
        <w:rPr>
          <w:rFonts w:cs="Verdana"/>
          <w:szCs w:val="20"/>
          <w:lang w:eastAsia="en-GB"/>
        </w:rPr>
        <w:t>2</w:t>
      </w:r>
      <w:r w:rsidR="006E5931" w:rsidRPr="00884BE2">
        <w:rPr>
          <w:rFonts w:cs="Verdana"/>
          <w:szCs w:val="20"/>
          <w:lang w:eastAsia="en-GB"/>
        </w:rPr>
        <w:t>]</w:t>
      </w:r>
    </w:p>
    <w:p w:rsidR="00555874" w:rsidRPr="00884BE2" w:rsidRDefault="00336861" w:rsidP="00511E19">
      <w:pPr>
        <w:tabs>
          <w:tab w:val="left" w:pos="7513"/>
        </w:tabs>
        <w:autoSpaceDE w:val="0"/>
        <w:autoSpaceDN w:val="0"/>
        <w:adjustRightInd w:val="0"/>
        <w:spacing w:after="0" w:line="360" w:lineRule="auto"/>
        <w:jc w:val="both"/>
        <w:rPr>
          <w:rFonts w:cs="Verdana"/>
          <w:szCs w:val="20"/>
          <w:lang w:eastAsia="en-GB"/>
        </w:rPr>
      </w:pPr>
      <w:r w:rsidRPr="00884BE2">
        <w:rPr>
          <w:rFonts w:cs="Verdana"/>
          <w:szCs w:val="20"/>
          <w:lang w:eastAsia="en-GB"/>
        </w:rPr>
        <w:t xml:space="preserve"> </w:t>
      </w:r>
    </w:p>
    <w:p w:rsidR="00EC4D7B" w:rsidRPr="00884BE2" w:rsidRDefault="00336861" w:rsidP="00511E19">
      <w:pPr>
        <w:tabs>
          <w:tab w:val="left" w:pos="7513"/>
        </w:tabs>
        <w:autoSpaceDE w:val="0"/>
        <w:autoSpaceDN w:val="0"/>
        <w:adjustRightInd w:val="0"/>
        <w:spacing w:after="0" w:line="360" w:lineRule="auto"/>
        <w:jc w:val="both"/>
        <w:rPr>
          <w:rFonts w:cs="Verdana"/>
          <w:szCs w:val="20"/>
          <w:lang w:eastAsia="en-GB"/>
        </w:rPr>
      </w:pPr>
      <w:r w:rsidRPr="00884BE2">
        <w:rPr>
          <w:rFonts w:cs="Verdana"/>
          <w:szCs w:val="20"/>
          <w:lang w:eastAsia="en-GB"/>
        </w:rPr>
        <w:t>To date</w:t>
      </w:r>
      <w:r w:rsidRPr="00884BE2">
        <w:rPr>
          <w:color w:val="000000"/>
          <w:shd w:val="clear" w:color="auto" w:fill="FFFFFF"/>
        </w:rPr>
        <w:t>,</w:t>
      </w:r>
      <w:r w:rsidR="0094159A" w:rsidRPr="00884BE2">
        <w:rPr>
          <w:rFonts w:cs="Verdana"/>
          <w:szCs w:val="20"/>
          <w:lang w:eastAsia="en-GB"/>
        </w:rPr>
        <w:t xml:space="preserve"> </w:t>
      </w:r>
      <w:r w:rsidR="0084597F" w:rsidRPr="00884BE2">
        <w:rPr>
          <w:rFonts w:cs="Verdana"/>
          <w:szCs w:val="20"/>
          <w:lang w:eastAsia="en-GB"/>
        </w:rPr>
        <w:t xml:space="preserve">there is no </w:t>
      </w:r>
      <w:r w:rsidRPr="00884BE2">
        <w:rPr>
          <w:rFonts w:cs="Verdana"/>
          <w:szCs w:val="20"/>
          <w:lang w:eastAsia="en-GB"/>
        </w:rPr>
        <w:t>available</w:t>
      </w:r>
      <w:r w:rsidR="0084597F" w:rsidRPr="00884BE2">
        <w:rPr>
          <w:rFonts w:cs="Verdana"/>
          <w:szCs w:val="20"/>
          <w:lang w:eastAsia="en-GB"/>
        </w:rPr>
        <w:t xml:space="preserve"> </w:t>
      </w:r>
      <w:r w:rsidR="0094159A" w:rsidRPr="00884BE2">
        <w:rPr>
          <w:rFonts w:cs="Verdana"/>
          <w:szCs w:val="20"/>
          <w:lang w:eastAsia="en-GB"/>
        </w:rPr>
        <w:t xml:space="preserve">clinical evidence </w:t>
      </w:r>
      <w:r w:rsidR="0084597F" w:rsidRPr="00884BE2">
        <w:rPr>
          <w:rFonts w:cs="Verdana"/>
          <w:szCs w:val="20"/>
          <w:lang w:eastAsia="en-GB"/>
        </w:rPr>
        <w:t xml:space="preserve">for their use </w:t>
      </w:r>
      <w:r w:rsidRPr="00884BE2">
        <w:rPr>
          <w:rFonts w:cs="Verdana"/>
          <w:szCs w:val="20"/>
          <w:lang w:eastAsia="en-GB"/>
        </w:rPr>
        <w:t xml:space="preserve">and safety </w:t>
      </w:r>
      <w:r w:rsidR="00316BA7" w:rsidRPr="00884BE2">
        <w:rPr>
          <w:rFonts w:cs="Verdana"/>
          <w:szCs w:val="20"/>
          <w:lang w:eastAsia="en-GB"/>
        </w:rPr>
        <w:t>during</w:t>
      </w:r>
      <w:r w:rsidR="0084597F" w:rsidRPr="00884BE2">
        <w:rPr>
          <w:rFonts w:cs="Verdana"/>
          <w:szCs w:val="20"/>
          <w:lang w:eastAsia="en-GB"/>
        </w:rPr>
        <w:t xml:space="preserve"> Ramadan</w:t>
      </w:r>
      <w:r w:rsidR="00555874" w:rsidRPr="00884BE2">
        <w:rPr>
          <w:rFonts w:cs="Verdana"/>
          <w:szCs w:val="20"/>
          <w:lang w:eastAsia="en-GB"/>
        </w:rPr>
        <w:t>. T</w:t>
      </w:r>
      <w:r w:rsidRPr="00884BE2">
        <w:rPr>
          <w:rFonts w:cs="Verdana"/>
          <w:szCs w:val="20"/>
          <w:lang w:eastAsia="en-GB"/>
        </w:rPr>
        <w:t>herefore</w:t>
      </w:r>
      <w:r w:rsidR="00555874" w:rsidRPr="00884BE2">
        <w:rPr>
          <w:rFonts w:cs="Verdana"/>
          <w:szCs w:val="20"/>
          <w:lang w:eastAsia="en-GB"/>
        </w:rPr>
        <w:t>,</w:t>
      </w:r>
      <w:r w:rsidRPr="00884BE2">
        <w:rPr>
          <w:rFonts w:cs="Verdana"/>
          <w:szCs w:val="20"/>
          <w:lang w:eastAsia="en-GB"/>
        </w:rPr>
        <w:t xml:space="preserve"> randomised controlled trials for SGLT2 inhibitors in Ramadan are </w:t>
      </w:r>
      <w:r w:rsidR="00C27135" w:rsidRPr="00884BE2">
        <w:rPr>
          <w:rFonts w:cs="Verdana"/>
          <w:szCs w:val="20"/>
          <w:lang w:eastAsia="en-GB"/>
        </w:rPr>
        <w:t>required</w:t>
      </w:r>
      <w:r w:rsidR="0084597F" w:rsidRPr="00884BE2">
        <w:rPr>
          <w:rFonts w:cs="Verdana"/>
          <w:szCs w:val="20"/>
          <w:lang w:eastAsia="en-GB"/>
        </w:rPr>
        <w:t>.</w:t>
      </w:r>
      <w:r w:rsidR="00555874" w:rsidRPr="00884BE2">
        <w:rPr>
          <w:rFonts w:cs="Verdana"/>
          <w:szCs w:val="20"/>
          <w:lang w:eastAsia="en-GB"/>
        </w:rPr>
        <w:t xml:space="preserve"> Certainly, we</w:t>
      </w:r>
      <w:r w:rsidR="007327E9" w:rsidRPr="00884BE2">
        <w:rPr>
          <w:rFonts w:cs="Verdana"/>
          <w:szCs w:val="20"/>
          <w:lang w:eastAsia="en-GB"/>
        </w:rPr>
        <w:t xml:space="preserve"> would recommend</w:t>
      </w:r>
      <w:r w:rsidR="00555874" w:rsidRPr="00884BE2">
        <w:rPr>
          <w:rFonts w:cs="Verdana"/>
          <w:szCs w:val="20"/>
          <w:lang w:eastAsia="en-GB"/>
        </w:rPr>
        <w:t xml:space="preserve"> they are used with caution and</w:t>
      </w:r>
      <w:r w:rsidR="007327E9" w:rsidRPr="00884BE2">
        <w:rPr>
          <w:rFonts w:cs="Verdana"/>
          <w:szCs w:val="20"/>
          <w:lang w:eastAsia="en-GB"/>
        </w:rPr>
        <w:t xml:space="preserve"> patients drink at least two-litres of water/day to reduce the risk of dehydration</w:t>
      </w:r>
      <w:r w:rsidR="00B81482" w:rsidRPr="00884BE2">
        <w:rPr>
          <w:rFonts w:cs="Verdana"/>
          <w:szCs w:val="20"/>
          <w:lang w:eastAsia="en-GB"/>
        </w:rPr>
        <w:t xml:space="preserve">. In addition, </w:t>
      </w:r>
      <w:r w:rsidR="00127538" w:rsidRPr="00884BE2">
        <w:rPr>
          <w:rFonts w:cs="Verdana"/>
          <w:szCs w:val="20"/>
          <w:lang w:eastAsia="en-GB"/>
        </w:rPr>
        <w:t>initiating a patient</w:t>
      </w:r>
      <w:r w:rsidR="00B81482" w:rsidRPr="00884BE2">
        <w:rPr>
          <w:rFonts w:cs="Verdana"/>
          <w:szCs w:val="20"/>
          <w:lang w:eastAsia="en-GB"/>
        </w:rPr>
        <w:t xml:space="preserve"> on a</w:t>
      </w:r>
      <w:r w:rsidR="00127538" w:rsidRPr="00884BE2">
        <w:rPr>
          <w:rFonts w:cs="Verdana"/>
          <w:szCs w:val="20"/>
          <w:lang w:eastAsia="en-GB"/>
        </w:rPr>
        <w:t>n SGLT2 inhibitor</w:t>
      </w:r>
      <w:r w:rsidR="00B81482" w:rsidRPr="00884BE2">
        <w:rPr>
          <w:rFonts w:cs="Verdana"/>
          <w:szCs w:val="20"/>
          <w:lang w:eastAsia="en-GB"/>
        </w:rPr>
        <w:t xml:space="preserve"> just prior to Ramadan should be avoided</w:t>
      </w:r>
      <w:r w:rsidR="007327E9" w:rsidRPr="00884BE2">
        <w:rPr>
          <w:rFonts w:cs="Verdana"/>
          <w:szCs w:val="20"/>
          <w:lang w:eastAsia="en-GB"/>
        </w:rPr>
        <w:t xml:space="preserve">. </w:t>
      </w:r>
    </w:p>
    <w:p w:rsidR="00F52C5C" w:rsidRPr="00884BE2" w:rsidRDefault="00F52C5C" w:rsidP="00511E19">
      <w:pPr>
        <w:shd w:val="clear" w:color="auto" w:fill="FFFFFF"/>
        <w:tabs>
          <w:tab w:val="left" w:pos="7513"/>
        </w:tabs>
        <w:spacing w:after="0" w:line="320" w:lineRule="atLeast"/>
        <w:jc w:val="both"/>
        <w:rPr>
          <w:rFonts w:cs="Verdana"/>
          <w:lang w:eastAsia="en-GB"/>
        </w:rPr>
      </w:pPr>
    </w:p>
    <w:p w:rsidR="007A101E" w:rsidRPr="00884BE2" w:rsidRDefault="00B81482" w:rsidP="00511E19">
      <w:pPr>
        <w:shd w:val="clear" w:color="auto" w:fill="FFFFFF"/>
        <w:tabs>
          <w:tab w:val="left" w:pos="7513"/>
        </w:tabs>
        <w:spacing w:after="0" w:line="360" w:lineRule="auto"/>
        <w:jc w:val="both"/>
        <w:rPr>
          <w:rFonts w:cs="Verdana"/>
          <w:b/>
          <w:lang w:eastAsia="en-GB"/>
        </w:rPr>
      </w:pPr>
      <w:r w:rsidRPr="00884BE2">
        <w:rPr>
          <w:rFonts w:cs="Verdana"/>
          <w:b/>
          <w:lang w:eastAsia="en-GB"/>
        </w:rPr>
        <w:t xml:space="preserve">DKA and </w:t>
      </w:r>
      <w:r w:rsidR="007A101E" w:rsidRPr="00884BE2">
        <w:rPr>
          <w:rFonts w:cs="Verdana"/>
          <w:b/>
          <w:lang w:eastAsia="en-GB"/>
        </w:rPr>
        <w:t>SGLT2</w:t>
      </w:r>
      <w:r w:rsidR="00555874" w:rsidRPr="00884BE2">
        <w:rPr>
          <w:rFonts w:cs="Verdana"/>
          <w:b/>
          <w:lang w:eastAsia="en-GB"/>
        </w:rPr>
        <w:t xml:space="preserve"> inhibitor</w:t>
      </w:r>
      <w:r w:rsidR="007A101E" w:rsidRPr="00884BE2">
        <w:rPr>
          <w:rFonts w:cs="Verdana"/>
          <w:b/>
          <w:lang w:eastAsia="en-GB"/>
        </w:rPr>
        <w:t xml:space="preserve">s </w:t>
      </w:r>
    </w:p>
    <w:p w:rsidR="000C1BE0" w:rsidRPr="00884BE2" w:rsidRDefault="0084378E" w:rsidP="00511E19">
      <w:pPr>
        <w:pStyle w:val="Default"/>
        <w:tabs>
          <w:tab w:val="left" w:pos="7513"/>
        </w:tabs>
        <w:spacing w:line="360" w:lineRule="auto"/>
        <w:jc w:val="both"/>
        <w:rPr>
          <w:rFonts w:asciiTheme="minorHAnsi" w:hAnsiTheme="minorHAnsi"/>
          <w:color w:val="auto"/>
          <w:sz w:val="22"/>
          <w:szCs w:val="22"/>
          <w:lang w:val="en"/>
        </w:rPr>
      </w:pPr>
      <w:r w:rsidRPr="00884BE2">
        <w:rPr>
          <w:rFonts w:asciiTheme="minorHAnsi" w:hAnsiTheme="minorHAnsi" w:cs="Lucida Sans Unicode"/>
          <w:color w:val="auto"/>
          <w:sz w:val="22"/>
          <w:szCs w:val="22"/>
          <w:lang w:val="en"/>
        </w:rPr>
        <w:t>In May 2015</w:t>
      </w:r>
      <w:r w:rsidR="00B81482" w:rsidRPr="00884BE2">
        <w:rPr>
          <w:rFonts w:asciiTheme="minorHAnsi" w:hAnsiTheme="minorHAnsi" w:cs="Lucida Sans Unicode"/>
          <w:color w:val="auto"/>
          <w:sz w:val="22"/>
          <w:szCs w:val="22"/>
          <w:lang w:val="en"/>
        </w:rPr>
        <w:t>,</w:t>
      </w:r>
      <w:r w:rsidRPr="00884BE2">
        <w:rPr>
          <w:rFonts w:asciiTheme="minorHAnsi" w:hAnsiTheme="minorHAnsi" w:cs="Lucida Sans Unicode"/>
          <w:color w:val="auto"/>
          <w:sz w:val="22"/>
          <w:szCs w:val="22"/>
          <w:lang w:val="en"/>
        </w:rPr>
        <w:t xml:space="preserve"> the U.S. Food and Drug Administration (FDA) </w:t>
      </w:r>
      <w:r w:rsidR="00F52C5C" w:rsidRPr="00884BE2">
        <w:rPr>
          <w:rFonts w:asciiTheme="minorHAnsi" w:hAnsiTheme="minorHAnsi" w:cs="Lucida Sans Unicode"/>
          <w:color w:val="auto"/>
          <w:sz w:val="22"/>
          <w:szCs w:val="22"/>
          <w:lang w:val="en"/>
        </w:rPr>
        <w:t>announced a</w:t>
      </w:r>
      <w:r w:rsidRPr="00884BE2">
        <w:rPr>
          <w:rFonts w:asciiTheme="minorHAnsi" w:hAnsiTheme="minorHAnsi" w:cs="Lucida Sans Unicode"/>
          <w:color w:val="auto"/>
          <w:sz w:val="22"/>
          <w:szCs w:val="22"/>
          <w:lang w:val="en"/>
        </w:rPr>
        <w:t xml:space="preserve"> warning of an increased risk of diabetic ketoacidosis (DKA) with </w:t>
      </w:r>
      <w:r w:rsidR="00F52C5C" w:rsidRPr="00884BE2">
        <w:rPr>
          <w:rFonts w:asciiTheme="minorHAnsi" w:hAnsiTheme="minorHAnsi" w:cs="Lucida Sans Unicode"/>
          <w:color w:val="auto"/>
          <w:sz w:val="22"/>
          <w:szCs w:val="22"/>
          <w:lang w:val="en"/>
        </w:rPr>
        <w:t>atypical</w:t>
      </w:r>
      <w:r w:rsidRPr="00884BE2">
        <w:rPr>
          <w:rFonts w:asciiTheme="minorHAnsi" w:hAnsiTheme="minorHAnsi" w:cs="Lucida Sans Unicode"/>
          <w:color w:val="auto"/>
          <w:sz w:val="22"/>
          <w:szCs w:val="22"/>
          <w:lang w:val="en"/>
        </w:rPr>
        <w:t xml:space="preserve"> mi</w:t>
      </w:r>
      <w:r w:rsidR="00E965D6" w:rsidRPr="00884BE2">
        <w:rPr>
          <w:rFonts w:asciiTheme="minorHAnsi" w:hAnsiTheme="minorHAnsi" w:cs="Lucida Sans Unicode"/>
          <w:color w:val="auto"/>
          <w:sz w:val="22"/>
          <w:szCs w:val="22"/>
          <w:lang w:val="en"/>
        </w:rPr>
        <w:t>ld-to-</w:t>
      </w:r>
      <w:r w:rsidRPr="00884BE2">
        <w:rPr>
          <w:rFonts w:asciiTheme="minorHAnsi" w:hAnsiTheme="minorHAnsi" w:cs="Lucida Sans Unicode"/>
          <w:color w:val="auto"/>
          <w:sz w:val="22"/>
          <w:szCs w:val="22"/>
          <w:lang w:val="en"/>
        </w:rPr>
        <w:t>moderate glucose elevations (</w:t>
      </w:r>
      <w:proofErr w:type="spellStart"/>
      <w:r w:rsidRPr="00884BE2">
        <w:rPr>
          <w:rFonts w:asciiTheme="minorHAnsi" w:hAnsiTheme="minorHAnsi" w:cs="Lucida Sans Unicode"/>
          <w:color w:val="auto"/>
          <w:sz w:val="22"/>
          <w:szCs w:val="22"/>
          <w:lang w:val="en"/>
        </w:rPr>
        <w:t>euglyc</w:t>
      </w:r>
      <w:r w:rsidR="00B81482" w:rsidRPr="00884BE2">
        <w:rPr>
          <w:rFonts w:asciiTheme="minorHAnsi" w:hAnsiTheme="minorHAnsi" w:cs="Lucida Sans Unicode"/>
          <w:color w:val="auto"/>
          <w:sz w:val="22"/>
          <w:szCs w:val="22"/>
          <w:lang w:val="en"/>
        </w:rPr>
        <w:t>a</w:t>
      </w:r>
      <w:r w:rsidRPr="00884BE2">
        <w:rPr>
          <w:rFonts w:asciiTheme="minorHAnsi" w:hAnsiTheme="minorHAnsi" w:cs="Lucida Sans Unicode"/>
          <w:color w:val="auto"/>
          <w:sz w:val="22"/>
          <w:szCs w:val="22"/>
          <w:lang w:val="en"/>
        </w:rPr>
        <w:t>emic</w:t>
      </w:r>
      <w:proofErr w:type="spellEnd"/>
      <w:r w:rsidRPr="00884BE2">
        <w:rPr>
          <w:rFonts w:asciiTheme="minorHAnsi" w:hAnsiTheme="minorHAnsi" w:cs="Lucida Sans Unicode"/>
          <w:color w:val="auto"/>
          <w:sz w:val="22"/>
          <w:szCs w:val="22"/>
          <w:lang w:val="en"/>
        </w:rPr>
        <w:t xml:space="preserve"> DKA) associated with the use of all approved SGLT2 inhibitors</w:t>
      </w:r>
      <w:proofErr w:type="gramStart"/>
      <w:r w:rsidR="00555874" w:rsidRPr="00884BE2">
        <w:rPr>
          <w:rFonts w:asciiTheme="minorHAnsi" w:hAnsiTheme="minorHAnsi" w:cs="Lucida Sans Unicode"/>
          <w:color w:val="auto"/>
          <w:sz w:val="22"/>
          <w:szCs w:val="22"/>
          <w:lang w:val="en"/>
        </w:rPr>
        <w:t>.</w:t>
      </w:r>
      <w:r w:rsidR="00F52C5C" w:rsidRPr="00884BE2">
        <w:rPr>
          <w:rFonts w:asciiTheme="minorHAnsi" w:hAnsiTheme="minorHAnsi" w:cs="Lucida Sans Unicode"/>
          <w:color w:val="auto"/>
          <w:sz w:val="22"/>
          <w:szCs w:val="22"/>
          <w:lang w:val="en"/>
        </w:rPr>
        <w:t>[</w:t>
      </w:r>
      <w:proofErr w:type="gramEnd"/>
      <w:r w:rsidR="005026BF" w:rsidRPr="00884BE2">
        <w:rPr>
          <w:rFonts w:asciiTheme="minorHAnsi" w:hAnsiTheme="minorHAnsi" w:cs="Lucida Sans Unicode"/>
          <w:color w:val="auto"/>
          <w:sz w:val="22"/>
          <w:szCs w:val="22"/>
          <w:lang w:val="en"/>
        </w:rPr>
        <w:t>4</w:t>
      </w:r>
      <w:r w:rsidR="00134CF1" w:rsidRPr="00884BE2">
        <w:rPr>
          <w:rFonts w:asciiTheme="minorHAnsi" w:hAnsiTheme="minorHAnsi" w:cs="Lucida Sans Unicode"/>
          <w:color w:val="auto"/>
          <w:sz w:val="22"/>
          <w:szCs w:val="22"/>
          <w:lang w:val="en"/>
        </w:rPr>
        <w:t>3</w:t>
      </w:r>
      <w:r w:rsidR="00F52C5C" w:rsidRPr="00884BE2">
        <w:rPr>
          <w:rFonts w:asciiTheme="minorHAnsi" w:hAnsiTheme="minorHAnsi" w:cs="Lucida Sans Unicode"/>
          <w:color w:val="auto"/>
          <w:sz w:val="22"/>
          <w:szCs w:val="22"/>
          <w:lang w:val="en"/>
        </w:rPr>
        <w:t xml:space="preserve">] </w:t>
      </w:r>
      <w:r w:rsidRPr="00884BE2">
        <w:rPr>
          <w:rFonts w:asciiTheme="minorHAnsi" w:hAnsiTheme="minorHAnsi" w:cs="Lucida Sans Unicode"/>
          <w:color w:val="auto"/>
          <w:sz w:val="22"/>
          <w:szCs w:val="22"/>
          <w:lang w:val="en"/>
        </w:rPr>
        <w:t>Subsequently</w:t>
      </w:r>
      <w:r w:rsidR="00B81482" w:rsidRPr="00884BE2">
        <w:rPr>
          <w:rFonts w:asciiTheme="minorHAnsi" w:hAnsiTheme="minorHAnsi" w:cs="Lucida Sans Unicode"/>
          <w:color w:val="auto"/>
          <w:sz w:val="22"/>
          <w:szCs w:val="22"/>
          <w:lang w:val="en"/>
        </w:rPr>
        <w:t>,</w:t>
      </w:r>
      <w:r w:rsidRPr="00884BE2">
        <w:rPr>
          <w:rFonts w:asciiTheme="minorHAnsi" w:hAnsiTheme="minorHAnsi" w:cs="Lucida Sans Unicode"/>
          <w:color w:val="auto"/>
          <w:sz w:val="22"/>
          <w:szCs w:val="22"/>
          <w:lang w:val="en"/>
        </w:rPr>
        <w:t xml:space="preserve"> </w:t>
      </w:r>
      <w:r w:rsidRPr="00884BE2">
        <w:rPr>
          <w:rFonts w:asciiTheme="minorHAnsi" w:hAnsiTheme="minorHAnsi"/>
          <w:color w:val="auto"/>
          <w:sz w:val="22"/>
          <w:szCs w:val="22"/>
          <w:lang w:val="en"/>
        </w:rPr>
        <w:t>t</w:t>
      </w:r>
      <w:r w:rsidR="007A101E" w:rsidRPr="00884BE2">
        <w:rPr>
          <w:rFonts w:asciiTheme="minorHAnsi" w:hAnsiTheme="minorHAnsi"/>
          <w:color w:val="auto"/>
          <w:sz w:val="22"/>
          <w:szCs w:val="22"/>
          <w:lang w:val="en"/>
        </w:rPr>
        <w:t>he risk of DKA wh</w:t>
      </w:r>
      <w:r w:rsidR="000C1BE0" w:rsidRPr="00884BE2">
        <w:rPr>
          <w:rFonts w:asciiTheme="minorHAnsi" w:hAnsiTheme="minorHAnsi"/>
          <w:color w:val="auto"/>
          <w:sz w:val="22"/>
          <w:szCs w:val="22"/>
          <w:lang w:val="en"/>
        </w:rPr>
        <w:t>ilst</w:t>
      </w:r>
      <w:r w:rsidR="007A101E" w:rsidRPr="00884BE2">
        <w:rPr>
          <w:rFonts w:asciiTheme="minorHAnsi" w:hAnsiTheme="minorHAnsi"/>
          <w:color w:val="auto"/>
          <w:sz w:val="22"/>
          <w:szCs w:val="22"/>
          <w:lang w:val="en"/>
        </w:rPr>
        <w:t xml:space="preserve"> using th</w:t>
      </w:r>
      <w:r w:rsidR="000C1BE0" w:rsidRPr="00884BE2">
        <w:rPr>
          <w:rFonts w:asciiTheme="minorHAnsi" w:hAnsiTheme="minorHAnsi"/>
          <w:color w:val="auto"/>
          <w:sz w:val="22"/>
          <w:szCs w:val="22"/>
          <w:lang w:val="en"/>
        </w:rPr>
        <w:t>ese</w:t>
      </w:r>
      <w:r w:rsidR="007A101E" w:rsidRPr="00884BE2">
        <w:rPr>
          <w:rFonts w:asciiTheme="minorHAnsi" w:hAnsiTheme="minorHAnsi"/>
          <w:color w:val="auto"/>
          <w:sz w:val="22"/>
          <w:szCs w:val="22"/>
          <w:lang w:val="en"/>
        </w:rPr>
        <w:t xml:space="preserve"> drug</w:t>
      </w:r>
      <w:r w:rsidR="000C1BE0" w:rsidRPr="00884BE2">
        <w:rPr>
          <w:rFonts w:asciiTheme="minorHAnsi" w:hAnsiTheme="minorHAnsi"/>
          <w:color w:val="auto"/>
          <w:sz w:val="22"/>
          <w:szCs w:val="22"/>
          <w:lang w:val="en"/>
        </w:rPr>
        <w:t>s</w:t>
      </w:r>
      <w:r w:rsidR="007A101E" w:rsidRPr="00884BE2">
        <w:rPr>
          <w:rFonts w:asciiTheme="minorHAnsi" w:hAnsiTheme="minorHAnsi"/>
          <w:color w:val="auto"/>
          <w:sz w:val="22"/>
          <w:szCs w:val="22"/>
          <w:lang w:val="en"/>
        </w:rPr>
        <w:t xml:space="preserve"> is currently under investigation. The underlying mechanism for SGLT2 inhibitor-associated DKA has not been established. </w:t>
      </w:r>
    </w:p>
    <w:p w:rsidR="000C1BE0" w:rsidRPr="00884BE2" w:rsidRDefault="000C1BE0" w:rsidP="00511E19">
      <w:pPr>
        <w:pStyle w:val="Default"/>
        <w:tabs>
          <w:tab w:val="left" w:pos="7513"/>
        </w:tabs>
        <w:spacing w:line="360" w:lineRule="auto"/>
        <w:jc w:val="both"/>
        <w:rPr>
          <w:rFonts w:asciiTheme="minorHAnsi" w:hAnsiTheme="minorHAnsi"/>
          <w:color w:val="auto"/>
          <w:sz w:val="22"/>
          <w:szCs w:val="22"/>
          <w:lang w:val="en"/>
        </w:rPr>
      </w:pPr>
    </w:p>
    <w:p w:rsidR="00626055" w:rsidRPr="00884BE2" w:rsidRDefault="007A101E" w:rsidP="00511E19">
      <w:pPr>
        <w:pStyle w:val="Default"/>
        <w:tabs>
          <w:tab w:val="left" w:pos="7513"/>
        </w:tabs>
        <w:spacing w:line="360" w:lineRule="auto"/>
        <w:jc w:val="both"/>
        <w:rPr>
          <w:rFonts w:asciiTheme="minorHAnsi" w:hAnsiTheme="minorHAnsi" w:cs="Lucida Sans Unicode"/>
          <w:color w:val="auto"/>
          <w:sz w:val="22"/>
          <w:szCs w:val="22"/>
          <w:lang w:val="en"/>
        </w:rPr>
      </w:pPr>
      <w:r w:rsidRPr="00884BE2">
        <w:rPr>
          <w:rFonts w:asciiTheme="minorHAnsi" w:hAnsiTheme="minorHAnsi"/>
          <w:color w:val="auto"/>
          <w:sz w:val="22"/>
          <w:szCs w:val="22"/>
          <w:lang w:val="en"/>
        </w:rPr>
        <w:t>A recent study investigated a</w:t>
      </w:r>
      <w:r w:rsidRPr="00884BE2">
        <w:rPr>
          <w:rFonts w:asciiTheme="minorHAnsi" w:hAnsiTheme="minorHAnsi" w:cs="Lucida Sans Unicode"/>
          <w:color w:val="auto"/>
          <w:sz w:val="22"/>
          <w:szCs w:val="22"/>
          <w:lang w:val="en"/>
        </w:rPr>
        <w:t>ll serious adverse events of DKA and related events (ketoacidosis, metabo</w:t>
      </w:r>
      <w:r w:rsidR="00555874" w:rsidRPr="00884BE2">
        <w:rPr>
          <w:rFonts w:asciiTheme="minorHAnsi" w:hAnsiTheme="minorHAnsi" w:cs="Lucida Sans Unicode"/>
          <w:color w:val="auto"/>
          <w:sz w:val="22"/>
          <w:szCs w:val="22"/>
          <w:lang w:val="en"/>
        </w:rPr>
        <w:t>lic acidosis, and acidosis) in</w:t>
      </w:r>
      <w:r w:rsidRPr="00884BE2">
        <w:rPr>
          <w:rFonts w:asciiTheme="minorHAnsi" w:hAnsiTheme="minorHAnsi" w:cs="Lucida Sans Unicode"/>
          <w:color w:val="auto"/>
          <w:sz w:val="22"/>
          <w:szCs w:val="22"/>
          <w:lang w:val="en"/>
        </w:rPr>
        <w:t xml:space="preserve"> 17,596 patients from randomized studies of </w:t>
      </w:r>
      <w:proofErr w:type="spellStart"/>
      <w:r w:rsidRPr="00884BE2">
        <w:rPr>
          <w:rFonts w:asciiTheme="minorHAnsi" w:hAnsiTheme="minorHAnsi" w:cs="Lucida Sans Unicode"/>
          <w:color w:val="auto"/>
          <w:sz w:val="22"/>
          <w:szCs w:val="22"/>
          <w:lang w:val="en"/>
        </w:rPr>
        <w:t>canagliflozin</w:t>
      </w:r>
      <w:proofErr w:type="spellEnd"/>
      <w:proofErr w:type="gramStart"/>
      <w:r w:rsidRPr="00884BE2">
        <w:rPr>
          <w:rFonts w:asciiTheme="minorHAnsi" w:hAnsiTheme="minorHAnsi" w:cs="Lucida Sans Unicode"/>
          <w:color w:val="auto"/>
          <w:sz w:val="22"/>
          <w:szCs w:val="22"/>
          <w:lang w:val="en"/>
        </w:rPr>
        <w:t>.[</w:t>
      </w:r>
      <w:proofErr w:type="gramEnd"/>
      <w:r w:rsidR="005026BF" w:rsidRPr="00884BE2">
        <w:rPr>
          <w:rFonts w:asciiTheme="minorHAnsi" w:hAnsiTheme="minorHAnsi" w:cs="Lucida Sans Unicode"/>
          <w:color w:val="auto"/>
          <w:sz w:val="22"/>
          <w:szCs w:val="22"/>
          <w:lang w:val="en"/>
        </w:rPr>
        <w:t>4</w:t>
      </w:r>
      <w:r w:rsidR="00134CF1" w:rsidRPr="00884BE2">
        <w:rPr>
          <w:rFonts w:asciiTheme="minorHAnsi" w:hAnsiTheme="minorHAnsi" w:cs="Lucida Sans Unicode"/>
          <w:color w:val="auto"/>
          <w:sz w:val="22"/>
          <w:szCs w:val="22"/>
          <w:lang w:val="en"/>
        </w:rPr>
        <w:t>4</w:t>
      </w:r>
      <w:r w:rsidRPr="00884BE2">
        <w:rPr>
          <w:rFonts w:asciiTheme="minorHAnsi" w:hAnsiTheme="minorHAnsi" w:cs="Lucida Sans Unicode"/>
          <w:color w:val="auto"/>
          <w:sz w:val="22"/>
          <w:szCs w:val="22"/>
          <w:lang w:val="en"/>
        </w:rPr>
        <w:t xml:space="preserve">] They reported a </w:t>
      </w:r>
      <w:r w:rsidRPr="00884BE2">
        <w:rPr>
          <w:rFonts w:asciiTheme="minorHAnsi" w:hAnsiTheme="minorHAnsi" w:cs="Lucida Sans Unicode"/>
          <w:color w:val="auto"/>
          <w:sz w:val="22"/>
          <w:szCs w:val="22"/>
          <w:lang w:val="en"/>
        </w:rPr>
        <w:lastRenderedPageBreak/>
        <w:t>similar incidence of DKA in tho</w:t>
      </w:r>
      <w:r w:rsidR="00555874" w:rsidRPr="00884BE2">
        <w:rPr>
          <w:rFonts w:asciiTheme="minorHAnsi" w:hAnsiTheme="minorHAnsi" w:cs="Lucida Sans Unicode"/>
          <w:color w:val="auto"/>
          <w:sz w:val="22"/>
          <w:szCs w:val="22"/>
          <w:lang w:val="en"/>
        </w:rPr>
        <w:t xml:space="preserve">se receiving </w:t>
      </w:r>
      <w:proofErr w:type="spellStart"/>
      <w:r w:rsidR="00555874" w:rsidRPr="00884BE2">
        <w:rPr>
          <w:rFonts w:asciiTheme="minorHAnsi" w:hAnsiTheme="minorHAnsi" w:cs="Lucida Sans Unicode"/>
          <w:color w:val="auto"/>
          <w:sz w:val="22"/>
          <w:szCs w:val="22"/>
          <w:lang w:val="en"/>
        </w:rPr>
        <w:t>canagliflozin</w:t>
      </w:r>
      <w:proofErr w:type="spellEnd"/>
      <w:r w:rsidR="00555874" w:rsidRPr="00884BE2">
        <w:rPr>
          <w:rFonts w:asciiTheme="minorHAnsi" w:hAnsiTheme="minorHAnsi" w:cs="Lucida Sans Unicode"/>
          <w:color w:val="auto"/>
          <w:sz w:val="22"/>
          <w:szCs w:val="22"/>
          <w:lang w:val="en"/>
        </w:rPr>
        <w:t xml:space="preserve"> </w:t>
      </w:r>
      <w:r w:rsidRPr="00884BE2">
        <w:rPr>
          <w:rFonts w:asciiTheme="minorHAnsi" w:hAnsiTheme="minorHAnsi" w:cs="Lucida Sans Unicode"/>
          <w:color w:val="auto"/>
          <w:sz w:val="22"/>
          <w:szCs w:val="22"/>
          <w:lang w:val="en"/>
        </w:rPr>
        <w:t xml:space="preserve">compared </w:t>
      </w:r>
      <w:r w:rsidR="00555874" w:rsidRPr="00884BE2">
        <w:rPr>
          <w:rFonts w:asciiTheme="minorHAnsi" w:hAnsiTheme="minorHAnsi" w:cs="Lucida Sans Unicode"/>
          <w:color w:val="auto"/>
          <w:sz w:val="22"/>
          <w:szCs w:val="22"/>
          <w:lang w:val="en"/>
        </w:rPr>
        <w:t xml:space="preserve">to </w:t>
      </w:r>
      <w:r w:rsidRPr="00884BE2">
        <w:rPr>
          <w:rFonts w:asciiTheme="minorHAnsi" w:hAnsiTheme="minorHAnsi" w:cs="Lucida Sans Unicode"/>
          <w:color w:val="auto"/>
          <w:sz w:val="22"/>
          <w:szCs w:val="22"/>
          <w:lang w:val="en"/>
        </w:rPr>
        <w:t xml:space="preserve">observational data from the general population with T2DM. </w:t>
      </w:r>
    </w:p>
    <w:p w:rsidR="00626055" w:rsidRPr="00884BE2" w:rsidRDefault="00626055" w:rsidP="00511E19">
      <w:pPr>
        <w:pStyle w:val="Default"/>
        <w:tabs>
          <w:tab w:val="left" w:pos="7513"/>
        </w:tabs>
        <w:spacing w:line="360" w:lineRule="auto"/>
        <w:jc w:val="both"/>
        <w:rPr>
          <w:rFonts w:asciiTheme="minorHAnsi" w:hAnsiTheme="minorHAnsi" w:cs="Lucida Sans Unicode"/>
          <w:color w:val="auto"/>
          <w:sz w:val="22"/>
          <w:szCs w:val="22"/>
          <w:lang w:val="en"/>
        </w:rPr>
      </w:pPr>
    </w:p>
    <w:p w:rsidR="00626055" w:rsidRPr="00884BE2" w:rsidRDefault="00626055" w:rsidP="00626055">
      <w:pPr>
        <w:pStyle w:val="Default"/>
        <w:tabs>
          <w:tab w:val="left" w:pos="7513"/>
        </w:tabs>
        <w:spacing w:line="360" w:lineRule="auto"/>
        <w:jc w:val="both"/>
        <w:rPr>
          <w:rFonts w:asciiTheme="minorHAnsi" w:hAnsiTheme="minorHAnsi"/>
          <w:color w:val="auto"/>
          <w:sz w:val="22"/>
          <w:szCs w:val="22"/>
          <w:lang w:val="en"/>
        </w:rPr>
      </w:pPr>
      <w:r w:rsidRPr="00884BE2">
        <w:rPr>
          <w:rFonts w:asciiTheme="minorHAnsi" w:hAnsiTheme="minorHAnsi"/>
          <w:color w:val="auto"/>
          <w:sz w:val="22"/>
          <w:szCs w:val="22"/>
          <w:lang w:val="en"/>
        </w:rPr>
        <w:t xml:space="preserve">In the context of Ramadan fasting, it is not recommended that SGLT2 inhibitors are used in those with </w:t>
      </w:r>
      <w:proofErr w:type="gramStart"/>
      <w:r w:rsidRPr="00884BE2">
        <w:rPr>
          <w:rFonts w:asciiTheme="minorHAnsi" w:hAnsiTheme="minorHAnsi"/>
          <w:color w:val="auto"/>
          <w:sz w:val="22"/>
          <w:szCs w:val="22"/>
          <w:lang w:val="en"/>
        </w:rPr>
        <w:t>T1DM,</w:t>
      </w:r>
      <w:proofErr w:type="gramEnd"/>
      <w:r w:rsidRPr="00884BE2">
        <w:rPr>
          <w:rFonts w:asciiTheme="minorHAnsi" w:hAnsiTheme="minorHAnsi"/>
          <w:color w:val="auto"/>
          <w:sz w:val="22"/>
          <w:szCs w:val="22"/>
          <w:lang w:val="en"/>
        </w:rPr>
        <w:t xml:space="preserve"> indeed it is not currently l</w:t>
      </w:r>
      <w:r w:rsidR="00555874" w:rsidRPr="00884BE2">
        <w:rPr>
          <w:rFonts w:asciiTheme="minorHAnsi" w:hAnsiTheme="minorHAnsi"/>
          <w:color w:val="auto"/>
          <w:sz w:val="22"/>
          <w:szCs w:val="22"/>
          <w:lang w:val="en"/>
        </w:rPr>
        <w:t xml:space="preserve">icensed for use in this </w:t>
      </w:r>
      <w:r w:rsidRPr="00884BE2">
        <w:rPr>
          <w:rFonts w:asciiTheme="minorHAnsi" w:hAnsiTheme="minorHAnsi"/>
          <w:color w:val="auto"/>
          <w:sz w:val="22"/>
          <w:szCs w:val="22"/>
          <w:lang w:val="en"/>
        </w:rPr>
        <w:t xml:space="preserve">population. </w:t>
      </w:r>
    </w:p>
    <w:p w:rsidR="00626055" w:rsidRPr="00884BE2" w:rsidRDefault="00626055" w:rsidP="00511E19">
      <w:pPr>
        <w:pStyle w:val="Default"/>
        <w:tabs>
          <w:tab w:val="left" w:pos="7513"/>
        </w:tabs>
        <w:spacing w:line="360" w:lineRule="auto"/>
        <w:jc w:val="both"/>
        <w:rPr>
          <w:rFonts w:asciiTheme="minorHAnsi" w:hAnsiTheme="minorHAnsi" w:cs="Lucida Sans Unicode"/>
          <w:color w:val="auto"/>
          <w:sz w:val="22"/>
          <w:szCs w:val="22"/>
          <w:lang w:val="en"/>
        </w:rPr>
      </w:pPr>
    </w:p>
    <w:p w:rsidR="007A101E" w:rsidRPr="00884BE2" w:rsidRDefault="007A101E" w:rsidP="00511E19">
      <w:pPr>
        <w:pStyle w:val="Default"/>
        <w:tabs>
          <w:tab w:val="left" w:pos="7513"/>
        </w:tabs>
        <w:spacing w:line="360" w:lineRule="auto"/>
        <w:jc w:val="both"/>
        <w:rPr>
          <w:rFonts w:asciiTheme="minorHAnsi" w:hAnsiTheme="minorHAnsi" w:cs="Times New Roman"/>
          <w:color w:val="auto"/>
          <w:sz w:val="22"/>
          <w:szCs w:val="22"/>
        </w:rPr>
      </w:pPr>
      <w:r w:rsidRPr="00884BE2">
        <w:rPr>
          <w:rFonts w:asciiTheme="minorHAnsi" w:hAnsiTheme="minorHAnsi" w:cs="Lucida Sans Unicode"/>
          <w:color w:val="auto"/>
          <w:sz w:val="22"/>
          <w:szCs w:val="22"/>
          <w:lang w:val="en"/>
        </w:rPr>
        <w:t>In the current climate</w:t>
      </w:r>
      <w:r w:rsidR="00626055" w:rsidRPr="00884BE2">
        <w:rPr>
          <w:rFonts w:asciiTheme="minorHAnsi" w:hAnsiTheme="minorHAnsi" w:cs="Lucida Sans Unicode"/>
          <w:color w:val="auto"/>
          <w:sz w:val="22"/>
          <w:szCs w:val="22"/>
          <w:lang w:val="en"/>
        </w:rPr>
        <w:t xml:space="preserve">, </w:t>
      </w:r>
      <w:r w:rsidRPr="00884BE2">
        <w:rPr>
          <w:rFonts w:asciiTheme="minorHAnsi" w:hAnsiTheme="minorHAnsi" w:cs="Lucida Sans Unicode"/>
          <w:color w:val="auto"/>
          <w:sz w:val="22"/>
          <w:szCs w:val="22"/>
          <w:lang w:val="en"/>
        </w:rPr>
        <w:t xml:space="preserve">it may be pertinent to </w:t>
      </w:r>
      <w:r w:rsidR="00555874" w:rsidRPr="00884BE2">
        <w:rPr>
          <w:rFonts w:asciiTheme="minorHAnsi" w:hAnsiTheme="minorHAnsi" w:cs="Lucida Sans Unicode"/>
          <w:color w:val="auto"/>
          <w:sz w:val="22"/>
          <w:szCs w:val="22"/>
          <w:lang w:val="en"/>
        </w:rPr>
        <w:t>test for ketones</w:t>
      </w:r>
      <w:r w:rsidRPr="00884BE2">
        <w:rPr>
          <w:rFonts w:asciiTheme="minorHAnsi" w:hAnsiTheme="minorHAnsi" w:cs="Lucida Sans Unicode"/>
          <w:color w:val="auto"/>
          <w:sz w:val="22"/>
          <w:szCs w:val="22"/>
          <w:lang w:val="en"/>
        </w:rPr>
        <w:t xml:space="preserve"> </w:t>
      </w:r>
      <w:r w:rsidR="00DF29A8" w:rsidRPr="00884BE2">
        <w:rPr>
          <w:rFonts w:asciiTheme="minorHAnsi" w:hAnsiTheme="minorHAnsi" w:cs="Lucida Sans Unicode"/>
          <w:color w:val="auto"/>
          <w:sz w:val="22"/>
          <w:szCs w:val="22"/>
          <w:lang w:val="en"/>
        </w:rPr>
        <w:t>in</w:t>
      </w:r>
      <w:r w:rsidR="00555874" w:rsidRPr="00884BE2">
        <w:rPr>
          <w:rFonts w:asciiTheme="minorHAnsi" w:hAnsiTheme="minorHAnsi" w:cs="Lucida Sans Unicode"/>
          <w:color w:val="auto"/>
          <w:sz w:val="22"/>
          <w:szCs w:val="22"/>
          <w:lang w:val="en"/>
        </w:rPr>
        <w:t xml:space="preserve"> patients with T2DM on SGLT2 inhibitors </w:t>
      </w:r>
      <w:r w:rsidRPr="00884BE2">
        <w:rPr>
          <w:rFonts w:asciiTheme="minorHAnsi" w:hAnsiTheme="minorHAnsi" w:cs="Lucida Sans Unicode"/>
          <w:color w:val="auto"/>
          <w:sz w:val="22"/>
          <w:szCs w:val="22"/>
          <w:lang w:val="en"/>
        </w:rPr>
        <w:t>periodically throughout the fasting period.</w:t>
      </w:r>
      <w:r w:rsidR="00F52C5C" w:rsidRPr="00884BE2">
        <w:rPr>
          <w:rFonts w:asciiTheme="minorHAnsi" w:hAnsiTheme="minorHAnsi" w:cs="Lucida Sans Unicode"/>
          <w:color w:val="auto"/>
          <w:sz w:val="22"/>
          <w:szCs w:val="22"/>
          <w:lang w:val="en"/>
        </w:rPr>
        <w:t xml:space="preserve"> Furthermore we would advise, </w:t>
      </w:r>
      <w:r w:rsidR="00F52C5C" w:rsidRPr="00884BE2">
        <w:rPr>
          <w:rFonts w:asciiTheme="minorHAnsi" w:hAnsiTheme="minorHAnsi" w:cs="Lucida Sans Unicode"/>
          <w:i/>
          <w:color w:val="auto"/>
          <w:sz w:val="22"/>
          <w:szCs w:val="22"/>
          <w:lang w:val="en"/>
        </w:rPr>
        <w:t>as per</w:t>
      </w:r>
      <w:r w:rsidR="00F52C5C" w:rsidRPr="00884BE2">
        <w:rPr>
          <w:rFonts w:asciiTheme="minorHAnsi" w:hAnsiTheme="minorHAnsi" w:cs="Lucida Sans Unicode"/>
          <w:color w:val="auto"/>
          <w:sz w:val="22"/>
          <w:szCs w:val="22"/>
          <w:lang w:val="en"/>
        </w:rPr>
        <w:t xml:space="preserve"> FDA recommendations, that</w:t>
      </w:r>
      <w:r w:rsidR="00F52C5C" w:rsidRPr="00884BE2">
        <w:rPr>
          <w:rFonts w:asciiTheme="minorHAnsi" w:hAnsiTheme="minorHAnsi" w:cs="Times New Roman"/>
          <w:color w:val="auto"/>
          <w:sz w:val="22"/>
          <w:szCs w:val="22"/>
        </w:rPr>
        <w:t xml:space="preserve"> patients pay close attention for any signs of ketoacidosis and seek medical attention immediately if they experience symptoms such as difficulty breathing, nausea, vomiting, abdominal pain, confusion, and</w:t>
      </w:r>
      <w:r w:rsidR="00626055" w:rsidRPr="00884BE2">
        <w:rPr>
          <w:rFonts w:asciiTheme="minorHAnsi" w:hAnsiTheme="minorHAnsi" w:cs="Times New Roman"/>
          <w:color w:val="auto"/>
          <w:sz w:val="22"/>
          <w:szCs w:val="22"/>
        </w:rPr>
        <w:t xml:space="preserve"> unusual fatigue or sleepiness</w:t>
      </w:r>
      <w:proofErr w:type="gramStart"/>
      <w:r w:rsidR="00626055" w:rsidRPr="00884BE2">
        <w:rPr>
          <w:rFonts w:asciiTheme="minorHAnsi" w:hAnsiTheme="minorHAnsi" w:cs="Times New Roman"/>
          <w:color w:val="auto"/>
          <w:sz w:val="22"/>
          <w:szCs w:val="22"/>
        </w:rPr>
        <w:t>.</w:t>
      </w:r>
      <w:r w:rsidR="00F52C5C" w:rsidRPr="00884BE2">
        <w:rPr>
          <w:rFonts w:asciiTheme="minorHAnsi" w:hAnsiTheme="minorHAnsi" w:cs="Times New Roman"/>
          <w:color w:val="auto"/>
          <w:sz w:val="22"/>
          <w:szCs w:val="22"/>
        </w:rPr>
        <w:t>[</w:t>
      </w:r>
      <w:proofErr w:type="gramEnd"/>
      <w:r w:rsidR="00217D00" w:rsidRPr="00884BE2">
        <w:rPr>
          <w:rFonts w:asciiTheme="minorHAnsi" w:hAnsiTheme="minorHAnsi" w:cs="Times New Roman"/>
          <w:color w:val="auto"/>
          <w:sz w:val="22"/>
          <w:szCs w:val="22"/>
        </w:rPr>
        <w:t>4</w:t>
      </w:r>
      <w:r w:rsidR="00134CF1" w:rsidRPr="00884BE2">
        <w:rPr>
          <w:rFonts w:asciiTheme="minorHAnsi" w:hAnsiTheme="minorHAnsi" w:cs="Times New Roman"/>
          <w:color w:val="auto"/>
          <w:sz w:val="22"/>
          <w:szCs w:val="22"/>
        </w:rPr>
        <w:t>3</w:t>
      </w:r>
      <w:r w:rsidR="00F52C5C" w:rsidRPr="00884BE2">
        <w:rPr>
          <w:rFonts w:asciiTheme="minorHAnsi" w:hAnsiTheme="minorHAnsi" w:cs="Times New Roman"/>
          <w:color w:val="auto"/>
          <w:sz w:val="22"/>
          <w:szCs w:val="22"/>
        </w:rPr>
        <w:t xml:space="preserve">] </w:t>
      </w:r>
      <w:r w:rsidRPr="00884BE2">
        <w:rPr>
          <w:rFonts w:asciiTheme="minorHAnsi" w:hAnsiTheme="minorHAnsi" w:cs="Lucida Sans Unicode"/>
          <w:color w:val="auto"/>
          <w:sz w:val="22"/>
          <w:szCs w:val="22"/>
          <w:lang w:val="en"/>
        </w:rPr>
        <w:t xml:space="preserve"> </w:t>
      </w:r>
    </w:p>
    <w:p w:rsidR="00011785" w:rsidRPr="00884BE2" w:rsidRDefault="00011785" w:rsidP="00511E19">
      <w:pPr>
        <w:tabs>
          <w:tab w:val="left" w:pos="7513"/>
        </w:tabs>
        <w:autoSpaceDE w:val="0"/>
        <w:autoSpaceDN w:val="0"/>
        <w:adjustRightInd w:val="0"/>
        <w:spacing w:after="0" w:line="360" w:lineRule="auto"/>
        <w:jc w:val="both"/>
        <w:rPr>
          <w:rFonts w:cs="AdvP49EBEE"/>
        </w:rPr>
      </w:pPr>
    </w:p>
    <w:p w:rsidR="00A11585" w:rsidRPr="00884BE2" w:rsidRDefault="00A11585" w:rsidP="00511E19">
      <w:pPr>
        <w:tabs>
          <w:tab w:val="left" w:pos="7513"/>
        </w:tabs>
        <w:spacing w:line="360" w:lineRule="auto"/>
        <w:jc w:val="both"/>
        <w:rPr>
          <w:b/>
          <w:iCs/>
        </w:rPr>
      </w:pPr>
      <w:r w:rsidRPr="00884BE2">
        <w:rPr>
          <w:b/>
          <w:iCs/>
        </w:rPr>
        <w:t>Glucagon-like peptide-1</w:t>
      </w:r>
      <w:r w:rsidR="00316BA7" w:rsidRPr="00884BE2">
        <w:rPr>
          <w:b/>
          <w:iCs/>
        </w:rPr>
        <w:t xml:space="preserve"> receptor </w:t>
      </w:r>
      <w:r w:rsidR="000363A9" w:rsidRPr="00884BE2">
        <w:rPr>
          <w:b/>
          <w:iCs/>
        </w:rPr>
        <w:t>a</w:t>
      </w:r>
      <w:r w:rsidR="005F393A" w:rsidRPr="00884BE2">
        <w:rPr>
          <w:b/>
          <w:iCs/>
        </w:rPr>
        <w:t>gonists</w:t>
      </w:r>
    </w:p>
    <w:p w:rsidR="00BC6B1E" w:rsidRPr="00884BE2" w:rsidRDefault="000363A9" w:rsidP="00511E19">
      <w:pPr>
        <w:tabs>
          <w:tab w:val="num" w:pos="720"/>
          <w:tab w:val="left" w:pos="7513"/>
        </w:tabs>
        <w:spacing w:before="100" w:beforeAutospacing="1" w:after="100" w:afterAutospacing="1" w:line="360" w:lineRule="auto"/>
        <w:jc w:val="both"/>
        <w:rPr>
          <w:iCs/>
        </w:rPr>
      </w:pPr>
      <w:r w:rsidRPr="00884BE2">
        <w:rPr>
          <w:iCs/>
        </w:rPr>
        <w:t xml:space="preserve">Glucagon-like peptide-1 (GLP-1) </w:t>
      </w:r>
      <w:r w:rsidR="000B592F" w:rsidRPr="00884BE2">
        <w:rPr>
          <w:iCs/>
        </w:rPr>
        <w:t xml:space="preserve">receptor </w:t>
      </w:r>
      <w:r w:rsidRPr="00884BE2">
        <w:rPr>
          <w:iCs/>
        </w:rPr>
        <w:t>a</w:t>
      </w:r>
      <w:r w:rsidR="005F393A" w:rsidRPr="00884BE2">
        <w:rPr>
          <w:iCs/>
        </w:rPr>
        <w:t>gonists</w:t>
      </w:r>
      <w:r w:rsidRPr="00884BE2">
        <w:rPr>
          <w:iCs/>
        </w:rPr>
        <w:t xml:space="preserve"> mimic the functions of endogenous </w:t>
      </w:r>
      <w:proofErr w:type="spellStart"/>
      <w:r w:rsidRPr="00884BE2">
        <w:rPr>
          <w:iCs/>
        </w:rPr>
        <w:t>incretin</w:t>
      </w:r>
      <w:proofErr w:type="spellEnd"/>
      <w:r w:rsidRPr="00884BE2">
        <w:rPr>
          <w:iCs/>
        </w:rPr>
        <w:t xml:space="preserve"> by</w:t>
      </w:r>
      <w:r w:rsidR="005F393A" w:rsidRPr="00884BE2">
        <w:rPr>
          <w:iCs/>
        </w:rPr>
        <w:t xml:space="preserve"> stimulating pancreatic insulin release, inhibiting the release of glucagon and slowing gastric emptying. </w:t>
      </w:r>
      <w:r w:rsidR="00BF1173" w:rsidRPr="00884BE2">
        <w:rPr>
          <w:iCs/>
        </w:rPr>
        <w:t>GLP-1 a</w:t>
      </w:r>
      <w:r w:rsidR="005F393A" w:rsidRPr="00884BE2">
        <w:rPr>
          <w:iCs/>
        </w:rPr>
        <w:t>gonists</w:t>
      </w:r>
      <w:r w:rsidR="00BF1173" w:rsidRPr="00884BE2">
        <w:rPr>
          <w:iCs/>
        </w:rPr>
        <w:t xml:space="preserve"> are </w:t>
      </w:r>
      <w:r w:rsidR="004269B2" w:rsidRPr="00884BE2">
        <w:rPr>
          <w:iCs/>
        </w:rPr>
        <w:t>considered</w:t>
      </w:r>
      <w:r w:rsidR="00BF1173" w:rsidRPr="00884BE2">
        <w:rPr>
          <w:iCs/>
        </w:rPr>
        <w:t xml:space="preserve"> relatively safe in Ramadan</w:t>
      </w:r>
      <w:r w:rsidR="005F393A" w:rsidRPr="00884BE2">
        <w:rPr>
          <w:iCs/>
        </w:rPr>
        <w:t xml:space="preserve">, </w:t>
      </w:r>
      <w:r w:rsidR="004269B2" w:rsidRPr="00884BE2">
        <w:rPr>
          <w:iCs/>
        </w:rPr>
        <w:t>given</w:t>
      </w:r>
      <w:r w:rsidR="005F393A" w:rsidRPr="00884BE2">
        <w:rPr>
          <w:iCs/>
        </w:rPr>
        <w:t xml:space="preserve"> </w:t>
      </w:r>
      <w:r w:rsidR="004269B2" w:rsidRPr="00884BE2">
        <w:rPr>
          <w:iCs/>
        </w:rPr>
        <w:t xml:space="preserve">they act in a glucose-dependent manner, thus have a low hypoglycaemic profile. </w:t>
      </w:r>
      <w:r w:rsidR="0099564D" w:rsidRPr="00884BE2">
        <w:rPr>
          <w:iCs/>
        </w:rPr>
        <w:t xml:space="preserve">As these are relatively novel therapies, </w:t>
      </w:r>
      <w:r w:rsidR="0076160A" w:rsidRPr="00884BE2">
        <w:rPr>
          <w:iCs/>
        </w:rPr>
        <w:t xml:space="preserve">few </w:t>
      </w:r>
      <w:r w:rsidR="0099564D" w:rsidRPr="00884BE2">
        <w:rPr>
          <w:iCs/>
        </w:rPr>
        <w:t>studies</w:t>
      </w:r>
      <w:r w:rsidR="0076160A" w:rsidRPr="00884BE2">
        <w:rPr>
          <w:iCs/>
        </w:rPr>
        <w:t xml:space="preserve"> have reported the use</w:t>
      </w:r>
      <w:r w:rsidR="0099564D" w:rsidRPr="00884BE2">
        <w:rPr>
          <w:iCs/>
        </w:rPr>
        <w:t xml:space="preserve"> of GLP-1 agonists in Ramadan. </w:t>
      </w:r>
    </w:p>
    <w:p w:rsidR="004269B2" w:rsidRPr="00884BE2" w:rsidRDefault="002D50BA" w:rsidP="004269B2">
      <w:pPr>
        <w:tabs>
          <w:tab w:val="num" w:pos="720"/>
          <w:tab w:val="left" w:pos="7513"/>
        </w:tabs>
        <w:spacing w:before="100" w:beforeAutospacing="1" w:after="100" w:afterAutospacing="1" w:line="360" w:lineRule="auto"/>
        <w:jc w:val="both"/>
        <w:rPr>
          <w:iCs/>
          <w:sz w:val="24"/>
        </w:rPr>
      </w:pPr>
      <w:r w:rsidRPr="00884BE2">
        <w:rPr>
          <w:rFonts w:cs="Verdana"/>
          <w:szCs w:val="20"/>
          <w:lang w:eastAsia="en-GB"/>
        </w:rPr>
        <w:t>A large</w:t>
      </w:r>
      <w:r w:rsidR="00BC6B1E" w:rsidRPr="00884BE2">
        <w:rPr>
          <w:rFonts w:cs="Verdana"/>
          <w:szCs w:val="20"/>
          <w:lang w:eastAsia="en-GB"/>
        </w:rPr>
        <w:t xml:space="preserve"> randomised control trial conducted in two UK centres (n=</w:t>
      </w:r>
      <w:r w:rsidR="00CF2F21" w:rsidRPr="00884BE2">
        <w:rPr>
          <w:rFonts w:cs="Verdana"/>
          <w:szCs w:val="20"/>
          <w:lang w:eastAsia="en-GB"/>
        </w:rPr>
        <w:t>99</w:t>
      </w:r>
      <w:r w:rsidR="00BC6B1E" w:rsidRPr="00884BE2">
        <w:rPr>
          <w:rFonts w:cs="Verdana"/>
          <w:szCs w:val="20"/>
          <w:lang w:eastAsia="en-GB"/>
        </w:rPr>
        <w:t xml:space="preserve">), </w:t>
      </w:r>
      <w:r w:rsidR="008976CE" w:rsidRPr="00884BE2">
        <w:rPr>
          <w:rFonts w:cs="Verdana"/>
          <w:szCs w:val="20"/>
          <w:lang w:eastAsia="en-GB"/>
        </w:rPr>
        <w:t>compar</w:t>
      </w:r>
      <w:r w:rsidR="00BC6B1E" w:rsidRPr="00884BE2">
        <w:rPr>
          <w:rFonts w:cs="Verdana"/>
          <w:szCs w:val="20"/>
          <w:lang w:eastAsia="en-GB"/>
        </w:rPr>
        <w:t>ed</w:t>
      </w:r>
      <w:r w:rsidR="008976CE" w:rsidRPr="00884BE2">
        <w:rPr>
          <w:rFonts w:cs="Verdana"/>
          <w:szCs w:val="20"/>
          <w:lang w:eastAsia="en-GB"/>
        </w:rPr>
        <w:t xml:space="preserve"> sulphonylurea</w:t>
      </w:r>
      <w:r w:rsidR="00BC6B1E" w:rsidRPr="00884BE2">
        <w:rPr>
          <w:rFonts w:cs="Verdana"/>
          <w:szCs w:val="20"/>
          <w:lang w:eastAsia="en-GB"/>
        </w:rPr>
        <w:t>s</w:t>
      </w:r>
      <w:r w:rsidR="008976CE" w:rsidRPr="00884BE2">
        <w:rPr>
          <w:rFonts w:cs="Verdana"/>
          <w:szCs w:val="20"/>
          <w:lang w:eastAsia="en-GB"/>
        </w:rPr>
        <w:t xml:space="preserve"> </w:t>
      </w:r>
      <w:r w:rsidR="00DA5A83" w:rsidRPr="00884BE2">
        <w:rPr>
          <w:rFonts w:cs="Verdana"/>
          <w:szCs w:val="20"/>
          <w:lang w:eastAsia="en-GB"/>
        </w:rPr>
        <w:t>with</w:t>
      </w:r>
      <w:r w:rsidR="00BC6B1E" w:rsidRPr="00884BE2">
        <w:rPr>
          <w:rFonts w:cs="Verdana"/>
          <w:szCs w:val="20"/>
          <w:lang w:eastAsia="en-GB"/>
        </w:rPr>
        <w:t xml:space="preserve"> </w:t>
      </w:r>
      <w:r w:rsidRPr="00884BE2">
        <w:rPr>
          <w:rFonts w:cs="Verdana"/>
          <w:szCs w:val="20"/>
          <w:lang w:eastAsia="en-GB"/>
        </w:rPr>
        <w:t>l</w:t>
      </w:r>
      <w:r w:rsidR="008976CE" w:rsidRPr="00884BE2">
        <w:rPr>
          <w:rFonts w:cs="Verdana"/>
          <w:szCs w:val="20"/>
          <w:lang w:eastAsia="en-GB"/>
        </w:rPr>
        <w:t>iraglutide</w:t>
      </w:r>
      <w:r w:rsidR="004269B2" w:rsidRPr="00884BE2">
        <w:rPr>
          <w:rFonts w:cs="Verdana"/>
          <w:szCs w:val="20"/>
          <w:lang w:eastAsia="en-GB"/>
        </w:rPr>
        <w:t xml:space="preserve"> </w:t>
      </w:r>
      <w:r w:rsidR="008976CE" w:rsidRPr="00884BE2">
        <w:rPr>
          <w:rFonts w:cs="Verdana"/>
          <w:szCs w:val="20"/>
          <w:lang w:eastAsia="en-GB"/>
        </w:rPr>
        <w:t>in combination with Metformin</w:t>
      </w:r>
      <w:proofErr w:type="gramStart"/>
      <w:r w:rsidR="00B25790" w:rsidRPr="00884BE2">
        <w:rPr>
          <w:rFonts w:cs="Verdana"/>
          <w:szCs w:val="20"/>
          <w:lang w:eastAsia="en-GB"/>
        </w:rPr>
        <w:t>.</w:t>
      </w:r>
      <w:r w:rsidR="00CF2F21" w:rsidRPr="00884BE2">
        <w:rPr>
          <w:rFonts w:cs="Verdana"/>
          <w:szCs w:val="20"/>
          <w:lang w:eastAsia="en-GB"/>
        </w:rPr>
        <w:t>[</w:t>
      </w:r>
      <w:proofErr w:type="gramEnd"/>
      <w:r w:rsidR="00C63462" w:rsidRPr="00884BE2">
        <w:rPr>
          <w:rFonts w:cs="Verdana"/>
          <w:szCs w:val="20"/>
          <w:lang w:eastAsia="en-GB"/>
        </w:rPr>
        <w:t>1</w:t>
      </w:r>
      <w:r w:rsidR="005026BF" w:rsidRPr="00884BE2">
        <w:rPr>
          <w:rFonts w:cs="Verdana"/>
          <w:szCs w:val="20"/>
          <w:lang w:eastAsia="en-GB"/>
        </w:rPr>
        <w:t>1</w:t>
      </w:r>
      <w:r w:rsidR="00CF2F21" w:rsidRPr="00884BE2">
        <w:rPr>
          <w:rFonts w:cs="Verdana"/>
          <w:szCs w:val="20"/>
          <w:lang w:eastAsia="en-GB"/>
        </w:rPr>
        <w:t>]</w:t>
      </w:r>
      <w:r w:rsidR="008976CE" w:rsidRPr="00884BE2">
        <w:rPr>
          <w:rFonts w:cs="Verdana"/>
          <w:szCs w:val="20"/>
          <w:lang w:eastAsia="en-GB"/>
        </w:rPr>
        <w:t>  The com</w:t>
      </w:r>
      <w:r w:rsidR="00C6323F" w:rsidRPr="00884BE2">
        <w:rPr>
          <w:rFonts w:cs="Verdana"/>
          <w:szCs w:val="20"/>
          <w:lang w:eastAsia="en-GB"/>
        </w:rPr>
        <w:t>posite end-</w:t>
      </w:r>
      <w:r w:rsidR="00DA5A83" w:rsidRPr="00884BE2">
        <w:rPr>
          <w:rFonts w:cs="Verdana"/>
          <w:szCs w:val="20"/>
          <w:lang w:eastAsia="en-GB"/>
        </w:rPr>
        <w:t xml:space="preserve">point of achieving </w:t>
      </w:r>
      <w:r w:rsidR="008976CE" w:rsidRPr="00884BE2">
        <w:rPr>
          <w:rFonts w:cs="Verdana"/>
          <w:szCs w:val="20"/>
          <w:lang w:eastAsia="en-GB"/>
        </w:rPr>
        <w:t>HbA1c &lt;7%</w:t>
      </w:r>
      <w:r w:rsidR="0052625D" w:rsidRPr="00884BE2">
        <w:rPr>
          <w:rFonts w:cs="Verdana"/>
          <w:szCs w:val="20"/>
          <w:lang w:eastAsia="en-GB"/>
        </w:rPr>
        <w:t xml:space="preserve"> (&lt;53mmol/</w:t>
      </w:r>
      <w:proofErr w:type="spellStart"/>
      <w:r w:rsidR="0052625D" w:rsidRPr="00884BE2">
        <w:rPr>
          <w:rFonts w:cs="Verdana"/>
          <w:szCs w:val="20"/>
          <w:lang w:eastAsia="en-GB"/>
        </w:rPr>
        <w:t>mol</w:t>
      </w:r>
      <w:proofErr w:type="spellEnd"/>
      <w:r w:rsidR="0052625D" w:rsidRPr="00884BE2">
        <w:rPr>
          <w:rFonts w:cs="Verdana"/>
          <w:szCs w:val="20"/>
          <w:lang w:eastAsia="en-GB"/>
        </w:rPr>
        <w:t>)</w:t>
      </w:r>
      <w:r w:rsidR="008976CE" w:rsidRPr="00884BE2">
        <w:rPr>
          <w:rFonts w:cs="Verdana"/>
          <w:szCs w:val="20"/>
          <w:lang w:eastAsia="en-GB"/>
        </w:rPr>
        <w:t>, weight reduction of ≥1kg and no severe hypoglycaemia, was achieved by sign</w:t>
      </w:r>
      <w:r w:rsidRPr="00884BE2">
        <w:rPr>
          <w:rFonts w:cs="Verdana"/>
          <w:szCs w:val="20"/>
          <w:lang w:eastAsia="en-GB"/>
        </w:rPr>
        <w:t>ificantly more patients in the l</w:t>
      </w:r>
      <w:r w:rsidR="008976CE" w:rsidRPr="00884BE2">
        <w:rPr>
          <w:rFonts w:cs="Verdana"/>
          <w:szCs w:val="20"/>
          <w:lang w:eastAsia="en-GB"/>
        </w:rPr>
        <w:t xml:space="preserve">iraglutide compared to the </w:t>
      </w:r>
      <w:r w:rsidR="00DA5A83" w:rsidRPr="00884BE2">
        <w:rPr>
          <w:rFonts w:cs="Verdana"/>
          <w:szCs w:val="20"/>
          <w:lang w:eastAsia="en-GB"/>
        </w:rPr>
        <w:t>sulphonylurea</w:t>
      </w:r>
      <w:r w:rsidR="008976CE" w:rsidRPr="00884BE2" w:rsidDel="001464D8">
        <w:rPr>
          <w:rFonts w:cs="Verdana"/>
          <w:szCs w:val="20"/>
          <w:lang w:eastAsia="en-GB"/>
        </w:rPr>
        <w:t xml:space="preserve"> </w:t>
      </w:r>
      <w:r w:rsidR="008976CE" w:rsidRPr="00884BE2">
        <w:rPr>
          <w:rFonts w:cs="Verdana"/>
          <w:szCs w:val="20"/>
          <w:lang w:eastAsia="en-GB"/>
        </w:rPr>
        <w:t>group (</w:t>
      </w:r>
      <w:r w:rsidR="00CF2F21" w:rsidRPr="00884BE2">
        <w:rPr>
          <w:rFonts w:cs="Verdana"/>
          <w:szCs w:val="20"/>
          <w:lang w:eastAsia="en-GB"/>
        </w:rPr>
        <w:t>at 3</w:t>
      </w:r>
      <w:r w:rsidR="00DA5A83" w:rsidRPr="00884BE2">
        <w:rPr>
          <w:rFonts w:cs="Verdana"/>
          <w:szCs w:val="20"/>
          <w:lang w:eastAsia="en-GB"/>
        </w:rPr>
        <w:t xml:space="preserve"> weeks follow-up</w:t>
      </w:r>
      <w:r w:rsidR="008976CE" w:rsidRPr="00884BE2">
        <w:rPr>
          <w:rFonts w:cs="Verdana"/>
          <w:szCs w:val="20"/>
          <w:lang w:eastAsia="en-GB"/>
        </w:rPr>
        <w:t>: 3</w:t>
      </w:r>
      <w:r w:rsidR="00CF2F21" w:rsidRPr="00884BE2">
        <w:rPr>
          <w:rFonts w:cs="Verdana"/>
          <w:szCs w:val="20"/>
          <w:lang w:eastAsia="en-GB"/>
        </w:rPr>
        <w:t>8% vs 7%, p=</w:t>
      </w:r>
      <w:r w:rsidR="008976CE" w:rsidRPr="00884BE2">
        <w:rPr>
          <w:rFonts w:cs="Verdana"/>
          <w:szCs w:val="20"/>
          <w:lang w:eastAsia="en-GB"/>
        </w:rPr>
        <w:t>0.001;</w:t>
      </w:r>
      <w:r w:rsidR="00DA5A83" w:rsidRPr="00884BE2">
        <w:rPr>
          <w:rFonts w:cs="Verdana"/>
          <w:szCs w:val="20"/>
          <w:lang w:eastAsia="en-GB"/>
        </w:rPr>
        <w:t xml:space="preserve"> 12 weeks follow-up</w:t>
      </w:r>
      <w:r w:rsidR="008976CE" w:rsidRPr="00884BE2">
        <w:rPr>
          <w:rFonts w:cs="Verdana"/>
          <w:szCs w:val="20"/>
          <w:lang w:eastAsia="en-GB"/>
        </w:rPr>
        <w:t>:  2</w:t>
      </w:r>
      <w:r w:rsidR="00CF2F21" w:rsidRPr="00884BE2">
        <w:rPr>
          <w:rFonts w:cs="Verdana"/>
          <w:szCs w:val="20"/>
          <w:lang w:eastAsia="en-GB"/>
        </w:rPr>
        <w:t>7</w:t>
      </w:r>
      <w:r w:rsidR="008976CE" w:rsidRPr="00884BE2">
        <w:rPr>
          <w:rFonts w:cs="Verdana"/>
          <w:szCs w:val="20"/>
          <w:lang w:eastAsia="en-GB"/>
        </w:rPr>
        <w:t>% vs 8%, p=0.0</w:t>
      </w:r>
      <w:r w:rsidR="00CF2F21" w:rsidRPr="00884BE2">
        <w:rPr>
          <w:rFonts w:cs="Verdana"/>
          <w:szCs w:val="20"/>
          <w:lang w:eastAsia="en-GB"/>
        </w:rPr>
        <w:t>3</w:t>
      </w:r>
      <w:r w:rsidR="008976CE" w:rsidRPr="00884BE2">
        <w:rPr>
          <w:rFonts w:cs="Verdana"/>
          <w:szCs w:val="20"/>
          <w:lang w:eastAsia="en-GB"/>
        </w:rPr>
        <w:t xml:space="preserve">).  There was a significant </w:t>
      </w:r>
      <w:r w:rsidR="00DA5A83" w:rsidRPr="00884BE2">
        <w:rPr>
          <w:rFonts w:cs="Verdana"/>
          <w:szCs w:val="20"/>
          <w:lang w:eastAsia="en-GB"/>
        </w:rPr>
        <w:t xml:space="preserve">weight </w:t>
      </w:r>
      <w:r w:rsidR="008976CE" w:rsidRPr="00884BE2">
        <w:rPr>
          <w:rFonts w:cs="Verdana"/>
          <w:szCs w:val="20"/>
          <w:lang w:eastAsia="en-GB"/>
        </w:rPr>
        <w:t>reduction in the Liraglutide</w:t>
      </w:r>
      <w:r w:rsidR="00DA5A83" w:rsidRPr="00884BE2">
        <w:rPr>
          <w:rFonts w:cs="Verdana"/>
          <w:szCs w:val="20"/>
          <w:lang w:eastAsia="en-GB"/>
        </w:rPr>
        <w:t xml:space="preserve"> group.</w:t>
      </w:r>
      <w:r w:rsidR="008976CE" w:rsidRPr="00884BE2">
        <w:rPr>
          <w:rFonts w:cs="Verdana"/>
          <w:szCs w:val="20"/>
          <w:lang w:eastAsia="en-GB"/>
        </w:rPr>
        <w:t> </w:t>
      </w:r>
      <w:r w:rsidR="00A2247A" w:rsidRPr="00884BE2">
        <w:rPr>
          <w:color w:val="1F497D"/>
        </w:rPr>
        <w:t xml:space="preserve"> </w:t>
      </w:r>
      <w:r w:rsidR="00A2247A" w:rsidRPr="00884BE2">
        <w:t>This is supported by recent data from the LIRA-Ramadan study [</w:t>
      </w:r>
      <w:r w:rsidR="00217D00" w:rsidRPr="00884BE2">
        <w:t>4</w:t>
      </w:r>
      <w:r w:rsidR="00134CF1" w:rsidRPr="00884BE2">
        <w:t>5</w:t>
      </w:r>
      <w:r w:rsidR="00A2247A" w:rsidRPr="00884BE2">
        <w:t xml:space="preserve">] where treatment with liraglutide </w:t>
      </w:r>
      <w:r w:rsidRPr="00884BE2">
        <w:t>in combination with metformin</w:t>
      </w:r>
      <w:r w:rsidR="00303106" w:rsidRPr="00884BE2">
        <w:t>,</w:t>
      </w:r>
      <w:r w:rsidRPr="00884BE2">
        <w:t xml:space="preserve"> </w:t>
      </w:r>
      <w:r w:rsidR="00A2247A" w:rsidRPr="00884BE2">
        <w:t>from baseline to the end of Ramadan</w:t>
      </w:r>
      <w:r w:rsidR="00303106" w:rsidRPr="00884BE2">
        <w:t>,</w:t>
      </w:r>
      <w:r w:rsidR="00A2247A" w:rsidRPr="00884BE2">
        <w:t xml:space="preserve"> saw signific</w:t>
      </w:r>
      <w:r w:rsidR="00303106" w:rsidRPr="00884BE2">
        <w:t>antly more patients</w:t>
      </w:r>
      <w:r w:rsidR="00A2247A" w:rsidRPr="00884BE2">
        <w:t xml:space="preserve"> achieving the composite end point of HbA1c &lt;7% and no confirmed hypoglycaemic episodes </w:t>
      </w:r>
      <w:r w:rsidR="00303106" w:rsidRPr="00884BE2">
        <w:t>versus.</w:t>
      </w:r>
      <w:r w:rsidR="00A2247A" w:rsidRPr="00884BE2">
        <w:t xml:space="preserve"> </w:t>
      </w:r>
      <w:proofErr w:type="gramStart"/>
      <w:r w:rsidR="00A2247A" w:rsidRPr="00884BE2">
        <w:t>sulphonylurea</w:t>
      </w:r>
      <w:proofErr w:type="gramEnd"/>
      <w:r w:rsidR="00A2247A" w:rsidRPr="00884BE2">
        <w:t xml:space="preserve"> (p&lt;0.001).  The proportion of patients experiencing adverse events during Ramadan was similar between groups (23.7% vs. 20.9%)</w:t>
      </w:r>
      <w:proofErr w:type="gramStart"/>
      <w:r w:rsidRPr="00884BE2">
        <w:t>,</w:t>
      </w:r>
      <w:proofErr w:type="gramEnd"/>
      <w:r w:rsidRPr="00884BE2">
        <w:t xml:space="preserve"> the commonest side effect with this class of drug appears to be gastrointestinal and includes nausea, diarrhoea, abdominal pain</w:t>
      </w:r>
      <w:r w:rsidR="00A2247A" w:rsidRPr="00884BE2">
        <w:t xml:space="preserve">. </w:t>
      </w:r>
      <w:r w:rsidRPr="00884BE2">
        <w:rPr>
          <w:rFonts w:cs="Verdana"/>
          <w:szCs w:val="20"/>
          <w:lang w:eastAsia="en-GB"/>
        </w:rPr>
        <w:t>Aside these studies suggests that GLP-1 agonists compared to sulphonylureas appear to be safe and well-tolerated during Ramadan, however, further studies investigating GLP-1 agonists in Ramadan are required.</w:t>
      </w:r>
    </w:p>
    <w:p w:rsidR="00217D00" w:rsidRPr="00884BE2" w:rsidRDefault="00217D00" w:rsidP="00511E19">
      <w:pPr>
        <w:tabs>
          <w:tab w:val="left" w:pos="7513"/>
        </w:tabs>
        <w:spacing w:line="360" w:lineRule="auto"/>
        <w:jc w:val="both"/>
        <w:rPr>
          <w:b/>
        </w:rPr>
      </w:pPr>
    </w:p>
    <w:p w:rsidR="00303106" w:rsidRPr="00884BE2" w:rsidRDefault="00303106" w:rsidP="00511E19">
      <w:pPr>
        <w:tabs>
          <w:tab w:val="left" w:pos="7513"/>
        </w:tabs>
        <w:spacing w:line="360" w:lineRule="auto"/>
        <w:jc w:val="both"/>
        <w:rPr>
          <w:b/>
        </w:rPr>
      </w:pPr>
    </w:p>
    <w:p w:rsidR="00A11585" w:rsidRPr="00884BE2" w:rsidRDefault="00BF1173" w:rsidP="00511E19">
      <w:pPr>
        <w:tabs>
          <w:tab w:val="left" w:pos="7513"/>
        </w:tabs>
        <w:spacing w:line="360" w:lineRule="auto"/>
        <w:jc w:val="both"/>
        <w:rPr>
          <w:b/>
        </w:rPr>
      </w:pPr>
      <w:r w:rsidRPr="00884BE2">
        <w:rPr>
          <w:b/>
        </w:rPr>
        <w:lastRenderedPageBreak/>
        <w:t>I</w:t>
      </w:r>
      <w:r w:rsidR="00A11585" w:rsidRPr="00884BE2">
        <w:rPr>
          <w:b/>
        </w:rPr>
        <w:t xml:space="preserve">nsulin </w:t>
      </w:r>
    </w:p>
    <w:p w:rsidR="00580B6B" w:rsidRPr="00884BE2" w:rsidRDefault="00580B6B" w:rsidP="00511E19">
      <w:pPr>
        <w:tabs>
          <w:tab w:val="left" w:pos="7513"/>
        </w:tabs>
        <w:spacing w:line="360" w:lineRule="auto"/>
        <w:jc w:val="both"/>
        <w:rPr>
          <w:iCs/>
          <w:vertAlign w:val="superscript"/>
        </w:rPr>
      </w:pPr>
      <w:r w:rsidRPr="00884BE2">
        <w:rPr>
          <w:iCs/>
        </w:rPr>
        <w:t xml:space="preserve">Patients </w:t>
      </w:r>
      <w:r w:rsidR="00164E9A" w:rsidRPr="00884BE2">
        <w:rPr>
          <w:iCs/>
        </w:rPr>
        <w:t xml:space="preserve">with </w:t>
      </w:r>
      <w:r w:rsidR="00F949B5" w:rsidRPr="00884BE2">
        <w:rPr>
          <w:iCs/>
        </w:rPr>
        <w:t>T2DM</w:t>
      </w:r>
      <w:r w:rsidR="00FA1291" w:rsidRPr="00884BE2">
        <w:rPr>
          <w:iCs/>
        </w:rPr>
        <w:t xml:space="preserve"> on insulin</w:t>
      </w:r>
      <w:r w:rsidR="006A5460" w:rsidRPr="00884BE2">
        <w:rPr>
          <w:iCs/>
        </w:rPr>
        <w:t>, especially the elderly,</w:t>
      </w:r>
      <w:r w:rsidR="00164E9A" w:rsidRPr="00884BE2">
        <w:rPr>
          <w:iCs/>
        </w:rPr>
        <w:t xml:space="preserve"> </w:t>
      </w:r>
      <w:r w:rsidR="00FA1291" w:rsidRPr="00884BE2">
        <w:rPr>
          <w:iCs/>
        </w:rPr>
        <w:t>are at higher risks of hypoglycaemia than those individuals on metformin</w:t>
      </w:r>
      <w:proofErr w:type="gramStart"/>
      <w:r w:rsidR="00F949B5" w:rsidRPr="00884BE2">
        <w:rPr>
          <w:iCs/>
        </w:rPr>
        <w:t>.</w:t>
      </w:r>
      <w:r w:rsidR="00843442" w:rsidRPr="00884BE2">
        <w:rPr>
          <w:iCs/>
        </w:rPr>
        <w:t>[</w:t>
      </w:r>
      <w:proofErr w:type="gramEnd"/>
      <w:r w:rsidR="005026BF" w:rsidRPr="00884BE2">
        <w:rPr>
          <w:iCs/>
        </w:rPr>
        <w:t>8</w:t>
      </w:r>
      <w:r w:rsidR="00843442" w:rsidRPr="00884BE2">
        <w:rPr>
          <w:iCs/>
        </w:rPr>
        <w:t>]</w:t>
      </w:r>
      <w:r w:rsidR="00F949B5" w:rsidRPr="00884BE2">
        <w:rPr>
          <w:iCs/>
        </w:rPr>
        <w:t xml:space="preserve"> </w:t>
      </w:r>
      <w:r w:rsidR="00D07B8D" w:rsidRPr="00884BE2">
        <w:rPr>
          <w:iCs/>
        </w:rPr>
        <w:t>T</w:t>
      </w:r>
      <w:r w:rsidR="00F949B5" w:rsidRPr="00884BE2">
        <w:rPr>
          <w:iCs/>
        </w:rPr>
        <w:t xml:space="preserve">herefore </w:t>
      </w:r>
      <w:r w:rsidR="00FA1291" w:rsidRPr="00884BE2">
        <w:rPr>
          <w:iCs/>
        </w:rPr>
        <w:t xml:space="preserve">insulin doses should be adjusted and individualised during Ramadan. </w:t>
      </w:r>
    </w:p>
    <w:p w:rsidR="009D0784" w:rsidRPr="00884BE2" w:rsidRDefault="00FE59B4" w:rsidP="00511E19">
      <w:pPr>
        <w:tabs>
          <w:tab w:val="left" w:pos="7513"/>
        </w:tabs>
        <w:spacing w:line="360" w:lineRule="auto"/>
        <w:jc w:val="both"/>
      </w:pPr>
      <w:r w:rsidRPr="00884BE2">
        <w:t>Other studies in Ramadan have investigated the safety and use of mixed insulins. A</w:t>
      </w:r>
      <w:r w:rsidR="0086290C" w:rsidRPr="00884BE2">
        <w:t xml:space="preserve"> randomised, open labelled, crossover study compar</w:t>
      </w:r>
      <w:r w:rsidR="00F949B5" w:rsidRPr="00884BE2">
        <w:t>ed</w:t>
      </w:r>
      <w:r w:rsidR="0086290C" w:rsidRPr="00884BE2">
        <w:t xml:space="preserve"> H</w:t>
      </w:r>
      <w:r w:rsidRPr="00884BE2">
        <w:t>umalog Mix25 (25% short-</w:t>
      </w:r>
      <w:r w:rsidR="0086290C" w:rsidRPr="00884BE2">
        <w:t xml:space="preserve">acting insulin </w:t>
      </w:r>
      <w:proofErr w:type="spellStart"/>
      <w:r w:rsidR="0086290C" w:rsidRPr="00884BE2">
        <w:t>lispro</w:t>
      </w:r>
      <w:proofErr w:type="spellEnd"/>
      <w:r w:rsidR="0086290C" w:rsidRPr="00884BE2">
        <w:t xml:space="preserve"> an</w:t>
      </w:r>
      <w:r w:rsidRPr="00884BE2">
        <w:t>d 75% intermediate-</w:t>
      </w:r>
      <w:r w:rsidR="0086290C" w:rsidRPr="00884BE2">
        <w:t xml:space="preserve">acting neutral </w:t>
      </w:r>
      <w:proofErr w:type="spellStart"/>
      <w:r w:rsidR="0086290C" w:rsidRPr="00884BE2">
        <w:t>lispro</w:t>
      </w:r>
      <w:proofErr w:type="spellEnd"/>
      <w:r w:rsidR="0086290C" w:rsidRPr="00884BE2">
        <w:t xml:space="preserve"> protamine) and </w:t>
      </w:r>
      <w:proofErr w:type="spellStart"/>
      <w:r w:rsidR="0086290C" w:rsidRPr="00884BE2">
        <w:t>Humulin</w:t>
      </w:r>
      <w:proofErr w:type="spellEnd"/>
      <w:r w:rsidR="0086290C" w:rsidRPr="00884BE2">
        <w:t xml:space="preserve"> M3 (human insulin 30% soluble, 70% </w:t>
      </w:r>
      <w:proofErr w:type="spellStart"/>
      <w:r w:rsidR="0086290C" w:rsidRPr="00884BE2">
        <w:t>isophane</w:t>
      </w:r>
      <w:proofErr w:type="spellEnd"/>
      <w:r w:rsidR="0086290C" w:rsidRPr="00884BE2">
        <w:t>)</w:t>
      </w:r>
      <w:r w:rsidR="0015532A" w:rsidRPr="00884BE2">
        <w:t xml:space="preserve"> using </w:t>
      </w:r>
      <w:r w:rsidR="0086290C" w:rsidRPr="00884BE2">
        <w:t>identical doses</w:t>
      </w:r>
      <w:r w:rsidR="00062C48" w:rsidRPr="00884BE2">
        <w:t>. In th</w:t>
      </w:r>
      <w:r w:rsidR="00D07B8D" w:rsidRPr="00884BE2">
        <w:t>ose</w:t>
      </w:r>
      <w:r w:rsidR="00F949B5" w:rsidRPr="00884BE2">
        <w:t xml:space="preserve"> taking Humalog Mix25 (</w:t>
      </w:r>
      <w:r w:rsidR="00062C48" w:rsidRPr="00884BE2">
        <w:t>less short-acting insulin</w:t>
      </w:r>
      <w:r w:rsidR="00F949B5" w:rsidRPr="00884BE2">
        <w:t xml:space="preserve"> preparation</w:t>
      </w:r>
      <w:r w:rsidR="00062C48" w:rsidRPr="00884BE2">
        <w:t>)</w:t>
      </w:r>
      <w:r w:rsidR="0086290C" w:rsidRPr="00884BE2">
        <w:t xml:space="preserve"> </w:t>
      </w:r>
      <w:r w:rsidR="00062C48" w:rsidRPr="00884BE2">
        <w:t>postprandial blood glucose</w:t>
      </w:r>
      <w:r w:rsidR="003114A4" w:rsidRPr="00884BE2">
        <w:t xml:space="preserve"> (PPBG)</w:t>
      </w:r>
      <w:r w:rsidR="00062C48" w:rsidRPr="00884BE2">
        <w:t xml:space="preserve"> was </w:t>
      </w:r>
      <w:r w:rsidR="006E4F35" w:rsidRPr="00884BE2">
        <w:t xml:space="preserve">significantly </w:t>
      </w:r>
      <w:r w:rsidR="00062C48" w:rsidRPr="00884BE2">
        <w:t>better controlled</w:t>
      </w:r>
      <w:r w:rsidR="006E4F35" w:rsidRPr="00884BE2">
        <w:t>, together with significantly better daily average glucose levels</w:t>
      </w:r>
      <w:proofErr w:type="gramStart"/>
      <w:r w:rsidR="00D07B8D" w:rsidRPr="00884BE2">
        <w:t>.</w:t>
      </w:r>
      <w:r w:rsidR="006E5931" w:rsidRPr="00884BE2">
        <w:t>[</w:t>
      </w:r>
      <w:proofErr w:type="gramEnd"/>
      <w:r w:rsidR="00134CF1" w:rsidRPr="00884BE2">
        <w:t>46</w:t>
      </w:r>
      <w:r w:rsidR="006E5931" w:rsidRPr="00884BE2">
        <w:t>]</w:t>
      </w:r>
      <w:r w:rsidR="00062C48" w:rsidRPr="00884BE2">
        <w:t xml:space="preserve"> </w:t>
      </w:r>
      <w:r w:rsidR="0015532A" w:rsidRPr="00884BE2">
        <w:t>Whilst</w:t>
      </w:r>
      <w:r w:rsidR="003114A4" w:rsidRPr="00884BE2">
        <w:t xml:space="preserve"> </w:t>
      </w:r>
      <w:r w:rsidR="0015532A" w:rsidRPr="00884BE2">
        <w:t xml:space="preserve">both preparations </w:t>
      </w:r>
      <w:r w:rsidR="003114A4" w:rsidRPr="00884BE2">
        <w:t>have similar weight-gain and hypoglycaemic profiles</w:t>
      </w:r>
      <w:r w:rsidR="0015532A" w:rsidRPr="00884BE2">
        <w:t>,</w:t>
      </w:r>
      <w:r w:rsidR="003114A4" w:rsidRPr="00884BE2">
        <w:t xml:space="preserve"> </w:t>
      </w:r>
      <w:r w:rsidR="0015532A" w:rsidRPr="00884BE2">
        <w:t xml:space="preserve">there is </w:t>
      </w:r>
      <w:r w:rsidR="003114A4" w:rsidRPr="00884BE2">
        <w:t>an increased cost associated with Humalog Mix25</w:t>
      </w:r>
      <w:r w:rsidR="0015532A" w:rsidRPr="00884BE2">
        <w:t xml:space="preserve">. </w:t>
      </w:r>
    </w:p>
    <w:p w:rsidR="009D0784" w:rsidRPr="00884BE2" w:rsidRDefault="00062C48" w:rsidP="00511E19">
      <w:pPr>
        <w:tabs>
          <w:tab w:val="left" w:pos="7513"/>
        </w:tabs>
        <w:spacing w:line="360" w:lineRule="auto"/>
        <w:jc w:val="both"/>
        <w:rPr>
          <w:iCs/>
        </w:rPr>
      </w:pPr>
      <w:r w:rsidRPr="00884BE2">
        <w:t xml:space="preserve">There are no studies to date investigating the safety and glycaemic control in fasting patients taking </w:t>
      </w:r>
      <w:proofErr w:type="spellStart"/>
      <w:r w:rsidRPr="00884BE2">
        <w:t>detemir</w:t>
      </w:r>
      <w:proofErr w:type="spellEnd"/>
      <w:r w:rsidR="00DE4793" w:rsidRPr="00884BE2">
        <w:t>,</w:t>
      </w:r>
      <w:r w:rsidRPr="00884BE2">
        <w:t xml:space="preserve"> </w:t>
      </w:r>
      <w:proofErr w:type="spellStart"/>
      <w:r w:rsidRPr="00884BE2">
        <w:t>isophane</w:t>
      </w:r>
      <w:proofErr w:type="spellEnd"/>
      <w:r w:rsidRPr="00884BE2">
        <w:t xml:space="preserve"> insulin</w:t>
      </w:r>
      <w:r w:rsidR="002D1FB9" w:rsidRPr="00884BE2">
        <w:t xml:space="preserve">, such as </w:t>
      </w:r>
      <w:proofErr w:type="spellStart"/>
      <w:r w:rsidR="002D1FB9" w:rsidRPr="00884BE2">
        <w:t>insulatard</w:t>
      </w:r>
      <w:proofErr w:type="spellEnd"/>
      <w:r w:rsidR="00DE4793" w:rsidRPr="00884BE2">
        <w:t xml:space="preserve"> or the newer basal insulin analogues, such as </w:t>
      </w:r>
      <w:proofErr w:type="spellStart"/>
      <w:r w:rsidR="00DE4793" w:rsidRPr="00884BE2">
        <w:t>degludec</w:t>
      </w:r>
      <w:proofErr w:type="spellEnd"/>
      <w:r w:rsidR="002D1FB9" w:rsidRPr="00884BE2">
        <w:t>.</w:t>
      </w:r>
    </w:p>
    <w:p w:rsidR="00EA4D87" w:rsidRPr="00884BE2" w:rsidRDefault="008D55ED" w:rsidP="00511E19">
      <w:pPr>
        <w:tabs>
          <w:tab w:val="left" w:pos="7513"/>
        </w:tabs>
        <w:spacing w:line="360" w:lineRule="auto"/>
        <w:jc w:val="both"/>
      </w:pPr>
      <w:r w:rsidRPr="00884BE2">
        <w:t>I</w:t>
      </w:r>
      <w:r w:rsidR="00EA4D87" w:rsidRPr="00884BE2">
        <w:t xml:space="preserve">t is important to remember that </w:t>
      </w:r>
      <w:r w:rsidRPr="00884BE2">
        <w:t>changes to medications, particularly insulin regimes,</w:t>
      </w:r>
      <w:r w:rsidR="00EA4D87" w:rsidRPr="00884BE2">
        <w:t xml:space="preserve"> should be individualised, according to diet, exercise</w:t>
      </w:r>
      <w:r w:rsidR="004A3F8A" w:rsidRPr="00884BE2">
        <w:t>, baseline glycaemic control,</w:t>
      </w:r>
      <w:r w:rsidR="00EA4D87" w:rsidRPr="00884BE2">
        <w:t xml:space="preserve"> blood glucose monitoring</w:t>
      </w:r>
      <w:r w:rsidR="004A3F8A" w:rsidRPr="00884BE2">
        <w:t xml:space="preserve"> and occupation</w:t>
      </w:r>
      <w:r w:rsidR="00EA4D87" w:rsidRPr="00884BE2">
        <w:t xml:space="preserve">. </w:t>
      </w:r>
    </w:p>
    <w:p w:rsidR="00EA4D87" w:rsidRPr="00884BE2" w:rsidRDefault="00A11585" w:rsidP="00511E19">
      <w:pPr>
        <w:tabs>
          <w:tab w:val="left" w:pos="7513"/>
        </w:tabs>
        <w:spacing w:line="360" w:lineRule="auto"/>
        <w:jc w:val="both"/>
      </w:pPr>
      <w:r w:rsidRPr="00884BE2">
        <w:t xml:space="preserve">We </w:t>
      </w:r>
      <w:r w:rsidR="00EA4D87" w:rsidRPr="00884BE2">
        <w:t xml:space="preserve">recommend for </w:t>
      </w:r>
      <w:r w:rsidRPr="00884BE2">
        <w:t xml:space="preserve">patients </w:t>
      </w:r>
      <w:r w:rsidR="008D55ED" w:rsidRPr="00884BE2">
        <w:t>well-</w:t>
      </w:r>
      <w:r w:rsidR="00EA4D87" w:rsidRPr="00884BE2">
        <w:t xml:space="preserve">controlled on </w:t>
      </w:r>
      <w:r w:rsidRPr="00884BE2">
        <w:t>twice daily</w:t>
      </w:r>
      <w:r w:rsidR="00EA4D87" w:rsidRPr="00884BE2">
        <w:t xml:space="preserve"> mixed</w:t>
      </w:r>
      <w:r w:rsidRPr="00884BE2">
        <w:t xml:space="preserve"> insulin </w:t>
      </w:r>
      <w:r w:rsidR="00EA4D87" w:rsidRPr="00884BE2">
        <w:t xml:space="preserve">that the morning dose should be taken instead with </w:t>
      </w:r>
      <w:proofErr w:type="spellStart"/>
      <w:r w:rsidR="00EA4D87" w:rsidRPr="00884BE2">
        <w:t>Iftar</w:t>
      </w:r>
      <w:proofErr w:type="spellEnd"/>
      <w:r w:rsidR="00EA4D87" w:rsidRPr="00884BE2">
        <w:t xml:space="preserve"> (at dusk) and half the evening dose taken with </w:t>
      </w:r>
      <w:proofErr w:type="spellStart"/>
      <w:r w:rsidR="00EA4D87" w:rsidRPr="00884BE2">
        <w:t>Suhoor</w:t>
      </w:r>
      <w:proofErr w:type="spellEnd"/>
      <w:r w:rsidR="00EA4D87" w:rsidRPr="00884BE2">
        <w:t xml:space="preserve"> (at dawn).</w:t>
      </w:r>
      <w:r w:rsidR="006E5931" w:rsidRPr="00884BE2">
        <w:t>[</w:t>
      </w:r>
      <w:r w:rsidR="005026BF" w:rsidRPr="00884BE2">
        <w:t>8</w:t>
      </w:r>
      <w:r w:rsidR="00A02230" w:rsidRPr="00884BE2">
        <w:t>,</w:t>
      </w:r>
      <w:r w:rsidR="00134CF1" w:rsidRPr="00884BE2">
        <w:t>47</w:t>
      </w:r>
      <w:r w:rsidR="006E5931" w:rsidRPr="00884BE2">
        <w:t>]</w:t>
      </w:r>
      <w:r w:rsidR="00EA4D87" w:rsidRPr="00884BE2">
        <w:t xml:space="preserve"> </w:t>
      </w:r>
    </w:p>
    <w:p w:rsidR="008D55ED" w:rsidRPr="00884BE2" w:rsidRDefault="00F77952" w:rsidP="00511E19">
      <w:pPr>
        <w:tabs>
          <w:tab w:val="left" w:pos="7513"/>
        </w:tabs>
        <w:spacing w:line="360" w:lineRule="auto"/>
        <w:jc w:val="both"/>
        <w:rPr>
          <w:iCs/>
        </w:rPr>
      </w:pPr>
      <w:r w:rsidRPr="00884BE2">
        <w:t xml:space="preserve">Another </w:t>
      </w:r>
      <w:r w:rsidRPr="00884BE2">
        <w:rPr>
          <w:iCs/>
        </w:rPr>
        <w:t>strategy during R</w:t>
      </w:r>
      <w:r w:rsidR="008D55ED" w:rsidRPr="00884BE2">
        <w:rPr>
          <w:iCs/>
        </w:rPr>
        <w:t>amadan would be to use</w:t>
      </w:r>
      <w:r w:rsidRPr="00884BE2">
        <w:rPr>
          <w:iCs/>
        </w:rPr>
        <w:t xml:space="preserve"> long-acting insulin</w:t>
      </w:r>
      <w:r w:rsidR="008D55ED" w:rsidRPr="00884BE2">
        <w:rPr>
          <w:iCs/>
        </w:rPr>
        <w:t>s</w:t>
      </w:r>
      <w:r w:rsidRPr="00884BE2">
        <w:rPr>
          <w:iCs/>
        </w:rPr>
        <w:t xml:space="preserve">, such as </w:t>
      </w:r>
      <w:proofErr w:type="spellStart"/>
      <w:r w:rsidRPr="00884BE2">
        <w:rPr>
          <w:iCs/>
        </w:rPr>
        <w:t>glargine</w:t>
      </w:r>
      <w:proofErr w:type="spellEnd"/>
      <w:r w:rsidRPr="00884BE2">
        <w:rPr>
          <w:iCs/>
        </w:rPr>
        <w:t>, and short-acting insulin</w:t>
      </w:r>
      <w:r w:rsidR="008D55ED" w:rsidRPr="00884BE2">
        <w:rPr>
          <w:iCs/>
        </w:rPr>
        <w:t>s</w:t>
      </w:r>
      <w:r w:rsidRPr="00884BE2">
        <w:rPr>
          <w:iCs/>
        </w:rPr>
        <w:t xml:space="preserve"> with the two meals of Ramadan. </w:t>
      </w:r>
      <w:r w:rsidR="00A54056" w:rsidRPr="00884BE2">
        <w:rPr>
          <w:iCs/>
        </w:rPr>
        <w:t xml:space="preserve">In this scenario, the basal insulin should be administered with the </w:t>
      </w:r>
      <w:r w:rsidR="0087256E" w:rsidRPr="00884BE2">
        <w:rPr>
          <w:iCs/>
        </w:rPr>
        <w:t xml:space="preserve">larger </w:t>
      </w:r>
      <w:r w:rsidR="00A54056" w:rsidRPr="00884BE2">
        <w:rPr>
          <w:iCs/>
        </w:rPr>
        <w:t xml:space="preserve">evening </w:t>
      </w:r>
      <w:proofErr w:type="spellStart"/>
      <w:r w:rsidR="00A54056" w:rsidRPr="00884BE2">
        <w:rPr>
          <w:iCs/>
        </w:rPr>
        <w:t>Iftar</w:t>
      </w:r>
      <w:proofErr w:type="spellEnd"/>
      <w:r w:rsidR="0087256E" w:rsidRPr="00884BE2">
        <w:rPr>
          <w:iCs/>
        </w:rPr>
        <w:t xml:space="preserve"> meal</w:t>
      </w:r>
      <w:r w:rsidR="00A54056" w:rsidRPr="00884BE2">
        <w:rPr>
          <w:iCs/>
        </w:rPr>
        <w:t xml:space="preserve">. </w:t>
      </w:r>
      <w:r w:rsidR="008D55ED" w:rsidRPr="00884BE2">
        <w:rPr>
          <w:iCs/>
        </w:rPr>
        <w:t xml:space="preserve">Those already taking </w:t>
      </w:r>
      <w:r w:rsidR="008D55ED" w:rsidRPr="00884BE2">
        <w:t>long-acting basal insulin should be advised to reduce the dose by 20%</w:t>
      </w:r>
      <w:proofErr w:type="gramStart"/>
      <w:r w:rsidR="008D55ED" w:rsidRPr="00884BE2">
        <w:t>.[</w:t>
      </w:r>
      <w:proofErr w:type="gramEnd"/>
      <w:r w:rsidR="00A02230" w:rsidRPr="00884BE2">
        <w:t>7,</w:t>
      </w:r>
      <w:r w:rsidR="00217D00" w:rsidRPr="00884BE2">
        <w:t>4</w:t>
      </w:r>
      <w:r w:rsidR="00134CF1" w:rsidRPr="00884BE2">
        <w:t>7</w:t>
      </w:r>
      <w:r w:rsidR="008D55ED" w:rsidRPr="00884BE2">
        <w:t>]</w:t>
      </w:r>
    </w:p>
    <w:p w:rsidR="00F045C1" w:rsidRPr="00884BE2" w:rsidRDefault="008D55ED" w:rsidP="00511E19">
      <w:pPr>
        <w:tabs>
          <w:tab w:val="left" w:pos="7513"/>
        </w:tabs>
        <w:spacing w:line="360" w:lineRule="auto"/>
        <w:jc w:val="both"/>
      </w:pPr>
      <w:r w:rsidRPr="00884BE2">
        <w:t>During fasting, human soluble insulin preparations may remain in the system for 8-12 hours with a late long-lasting peak 2 hours after administration. This could potentially put an individual at risk of late postprandial hypoglycaemia.</w:t>
      </w:r>
      <w:r w:rsidR="006E5931" w:rsidRPr="00884BE2">
        <w:t>[</w:t>
      </w:r>
      <w:r w:rsidR="00217D00" w:rsidRPr="00884BE2">
        <w:t>49</w:t>
      </w:r>
      <w:r w:rsidR="006E5931" w:rsidRPr="00884BE2">
        <w:t>]</w:t>
      </w:r>
      <w:r w:rsidRPr="00884BE2">
        <w:t xml:space="preserve">  </w:t>
      </w:r>
      <w:r w:rsidRPr="00884BE2">
        <w:rPr>
          <w:iCs/>
        </w:rPr>
        <w:t>There is some evidence that using rapid-acting insulin analogues instead of human insulin before meals in patients with T2DM during Ramadan is associated with less hypoglycaemia and smaller postprandial glucose excursions.</w:t>
      </w:r>
      <w:r w:rsidRPr="00884BE2">
        <w:t>[</w:t>
      </w:r>
      <w:r w:rsidR="00217D00" w:rsidRPr="00884BE2">
        <w:t>4</w:t>
      </w:r>
      <w:r w:rsidR="00134CF1" w:rsidRPr="00884BE2">
        <w:t>6</w:t>
      </w:r>
      <w:r w:rsidR="005026BF" w:rsidRPr="00884BE2">
        <w:t>,</w:t>
      </w:r>
      <w:r w:rsidR="00217D00" w:rsidRPr="00884BE2">
        <w:t>4</w:t>
      </w:r>
      <w:r w:rsidR="00134CF1" w:rsidRPr="00884BE2">
        <w:t>8</w:t>
      </w:r>
      <w:r w:rsidR="00C13E42" w:rsidRPr="00884BE2">
        <w:t>]</w:t>
      </w:r>
    </w:p>
    <w:p w:rsidR="002D1FB9" w:rsidRPr="00884BE2" w:rsidRDefault="00736B2D" w:rsidP="00511E19">
      <w:pPr>
        <w:tabs>
          <w:tab w:val="left" w:pos="7513"/>
        </w:tabs>
        <w:spacing w:line="360" w:lineRule="auto"/>
        <w:jc w:val="both"/>
        <w:rPr>
          <w:b/>
          <w:sz w:val="24"/>
        </w:rPr>
      </w:pPr>
      <w:r w:rsidRPr="00884BE2">
        <w:rPr>
          <w:b/>
          <w:sz w:val="24"/>
        </w:rPr>
        <w:t>Pregnancy</w:t>
      </w:r>
    </w:p>
    <w:p w:rsidR="002A36ED" w:rsidRPr="00884BE2" w:rsidRDefault="00475991" w:rsidP="00511E19">
      <w:pPr>
        <w:tabs>
          <w:tab w:val="left" w:pos="7513"/>
        </w:tabs>
        <w:spacing w:line="360" w:lineRule="auto"/>
        <w:jc w:val="both"/>
      </w:pPr>
      <w:r w:rsidRPr="00884BE2">
        <w:t>Most M</w:t>
      </w:r>
      <w:r w:rsidR="002D1FB9" w:rsidRPr="00884BE2">
        <w:t>uslims will agree that pregnant women with diabetes</w:t>
      </w:r>
      <w:r w:rsidRPr="00884BE2">
        <w:t xml:space="preserve"> </w:t>
      </w:r>
      <w:r w:rsidR="002D1FB9" w:rsidRPr="00884BE2">
        <w:t>are exempt from fasting</w:t>
      </w:r>
      <w:r w:rsidR="00F406CC" w:rsidRPr="00884BE2">
        <w:t>.</w:t>
      </w:r>
      <w:r w:rsidR="00217D00" w:rsidRPr="00884BE2">
        <w:t>[14</w:t>
      </w:r>
      <w:r w:rsidR="000208EA" w:rsidRPr="00884BE2">
        <w:t>]</w:t>
      </w:r>
      <w:r w:rsidR="002D1FB9" w:rsidRPr="00884BE2">
        <w:t xml:space="preserve"> </w:t>
      </w:r>
      <w:r w:rsidR="00263F3E" w:rsidRPr="00884BE2">
        <w:t xml:space="preserve">Recommendations </w:t>
      </w:r>
      <w:r w:rsidR="002D1FB9" w:rsidRPr="00884BE2">
        <w:t xml:space="preserve">strongly advise against fasting due to the clear maternal and foetal risks associated with </w:t>
      </w:r>
      <w:r w:rsidR="002D1FB9" w:rsidRPr="00884BE2">
        <w:lastRenderedPageBreak/>
        <w:t>poor glycaemic control in pregnancy.</w:t>
      </w:r>
      <w:r w:rsidR="006E5931" w:rsidRPr="00884BE2">
        <w:t>[</w:t>
      </w:r>
      <w:r w:rsidR="00134CF1" w:rsidRPr="00884BE2">
        <w:t>49</w:t>
      </w:r>
      <w:r w:rsidR="006E5931" w:rsidRPr="00884BE2">
        <w:t>]</w:t>
      </w:r>
      <w:r w:rsidR="002D1FB9" w:rsidRPr="00884BE2">
        <w:t xml:space="preserve"> There are </w:t>
      </w:r>
      <w:r w:rsidR="008D55ED" w:rsidRPr="00884BE2">
        <w:t xml:space="preserve">no </w:t>
      </w:r>
      <w:r w:rsidR="002D1FB9" w:rsidRPr="00884BE2">
        <w:t xml:space="preserve">studies </w:t>
      </w:r>
      <w:r w:rsidR="0000308E" w:rsidRPr="00884BE2">
        <w:t xml:space="preserve">observing </w:t>
      </w:r>
      <w:r w:rsidR="002D1FB9" w:rsidRPr="00884BE2">
        <w:t xml:space="preserve">pregnant women with diabetes </w:t>
      </w:r>
      <w:r w:rsidR="0000308E" w:rsidRPr="00884BE2">
        <w:t xml:space="preserve">fasting </w:t>
      </w:r>
      <w:r w:rsidR="002D1FB9" w:rsidRPr="00884BE2">
        <w:t xml:space="preserve">in Ramadan. </w:t>
      </w:r>
    </w:p>
    <w:p w:rsidR="008D55ED" w:rsidRPr="00884BE2" w:rsidRDefault="008D55ED" w:rsidP="00511E19">
      <w:pPr>
        <w:tabs>
          <w:tab w:val="left" w:pos="7513"/>
        </w:tabs>
        <w:spacing w:line="360" w:lineRule="auto"/>
        <w:jc w:val="both"/>
        <w:rPr>
          <w:b/>
          <w:sz w:val="24"/>
        </w:rPr>
      </w:pPr>
      <w:r w:rsidRPr="00884BE2">
        <w:rPr>
          <w:b/>
          <w:sz w:val="24"/>
        </w:rPr>
        <w:t xml:space="preserve">When to break </w:t>
      </w:r>
      <w:r w:rsidR="00F406CC" w:rsidRPr="00884BE2">
        <w:rPr>
          <w:b/>
          <w:sz w:val="24"/>
        </w:rPr>
        <w:t xml:space="preserve">the </w:t>
      </w:r>
      <w:r w:rsidRPr="00884BE2">
        <w:rPr>
          <w:b/>
          <w:sz w:val="24"/>
        </w:rPr>
        <w:t>fast</w:t>
      </w:r>
    </w:p>
    <w:p w:rsidR="0000308E" w:rsidRPr="00884BE2" w:rsidRDefault="008D55ED" w:rsidP="00511E19">
      <w:pPr>
        <w:tabs>
          <w:tab w:val="left" w:pos="7513"/>
        </w:tabs>
        <w:spacing w:line="360" w:lineRule="auto"/>
        <w:jc w:val="both"/>
      </w:pPr>
      <w:r w:rsidRPr="00884BE2">
        <w:rPr>
          <w:rFonts w:cs="Helvetica"/>
          <w:szCs w:val="20"/>
        </w:rPr>
        <w:t>Many Muslims are resistant to the idea of breaking a fast. However, it is important to emphasise that the Qur’an exem</w:t>
      </w:r>
      <w:r w:rsidR="003709AF" w:rsidRPr="00884BE2">
        <w:rPr>
          <w:rFonts w:cs="Helvetica"/>
          <w:szCs w:val="20"/>
        </w:rPr>
        <w:t xml:space="preserve">pts individuals when fasting adversely affects health. Patients should be made aware of the risks </w:t>
      </w:r>
      <w:r w:rsidR="00BB79A6" w:rsidRPr="00884BE2">
        <w:rPr>
          <w:rFonts w:cs="Helvetica"/>
        </w:rPr>
        <w:t>of fasting and</w:t>
      </w:r>
      <w:r w:rsidR="003709AF" w:rsidRPr="00884BE2">
        <w:rPr>
          <w:rFonts w:cs="Helvetica"/>
        </w:rPr>
        <w:t xml:space="preserve"> the symptoms of </w:t>
      </w:r>
      <w:r w:rsidR="003709AF" w:rsidRPr="00884BE2">
        <w:t>hypoglycaemia, hyperglycaemia and dehydration</w:t>
      </w:r>
      <w:r w:rsidR="0000308E" w:rsidRPr="00884BE2">
        <w:t xml:space="preserve">, and </w:t>
      </w:r>
      <w:r w:rsidR="003709AF" w:rsidRPr="00884BE2">
        <w:t>advised on when to break their fast</w:t>
      </w:r>
      <w:r w:rsidR="00916963" w:rsidRPr="00884BE2">
        <w:t>. Our recommendations</w:t>
      </w:r>
      <w:r w:rsidR="00134CF1" w:rsidRPr="00884BE2">
        <w:t>,</w:t>
      </w:r>
      <w:r w:rsidR="00916963" w:rsidRPr="00884BE2">
        <w:t xml:space="preserve"> </w:t>
      </w:r>
      <w:r w:rsidR="00A02230" w:rsidRPr="00884BE2">
        <w:t>based on the ADA 2010 guidelines</w:t>
      </w:r>
      <w:r w:rsidR="00134CF1" w:rsidRPr="00884BE2">
        <w:t>,</w:t>
      </w:r>
      <w:r w:rsidR="00A02230" w:rsidRPr="00884BE2">
        <w:t xml:space="preserve"> </w:t>
      </w:r>
      <w:r w:rsidR="00916963" w:rsidRPr="00884BE2">
        <w:t>are s</w:t>
      </w:r>
      <w:r w:rsidR="00652337" w:rsidRPr="00884BE2">
        <w:t xml:space="preserve">ummarised </w:t>
      </w:r>
      <w:r w:rsidR="00916963" w:rsidRPr="00884BE2">
        <w:t xml:space="preserve">in </w:t>
      </w:r>
      <w:hyperlink w:anchor="Table3" w:history="1">
        <w:r w:rsidR="00916963" w:rsidRPr="00884BE2">
          <w:rPr>
            <w:rStyle w:val="Hyperlink"/>
          </w:rPr>
          <w:t xml:space="preserve">Table </w:t>
        </w:r>
        <w:r w:rsidR="00652337" w:rsidRPr="00884BE2">
          <w:rPr>
            <w:rStyle w:val="Hyperlink"/>
          </w:rPr>
          <w:t>3</w:t>
        </w:r>
      </w:hyperlink>
      <w:proofErr w:type="gramStart"/>
      <w:r w:rsidR="00A02230" w:rsidRPr="00884BE2">
        <w:rPr>
          <w:rStyle w:val="Hyperlink"/>
        </w:rPr>
        <w:t>.</w:t>
      </w:r>
      <w:r w:rsidR="00A02230" w:rsidRPr="00884BE2">
        <w:rPr>
          <w:rStyle w:val="Hyperlink"/>
          <w:color w:val="auto"/>
          <w:u w:val="none"/>
        </w:rPr>
        <w:t>[</w:t>
      </w:r>
      <w:proofErr w:type="gramEnd"/>
      <w:r w:rsidR="005026BF" w:rsidRPr="00884BE2">
        <w:rPr>
          <w:rStyle w:val="Hyperlink"/>
          <w:color w:val="auto"/>
          <w:u w:val="none"/>
        </w:rPr>
        <w:t>8</w:t>
      </w:r>
      <w:r w:rsidR="00A02230" w:rsidRPr="00884BE2">
        <w:rPr>
          <w:rStyle w:val="Hyperlink"/>
          <w:color w:val="auto"/>
          <w:u w:val="none"/>
        </w:rPr>
        <w:t>]</w:t>
      </w:r>
      <w:r w:rsidR="00C73380" w:rsidRPr="00884BE2">
        <w:t xml:space="preserve">  Patients should carry on their person treatment for hypoglycaemia</w:t>
      </w:r>
      <w:r w:rsidR="00BB79A6" w:rsidRPr="00884BE2">
        <w:t>,</w:t>
      </w:r>
      <w:r w:rsidR="00C73380" w:rsidRPr="00884BE2">
        <w:t xml:space="preserve"> </w:t>
      </w:r>
      <w:r w:rsidR="00BB79A6" w:rsidRPr="00884BE2">
        <w:t xml:space="preserve">as well as </w:t>
      </w:r>
      <w:r w:rsidR="00C73380" w:rsidRPr="00884BE2">
        <w:t xml:space="preserve">monitor blood glucose levels frequently and if they become unwell. </w:t>
      </w:r>
    </w:p>
    <w:p w:rsidR="00B05966" w:rsidRPr="00884BE2" w:rsidRDefault="00B05966" w:rsidP="00511E19">
      <w:pPr>
        <w:tabs>
          <w:tab w:val="left" w:pos="7513"/>
        </w:tabs>
        <w:autoSpaceDE w:val="0"/>
        <w:autoSpaceDN w:val="0"/>
        <w:adjustRightInd w:val="0"/>
        <w:spacing w:after="0" w:line="360" w:lineRule="auto"/>
        <w:jc w:val="both"/>
        <w:rPr>
          <w:b/>
        </w:rPr>
      </w:pPr>
      <w:r w:rsidRPr="00884BE2">
        <w:rPr>
          <w:b/>
        </w:rPr>
        <w:t>Smoking</w:t>
      </w:r>
    </w:p>
    <w:p w:rsidR="006257DC" w:rsidRPr="00884BE2" w:rsidRDefault="00B05966" w:rsidP="00F045C1">
      <w:pPr>
        <w:tabs>
          <w:tab w:val="left" w:pos="7513"/>
        </w:tabs>
        <w:autoSpaceDE w:val="0"/>
        <w:autoSpaceDN w:val="0"/>
        <w:adjustRightInd w:val="0"/>
        <w:spacing w:after="0" w:line="360" w:lineRule="auto"/>
        <w:jc w:val="both"/>
        <w:rPr>
          <w:rFonts w:cs="ArialMT-Regular"/>
          <w:szCs w:val="20"/>
        </w:rPr>
      </w:pPr>
      <w:r w:rsidRPr="00884BE2">
        <w:rPr>
          <w:rFonts w:cs="ArialMT-Regular"/>
          <w:szCs w:val="20"/>
        </w:rPr>
        <w:t>Muslims must abstain from smoking during fasting hours</w:t>
      </w:r>
      <w:r w:rsidR="0000308E" w:rsidRPr="00884BE2">
        <w:rPr>
          <w:rFonts w:cs="ArialMT-Regular"/>
          <w:szCs w:val="20"/>
        </w:rPr>
        <w:t>. T</w:t>
      </w:r>
      <w:r w:rsidRPr="00884BE2">
        <w:rPr>
          <w:rFonts w:cs="ArialMT-Regular"/>
          <w:szCs w:val="20"/>
        </w:rPr>
        <w:t>herefore</w:t>
      </w:r>
      <w:r w:rsidR="0000308E" w:rsidRPr="00884BE2">
        <w:rPr>
          <w:rFonts w:cs="ArialMT-Regular"/>
          <w:szCs w:val="20"/>
        </w:rPr>
        <w:t>, Ramadan</w:t>
      </w:r>
      <w:r w:rsidRPr="00884BE2">
        <w:rPr>
          <w:rFonts w:cs="ArialMT-Regular"/>
          <w:szCs w:val="20"/>
        </w:rPr>
        <w:t xml:space="preserve"> </w:t>
      </w:r>
      <w:r w:rsidR="007327E9" w:rsidRPr="00884BE2">
        <w:rPr>
          <w:rFonts w:cs="ArialMT-Regular"/>
          <w:szCs w:val="20"/>
        </w:rPr>
        <w:t>presents an opportune time</w:t>
      </w:r>
      <w:r w:rsidRPr="00884BE2">
        <w:rPr>
          <w:rFonts w:cs="ArialMT-Regular"/>
          <w:szCs w:val="20"/>
        </w:rPr>
        <w:t xml:space="preserve"> for smoking cessation. A study looking at smoking cessation in British Pakistani and Bangladeshi adults, showed Ramadan had a positive impact on willingness to quit smoking</w:t>
      </w:r>
      <w:proofErr w:type="gramStart"/>
      <w:r w:rsidRPr="00884BE2">
        <w:rPr>
          <w:rFonts w:cs="ArialMT-Regular"/>
          <w:szCs w:val="20"/>
        </w:rPr>
        <w:t>.[</w:t>
      </w:r>
      <w:proofErr w:type="gramEnd"/>
      <w:r w:rsidR="005026BF" w:rsidRPr="00884BE2">
        <w:rPr>
          <w:rFonts w:cs="ArialMT-Regular"/>
          <w:szCs w:val="20"/>
        </w:rPr>
        <w:t>5</w:t>
      </w:r>
      <w:r w:rsidR="00134CF1" w:rsidRPr="00884BE2">
        <w:rPr>
          <w:rFonts w:cs="ArialMT-Regular"/>
          <w:szCs w:val="20"/>
        </w:rPr>
        <w:t>0</w:t>
      </w:r>
      <w:r w:rsidRPr="00884BE2">
        <w:rPr>
          <w:rFonts w:cs="ArialMT-Regular"/>
          <w:szCs w:val="20"/>
        </w:rPr>
        <w:t>]</w:t>
      </w:r>
    </w:p>
    <w:p w:rsidR="00303106" w:rsidRPr="00884BE2" w:rsidRDefault="00303106" w:rsidP="00511E19">
      <w:pPr>
        <w:tabs>
          <w:tab w:val="left" w:pos="7513"/>
        </w:tabs>
        <w:spacing w:line="360" w:lineRule="auto"/>
        <w:jc w:val="both"/>
        <w:rPr>
          <w:b/>
          <w:bCs/>
          <w:sz w:val="24"/>
        </w:rPr>
      </w:pPr>
    </w:p>
    <w:p w:rsidR="00CF4216" w:rsidRPr="00884BE2" w:rsidRDefault="00CF4216" w:rsidP="00511E19">
      <w:pPr>
        <w:tabs>
          <w:tab w:val="left" w:pos="7513"/>
        </w:tabs>
        <w:spacing w:line="360" w:lineRule="auto"/>
        <w:jc w:val="both"/>
        <w:rPr>
          <w:rFonts w:cs="ArialMT-Regular"/>
          <w:szCs w:val="20"/>
        </w:rPr>
      </w:pPr>
      <w:r w:rsidRPr="00884BE2">
        <w:rPr>
          <w:b/>
          <w:bCs/>
          <w:sz w:val="24"/>
        </w:rPr>
        <w:t>Conclusion</w:t>
      </w:r>
    </w:p>
    <w:p w:rsidR="00197012" w:rsidRPr="00884BE2" w:rsidRDefault="00446D65" w:rsidP="00511E19">
      <w:pPr>
        <w:tabs>
          <w:tab w:val="left" w:pos="7513"/>
        </w:tabs>
        <w:spacing w:line="360" w:lineRule="auto"/>
        <w:jc w:val="both"/>
        <w:rPr>
          <w:rFonts w:cs="Verdana"/>
          <w:lang w:eastAsia="en-GB"/>
        </w:rPr>
      </w:pPr>
      <w:r w:rsidRPr="00884BE2">
        <w:rPr>
          <w:rFonts w:cs="Verdana"/>
          <w:szCs w:val="20"/>
          <w:lang w:eastAsia="en-GB"/>
        </w:rPr>
        <w:t xml:space="preserve">In our experience, most people do not appreciate the implications of </w:t>
      </w:r>
      <w:r w:rsidR="00DB0C32" w:rsidRPr="00884BE2">
        <w:rPr>
          <w:rFonts w:cs="Verdana"/>
          <w:szCs w:val="20"/>
          <w:lang w:eastAsia="en-GB"/>
        </w:rPr>
        <w:t xml:space="preserve">Ramadan </w:t>
      </w:r>
      <w:r w:rsidRPr="00884BE2">
        <w:rPr>
          <w:rFonts w:cs="Verdana"/>
          <w:szCs w:val="20"/>
          <w:lang w:eastAsia="en-GB"/>
        </w:rPr>
        <w:t xml:space="preserve">fasting on their diabetes, and that these risks are greater when the </w:t>
      </w:r>
      <w:r w:rsidR="00F045C1" w:rsidRPr="00884BE2">
        <w:rPr>
          <w:rFonts w:cs="Verdana"/>
          <w:szCs w:val="20"/>
          <w:lang w:eastAsia="en-GB"/>
        </w:rPr>
        <w:t>fast is prolonged</w:t>
      </w:r>
      <w:r w:rsidRPr="00884BE2">
        <w:rPr>
          <w:rFonts w:cs="Verdana"/>
          <w:szCs w:val="20"/>
          <w:lang w:eastAsia="en-GB"/>
        </w:rPr>
        <w:t xml:space="preserve">. If patients are </w:t>
      </w:r>
      <w:r w:rsidR="000B592F" w:rsidRPr="00884BE2">
        <w:rPr>
          <w:rFonts w:cs="Verdana"/>
          <w:szCs w:val="20"/>
          <w:lang w:eastAsia="en-GB"/>
        </w:rPr>
        <w:t xml:space="preserve">provided with </w:t>
      </w:r>
      <w:r w:rsidRPr="00884BE2">
        <w:rPr>
          <w:rFonts w:cs="Verdana"/>
          <w:szCs w:val="20"/>
          <w:lang w:eastAsia="en-GB"/>
        </w:rPr>
        <w:t xml:space="preserve">good education and support, they will be able to make informed decisions about whether to fast. Central </w:t>
      </w:r>
      <w:r w:rsidR="004618BF" w:rsidRPr="00884BE2">
        <w:rPr>
          <w:rFonts w:cs="Verdana"/>
          <w:szCs w:val="20"/>
          <w:lang w:eastAsia="en-GB"/>
        </w:rPr>
        <w:t>to this is the early assessments</w:t>
      </w:r>
      <w:r w:rsidRPr="00884BE2">
        <w:rPr>
          <w:rFonts w:cs="Verdana"/>
          <w:szCs w:val="20"/>
          <w:lang w:eastAsia="en-GB"/>
        </w:rPr>
        <w:t xml:space="preserve"> of </w:t>
      </w:r>
      <w:r w:rsidRPr="00884BE2">
        <w:rPr>
          <w:rFonts w:cs="Verdana"/>
          <w:lang w:eastAsia="en-GB"/>
        </w:rPr>
        <w:t xml:space="preserve">patients with diabetes and </w:t>
      </w:r>
      <w:r w:rsidR="00D51703" w:rsidRPr="00884BE2">
        <w:rPr>
          <w:rFonts w:cs="Verdana"/>
          <w:lang w:eastAsia="en-GB"/>
        </w:rPr>
        <w:t xml:space="preserve">individual risk stratification. This allows for those who are high risk to understand the hazards of fasting and the opportunity to abstain from fasting, as it is permissible from a religious point of view. </w:t>
      </w:r>
      <w:r w:rsidR="00DB0C32" w:rsidRPr="00884BE2">
        <w:rPr>
          <w:rFonts w:cs="Verdana"/>
          <w:lang w:eastAsia="en-GB"/>
        </w:rPr>
        <w:t>R</w:t>
      </w:r>
      <w:r w:rsidR="00D51703" w:rsidRPr="00884BE2">
        <w:rPr>
          <w:rFonts w:cs="Verdana"/>
          <w:lang w:eastAsia="en-GB"/>
        </w:rPr>
        <w:t>isk stratification</w:t>
      </w:r>
      <w:r w:rsidR="00197012" w:rsidRPr="00884BE2">
        <w:rPr>
          <w:rFonts w:cs="Verdana"/>
          <w:lang w:eastAsia="en-GB"/>
        </w:rPr>
        <w:t xml:space="preserve"> will also aid religious author</w:t>
      </w:r>
      <w:r w:rsidR="00D51703" w:rsidRPr="00884BE2">
        <w:rPr>
          <w:rFonts w:cs="Verdana"/>
          <w:lang w:eastAsia="en-GB"/>
        </w:rPr>
        <w:t>it</w:t>
      </w:r>
      <w:r w:rsidR="00197012" w:rsidRPr="00884BE2">
        <w:rPr>
          <w:rFonts w:cs="Verdana"/>
          <w:lang w:eastAsia="en-GB"/>
        </w:rPr>
        <w:t>i</w:t>
      </w:r>
      <w:r w:rsidR="00D51703" w:rsidRPr="00884BE2">
        <w:rPr>
          <w:rFonts w:cs="Verdana"/>
          <w:lang w:eastAsia="en-GB"/>
        </w:rPr>
        <w:t>es</w:t>
      </w:r>
      <w:r w:rsidR="00197012" w:rsidRPr="00884BE2">
        <w:rPr>
          <w:rFonts w:cs="Verdana"/>
          <w:lang w:eastAsia="en-GB"/>
        </w:rPr>
        <w:t xml:space="preserve"> to appreciate those at risk of fasting.</w:t>
      </w:r>
      <w:r w:rsidR="000255F1" w:rsidRPr="00884BE2">
        <w:rPr>
          <w:rFonts w:cs="Verdana"/>
          <w:lang w:eastAsia="en-GB"/>
        </w:rPr>
        <w:t xml:space="preserve"> </w:t>
      </w:r>
      <w:r w:rsidR="00197012" w:rsidRPr="00884BE2">
        <w:rPr>
          <w:rFonts w:cs="Verdana"/>
          <w:lang w:eastAsia="en-GB"/>
        </w:rPr>
        <w:t xml:space="preserve">If an individual does choose to fast, they must be </w:t>
      </w:r>
      <w:r w:rsidR="00D51703" w:rsidRPr="00884BE2">
        <w:rPr>
          <w:rFonts w:cs="Verdana"/>
          <w:lang w:eastAsia="en-GB"/>
        </w:rPr>
        <w:t>supported</w:t>
      </w:r>
      <w:r w:rsidR="00197012" w:rsidRPr="00884BE2">
        <w:rPr>
          <w:rFonts w:cs="Verdana"/>
          <w:lang w:eastAsia="en-GB"/>
        </w:rPr>
        <w:t xml:space="preserve"> </w:t>
      </w:r>
      <w:r w:rsidR="00385B10" w:rsidRPr="00884BE2">
        <w:rPr>
          <w:rFonts w:cs="Verdana"/>
          <w:lang w:eastAsia="en-GB"/>
        </w:rPr>
        <w:t>by health</w:t>
      </w:r>
      <w:r w:rsidR="00DB0C32" w:rsidRPr="00884BE2">
        <w:rPr>
          <w:rFonts w:cs="Verdana"/>
          <w:lang w:eastAsia="en-GB"/>
        </w:rPr>
        <w:t>-</w:t>
      </w:r>
      <w:r w:rsidR="00385B10" w:rsidRPr="00884BE2">
        <w:rPr>
          <w:rFonts w:cs="Verdana"/>
          <w:lang w:eastAsia="en-GB"/>
        </w:rPr>
        <w:t xml:space="preserve">care professionals </w:t>
      </w:r>
      <w:r w:rsidR="00197012" w:rsidRPr="00884BE2">
        <w:rPr>
          <w:rFonts w:cs="Verdana"/>
          <w:lang w:eastAsia="en-GB"/>
        </w:rPr>
        <w:t>and advised how</w:t>
      </w:r>
      <w:r w:rsidR="00D51703" w:rsidRPr="00884BE2">
        <w:rPr>
          <w:rFonts w:cs="Verdana"/>
          <w:lang w:eastAsia="en-GB"/>
        </w:rPr>
        <w:t xml:space="preserve"> to </w:t>
      </w:r>
      <w:r w:rsidR="00197012" w:rsidRPr="00884BE2">
        <w:rPr>
          <w:rFonts w:cs="Verdana"/>
          <w:lang w:eastAsia="en-GB"/>
        </w:rPr>
        <w:t>fast</w:t>
      </w:r>
      <w:r w:rsidR="00D51703" w:rsidRPr="00884BE2">
        <w:rPr>
          <w:rFonts w:cs="Verdana"/>
          <w:lang w:eastAsia="en-GB"/>
        </w:rPr>
        <w:t xml:space="preserve"> safely</w:t>
      </w:r>
      <w:r w:rsidR="00197012" w:rsidRPr="00884BE2">
        <w:rPr>
          <w:rFonts w:cs="Verdana"/>
          <w:lang w:eastAsia="en-GB"/>
        </w:rPr>
        <w:t>, with adjustments made to medications as necessary</w:t>
      </w:r>
      <w:r w:rsidR="00D51703" w:rsidRPr="00884BE2">
        <w:rPr>
          <w:rFonts w:cs="Verdana"/>
          <w:lang w:eastAsia="en-GB"/>
        </w:rPr>
        <w:t xml:space="preserve">. </w:t>
      </w:r>
    </w:p>
    <w:p w:rsidR="00E54ECB" w:rsidRPr="00884BE2" w:rsidRDefault="00303106" w:rsidP="00511E19">
      <w:pPr>
        <w:tabs>
          <w:tab w:val="left" w:pos="7513"/>
        </w:tabs>
        <w:spacing w:line="360" w:lineRule="auto"/>
        <w:jc w:val="both"/>
        <w:rPr>
          <w:bCs/>
        </w:rPr>
      </w:pPr>
      <w:r w:rsidRPr="00884BE2">
        <w:rPr>
          <w:bCs/>
        </w:rPr>
        <w:t>T</w:t>
      </w:r>
      <w:r w:rsidR="00197012" w:rsidRPr="00884BE2">
        <w:rPr>
          <w:bCs/>
        </w:rPr>
        <w:t>here is still insufficient evidence available</w:t>
      </w:r>
      <w:r w:rsidR="00C13E42" w:rsidRPr="00884BE2">
        <w:rPr>
          <w:bCs/>
        </w:rPr>
        <w:t>, with some data published on DPP-IV and GLP-1 analogues but none to date on SGLT2 inhibitors during Ramadan,</w:t>
      </w:r>
      <w:r w:rsidR="00197012" w:rsidRPr="00884BE2">
        <w:rPr>
          <w:bCs/>
        </w:rPr>
        <w:t xml:space="preserve"> more research</w:t>
      </w:r>
      <w:r w:rsidR="00DB0C32" w:rsidRPr="00884BE2">
        <w:rPr>
          <w:bCs/>
        </w:rPr>
        <w:t>, including</w:t>
      </w:r>
      <w:r w:rsidR="00197012" w:rsidRPr="00884BE2">
        <w:rPr>
          <w:bCs/>
        </w:rPr>
        <w:t xml:space="preserve"> </w:t>
      </w:r>
      <w:r w:rsidR="00DB0C32" w:rsidRPr="00884BE2">
        <w:rPr>
          <w:bCs/>
        </w:rPr>
        <w:t xml:space="preserve">RCTs particularly with new and emerging therapies, </w:t>
      </w:r>
      <w:r w:rsidR="00197012" w:rsidRPr="00884BE2">
        <w:rPr>
          <w:bCs/>
        </w:rPr>
        <w:t>is required</w:t>
      </w:r>
      <w:r w:rsidR="004B22AA" w:rsidRPr="00884BE2">
        <w:rPr>
          <w:bCs/>
        </w:rPr>
        <w:t xml:space="preserve"> for best medical management of diabetes during Ramadan</w:t>
      </w:r>
      <w:r w:rsidR="00DB0C32" w:rsidRPr="00884BE2">
        <w:rPr>
          <w:bCs/>
        </w:rPr>
        <w:t xml:space="preserve"> (</w:t>
      </w:r>
      <w:hyperlink w:anchor="Table6" w:history="1">
        <w:r w:rsidR="00DB0C32" w:rsidRPr="00884BE2">
          <w:rPr>
            <w:rStyle w:val="Hyperlink"/>
            <w:bCs/>
          </w:rPr>
          <w:t>table 6</w:t>
        </w:r>
      </w:hyperlink>
      <w:r w:rsidR="00DB0C32" w:rsidRPr="00884BE2">
        <w:rPr>
          <w:bCs/>
        </w:rPr>
        <w:t>)</w:t>
      </w:r>
      <w:r w:rsidR="00C13E42" w:rsidRPr="00884BE2">
        <w:rPr>
          <w:bCs/>
        </w:rPr>
        <w:t xml:space="preserve">. </w:t>
      </w:r>
    </w:p>
    <w:p w:rsidR="006A559D" w:rsidRPr="00884BE2" w:rsidRDefault="00197012" w:rsidP="00E54ECB">
      <w:pPr>
        <w:tabs>
          <w:tab w:val="left" w:pos="7513"/>
        </w:tabs>
        <w:spacing w:line="360" w:lineRule="auto"/>
        <w:jc w:val="both"/>
        <w:rPr>
          <w:rFonts w:cs="ArialMT-Regular"/>
        </w:rPr>
      </w:pPr>
      <w:r w:rsidRPr="00884BE2">
        <w:rPr>
          <w:bCs/>
        </w:rPr>
        <w:t>The current best practice is to ensure patients are reviewed sufficiently well in advance, their risk of fasting</w:t>
      </w:r>
      <w:r w:rsidR="004B22AA" w:rsidRPr="00884BE2">
        <w:rPr>
          <w:bCs/>
        </w:rPr>
        <w:t xml:space="preserve"> </w:t>
      </w:r>
      <w:r w:rsidRPr="00884BE2">
        <w:rPr>
          <w:bCs/>
        </w:rPr>
        <w:t>is calculated and then they have an individualised approach for best management.</w:t>
      </w:r>
      <w:r w:rsidR="00E54ECB" w:rsidRPr="00884BE2">
        <w:rPr>
          <w:bCs/>
        </w:rPr>
        <w:t xml:space="preserve"> R</w:t>
      </w:r>
      <w:r w:rsidR="00C56FE8" w:rsidRPr="00884BE2">
        <w:rPr>
          <w:rFonts w:cs="ArialMT-Regular"/>
        </w:rPr>
        <w:t xml:space="preserve">amadan </w:t>
      </w:r>
      <w:r w:rsidR="00E54ECB" w:rsidRPr="00884BE2">
        <w:rPr>
          <w:rFonts w:cs="ArialMT-Regular"/>
        </w:rPr>
        <w:t>is</w:t>
      </w:r>
      <w:r w:rsidR="00C56FE8" w:rsidRPr="00884BE2">
        <w:rPr>
          <w:rFonts w:cs="ArialMT-Regular"/>
        </w:rPr>
        <w:t xml:space="preserve"> a great opportunity to </w:t>
      </w:r>
      <w:r w:rsidRPr="00884BE2">
        <w:rPr>
          <w:rFonts w:cs="ArialMT-Regular"/>
        </w:rPr>
        <w:t xml:space="preserve">address </w:t>
      </w:r>
      <w:r w:rsidR="00C56FE8" w:rsidRPr="00884BE2">
        <w:rPr>
          <w:rFonts w:cs="ArialMT-Regular"/>
        </w:rPr>
        <w:t xml:space="preserve">healthy lifestyle </w:t>
      </w:r>
      <w:r w:rsidRPr="00884BE2">
        <w:rPr>
          <w:rFonts w:cs="ArialMT-Regular"/>
        </w:rPr>
        <w:t xml:space="preserve">with patients, by advising about healthy </w:t>
      </w:r>
      <w:r w:rsidR="00C56FE8" w:rsidRPr="00884BE2">
        <w:rPr>
          <w:rFonts w:cs="ArialMT-Regular"/>
        </w:rPr>
        <w:t xml:space="preserve">eating habits, </w:t>
      </w:r>
      <w:r w:rsidRPr="00884BE2">
        <w:rPr>
          <w:rFonts w:cs="ArialMT-Regular"/>
        </w:rPr>
        <w:t xml:space="preserve">smoking cessation and </w:t>
      </w:r>
      <w:r w:rsidR="00C56FE8" w:rsidRPr="00884BE2">
        <w:rPr>
          <w:rFonts w:cs="ArialMT-Regular"/>
        </w:rPr>
        <w:t>improv</w:t>
      </w:r>
      <w:r w:rsidRPr="00884BE2">
        <w:rPr>
          <w:rFonts w:cs="ArialMT-Regular"/>
        </w:rPr>
        <w:t xml:space="preserve">ing </w:t>
      </w:r>
      <w:r w:rsidR="00C56FE8" w:rsidRPr="00884BE2">
        <w:rPr>
          <w:rFonts w:cs="ArialMT-Regular"/>
        </w:rPr>
        <w:t>self-contro</w:t>
      </w:r>
      <w:r w:rsidRPr="00884BE2">
        <w:rPr>
          <w:rFonts w:cs="ArialMT-Regular"/>
        </w:rPr>
        <w:t>l, which is central to Ramadan</w:t>
      </w:r>
      <w:r w:rsidR="00C56FE8" w:rsidRPr="00884BE2">
        <w:rPr>
          <w:rFonts w:cs="ArialMT-Regular"/>
        </w:rPr>
        <w:t xml:space="preserve">. </w:t>
      </w:r>
    </w:p>
    <w:p w:rsidR="00446D65" w:rsidRPr="00884BE2" w:rsidRDefault="00446D65" w:rsidP="00B4470C">
      <w:pPr>
        <w:spacing w:line="360" w:lineRule="auto"/>
        <w:jc w:val="both"/>
        <w:rPr>
          <w:rFonts w:cs="Verdana"/>
          <w:sz w:val="20"/>
          <w:szCs w:val="20"/>
          <w:lang w:eastAsia="en-GB"/>
        </w:rPr>
      </w:pPr>
    </w:p>
    <w:p w:rsidR="007F0DD4" w:rsidRPr="00884BE2" w:rsidRDefault="007F0DD4" w:rsidP="00B4470C">
      <w:pPr>
        <w:spacing w:line="360" w:lineRule="auto"/>
        <w:jc w:val="both"/>
        <w:rPr>
          <w:rFonts w:cs="Verdana"/>
          <w:sz w:val="20"/>
          <w:szCs w:val="20"/>
          <w:lang w:eastAsia="en-GB"/>
        </w:rPr>
      </w:pPr>
    </w:p>
    <w:p w:rsidR="007F0DD4" w:rsidRPr="00884BE2" w:rsidRDefault="007F0DD4" w:rsidP="00B4470C">
      <w:pPr>
        <w:autoSpaceDE w:val="0"/>
        <w:autoSpaceDN w:val="0"/>
        <w:adjustRightInd w:val="0"/>
        <w:spacing w:after="0" w:line="360" w:lineRule="auto"/>
        <w:jc w:val="both"/>
        <w:rPr>
          <w:b/>
          <w:sz w:val="20"/>
        </w:rPr>
      </w:pPr>
      <w:r w:rsidRPr="00884BE2">
        <w:rPr>
          <w:rFonts w:cs="Verdana"/>
          <w:sz w:val="20"/>
          <w:szCs w:val="20"/>
          <w:lang w:eastAsia="en-GB"/>
        </w:rPr>
        <w:br w:type="page"/>
      </w:r>
      <w:bookmarkStart w:id="0" w:name="Table1"/>
      <w:r w:rsidRPr="00884BE2">
        <w:rPr>
          <w:b/>
          <w:sz w:val="20"/>
        </w:rPr>
        <w:lastRenderedPageBreak/>
        <w:t xml:space="preserve">Table 1: </w:t>
      </w:r>
      <w:r w:rsidR="00595563" w:rsidRPr="00884BE2">
        <w:rPr>
          <w:b/>
          <w:sz w:val="20"/>
        </w:rPr>
        <w:t>Topics to be covered in the pre-Ramadan medical assessment</w:t>
      </w:r>
    </w:p>
    <w:p w:rsidR="00106E6B" w:rsidRPr="00884BE2" w:rsidRDefault="00106E6B" w:rsidP="00B4470C">
      <w:pPr>
        <w:autoSpaceDE w:val="0"/>
        <w:autoSpaceDN w:val="0"/>
        <w:adjustRightInd w:val="0"/>
        <w:spacing w:after="0" w:line="360" w:lineRule="auto"/>
        <w:jc w:val="both"/>
        <w:rPr>
          <w:rFonts w:cs="ArialMT-Regular"/>
          <w:szCs w:val="20"/>
        </w:rPr>
      </w:pPr>
    </w:p>
    <w:tbl>
      <w:tblPr>
        <w:tblStyle w:val="TableGrid"/>
        <w:tblW w:w="0" w:type="auto"/>
        <w:tblLook w:val="04A0" w:firstRow="1" w:lastRow="0" w:firstColumn="1" w:lastColumn="0" w:noHBand="0" w:noVBand="1"/>
      </w:tblPr>
      <w:tblGrid>
        <w:gridCol w:w="2376"/>
        <w:gridCol w:w="6804"/>
      </w:tblGrid>
      <w:tr w:rsidR="00595563" w:rsidRPr="00884BE2" w:rsidTr="00595563">
        <w:tc>
          <w:tcPr>
            <w:tcW w:w="2376" w:type="dxa"/>
          </w:tcPr>
          <w:bookmarkEnd w:id="0"/>
          <w:p w:rsidR="00595563" w:rsidRPr="00884BE2" w:rsidRDefault="00595563" w:rsidP="00B4470C">
            <w:pPr>
              <w:spacing w:line="360" w:lineRule="auto"/>
              <w:jc w:val="both"/>
              <w:rPr>
                <w:b/>
                <w:sz w:val="20"/>
              </w:rPr>
            </w:pPr>
            <w:r w:rsidRPr="00884BE2">
              <w:rPr>
                <w:b/>
                <w:sz w:val="20"/>
              </w:rPr>
              <w:t>Topics</w:t>
            </w:r>
          </w:p>
        </w:tc>
        <w:tc>
          <w:tcPr>
            <w:tcW w:w="6804" w:type="dxa"/>
          </w:tcPr>
          <w:p w:rsidR="00595563" w:rsidRPr="00884BE2" w:rsidRDefault="00595563" w:rsidP="00B4470C">
            <w:pPr>
              <w:spacing w:line="360" w:lineRule="auto"/>
              <w:jc w:val="both"/>
              <w:rPr>
                <w:b/>
                <w:sz w:val="18"/>
              </w:rPr>
            </w:pPr>
            <w:r w:rsidRPr="00884BE2">
              <w:rPr>
                <w:b/>
                <w:sz w:val="20"/>
              </w:rPr>
              <w:t>Notes</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 xml:space="preserve">Full annual review </w:t>
            </w:r>
          </w:p>
        </w:tc>
        <w:tc>
          <w:tcPr>
            <w:tcW w:w="6804" w:type="dxa"/>
          </w:tcPr>
          <w:p w:rsidR="00595563" w:rsidRPr="00884BE2" w:rsidRDefault="00595563" w:rsidP="00B4470C">
            <w:pPr>
              <w:spacing w:line="360" w:lineRule="auto"/>
              <w:jc w:val="both"/>
              <w:rPr>
                <w:sz w:val="18"/>
              </w:rPr>
            </w:pPr>
            <w:r w:rsidRPr="00884BE2">
              <w:rPr>
                <w:sz w:val="18"/>
              </w:rPr>
              <w:t>This should include BP, and checking for diabetic complications involving feet and eyes.</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Investigations</w:t>
            </w:r>
          </w:p>
        </w:tc>
        <w:tc>
          <w:tcPr>
            <w:tcW w:w="6804" w:type="dxa"/>
          </w:tcPr>
          <w:p w:rsidR="00595563" w:rsidRPr="00884BE2" w:rsidRDefault="00595563" w:rsidP="00B4470C">
            <w:pPr>
              <w:spacing w:line="360" w:lineRule="auto"/>
              <w:jc w:val="both"/>
              <w:rPr>
                <w:sz w:val="18"/>
              </w:rPr>
            </w:pPr>
            <w:r w:rsidRPr="00884BE2">
              <w:rPr>
                <w:sz w:val="18"/>
              </w:rPr>
              <w:t>Bloods (HbA1c, lipid profile, renal function) and urinary ACR.</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Risk stratification</w:t>
            </w:r>
          </w:p>
        </w:tc>
        <w:tc>
          <w:tcPr>
            <w:tcW w:w="6804" w:type="dxa"/>
          </w:tcPr>
          <w:p w:rsidR="00595563" w:rsidRPr="00884BE2" w:rsidRDefault="00595563" w:rsidP="00B4470C">
            <w:pPr>
              <w:spacing w:line="360" w:lineRule="auto"/>
              <w:jc w:val="both"/>
              <w:rPr>
                <w:sz w:val="18"/>
              </w:rPr>
            </w:pPr>
            <w:r w:rsidRPr="00884BE2">
              <w:rPr>
                <w:sz w:val="18"/>
              </w:rPr>
              <w:t>Assess suitability to fast (see table 2).</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 xml:space="preserve">Risks of fasting </w:t>
            </w:r>
          </w:p>
        </w:tc>
        <w:tc>
          <w:tcPr>
            <w:tcW w:w="6804" w:type="dxa"/>
          </w:tcPr>
          <w:p w:rsidR="00595563" w:rsidRPr="00884BE2" w:rsidRDefault="00595563" w:rsidP="00B4470C">
            <w:pPr>
              <w:spacing w:line="360" w:lineRule="auto"/>
              <w:jc w:val="both"/>
              <w:rPr>
                <w:sz w:val="18"/>
              </w:rPr>
            </w:pPr>
            <w:r w:rsidRPr="00884BE2">
              <w:rPr>
                <w:sz w:val="18"/>
              </w:rPr>
              <w:t>Advice about potential risks of fasting and when to stop fasting.</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Medication review</w:t>
            </w:r>
          </w:p>
        </w:tc>
        <w:tc>
          <w:tcPr>
            <w:tcW w:w="6804" w:type="dxa"/>
          </w:tcPr>
          <w:p w:rsidR="00595563" w:rsidRPr="00884BE2" w:rsidRDefault="00595563" w:rsidP="00B4470C">
            <w:pPr>
              <w:spacing w:line="360" w:lineRule="auto"/>
              <w:jc w:val="both"/>
              <w:rPr>
                <w:sz w:val="18"/>
              </w:rPr>
            </w:pPr>
            <w:r w:rsidRPr="00884BE2">
              <w:rPr>
                <w:sz w:val="18"/>
              </w:rPr>
              <w:t>Review of all medications and alteration of medications should be made for safe fasting.</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Blood glucose monitoring</w:t>
            </w:r>
          </w:p>
        </w:tc>
        <w:tc>
          <w:tcPr>
            <w:tcW w:w="6804" w:type="dxa"/>
          </w:tcPr>
          <w:p w:rsidR="00595563" w:rsidRPr="00884BE2" w:rsidRDefault="00595563" w:rsidP="00B4470C">
            <w:pPr>
              <w:spacing w:line="360" w:lineRule="auto"/>
              <w:jc w:val="both"/>
              <w:rPr>
                <w:sz w:val="18"/>
              </w:rPr>
            </w:pPr>
            <w:r w:rsidRPr="00884BE2">
              <w:rPr>
                <w:sz w:val="18"/>
              </w:rPr>
              <w:t>Patients should be advised to monitor their blood glucose levels more frequently and reminded that this does not break the fast.</w:t>
            </w:r>
          </w:p>
        </w:tc>
      </w:tr>
      <w:tr w:rsidR="00595563" w:rsidRPr="00884BE2" w:rsidTr="00595563">
        <w:tc>
          <w:tcPr>
            <w:tcW w:w="2376" w:type="dxa"/>
          </w:tcPr>
          <w:p w:rsidR="00595563" w:rsidRPr="00884BE2" w:rsidRDefault="00595563" w:rsidP="00B4470C">
            <w:pPr>
              <w:spacing w:line="360" w:lineRule="auto"/>
              <w:jc w:val="both"/>
              <w:rPr>
                <w:sz w:val="18"/>
              </w:rPr>
            </w:pPr>
            <w:r w:rsidRPr="00884BE2">
              <w:rPr>
                <w:sz w:val="18"/>
              </w:rPr>
              <w:t>Dietary advice</w:t>
            </w:r>
          </w:p>
        </w:tc>
        <w:tc>
          <w:tcPr>
            <w:tcW w:w="6804" w:type="dxa"/>
          </w:tcPr>
          <w:p w:rsidR="00595563" w:rsidRPr="00884BE2" w:rsidRDefault="00595563" w:rsidP="00B4470C">
            <w:pPr>
              <w:spacing w:line="360" w:lineRule="auto"/>
              <w:jc w:val="both"/>
              <w:rPr>
                <w:sz w:val="18"/>
              </w:rPr>
            </w:pPr>
            <w:r w:rsidRPr="00884BE2">
              <w:rPr>
                <w:sz w:val="18"/>
              </w:rPr>
              <w:t xml:space="preserve">Advice regarding </w:t>
            </w:r>
            <w:r w:rsidR="005707EF" w:rsidRPr="00884BE2">
              <w:rPr>
                <w:sz w:val="18"/>
              </w:rPr>
              <w:t>sensible</w:t>
            </w:r>
            <w:r w:rsidRPr="00884BE2">
              <w:rPr>
                <w:sz w:val="18"/>
              </w:rPr>
              <w:t xml:space="preserve"> </w:t>
            </w:r>
            <w:r w:rsidR="005707EF" w:rsidRPr="00884BE2">
              <w:rPr>
                <w:sz w:val="18"/>
              </w:rPr>
              <w:t xml:space="preserve">eating </w:t>
            </w:r>
            <w:r w:rsidRPr="00884BE2">
              <w:rPr>
                <w:sz w:val="18"/>
              </w:rPr>
              <w:t>and avoiding food high in fat and sugar (often eaten indulgently a</w:t>
            </w:r>
            <w:r w:rsidR="005707EF" w:rsidRPr="00884BE2">
              <w:rPr>
                <w:sz w:val="18"/>
              </w:rPr>
              <w:t xml:space="preserve">t </w:t>
            </w:r>
            <w:proofErr w:type="spellStart"/>
            <w:r w:rsidR="005707EF" w:rsidRPr="00884BE2">
              <w:rPr>
                <w:sz w:val="18"/>
              </w:rPr>
              <w:t>Iftar</w:t>
            </w:r>
            <w:proofErr w:type="spellEnd"/>
            <w:r w:rsidR="005707EF" w:rsidRPr="00884BE2">
              <w:rPr>
                <w:sz w:val="18"/>
              </w:rPr>
              <w:t>)</w:t>
            </w:r>
            <w:r w:rsidRPr="00884BE2">
              <w:rPr>
                <w:sz w:val="18"/>
              </w:rPr>
              <w:t>.</w:t>
            </w:r>
          </w:p>
          <w:p w:rsidR="00595563" w:rsidRPr="00884BE2" w:rsidRDefault="00595563" w:rsidP="00B4470C">
            <w:pPr>
              <w:spacing w:line="360" w:lineRule="auto"/>
              <w:jc w:val="both"/>
              <w:rPr>
                <w:sz w:val="18"/>
              </w:rPr>
            </w:pPr>
            <w:r w:rsidRPr="00884BE2">
              <w:rPr>
                <w:sz w:val="18"/>
              </w:rPr>
              <w:t>In hot climates and countries where fasting lengths are long, such as the UK, avoid dehydration</w:t>
            </w:r>
            <w:r w:rsidR="005707EF" w:rsidRPr="00884BE2">
              <w:rPr>
                <w:sz w:val="18"/>
              </w:rPr>
              <w:t>, by advising</w:t>
            </w:r>
            <w:r w:rsidRPr="00884BE2">
              <w:rPr>
                <w:sz w:val="18"/>
              </w:rPr>
              <w:t xml:space="preserve"> to h</w:t>
            </w:r>
            <w:r w:rsidR="005707EF" w:rsidRPr="00884BE2">
              <w:rPr>
                <w:sz w:val="18"/>
              </w:rPr>
              <w:t>ave good fluid intake during</w:t>
            </w:r>
            <w:r w:rsidRPr="00884BE2">
              <w:rPr>
                <w:sz w:val="18"/>
              </w:rPr>
              <w:t xml:space="preserve"> permissible hours</w:t>
            </w:r>
            <w:r w:rsidR="005707EF" w:rsidRPr="00884BE2">
              <w:rPr>
                <w:sz w:val="18"/>
              </w:rPr>
              <w:t>.</w:t>
            </w:r>
          </w:p>
          <w:p w:rsidR="00595563" w:rsidRPr="00884BE2" w:rsidRDefault="00595563" w:rsidP="00B4470C">
            <w:pPr>
              <w:spacing w:line="360" w:lineRule="auto"/>
              <w:jc w:val="both"/>
              <w:rPr>
                <w:sz w:val="18"/>
              </w:rPr>
            </w:pPr>
            <w:r w:rsidRPr="00884BE2">
              <w:rPr>
                <w:sz w:val="18"/>
              </w:rPr>
              <w:t>Fluids should be sugar- and caffeine-free drinks.</w:t>
            </w:r>
          </w:p>
        </w:tc>
      </w:tr>
      <w:tr w:rsidR="00595563" w:rsidRPr="00884BE2" w:rsidTr="00595563">
        <w:tc>
          <w:tcPr>
            <w:tcW w:w="2376" w:type="dxa"/>
          </w:tcPr>
          <w:p w:rsidR="00595563" w:rsidRPr="00884BE2" w:rsidRDefault="005707EF" w:rsidP="00B4470C">
            <w:pPr>
              <w:spacing w:line="360" w:lineRule="auto"/>
              <w:jc w:val="both"/>
              <w:rPr>
                <w:sz w:val="18"/>
              </w:rPr>
            </w:pPr>
            <w:r w:rsidRPr="00884BE2">
              <w:rPr>
                <w:sz w:val="18"/>
              </w:rPr>
              <w:t xml:space="preserve">Exercise and </w:t>
            </w:r>
            <w:proofErr w:type="spellStart"/>
            <w:r w:rsidRPr="00884BE2">
              <w:rPr>
                <w:sz w:val="18"/>
              </w:rPr>
              <w:t>Taraweeh</w:t>
            </w:r>
            <w:proofErr w:type="spellEnd"/>
            <w:r w:rsidRPr="00884BE2">
              <w:rPr>
                <w:sz w:val="18"/>
              </w:rPr>
              <w:t xml:space="preserve"> prayers</w:t>
            </w:r>
          </w:p>
        </w:tc>
        <w:tc>
          <w:tcPr>
            <w:tcW w:w="6804" w:type="dxa"/>
          </w:tcPr>
          <w:p w:rsidR="005707EF" w:rsidRPr="00884BE2" w:rsidRDefault="005707EF" w:rsidP="00B4470C">
            <w:pPr>
              <w:spacing w:line="360" w:lineRule="auto"/>
              <w:jc w:val="both"/>
              <w:rPr>
                <w:sz w:val="18"/>
              </w:rPr>
            </w:pPr>
            <w:r w:rsidRPr="00884BE2">
              <w:rPr>
                <w:sz w:val="18"/>
              </w:rPr>
              <w:t>Regular light and moderate exerci</w:t>
            </w:r>
            <w:r w:rsidR="00C63462" w:rsidRPr="00884BE2">
              <w:rPr>
                <w:sz w:val="18"/>
              </w:rPr>
              <w:t>se is generally considered safe</w:t>
            </w:r>
            <w:r w:rsidRPr="00884BE2">
              <w:rPr>
                <w:sz w:val="18"/>
              </w:rPr>
              <w:t xml:space="preserve">. </w:t>
            </w:r>
          </w:p>
          <w:p w:rsidR="005707EF" w:rsidRPr="00884BE2" w:rsidRDefault="005707EF" w:rsidP="00B4470C">
            <w:pPr>
              <w:spacing w:line="360" w:lineRule="auto"/>
              <w:jc w:val="both"/>
              <w:rPr>
                <w:sz w:val="18"/>
              </w:rPr>
            </w:pPr>
            <w:r w:rsidRPr="00884BE2">
              <w:rPr>
                <w:sz w:val="18"/>
              </w:rPr>
              <w:t>Rigorous exercise is not recommended, as this increases the risk of hypoglycaemia, especially if on insulin or oral hypoglycaemic agents.</w:t>
            </w:r>
          </w:p>
          <w:p w:rsidR="005707EF" w:rsidRPr="00884BE2" w:rsidRDefault="005707EF" w:rsidP="00B4470C">
            <w:pPr>
              <w:spacing w:line="360" w:lineRule="auto"/>
              <w:jc w:val="both"/>
              <w:rPr>
                <w:sz w:val="18"/>
              </w:rPr>
            </w:pPr>
            <w:r w:rsidRPr="00884BE2">
              <w:rPr>
                <w:sz w:val="18"/>
              </w:rPr>
              <w:t xml:space="preserve">Many Muslims participate in </w:t>
            </w:r>
            <w:proofErr w:type="spellStart"/>
            <w:r w:rsidRPr="00884BE2">
              <w:rPr>
                <w:sz w:val="18"/>
              </w:rPr>
              <w:t>Taraweeh</w:t>
            </w:r>
            <w:proofErr w:type="spellEnd"/>
            <w:r w:rsidRPr="00884BE2">
              <w:rPr>
                <w:sz w:val="18"/>
              </w:rPr>
              <w:t xml:space="preserve"> prayers (nightly special prayers held in the month of Ramadan involving the repeated cycle of rising, kneeling and bowing).  Often people will walk to the mosque for these prayers. These should be taken into consideration and accounted for in their exercise regime.</w:t>
            </w:r>
          </w:p>
          <w:p w:rsidR="00595563" w:rsidRPr="00884BE2" w:rsidRDefault="005707EF" w:rsidP="0010798F">
            <w:pPr>
              <w:spacing w:line="360" w:lineRule="auto"/>
              <w:jc w:val="both"/>
              <w:rPr>
                <w:sz w:val="18"/>
              </w:rPr>
            </w:pPr>
            <w:r w:rsidRPr="00884BE2">
              <w:rPr>
                <w:sz w:val="18"/>
              </w:rPr>
              <w:t xml:space="preserve">Individuals should carry water and treatment </w:t>
            </w:r>
            <w:r w:rsidR="0010798F" w:rsidRPr="00884BE2">
              <w:rPr>
                <w:sz w:val="18"/>
              </w:rPr>
              <w:t>for</w:t>
            </w:r>
            <w:r w:rsidRPr="00884BE2">
              <w:rPr>
                <w:sz w:val="18"/>
              </w:rPr>
              <w:t xml:space="preserve"> hypoglycaemic events</w:t>
            </w:r>
            <w:r w:rsidR="0010798F" w:rsidRPr="00884BE2">
              <w:rPr>
                <w:sz w:val="18"/>
              </w:rPr>
              <w:t>, such</w:t>
            </w:r>
            <w:r w:rsidR="0017668F" w:rsidRPr="00884BE2">
              <w:rPr>
                <w:sz w:val="18"/>
              </w:rPr>
              <w:t xml:space="preserve"> as rapid acting carbohydrate drinks</w:t>
            </w:r>
            <w:r w:rsidRPr="00884BE2">
              <w:rPr>
                <w:sz w:val="18"/>
              </w:rPr>
              <w:t>.</w:t>
            </w:r>
            <w:r w:rsidR="008E4308" w:rsidRPr="00884BE2">
              <w:rPr>
                <w:sz w:val="18"/>
              </w:rPr>
              <w:t>[</w:t>
            </w:r>
            <w:r w:rsidR="00C63462" w:rsidRPr="00884BE2">
              <w:rPr>
                <w:sz w:val="18"/>
              </w:rPr>
              <w:t>7</w:t>
            </w:r>
            <w:r w:rsidRPr="00884BE2">
              <w:rPr>
                <w:sz w:val="18"/>
              </w:rPr>
              <w:t>]</w:t>
            </w:r>
          </w:p>
        </w:tc>
      </w:tr>
      <w:tr w:rsidR="00595563" w:rsidRPr="00884BE2" w:rsidTr="00595563">
        <w:tc>
          <w:tcPr>
            <w:tcW w:w="2376" w:type="dxa"/>
          </w:tcPr>
          <w:p w:rsidR="00595563" w:rsidRPr="00884BE2" w:rsidRDefault="005707EF" w:rsidP="00B4470C">
            <w:pPr>
              <w:spacing w:line="360" w:lineRule="auto"/>
              <w:jc w:val="both"/>
              <w:rPr>
                <w:sz w:val="18"/>
              </w:rPr>
            </w:pPr>
            <w:r w:rsidRPr="00884BE2">
              <w:rPr>
                <w:sz w:val="18"/>
              </w:rPr>
              <w:t>Smoking cessation</w:t>
            </w:r>
          </w:p>
        </w:tc>
        <w:tc>
          <w:tcPr>
            <w:tcW w:w="6804" w:type="dxa"/>
          </w:tcPr>
          <w:p w:rsidR="00595563" w:rsidRPr="00884BE2" w:rsidRDefault="005707EF" w:rsidP="00B4470C">
            <w:pPr>
              <w:spacing w:line="360" w:lineRule="auto"/>
              <w:jc w:val="both"/>
              <w:rPr>
                <w:sz w:val="18"/>
              </w:rPr>
            </w:pPr>
            <w:r w:rsidRPr="00884BE2">
              <w:rPr>
                <w:sz w:val="18"/>
              </w:rPr>
              <w:t xml:space="preserve">Muslims must abstain from smoking during fasting hours and therefore Ramadan is an opportune time for smoking cessation. </w:t>
            </w:r>
          </w:p>
        </w:tc>
      </w:tr>
      <w:tr w:rsidR="00595563" w:rsidRPr="00884BE2" w:rsidTr="00595563">
        <w:tc>
          <w:tcPr>
            <w:tcW w:w="2376" w:type="dxa"/>
          </w:tcPr>
          <w:p w:rsidR="00595563" w:rsidRPr="00884BE2" w:rsidRDefault="005707EF" w:rsidP="00B4470C">
            <w:pPr>
              <w:spacing w:line="360" w:lineRule="auto"/>
              <w:jc w:val="both"/>
              <w:rPr>
                <w:sz w:val="18"/>
              </w:rPr>
            </w:pPr>
            <w:r w:rsidRPr="00884BE2">
              <w:rPr>
                <w:sz w:val="18"/>
              </w:rPr>
              <w:t>Travel</w:t>
            </w:r>
          </w:p>
        </w:tc>
        <w:tc>
          <w:tcPr>
            <w:tcW w:w="6804" w:type="dxa"/>
          </w:tcPr>
          <w:p w:rsidR="00595563" w:rsidRPr="00884BE2" w:rsidRDefault="005707EF" w:rsidP="00B4470C">
            <w:pPr>
              <w:spacing w:line="360" w:lineRule="auto"/>
              <w:jc w:val="both"/>
              <w:rPr>
                <w:sz w:val="18"/>
              </w:rPr>
            </w:pPr>
            <w:r w:rsidRPr="00884BE2">
              <w:rPr>
                <w:sz w:val="18"/>
              </w:rPr>
              <w:t>It is generally accepted by most Muslims and religious scholars that whilst travelling, an individual is exempt from fasting</w:t>
            </w:r>
            <w:proofErr w:type="gramStart"/>
            <w:r w:rsidRPr="00884BE2">
              <w:rPr>
                <w:sz w:val="18"/>
              </w:rPr>
              <w:t>.[</w:t>
            </w:r>
            <w:proofErr w:type="gramEnd"/>
            <w:r w:rsidR="00C63462" w:rsidRPr="00884BE2">
              <w:rPr>
                <w:sz w:val="18"/>
              </w:rPr>
              <w:t>5</w:t>
            </w:r>
            <w:r w:rsidRPr="00884BE2">
              <w:rPr>
                <w:sz w:val="18"/>
              </w:rPr>
              <w:t>] Should an individual choose to fast whilst travelling, general advice is the same as for not travelling. Greater care should be taken, with additional monitoring of blood glucose levels and caution of hotter climates</w:t>
            </w:r>
          </w:p>
        </w:tc>
      </w:tr>
      <w:tr w:rsidR="005707EF" w:rsidRPr="00884BE2" w:rsidTr="00595563">
        <w:tc>
          <w:tcPr>
            <w:tcW w:w="2376" w:type="dxa"/>
          </w:tcPr>
          <w:p w:rsidR="005707EF" w:rsidRPr="00884BE2" w:rsidRDefault="005707EF" w:rsidP="00B4470C">
            <w:pPr>
              <w:spacing w:line="360" w:lineRule="auto"/>
              <w:jc w:val="both"/>
              <w:rPr>
                <w:sz w:val="18"/>
              </w:rPr>
            </w:pPr>
            <w:r w:rsidRPr="00884BE2">
              <w:rPr>
                <w:sz w:val="18"/>
              </w:rPr>
              <w:t>Occupation and shift work</w:t>
            </w:r>
          </w:p>
        </w:tc>
        <w:tc>
          <w:tcPr>
            <w:tcW w:w="6804" w:type="dxa"/>
          </w:tcPr>
          <w:p w:rsidR="005707EF" w:rsidRPr="00884BE2" w:rsidRDefault="005707EF" w:rsidP="00B4470C">
            <w:pPr>
              <w:spacing w:line="360" w:lineRule="auto"/>
              <w:jc w:val="both"/>
              <w:rPr>
                <w:sz w:val="18"/>
              </w:rPr>
            </w:pPr>
            <w:r w:rsidRPr="00884BE2">
              <w:rPr>
                <w:sz w:val="18"/>
              </w:rPr>
              <w:t xml:space="preserve">Labour work will need similar considerations as exercise. </w:t>
            </w:r>
          </w:p>
        </w:tc>
      </w:tr>
    </w:tbl>
    <w:p w:rsidR="00832C6C" w:rsidRPr="00884BE2" w:rsidRDefault="00832C6C" w:rsidP="00B4470C">
      <w:pPr>
        <w:jc w:val="both"/>
        <w:rPr>
          <w:rFonts w:cs="Verdana"/>
          <w:sz w:val="20"/>
          <w:szCs w:val="20"/>
          <w:lang w:eastAsia="en-GB"/>
        </w:rPr>
      </w:pPr>
    </w:p>
    <w:p w:rsidR="005707EF" w:rsidRPr="00884BE2" w:rsidRDefault="005707EF" w:rsidP="00B4470C">
      <w:pPr>
        <w:jc w:val="both"/>
        <w:rPr>
          <w:rFonts w:cs="Verdana"/>
          <w:sz w:val="20"/>
          <w:szCs w:val="20"/>
          <w:lang w:eastAsia="en-GB"/>
        </w:rPr>
      </w:pPr>
    </w:p>
    <w:p w:rsidR="005707EF" w:rsidRPr="00884BE2" w:rsidRDefault="005707EF" w:rsidP="00B4470C">
      <w:pPr>
        <w:jc w:val="both"/>
        <w:rPr>
          <w:rFonts w:cs="Verdana"/>
          <w:sz w:val="20"/>
          <w:szCs w:val="20"/>
          <w:lang w:eastAsia="en-GB"/>
        </w:rPr>
      </w:pPr>
    </w:p>
    <w:p w:rsidR="005707EF" w:rsidRPr="00884BE2" w:rsidRDefault="005707EF" w:rsidP="00B4470C">
      <w:pPr>
        <w:jc w:val="both"/>
        <w:rPr>
          <w:rFonts w:cs="Verdana"/>
          <w:sz w:val="20"/>
          <w:szCs w:val="20"/>
          <w:lang w:eastAsia="en-GB"/>
        </w:rPr>
      </w:pPr>
    </w:p>
    <w:p w:rsidR="005707EF" w:rsidRPr="00884BE2" w:rsidRDefault="005707EF" w:rsidP="00B4470C">
      <w:pPr>
        <w:jc w:val="both"/>
        <w:rPr>
          <w:rFonts w:cs="Verdana"/>
          <w:sz w:val="20"/>
          <w:szCs w:val="20"/>
          <w:lang w:eastAsia="en-GB"/>
        </w:rPr>
      </w:pPr>
    </w:p>
    <w:p w:rsidR="005707EF" w:rsidRPr="00884BE2" w:rsidRDefault="005707EF" w:rsidP="00B4470C">
      <w:pPr>
        <w:jc w:val="both"/>
        <w:rPr>
          <w:rFonts w:cs="Verdana"/>
          <w:sz w:val="20"/>
          <w:szCs w:val="20"/>
          <w:lang w:eastAsia="en-GB"/>
        </w:rPr>
      </w:pPr>
    </w:p>
    <w:p w:rsidR="00C63462" w:rsidRPr="00884BE2" w:rsidRDefault="00C63462" w:rsidP="00B4470C">
      <w:pPr>
        <w:jc w:val="both"/>
        <w:rPr>
          <w:rFonts w:cs="Verdana"/>
          <w:sz w:val="20"/>
          <w:szCs w:val="20"/>
          <w:lang w:eastAsia="en-GB"/>
        </w:rPr>
      </w:pPr>
    </w:p>
    <w:p w:rsidR="00C63462" w:rsidRPr="00884BE2" w:rsidRDefault="00C63462" w:rsidP="00B4470C">
      <w:pPr>
        <w:jc w:val="both"/>
        <w:rPr>
          <w:rFonts w:cs="Verdana"/>
          <w:sz w:val="20"/>
          <w:szCs w:val="20"/>
          <w:lang w:eastAsia="en-GB"/>
        </w:rPr>
      </w:pPr>
    </w:p>
    <w:p w:rsidR="004F5EFD" w:rsidRPr="00884BE2" w:rsidRDefault="004F5EFD" w:rsidP="00B4470C">
      <w:pPr>
        <w:spacing w:line="360" w:lineRule="auto"/>
        <w:jc w:val="both"/>
        <w:rPr>
          <w:b/>
        </w:rPr>
      </w:pPr>
      <w:bookmarkStart w:id="1" w:name="Table2"/>
      <w:r w:rsidRPr="00884BE2">
        <w:rPr>
          <w:b/>
          <w:sz w:val="20"/>
        </w:rPr>
        <w:lastRenderedPageBreak/>
        <w:t xml:space="preserve">Table 2: Categories of risk in patients with diabetes who fast during Ramadan (based on expert recommendations </w:t>
      </w:r>
      <w:bookmarkEnd w:id="1"/>
      <w:r w:rsidRPr="00884BE2">
        <w:rPr>
          <w:b/>
          <w:sz w:val="20"/>
        </w:rPr>
        <w:t>[</w:t>
      </w:r>
      <w:r w:rsidR="00C63462" w:rsidRPr="00884BE2">
        <w:rPr>
          <w:b/>
          <w:sz w:val="20"/>
        </w:rPr>
        <w:t>7</w:t>
      </w:r>
      <w:r w:rsidRPr="00884BE2">
        <w:rPr>
          <w:b/>
          <w:sz w:val="20"/>
        </w:rPr>
        <w:t>]).</w:t>
      </w:r>
    </w:p>
    <w:tbl>
      <w:tblPr>
        <w:tblStyle w:val="TableGrid"/>
        <w:tblW w:w="0" w:type="auto"/>
        <w:tblLook w:val="04A0" w:firstRow="1" w:lastRow="0" w:firstColumn="1" w:lastColumn="0" w:noHBand="0" w:noVBand="1"/>
      </w:tblPr>
      <w:tblGrid>
        <w:gridCol w:w="9242"/>
      </w:tblGrid>
      <w:tr w:rsidR="004F5EFD" w:rsidRPr="00884BE2">
        <w:tc>
          <w:tcPr>
            <w:tcW w:w="9242" w:type="dxa"/>
          </w:tcPr>
          <w:p w:rsidR="004F5EFD" w:rsidRPr="00884BE2" w:rsidRDefault="004F5EFD" w:rsidP="00B4470C">
            <w:pPr>
              <w:pStyle w:val="NoSpacing"/>
              <w:spacing w:line="360" w:lineRule="auto"/>
              <w:jc w:val="both"/>
              <w:rPr>
                <w:rFonts w:asciiTheme="minorHAnsi" w:hAnsiTheme="minorHAnsi"/>
                <w:b/>
                <w:sz w:val="18"/>
                <w:szCs w:val="28"/>
              </w:rPr>
            </w:pPr>
            <w:r w:rsidRPr="00884BE2">
              <w:rPr>
                <w:rFonts w:asciiTheme="minorHAnsi" w:hAnsiTheme="minorHAnsi"/>
                <w:b/>
                <w:sz w:val="18"/>
                <w:szCs w:val="28"/>
              </w:rPr>
              <w:t>High Risk - Advised not to fast</w:t>
            </w:r>
          </w:p>
          <w:p w:rsidR="004F5EFD" w:rsidRPr="00884BE2" w:rsidRDefault="004F5EFD" w:rsidP="00B4470C">
            <w:pPr>
              <w:pStyle w:val="NoSpacing"/>
              <w:spacing w:line="360" w:lineRule="auto"/>
              <w:jc w:val="both"/>
              <w:rPr>
                <w:rFonts w:asciiTheme="minorHAnsi" w:hAnsiTheme="minorHAnsi"/>
                <w:b/>
                <w:sz w:val="18"/>
                <w:szCs w:val="28"/>
              </w:rPr>
            </w:pPr>
            <w:r w:rsidRPr="00884BE2">
              <w:rPr>
                <w:rFonts w:asciiTheme="minorHAnsi" w:hAnsiTheme="minorHAnsi"/>
                <w:b/>
                <w:sz w:val="18"/>
                <w:szCs w:val="28"/>
              </w:rPr>
              <w:t>Patients with:</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Type 1 diabetes</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Poor glycaemic control</w:t>
            </w:r>
            <w:r w:rsidR="0037785B" w:rsidRPr="00884BE2">
              <w:rPr>
                <w:rFonts w:asciiTheme="minorHAnsi" w:hAnsiTheme="minorHAnsi"/>
                <w:sz w:val="18"/>
              </w:rPr>
              <w:t>, defined as HbA1c &gt; 69mmol/</w:t>
            </w:r>
            <w:proofErr w:type="spellStart"/>
            <w:r w:rsidR="0037785B" w:rsidRPr="00884BE2">
              <w:rPr>
                <w:rFonts w:asciiTheme="minorHAnsi" w:hAnsiTheme="minorHAnsi"/>
                <w:sz w:val="18"/>
              </w:rPr>
              <w:t>mol</w:t>
            </w:r>
            <w:proofErr w:type="spellEnd"/>
            <w:r w:rsidR="00CD3D14" w:rsidRPr="00884BE2">
              <w:rPr>
                <w:rFonts w:asciiTheme="minorHAnsi" w:hAnsiTheme="minorHAnsi"/>
                <w:sz w:val="18"/>
              </w:rPr>
              <w:t xml:space="preserve"> (&gt; 8.5%)</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Hypoglycaemic unawareness</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Severe episodes of hypoglycaemia (loss of consciousness or requiring third party assistance) in three months prior to Ramadan</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Recurrent episodes of hypoglycaemia in three months prior to Ramadan</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History of diabetic ketoacidosis in the three months prior to Ramadan</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History of hyperosmolar hyperglycaemic coma in the three months prior to Ramadan</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 xml:space="preserve">Comorbidities, including advanced macrovascular complications, renal disease, liver disease, cognitive dysfunction, uncontrolled epilepsy (particularly precipitated by hypoglycaemia) </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 xml:space="preserve">Acute illness, including a diabetic foot infection or foot ulcer </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Pregnant women</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Frequent intense physical labour</w:t>
            </w:r>
          </w:p>
        </w:tc>
      </w:tr>
      <w:tr w:rsidR="004F5EFD" w:rsidRPr="00884BE2">
        <w:tc>
          <w:tcPr>
            <w:tcW w:w="9242" w:type="dxa"/>
          </w:tcPr>
          <w:p w:rsidR="004F5EFD" w:rsidRPr="00884BE2" w:rsidRDefault="004F5EFD" w:rsidP="00B4470C">
            <w:pPr>
              <w:pStyle w:val="NoSpacing"/>
              <w:spacing w:line="360" w:lineRule="auto"/>
              <w:jc w:val="both"/>
              <w:rPr>
                <w:rFonts w:asciiTheme="minorHAnsi" w:hAnsiTheme="minorHAnsi"/>
                <w:b/>
                <w:sz w:val="18"/>
                <w:szCs w:val="28"/>
              </w:rPr>
            </w:pPr>
            <w:r w:rsidRPr="00884BE2">
              <w:rPr>
                <w:rFonts w:asciiTheme="minorHAnsi" w:hAnsiTheme="minorHAnsi"/>
                <w:b/>
                <w:sz w:val="18"/>
                <w:szCs w:val="28"/>
              </w:rPr>
              <w:t xml:space="preserve">Moderate Risk </w:t>
            </w:r>
            <w:r w:rsidR="00DF5010" w:rsidRPr="00884BE2">
              <w:rPr>
                <w:rFonts w:asciiTheme="minorHAnsi" w:hAnsiTheme="minorHAnsi"/>
                <w:b/>
                <w:sz w:val="18"/>
                <w:szCs w:val="28"/>
              </w:rPr>
              <w:t>–</w:t>
            </w:r>
            <w:r w:rsidRPr="00884BE2">
              <w:rPr>
                <w:rFonts w:asciiTheme="minorHAnsi" w:hAnsiTheme="minorHAnsi"/>
                <w:b/>
                <w:sz w:val="18"/>
                <w:szCs w:val="28"/>
              </w:rPr>
              <w:t xml:space="preserve"> </w:t>
            </w:r>
            <w:r w:rsidR="002F4760" w:rsidRPr="00884BE2">
              <w:rPr>
                <w:rFonts w:asciiTheme="minorHAnsi" w:hAnsiTheme="minorHAnsi"/>
                <w:b/>
                <w:sz w:val="18"/>
                <w:szCs w:val="28"/>
              </w:rPr>
              <w:t xml:space="preserve">May </w:t>
            </w:r>
            <w:r w:rsidRPr="00884BE2">
              <w:rPr>
                <w:rFonts w:asciiTheme="minorHAnsi" w:hAnsiTheme="minorHAnsi"/>
                <w:b/>
                <w:sz w:val="18"/>
                <w:szCs w:val="28"/>
              </w:rPr>
              <w:t xml:space="preserve">fast </w:t>
            </w:r>
            <w:r w:rsidR="002F4760" w:rsidRPr="00884BE2">
              <w:rPr>
                <w:rFonts w:asciiTheme="minorHAnsi" w:hAnsiTheme="minorHAnsi"/>
                <w:b/>
                <w:sz w:val="18"/>
                <w:szCs w:val="28"/>
              </w:rPr>
              <w:t xml:space="preserve">if patient and health-care professionals are happy, with collaboration of care between </w:t>
            </w:r>
            <w:r w:rsidR="006C5259" w:rsidRPr="00884BE2">
              <w:rPr>
                <w:rFonts w:asciiTheme="minorHAnsi" w:hAnsiTheme="minorHAnsi"/>
                <w:b/>
                <w:sz w:val="18"/>
                <w:szCs w:val="28"/>
              </w:rPr>
              <w:t>all involved</w:t>
            </w:r>
            <w:r w:rsidRPr="00884BE2">
              <w:rPr>
                <w:rFonts w:asciiTheme="minorHAnsi" w:hAnsiTheme="minorHAnsi"/>
                <w:b/>
                <w:sz w:val="18"/>
                <w:szCs w:val="28"/>
              </w:rPr>
              <w:t xml:space="preserve"> </w:t>
            </w:r>
          </w:p>
          <w:p w:rsidR="004F5EFD" w:rsidRPr="00884BE2" w:rsidRDefault="004F5EFD" w:rsidP="00B4470C">
            <w:pPr>
              <w:pStyle w:val="NoSpacing"/>
              <w:spacing w:line="360" w:lineRule="auto"/>
              <w:jc w:val="both"/>
              <w:rPr>
                <w:rFonts w:asciiTheme="minorHAnsi" w:hAnsiTheme="minorHAnsi"/>
                <w:b/>
                <w:sz w:val="18"/>
                <w:szCs w:val="28"/>
              </w:rPr>
            </w:pPr>
            <w:r w:rsidRPr="00884BE2">
              <w:rPr>
                <w:rFonts w:asciiTheme="minorHAnsi" w:hAnsiTheme="minorHAnsi"/>
                <w:b/>
                <w:sz w:val="18"/>
                <w:szCs w:val="28"/>
              </w:rPr>
              <w:t>Patients with:</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Moderate glycaemic control</w:t>
            </w:r>
            <w:r w:rsidR="00B25E2F" w:rsidRPr="00884BE2">
              <w:rPr>
                <w:rFonts w:asciiTheme="minorHAnsi" w:hAnsiTheme="minorHAnsi"/>
                <w:sz w:val="18"/>
              </w:rPr>
              <w:t xml:space="preserve">, defined as HbA1c </w:t>
            </w:r>
            <w:r w:rsidR="0069021F" w:rsidRPr="00884BE2">
              <w:rPr>
                <w:rFonts w:asciiTheme="minorHAnsi" w:hAnsiTheme="minorHAnsi"/>
                <w:sz w:val="18"/>
              </w:rPr>
              <w:t xml:space="preserve">58 to </w:t>
            </w:r>
            <w:r w:rsidR="00B25E2F" w:rsidRPr="00884BE2">
              <w:rPr>
                <w:rFonts w:asciiTheme="minorHAnsi" w:hAnsiTheme="minorHAnsi"/>
                <w:sz w:val="18"/>
              </w:rPr>
              <w:t>69mmol/</w:t>
            </w:r>
            <w:proofErr w:type="spellStart"/>
            <w:r w:rsidR="00B25E2F" w:rsidRPr="00884BE2">
              <w:rPr>
                <w:rFonts w:asciiTheme="minorHAnsi" w:hAnsiTheme="minorHAnsi"/>
                <w:sz w:val="18"/>
              </w:rPr>
              <w:t>mol</w:t>
            </w:r>
            <w:proofErr w:type="spellEnd"/>
            <w:r w:rsidR="00B25E2F" w:rsidRPr="00884BE2">
              <w:rPr>
                <w:rFonts w:asciiTheme="minorHAnsi" w:hAnsiTheme="minorHAnsi"/>
                <w:sz w:val="18"/>
              </w:rPr>
              <w:t xml:space="preserve"> (7.5 to 8.5%)</w:t>
            </w:r>
            <w:r w:rsidRPr="00884BE2">
              <w:rPr>
                <w:rFonts w:asciiTheme="minorHAnsi" w:hAnsiTheme="minorHAnsi"/>
                <w:sz w:val="18"/>
              </w:rPr>
              <w:t xml:space="preserve"> and no major complications of diabetes</w:t>
            </w:r>
          </w:p>
          <w:p w:rsidR="004F5EFD" w:rsidRPr="00884BE2" w:rsidRDefault="004F5EFD" w:rsidP="0069021F">
            <w:pPr>
              <w:pStyle w:val="NoSpacing"/>
              <w:numPr>
                <w:ilvl w:val="0"/>
                <w:numId w:val="1"/>
              </w:numPr>
              <w:spacing w:line="360" w:lineRule="auto"/>
              <w:ind w:left="317" w:hanging="283"/>
              <w:jc w:val="both"/>
              <w:rPr>
                <w:rFonts w:asciiTheme="minorHAnsi" w:hAnsiTheme="minorHAnsi"/>
                <w:sz w:val="18"/>
              </w:rPr>
            </w:pPr>
            <w:r w:rsidRPr="00884BE2">
              <w:rPr>
                <w:rFonts w:asciiTheme="minorHAnsi" w:hAnsiTheme="minorHAnsi"/>
                <w:sz w:val="18"/>
              </w:rPr>
              <w:t>Well-controlled diabetes</w:t>
            </w:r>
            <w:r w:rsidR="00B25E2F" w:rsidRPr="00884BE2">
              <w:rPr>
                <w:rFonts w:asciiTheme="minorHAnsi" w:hAnsiTheme="minorHAnsi"/>
                <w:sz w:val="18"/>
              </w:rPr>
              <w:t xml:space="preserve">, defined as HbA1c </w:t>
            </w:r>
            <w:r w:rsidR="0069021F" w:rsidRPr="00884BE2">
              <w:rPr>
                <w:rFonts w:asciiTheme="minorHAnsi" w:hAnsiTheme="minorHAnsi"/>
                <w:sz w:val="18"/>
              </w:rPr>
              <w:t>&lt;58</w:t>
            </w:r>
            <w:r w:rsidR="00B25E2F" w:rsidRPr="00884BE2">
              <w:rPr>
                <w:rFonts w:asciiTheme="minorHAnsi" w:hAnsiTheme="minorHAnsi"/>
                <w:sz w:val="18"/>
              </w:rPr>
              <w:t>mmol/</w:t>
            </w:r>
            <w:proofErr w:type="spellStart"/>
            <w:r w:rsidR="00B25E2F" w:rsidRPr="00884BE2">
              <w:rPr>
                <w:rFonts w:asciiTheme="minorHAnsi" w:hAnsiTheme="minorHAnsi"/>
                <w:sz w:val="18"/>
              </w:rPr>
              <w:t>mol</w:t>
            </w:r>
            <w:proofErr w:type="spellEnd"/>
            <w:r w:rsidR="0069021F" w:rsidRPr="00884BE2">
              <w:rPr>
                <w:rFonts w:asciiTheme="minorHAnsi" w:hAnsiTheme="minorHAnsi"/>
                <w:sz w:val="18"/>
              </w:rPr>
              <w:t xml:space="preserve"> (&lt;</w:t>
            </w:r>
            <w:r w:rsidR="00B25E2F" w:rsidRPr="00884BE2">
              <w:rPr>
                <w:rFonts w:asciiTheme="minorHAnsi" w:hAnsiTheme="minorHAnsi"/>
                <w:sz w:val="18"/>
              </w:rPr>
              <w:t xml:space="preserve"> </w:t>
            </w:r>
            <w:r w:rsidR="0069021F" w:rsidRPr="00884BE2">
              <w:rPr>
                <w:rFonts w:asciiTheme="minorHAnsi" w:hAnsiTheme="minorHAnsi"/>
                <w:sz w:val="18"/>
              </w:rPr>
              <w:t>7</w:t>
            </w:r>
            <w:r w:rsidR="00B25E2F" w:rsidRPr="00884BE2">
              <w:rPr>
                <w:rFonts w:asciiTheme="minorHAnsi" w:hAnsiTheme="minorHAnsi"/>
                <w:sz w:val="18"/>
              </w:rPr>
              <w:t>.5%)</w:t>
            </w:r>
            <w:r w:rsidRPr="00884BE2">
              <w:rPr>
                <w:rFonts w:asciiTheme="minorHAnsi" w:hAnsiTheme="minorHAnsi"/>
                <w:sz w:val="18"/>
              </w:rPr>
              <w:t xml:space="preserve"> treat</w:t>
            </w:r>
            <w:r w:rsidR="00D17D58" w:rsidRPr="00884BE2">
              <w:rPr>
                <w:rFonts w:asciiTheme="minorHAnsi" w:hAnsiTheme="minorHAnsi"/>
                <w:sz w:val="18"/>
              </w:rPr>
              <w:t>ed</w:t>
            </w:r>
            <w:r w:rsidRPr="00884BE2">
              <w:rPr>
                <w:rFonts w:asciiTheme="minorHAnsi" w:hAnsiTheme="minorHAnsi"/>
                <w:sz w:val="18"/>
              </w:rPr>
              <w:t xml:space="preserve"> with </w:t>
            </w:r>
            <w:r w:rsidR="00D17D58" w:rsidRPr="00884BE2">
              <w:rPr>
                <w:rFonts w:asciiTheme="minorHAnsi" w:hAnsiTheme="minorHAnsi"/>
                <w:sz w:val="18"/>
              </w:rPr>
              <w:t xml:space="preserve">sulphonylurea, </w:t>
            </w:r>
            <w:r w:rsidRPr="00884BE2">
              <w:rPr>
                <w:rFonts w:asciiTheme="minorHAnsi" w:hAnsiTheme="minorHAnsi"/>
                <w:sz w:val="18"/>
              </w:rPr>
              <w:t xml:space="preserve">short-acting insulin </w:t>
            </w:r>
            <w:proofErr w:type="spellStart"/>
            <w:r w:rsidRPr="00884BE2">
              <w:rPr>
                <w:rFonts w:asciiTheme="minorHAnsi" w:hAnsiTheme="minorHAnsi"/>
                <w:sz w:val="18"/>
              </w:rPr>
              <w:t>secretogogue</w:t>
            </w:r>
            <w:proofErr w:type="spellEnd"/>
            <w:r w:rsidRPr="00884BE2">
              <w:rPr>
                <w:rFonts w:asciiTheme="minorHAnsi" w:hAnsiTheme="minorHAnsi"/>
                <w:sz w:val="18"/>
              </w:rPr>
              <w:t>, insulin</w:t>
            </w:r>
            <w:r w:rsidR="00D17D58" w:rsidRPr="00884BE2">
              <w:rPr>
                <w:rFonts w:asciiTheme="minorHAnsi" w:hAnsiTheme="minorHAnsi"/>
                <w:sz w:val="18"/>
              </w:rPr>
              <w:t>,</w:t>
            </w:r>
            <w:r w:rsidRPr="00884BE2">
              <w:rPr>
                <w:rFonts w:asciiTheme="minorHAnsi" w:hAnsiTheme="minorHAnsi"/>
                <w:sz w:val="18"/>
              </w:rPr>
              <w:t xml:space="preserve"> or t</w:t>
            </w:r>
            <w:r w:rsidR="00D17D58" w:rsidRPr="00884BE2">
              <w:rPr>
                <w:rFonts w:asciiTheme="minorHAnsi" w:hAnsiTheme="minorHAnsi"/>
                <w:sz w:val="18"/>
              </w:rPr>
              <w:t xml:space="preserve">reated with </w:t>
            </w:r>
            <w:r w:rsidRPr="00884BE2">
              <w:rPr>
                <w:rFonts w:asciiTheme="minorHAnsi" w:hAnsiTheme="minorHAnsi"/>
                <w:sz w:val="18"/>
              </w:rPr>
              <w:t>a combination oral or oral and insulin treatment</w:t>
            </w:r>
          </w:p>
        </w:tc>
      </w:tr>
      <w:tr w:rsidR="004F5EFD" w:rsidRPr="00884BE2">
        <w:tc>
          <w:tcPr>
            <w:tcW w:w="9242" w:type="dxa"/>
          </w:tcPr>
          <w:p w:rsidR="004F5EFD" w:rsidRPr="00884BE2" w:rsidRDefault="004F5EFD" w:rsidP="00B4470C">
            <w:pPr>
              <w:spacing w:line="360" w:lineRule="auto"/>
              <w:jc w:val="both"/>
              <w:rPr>
                <w:b/>
                <w:sz w:val="18"/>
                <w:szCs w:val="18"/>
              </w:rPr>
            </w:pPr>
            <w:r w:rsidRPr="00884BE2">
              <w:rPr>
                <w:b/>
                <w:sz w:val="18"/>
                <w:szCs w:val="18"/>
              </w:rPr>
              <w:t>Low Risk - Should be able to fast with advice</w:t>
            </w:r>
          </w:p>
          <w:p w:rsidR="004F5EFD" w:rsidRPr="00884BE2" w:rsidRDefault="004F5EFD" w:rsidP="00B4470C">
            <w:pPr>
              <w:spacing w:line="360" w:lineRule="auto"/>
              <w:jc w:val="both"/>
              <w:rPr>
                <w:b/>
                <w:sz w:val="18"/>
                <w:szCs w:val="18"/>
              </w:rPr>
            </w:pPr>
            <w:r w:rsidRPr="00884BE2">
              <w:rPr>
                <w:b/>
                <w:sz w:val="18"/>
                <w:szCs w:val="18"/>
              </w:rPr>
              <w:t>Patients with:</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szCs w:val="18"/>
              </w:rPr>
            </w:pPr>
            <w:r w:rsidRPr="00884BE2">
              <w:rPr>
                <w:rFonts w:asciiTheme="minorHAnsi" w:hAnsiTheme="minorHAnsi"/>
                <w:sz w:val="18"/>
                <w:szCs w:val="18"/>
              </w:rPr>
              <w:t xml:space="preserve">Diet-controlled diabetes </w:t>
            </w:r>
          </w:p>
          <w:p w:rsidR="004F5EFD" w:rsidRPr="00884BE2" w:rsidRDefault="004F5EFD" w:rsidP="00B4470C">
            <w:pPr>
              <w:pStyle w:val="NoSpacing"/>
              <w:numPr>
                <w:ilvl w:val="0"/>
                <w:numId w:val="1"/>
              </w:numPr>
              <w:spacing w:line="360" w:lineRule="auto"/>
              <w:ind w:left="317" w:hanging="283"/>
              <w:jc w:val="both"/>
              <w:rPr>
                <w:rFonts w:asciiTheme="minorHAnsi" w:hAnsiTheme="minorHAnsi"/>
                <w:sz w:val="18"/>
                <w:szCs w:val="18"/>
              </w:rPr>
            </w:pPr>
            <w:r w:rsidRPr="00884BE2">
              <w:rPr>
                <w:rFonts w:asciiTheme="minorHAnsi" w:hAnsiTheme="minorHAnsi"/>
                <w:sz w:val="18"/>
                <w:szCs w:val="18"/>
              </w:rPr>
              <w:t xml:space="preserve">Diabetes well-controlled with monotherapy (Metformin, </w:t>
            </w:r>
            <w:proofErr w:type="spellStart"/>
            <w:r w:rsidRPr="00884BE2">
              <w:rPr>
                <w:rFonts w:asciiTheme="minorHAnsi" w:hAnsiTheme="minorHAnsi"/>
                <w:sz w:val="18"/>
                <w:szCs w:val="18"/>
              </w:rPr>
              <w:t>dipeptidyl</w:t>
            </w:r>
            <w:proofErr w:type="spellEnd"/>
            <w:r w:rsidRPr="00884BE2">
              <w:rPr>
                <w:rFonts w:asciiTheme="minorHAnsi" w:hAnsiTheme="minorHAnsi"/>
                <w:sz w:val="18"/>
                <w:szCs w:val="18"/>
              </w:rPr>
              <w:t xml:space="preserve"> peptidase-4 inhibitors, </w:t>
            </w:r>
            <w:proofErr w:type="spellStart"/>
            <w:r w:rsidRPr="00884BE2">
              <w:rPr>
                <w:rFonts w:asciiTheme="minorHAnsi" w:hAnsiTheme="minorHAnsi"/>
                <w:sz w:val="18"/>
                <w:szCs w:val="18"/>
              </w:rPr>
              <w:t>acarbose</w:t>
            </w:r>
            <w:proofErr w:type="spellEnd"/>
            <w:r w:rsidRPr="00884BE2">
              <w:rPr>
                <w:rFonts w:asciiTheme="minorHAnsi" w:hAnsiTheme="minorHAnsi"/>
                <w:sz w:val="18"/>
                <w:szCs w:val="18"/>
              </w:rPr>
              <w:t>, GLP-1 agonists</w:t>
            </w:r>
            <w:r w:rsidR="00467492" w:rsidRPr="00884BE2">
              <w:rPr>
                <w:rFonts w:asciiTheme="minorHAnsi" w:hAnsiTheme="minorHAnsi"/>
                <w:sz w:val="18"/>
                <w:szCs w:val="18"/>
              </w:rPr>
              <w:t>, SGLT 2</w:t>
            </w:r>
            <w:r w:rsidRPr="00884BE2">
              <w:rPr>
                <w:rFonts w:asciiTheme="minorHAnsi" w:hAnsiTheme="minorHAnsi"/>
                <w:sz w:val="18"/>
                <w:szCs w:val="18"/>
              </w:rPr>
              <w:t xml:space="preserve"> or </w:t>
            </w:r>
            <w:proofErr w:type="spellStart"/>
            <w:r w:rsidRPr="00884BE2">
              <w:rPr>
                <w:rFonts w:asciiTheme="minorHAnsi" w:hAnsiTheme="minorHAnsi"/>
                <w:sz w:val="18"/>
                <w:szCs w:val="18"/>
              </w:rPr>
              <w:t>thiazolidinediones</w:t>
            </w:r>
            <w:proofErr w:type="spellEnd"/>
            <w:r w:rsidRPr="00884BE2">
              <w:rPr>
                <w:rFonts w:asciiTheme="minorHAnsi" w:hAnsiTheme="minorHAnsi"/>
                <w:sz w:val="18"/>
                <w:szCs w:val="18"/>
              </w:rPr>
              <w:t>) and otherwise healthy</w:t>
            </w:r>
          </w:p>
        </w:tc>
      </w:tr>
    </w:tbl>
    <w:p w:rsidR="008F4BDD" w:rsidRPr="00884BE2" w:rsidRDefault="008F4BDD" w:rsidP="00B4470C">
      <w:pPr>
        <w:spacing w:line="360" w:lineRule="auto"/>
        <w:jc w:val="both"/>
        <w:rPr>
          <w:b/>
          <w:sz w:val="20"/>
          <w:szCs w:val="20"/>
        </w:rPr>
      </w:pPr>
      <w:bookmarkStart w:id="2" w:name="Table3"/>
    </w:p>
    <w:p w:rsidR="00DE40D0" w:rsidRPr="00884BE2" w:rsidRDefault="00DE40D0" w:rsidP="00B4470C">
      <w:pPr>
        <w:spacing w:line="360" w:lineRule="auto"/>
        <w:jc w:val="both"/>
        <w:rPr>
          <w:b/>
          <w:sz w:val="20"/>
          <w:szCs w:val="20"/>
        </w:rPr>
      </w:pPr>
      <w:r w:rsidRPr="00884BE2">
        <w:rPr>
          <w:b/>
          <w:sz w:val="20"/>
          <w:szCs w:val="20"/>
        </w:rPr>
        <w:t>Table 3</w:t>
      </w:r>
      <w:r w:rsidR="00385BB3" w:rsidRPr="00884BE2">
        <w:rPr>
          <w:b/>
          <w:sz w:val="20"/>
          <w:szCs w:val="20"/>
        </w:rPr>
        <w:t>:</w:t>
      </w:r>
      <w:r w:rsidRPr="00884BE2">
        <w:rPr>
          <w:b/>
          <w:sz w:val="20"/>
          <w:szCs w:val="20"/>
        </w:rPr>
        <w:t xml:space="preserve"> Guidance on self-monitoring of blood glucose</w:t>
      </w:r>
    </w:p>
    <w:tbl>
      <w:tblPr>
        <w:tblStyle w:val="TableGrid"/>
        <w:tblW w:w="0" w:type="auto"/>
        <w:tblLook w:val="04A0" w:firstRow="1" w:lastRow="0" w:firstColumn="1" w:lastColumn="0" w:noHBand="0" w:noVBand="1"/>
      </w:tblPr>
      <w:tblGrid>
        <w:gridCol w:w="9242"/>
      </w:tblGrid>
      <w:tr w:rsidR="00DE40D0" w:rsidRPr="00884BE2">
        <w:tc>
          <w:tcPr>
            <w:tcW w:w="9242" w:type="dxa"/>
          </w:tcPr>
          <w:bookmarkEnd w:id="2"/>
          <w:p w:rsidR="00DE40D0" w:rsidRPr="00884BE2" w:rsidRDefault="00DE40D0" w:rsidP="00B4470C">
            <w:pPr>
              <w:pStyle w:val="ListParagraph"/>
              <w:numPr>
                <w:ilvl w:val="0"/>
                <w:numId w:val="8"/>
              </w:numPr>
              <w:spacing w:line="360" w:lineRule="auto"/>
              <w:jc w:val="both"/>
              <w:rPr>
                <w:sz w:val="20"/>
                <w:szCs w:val="20"/>
              </w:rPr>
            </w:pPr>
            <w:r w:rsidRPr="00884BE2">
              <w:rPr>
                <w:sz w:val="20"/>
                <w:szCs w:val="20"/>
              </w:rPr>
              <w:t>Blood glucose monitoring during fasting does not break the fast</w:t>
            </w:r>
          </w:p>
          <w:p w:rsidR="00DE40D0" w:rsidRPr="00884BE2" w:rsidRDefault="00DE40D0" w:rsidP="00B4470C">
            <w:pPr>
              <w:pStyle w:val="ListParagraph"/>
              <w:numPr>
                <w:ilvl w:val="0"/>
                <w:numId w:val="8"/>
              </w:numPr>
              <w:spacing w:line="360" w:lineRule="auto"/>
              <w:jc w:val="both"/>
              <w:rPr>
                <w:sz w:val="20"/>
                <w:szCs w:val="20"/>
              </w:rPr>
            </w:pPr>
            <w:r w:rsidRPr="00884BE2">
              <w:rPr>
                <w:sz w:val="20"/>
                <w:szCs w:val="20"/>
              </w:rPr>
              <w:t>Monitor blood glucose levels at the beginning of the fast and then regularly every 4 hours</w:t>
            </w:r>
          </w:p>
          <w:p w:rsidR="00DE40D0" w:rsidRPr="00884BE2" w:rsidRDefault="00DE40D0" w:rsidP="00B4470C">
            <w:pPr>
              <w:pStyle w:val="ListParagraph"/>
              <w:numPr>
                <w:ilvl w:val="0"/>
                <w:numId w:val="8"/>
              </w:numPr>
              <w:spacing w:line="360" w:lineRule="auto"/>
              <w:jc w:val="both"/>
              <w:rPr>
                <w:sz w:val="20"/>
                <w:szCs w:val="20"/>
              </w:rPr>
            </w:pPr>
            <w:r w:rsidRPr="00884BE2">
              <w:rPr>
                <w:sz w:val="20"/>
                <w:szCs w:val="20"/>
              </w:rPr>
              <w:t>Blood glucose levels should be checked if any symptoms of hypoglycaemia or if patients become unwell</w:t>
            </w:r>
          </w:p>
          <w:p w:rsidR="00DE40D0" w:rsidRPr="00884BE2" w:rsidRDefault="00DE40D0" w:rsidP="00B4470C">
            <w:pPr>
              <w:pStyle w:val="ListParagraph"/>
              <w:numPr>
                <w:ilvl w:val="0"/>
                <w:numId w:val="8"/>
              </w:numPr>
              <w:autoSpaceDE w:val="0"/>
              <w:autoSpaceDN w:val="0"/>
              <w:adjustRightInd w:val="0"/>
              <w:spacing w:line="360" w:lineRule="auto"/>
              <w:jc w:val="both"/>
              <w:rPr>
                <w:sz w:val="20"/>
                <w:szCs w:val="20"/>
              </w:rPr>
            </w:pPr>
            <w:r w:rsidRPr="00884BE2">
              <w:rPr>
                <w:sz w:val="20"/>
                <w:szCs w:val="20"/>
              </w:rPr>
              <w:t>Patients should be aware to stop fasting if:</w:t>
            </w:r>
          </w:p>
          <w:p w:rsidR="00DE40D0" w:rsidRPr="00884BE2" w:rsidRDefault="00DE40D0" w:rsidP="00B4470C">
            <w:pPr>
              <w:pStyle w:val="ListParagraph"/>
              <w:numPr>
                <w:ilvl w:val="1"/>
                <w:numId w:val="8"/>
              </w:numPr>
              <w:autoSpaceDE w:val="0"/>
              <w:autoSpaceDN w:val="0"/>
              <w:adjustRightInd w:val="0"/>
              <w:spacing w:line="360" w:lineRule="auto"/>
              <w:jc w:val="both"/>
              <w:rPr>
                <w:sz w:val="20"/>
                <w:szCs w:val="20"/>
              </w:rPr>
            </w:pPr>
            <w:r w:rsidRPr="00884BE2">
              <w:rPr>
                <w:sz w:val="20"/>
                <w:szCs w:val="20"/>
              </w:rPr>
              <w:t>There is hypoglycaemia with blood glucose less than 3.</w:t>
            </w:r>
            <w:r w:rsidR="0017668F" w:rsidRPr="00884BE2">
              <w:rPr>
                <w:sz w:val="20"/>
                <w:szCs w:val="20"/>
              </w:rPr>
              <w:t>9</w:t>
            </w:r>
            <w:r w:rsidRPr="00884BE2">
              <w:rPr>
                <w:sz w:val="20"/>
                <w:szCs w:val="20"/>
              </w:rPr>
              <w:t>mmol/l at any time in the fast</w:t>
            </w:r>
            <w:r w:rsidR="00F15449" w:rsidRPr="00884BE2">
              <w:rPr>
                <w:sz w:val="20"/>
                <w:szCs w:val="20"/>
              </w:rPr>
              <w:t xml:space="preserve"> [7]</w:t>
            </w:r>
          </w:p>
          <w:p w:rsidR="00DE40D0" w:rsidRPr="00884BE2" w:rsidRDefault="00DE40D0" w:rsidP="00B4470C">
            <w:pPr>
              <w:pStyle w:val="ListParagraph"/>
              <w:numPr>
                <w:ilvl w:val="1"/>
                <w:numId w:val="8"/>
              </w:numPr>
              <w:autoSpaceDE w:val="0"/>
              <w:autoSpaceDN w:val="0"/>
              <w:adjustRightInd w:val="0"/>
              <w:spacing w:line="360" w:lineRule="auto"/>
              <w:jc w:val="both"/>
              <w:rPr>
                <w:sz w:val="20"/>
                <w:szCs w:val="20"/>
              </w:rPr>
            </w:pPr>
            <w:r w:rsidRPr="00884BE2">
              <w:rPr>
                <w:sz w:val="20"/>
                <w:szCs w:val="20"/>
              </w:rPr>
              <w:t>Blood glucose levels are 3.9mmol/l at the start of the fast and the patient is taking insulin or sulphonylureas</w:t>
            </w:r>
            <w:r w:rsidR="00F15449" w:rsidRPr="00884BE2">
              <w:rPr>
                <w:sz w:val="20"/>
                <w:szCs w:val="20"/>
              </w:rPr>
              <w:t xml:space="preserve"> [7]</w:t>
            </w:r>
          </w:p>
          <w:p w:rsidR="00DE40D0" w:rsidRPr="00884BE2" w:rsidRDefault="00DE40D0" w:rsidP="00B4470C">
            <w:pPr>
              <w:pStyle w:val="ListParagraph"/>
              <w:numPr>
                <w:ilvl w:val="1"/>
                <w:numId w:val="8"/>
              </w:numPr>
              <w:autoSpaceDE w:val="0"/>
              <w:autoSpaceDN w:val="0"/>
              <w:adjustRightInd w:val="0"/>
              <w:spacing w:line="360" w:lineRule="auto"/>
              <w:jc w:val="both"/>
              <w:rPr>
                <w:sz w:val="20"/>
                <w:szCs w:val="20"/>
              </w:rPr>
            </w:pPr>
            <w:r w:rsidRPr="00884BE2">
              <w:rPr>
                <w:sz w:val="20"/>
                <w:szCs w:val="20"/>
              </w:rPr>
              <w:t>Hyperglycaemia with blood glucose levels greater than 16</w:t>
            </w:r>
            <w:r w:rsidR="0012513B" w:rsidRPr="00884BE2">
              <w:rPr>
                <w:sz w:val="20"/>
                <w:szCs w:val="20"/>
              </w:rPr>
              <w:t>.7</w:t>
            </w:r>
            <w:r w:rsidRPr="00884BE2">
              <w:rPr>
                <w:sz w:val="20"/>
                <w:szCs w:val="20"/>
              </w:rPr>
              <w:t>mmol/l</w:t>
            </w:r>
            <w:r w:rsidR="00F15449" w:rsidRPr="00884BE2">
              <w:rPr>
                <w:sz w:val="20"/>
                <w:szCs w:val="20"/>
              </w:rPr>
              <w:t xml:space="preserve"> [7]</w:t>
            </w:r>
          </w:p>
        </w:tc>
      </w:tr>
    </w:tbl>
    <w:p w:rsidR="00DE40D0" w:rsidRPr="00884BE2" w:rsidRDefault="00DE40D0" w:rsidP="00B4470C">
      <w:pPr>
        <w:spacing w:line="360" w:lineRule="auto"/>
        <w:jc w:val="both"/>
        <w:rPr>
          <w:sz w:val="20"/>
        </w:rPr>
      </w:pPr>
    </w:p>
    <w:p w:rsidR="005707EF" w:rsidRPr="00884BE2" w:rsidRDefault="005707EF" w:rsidP="00B4470C">
      <w:pPr>
        <w:spacing w:line="360" w:lineRule="auto"/>
        <w:jc w:val="both"/>
        <w:rPr>
          <w:sz w:val="20"/>
        </w:rPr>
      </w:pPr>
    </w:p>
    <w:p w:rsidR="00905A87" w:rsidRPr="00884BE2" w:rsidRDefault="00905A87" w:rsidP="00B4470C">
      <w:pPr>
        <w:spacing w:line="360" w:lineRule="auto"/>
        <w:jc w:val="both"/>
        <w:rPr>
          <w:b/>
          <w:sz w:val="20"/>
        </w:rPr>
      </w:pPr>
      <w:bookmarkStart w:id="3" w:name="Table4"/>
      <w:r w:rsidRPr="00884BE2">
        <w:rPr>
          <w:b/>
          <w:sz w:val="20"/>
        </w:rPr>
        <w:t xml:space="preserve">Table 4: </w:t>
      </w:r>
      <w:bookmarkEnd w:id="3"/>
      <w:r w:rsidRPr="00884BE2">
        <w:rPr>
          <w:b/>
          <w:sz w:val="20"/>
        </w:rPr>
        <w:t>Recommendations for medical therapy changes during Ramadan (adap</w:t>
      </w:r>
      <w:r w:rsidR="00F37231" w:rsidRPr="00884BE2">
        <w:rPr>
          <w:b/>
          <w:sz w:val="20"/>
        </w:rPr>
        <w:t xml:space="preserve">ted from </w:t>
      </w:r>
      <w:proofErr w:type="spellStart"/>
      <w:r w:rsidR="00F37231" w:rsidRPr="00884BE2">
        <w:rPr>
          <w:b/>
          <w:sz w:val="20"/>
        </w:rPr>
        <w:t>Karamat</w:t>
      </w:r>
      <w:proofErr w:type="spellEnd"/>
      <w:r w:rsidR="00F37231" w:rsidRPr="00884BE2">
        <w:rPr>
          <w:b/>
          <w:sz w:val="20"/>
        </w:rPr>
        <w:t xml:space="preserve"> et al. 2010 [</w:t>
      </w:r>
      <w:r w:rsidR="002C4F25" w:rsidRPr="00884BE2">
        <w:rPr>
          <w:b/>
          <w:sz w:val="20"/>
        </w:rPr>
        <w:t>9]</w:t>
      </w:r>
      <w:r w:rsidRPr="00884BE2">
        <w:rPr>
          <w:b/>
          <w:sz w:val="20"/>
        </w:rPr>
        <w:t>)</w:t>
      </w:r>
    </w:p>
    <w:tbl>
      <w:tblPr>
        <w:tblStyle w:val="TableGrid"/>
        <w:tblW w:w="9606" w:type="dxa"/>
        <w:tblLook w:val="04A0" w:firstRow="1" w:lastRow="0" w:firstColumn="1" w:lastColumn="0" w:noHBand="0" w:noVBand="1"/>
      </w:tblPr>
      <w:tblGrid>
        <w:gridCol w:w="4219"/>
        <w:gridCol w:w="5387"/>
      </w:tblGrid>
      <w:tr w:rsidR="00905A87" w:rsidRPr="00884BE2" w:rsidTr="00596AB9">
        <w:tc>
          <w:tcPr>
            <w:tcW w:w="4219" w:type="dxa"/>
          </w:tcPr>
          <w:p w:rsidR="00905A87" w:rsidRPr="00884BE2" w:rsidRDefault="00341E2E" w:rsidP="00341E2E">
            <w:pPr>
              <w:spacing w:line="360" w:lineRule="auto"/>
              <w:jc w:val="center"/>
              <w:rPr>
                <w:b/>
                <w:sz w:val="20"/>
              </w:rPr>
            </w:pPr>
            <w:r w:rsidRPr="00884BE2">
              <w:rPr>
                <w:b/>
                <w:sz w:val="20"/>
              </w:rPr>
              <w:t>Treatment prior to</w:t>
            </w:r>
            <w:r w:rsidR="00905A87" w:rsidRPr="00884BE2">
              <w:rPr>
                <w:b/>
                <w:sz w:val="20"/>
              </w:rPr>
              <w:t xml:space="preserve"> Ramadan</w:t>
            </w:r>
          </w:p>
        </w:tc>
        <w:tc>
          <w:tcPr>
            <w:tcW w:w="5387" w:type="dxa"/>
          </w:tcPr>
          <w:p w:rsidR="00905A87" w:rsidRPr="00884BE2" w:rsidRDefault="00905A87" w:rsidP="00B612EA">
            <w:pPr>
              <w:spacing w:line="360" w:lineRule="auto"/>
              <w:jc w:val="center"/>
              <w:rPr>
                <w:b/>
                <w:sz w:val="20"/>
              </w:rPr>
            </w:pPr>
            <w:r w:rsidRPr="00884BE2">
              <w:rPr>
                <w:b/>
                <w:sz w:val="20"/>
              </w:rPr>
              <w:t>During Ramadan</w:t>
            </w:r>
          </w:p>
        </w:tc>
      </w:tr>
      <w:tr w:rsidR="00B612EA" w:rsidRPr="00884BE2" w:rsidTr="00596AB9">
        <w:trPr>
          <w:trHeight w:val="186"/>
        </w:trPr>
        <w:tc>
          <w:tcPr>
            <w:tcW w:w="4219" w:type="dxa"/>
          </w:tcPr>
          <w:p w:rsidR="00B612EA" w:rsidRPr="00884BE2" w:rsidRDefault="00B612EA" w:rsidP="00B612EA">
            <w:pPr>
              <w:spacing w:line="360" w:lineRule="auto"/>
              <w:jc w:val="both"/>
              <w:rPr>
                <w:sz w:val="18"/>
              </w:rPr>
            </w:pPr>
            <w:r w:rsidRPr="00884BE2">
              <w:rPr>
                <w:sz w:val="18"/>
              </w:rPr>
              <w:t>Diet-controlled diabetes</w:t>
            </w:r>
          </w:p>
        </w:tc>
        <w:tc>
          <w:tcPr>
            <w:tcW w:w="5387" w:type="dxa"/>
          </w:tcPr>
          <w:p w:rsidR="00B612EA" w:rsidRPr="00884BE2" w:rsidRDefault="00B612EA" w:rsidP="00B612EA">
            <w:pPr>
              <w:spacing w:line="360" w:lineRule="auto"/>
              <w:jc w:val="both"/>
              <w:rPr>
                <w:sz w:val="18"/>
              </w:rPr>
            </w:pPr>
            <w:r w:rsidRPr="00884BE2">
              <w:rPr>
                <w:sz w:val="18"/>
              </w:rPr>
              <w:t>Dietary advice and increase physical activity</w:t>
            </w:r>
          </w:p>
        </w:tc>
      </w:tr>
      <w:tr w:rsidR="00B612EA" w:rsidRPr="00884BE2" w:rsidTr="00596AB9">
        <w:trPr>
          <w:trHeight w:val="186"/>
        </w:trPr>
        <w:tc>
          <w:tcPr>
            <w:tcW w:w="4219" w:type="dxa"/>
          </w:tcPr>
          <w:p w:rsidR="00B612EA" w:rsidRPr="00884BE2" w:rsidRDefault="00B612EA" w:rsidP="00B612EA">
            <w:pPr>
              <w:spacing w:line="360" w:lineRule="auto"/>
              <w:jc w:val="both"/>
              <w:rPr>
                <w:sz w:val="18"/>
              </w:rPr>
            </w:pPr>
            <w:r w:rsidRPr="00884BE2">
              <w:rPr>
                <w:sz w:val="18"/>
              </w:rPr>
              <w:t xml:space="preserve">Metformin </w:t>
            </w:r>
          </w:p>
          <w:p w:rsidR="00341E2E" w:rsidRPr="00884BE2" w:rsidRDefault="00341E2E" w:rsidP="00B612EA">
            <w:pPr>
              <w:spacing w:line="360" w:lineRule="auto"/>
              <w:jc w:val="both"/>
              <w:rPr>
                <w:sz w:val="18"/>
              </w:rPr>
            </w:pPr>
            <w:r w:rsidRPr="00884BE2">
              <w:rPr>
                <w:sz w:val="18"/>
              </w:rPr>
              <w:t>Standard preparation</w:t>
            </w:r>
          </w:p>
          <w:p w:rsidR="00341E2E" w:rsidRPr="00884BE2" w:rsidRDefault="00341E2E" w:rsidP="00B612EA">
            <w:pPr>
              <w:spacing w:line="360" w:lineRule="auto"/>
              <w:jc w:val="both"/>
              <w:rPr>
                <w:sz w:val="18"/>
              </w:rPr>
            </w:pPr>
            <w:r w:rsidRPr="00884BE2">
              <w:rPr>
                <w:sz w:val="18"/>
              </w:rPr>
              <w:t xml:space="preserve">e.g. Metformin 1000mg </w:t>
            </w:r>
            <w:proofErr w:type="spellStart"/>
            <w:r w:rsidRPr="00884BE2">
              <w:rPr>
                <w:sz w:val="18"/>
              </w:rPr>
              <w:t>bd</w:t>
            </w:r>
            <w:proofErr w:type="spellEnd"/>
          </w:p>
          <w:p w:rsidR="00341E2E" w:rsidRPr="00884BE2" w:rsidRDefault="00341E2E" w:rsidP="00B612EA">
            <w:pPr>
              <w:spacing w:line="360" w:lineRule="auto"/>
              <w:jc w:val="both"/>
              <w:rPr>
                <w:sz w:val="18"/>
              </w:rPr>
            </w:pPr>
            <w:r w:rsidRPr="00884BE2">
              <w:rPr>
                <w:sz w:val="18"/>
              </w:rPr>
              <w:t xml:space="preserve">e.g. Metformin 500mg </w:t>
            </w:r>
            <w:proofErr w:type="spellStart"/>
            <w:r w:rsidRPr="00884BE2">
              <w:rPr>
                <w:sz w:val="18"/>
              </w:rPr>
              <w:t>tds</w:t>
            </w:r>
            <w:proofErr w:type="spellEnd"/>
          </w:p>
          <w:p w:rsidR="00341E2E" w:rsidRPr="00884BE2" w:rsidRDefault="00341E2E" w:rsidP="00B612EA">
            <w:pPr>
              <w:spacing w:line="360" w:lineRule="auto"/>
              <w:jc w:val="both"/>
              <w:rPr>
                <w:sz w:val="18"/>
              </w:rPr>
            </w:pPr>
          </w:p>
          <w:p w:rsidR="00341E2E" w:rsidRPr="00884BE2" w:rsidRDefault="00341E2E" w:rsidP="00B612EA">
            <w:pPr>
              <w:spacing w:line="360" w:lineRule="auto"/>
              <w:jc w:val="both"/>
              <w:rPr>
                <w:sz w:val="18"/>
              </w:rPr>
            </w:pPr>
          </w:p>
          <w:p w:rsidR="00341E2E" w:rsidRPr="00884BE2" w:rsidRDefault="00341E2E" w:rsidP="00B612EA">
            <w:pPr>
              <w:spacing w:line="360" w:lineRule="auto"/>
              <w:jc w:val="both"/>
              <w:rPr>
                <w:sz w:val="18"/>
              </w:rPr>
            </w:pPr>
          </w:p>
          <w:p w:rsidR="00341E2E" w:rsidRPr="00884BE2" w:rsidRDefault="00341E2E" w:rsidP="00B612EA">
            <w:pPr>
              <w:spacing w:line="360" w:lineRule="auto"/>
              <w:jc w:val="both"/>
              <w:rPr>
                <w:sz w:val="18"/>
              </w:rPr>
            </w:pPr>
          </w:p>
          <w:p w:rsidR="00596AB9" w:rsidRPr="00884BE2" w:rsidRDefault="00596AB9" w:rsidP="00B612EA">
            <w:pPr>
              <w:spacing w:line="360" w:lineRule="auto"/>
              <w:jc w:val="both"/>
              <w:rPr>
                <w:sz w:val="18"/>
              </w:rPr>
            </w:pPr>
            <w:r w:rsidRPr="00884BE2">
              <w:rPr>
                <w:sz w:val="18"/>
              </w:rPr>
              <w:t>Prolonged release preparation</w:t>
            </w:r>
          </w:p>
          <w:p w:rsidR="00341E2E" w:rsidRPr="00884BE2" w:rsidRDefault="00341E2E" w:rsidP="00B612EA">
            <w:pPr>
              <w:spacing w:line="360" w:lineRule="auto"/>
              <w:jc w:val="both"/>
              <w:rPr>
                <w:sz w:val="18"/>
              </w:rPr>
            </w:pPr>
            <w:r w:rsidRPr="00884BE2">
              <w:rPr>
                <w:sz w:val="18"/>
              </w:rPr>
              <w:t>e.g. Metformin SR 1000mg od</w:t>
            </w:r>
          </w:p>
        </w:tc>
        <w:tc>
          <w:tcPr>
            <w:tcW w:w="5387" w:type="dxa"/>
          </w:tcPr>
          <w:p w:rsidR="00341E2E" w:rsidRPr="00884BE2" w:rsidRDefault="00B612EA" w:rsidP="00B612EA">
            <w:pPr>
              <w:spacing w:line="360" w:lineRule="auto"/>
              <w:jc w:val="both"/>
              <w:rPr>
                <w:sz w:val="18"/>
              </w:rPr>
            </w:pPr>
            <w:r w:rsidRPr="00884BE2">
              <w:rPr>
                <w:sz w:val="18"/>
              </w:rPr>
              <w:t>No change in total 24 hour dose</w:t>
            </w:r>
            <w:r w:rsidR="00341E2E" w:rsidRPr="00884BE2">
              <w:rPr>
                <w:sz w:val="18"/>
              </w:rPr>
              <w:t xml:space="preserve"> is required</w:t>
            </w:r>
            <w:r w:rsidRPr="00884BE2">
              <w:rPr>
                <w:sz w:val="18"/>
              </w:rPr>
              <w:t xml:space="preserve">. </w:t>
            </w:r>
          </w:p>
          <w:p w:rsidR="00596AB9" w:rsidRPr="00884BE2" w:rsidRDefault="00596AB9" w:rsidP="00B612EA">
            <w:pPr>
              <w:spacing w:line="360" w:lineRule="auto"/>
              <w:jc w:val="both"/>
              <w:rPr>
                <w:sz w:val="18"/>
              </w:rPr>
            </w:pPr>
          </w:p>
          <w:p w:rsidR="00341E2E" w:rsidRPr="00884BE2" w:rsidRDefault="00341E2E" w:rsidP="00B612EA">
            <w:pPr>
              <w:spacing w:line="360" w:lineRule="auto"/>
              <w:jc w:val="both"/>
              <w:rPr>
                <w:sz w:val="18"/>
              </w:rPr>
            </w:pPr>
            <w:r w:rsidRPr="00884BE2">
              <w:rPr>
                <w:sz w:val="18"/>
              </w:rPr>
              <w:t>No change is required</w:t>
            </w:r>
            <w:r w:rsidR="005D3F5C" w:rsidRPr="00884BE2">
              <w:rPr>
                <w:sz w:val="18"/>
              </w:rPr>
              <w:t>.</w:t>
            </w:r>
          </w:p>
          <w:p w:rsidR="00341E2E" w:rsidRPr="00884BE2" w:rsidRDefault="00B612EA" w:rsidP="00B612EA">
            <w:pPr>
              <w:spacing w:line="360" w:lineRule="auto"/>
              <w:jc w:val="both"/>
              <w:rPr>
                <w:sz w:val="18"/>
              </w:rPr>
            </w:pPr>
            <w:r w:rsidRPr="00884BE2">
              <w:rPr>
                <w:sz w:val="18"/>
              </w:rPr>
              <w:t>If a lunch-time dose is usually taken, then this should be taken at sunset (</w:t>
            </w:r>
            <w:proofErr w:type="spellStart"/>
            <w:r w:rsidRPr="00884BE2">
              <w:rPr>
                <w:sz w:val="18"/>
              </w:rPr>
              <w:t>Iftar</w:t>
            </w:r>
            <w:proofErr w:type="spellEnd"/>
            <w:r w:rsidRPr="00884BE2">
              <w:rPr>
                <w:sz w:val="18"/>
              </w:rPr>
              <w:t xml:space="preserve">) together with the evening dose, e.g. Metformin 500mg </w:t>
            </w:r>
            <w:proofErr w:type="spellStart"/>
            <w:r w:rsidRPr="00884BE2">
              <w:rPr>
                <w:sz w:val="18"/>
              </w:rPr>
              <w:t>tds</w:t>
            </w:r>
            <w:proofErr w:type="spellEnd"/>
            <w:r w:rsidRPr="00884BE2">
              <w:rPr>
                <w:sz w:val="18"/>
              </w:rPr>
              <w:t xml:space="preserve"> prior to Ramadan should be converted to 500mg at predawn meal (</w:t>
            </w:r>
            <w:proofErr w:type="spellStart"/>
            <w:r w:rsidRPr="00884BE2">
              <w:rPr>
                <w:sz w:val="18"/>
              </w:rPr>
              <w:t>Suhoor</w:t>
            </w:r>
            <w:proofErr w:type="spellEnd"/>
            <w:r w:rsidRPr="00884BE2">
              <w:rPr>
                <w:sz w:val="18"/>
              </w:rPr>
              <w:t>) and 1000mg at sunset (</w:t>
            </w:r>
            <w:proofErr w:type="spellStart"/>
            <w:r w:rsidRPr="00884BE2">
              <w:rPr>
                <w:sz w:val="18"/>
              </w:rPr>
              <w:t>Iftar</w:t>
            </w:r>
            <w:proofErr w:type="spellEnd"/>
            <w:r w:rsidRPr="00884BE2">
              <w:rPr>
                <w:sz w:val="18"/>
              </w:rPr>
              <w:t xml:space="preserve">). </w:t>
            </w:r>
          </w:p>
          <w:p w:rsidR="00596AB9" w:rsidRPr="00884BE2" w:rsidRDefault="00596AB9" w:rsidP="00B612EA">
            <w:pPr>
              <w:spacing w:line="360" w:lineRule="auto"/>
              <w:jc w:val="both"/>
              <w:rPr>
                <w:sz w:val="18"/>
              </w:rPr>
            </w:pPr>
          </w:p>
          <w:p w:rsidR="00B612EA" w:rsidRPr="00884BE2" w:rsidRDefault="00B612EA" w:rsidP="00B612EA">
            <w:pPr>
              <w:spacing w:line="360" w:lineRule="auto"/>
              <w:jc w:val="both"/>
              <w:rPr>
                <w:sz w:val="18"/>
              </w:rPr>
            </w:pPr>
            <w:r w:rsidRPr="00884BE2">
              <w:rPr>
                <w:sz w:val="18"/>
              </w:rPr>
              <w:t xml:space="preserve">If patients are on Metformin SR 1000mg od, this </w:t>
            </w:r>
            <w:r w:rsidR="00341E2E" w:rsidRPr="00884BE2">
              <w:rPr>
                <w:sz w:val="18"/>
              </w:rPr>
              <w:t xml:space="preserve">dose </w:t>
            </w:r>
            <w:r w:rsidRPr="00884BE2">
              <w:rPr>
                <w:sz w:val="18"/>
              </w:rPr>
              <w:t xml:space="preserve">should be taken at </w:t>
            </w:r>
            <w:proofErr w:type="spellStart"/>
            <w:r w:rsidRPr="00884BE2">
              <w:rPr>
                <w:sz w:val="18"/>
              </w:rPr>
              <w:t>Iftar</w:t>
            </w:r>
            <w:proofErr w:type="spellEnd"/>
            <w:r w:rsidRPr="00884BE2">
              <w:rPr>
                <w:sz w:val="18"/>
              </w:rPr>
              <w:t>.</w:t>
            </w:r>
          </w:p>
        </w:tc>
      </w:tr>
      <w:tr w:rsidR="00B612EA" w:rsidRPr="00884BE2" w:rsidTr="00596AB9">
        <w:trPr>
          <w:trHeight w:val="186"/>
        </w:trPr>
        <w:tc>
          <w:tcPr>
            <w:tcW w:w="4219" w:type="dxa"/>
          </w:tcPr>
          <w:p w:rsidR="00B612EA" w:rsidRPr="00884BE2" w:rsidRDefault="00B612EA" w:rsidP="00B612EA">
            <w:pPr>
              <w:spacing w:line="360" w:lineRule="auto"/>
              <w:jc w:val="both"/>
              <w:rPr>
                <w:sz w:val="18"/>
              </w:rPr>
            </w:pPr>
            <w:proofErr w:type="spellStart"/>
            <w:r w:rsidRPr="00884BE2">
              <w:rPr>
                <w:sz w:val="18"/>
              </w:rPr>
              <w:t>Thiazolidinediones</w:t>
            </w:r>
            <w:proofErr w:type="spellEnd"/>
          </w:p>
          <w:p w:rsidR="00341E2E" w:rsidRPr="00884BE2" w:rsidRDefault="00341E2E" w:rsidP="00B612EA">
            <w:pPr>
              <w:spacing w:line="360" w:lineRule="auto"/>
              <w:jc w:val="both"/>
              <w:rPr>
                <w:sz w:val="18"/>
              </w:rPr>
            </w:pPr>
            <w:r w:rsidRPr="00884BE2">
              <w:rPr>
                <w:sz w:val="18"/>
              </w:rPr>
              <w:t>e.g. Pioglitazone 30mg od</w:t>
            </w:r>
          </w:p>
        </w:tc>
        <w:tc>
          <w:tcPr>
            <w:tcW w:w="5387" w:type="dxa"/>
          </w:tcPr>
          <w:p w:rsidR="00B612EA" w:rsidRPr="00884BE2" w:rsidRDefault="00B612EA" w:rsidP="00B612EA">
            <w:pPr>
              <w:spacing w:line="360" w:lineRule="auto"/>
              <w:jc w:val="both"/>
              <w:rPr>
                <w:sz w:val="18"/>
              </w:rPr>
            </w:pPr>
            <w:r w:rsidRPr="00884BE2">
              <w:rPr>
                <w:sz w:val="18"/>
              </w:rPr>
              <w:t>No change required</w:t>
            </w:r>
            <w:r w:rsidR="00341E2E" w:rsidRPr="00884BE2">
              <w:rPr>
                <w:sz w:val="18"/>
              </w:rPr>
              <w:t xml:space="preserve"> to dose. Caution should be to other oral </w:t>
            </w:r>
            <w:proofErr w:type="spellStart"/>
            <w:r w:rsidR="00341E2E" w:rsidRPr="00884BE2">
              <w:rPr>
                <w:sz w:val="18"/>
              </w:rPr>
              <w:t>hypoglycaemics</w:t>
            </w:r>
            <w:proofErr w:type="spellEnd"/>
            <w:r w:rsidR="00341E2E" w:rsidRPr="00884BE2">
              <w:rPr>
                <w:sz w:val="18"/>
              </w:rPr>
              <w:t xml:space="preserve"> taken in combination, e.g. sulphonylurea dose will need to be adjusted.</w:t>
            </w:r>
          </w:p>
        </w:tc>
      </w:tr>
      <w:tr w:rsidR="00B612EA" w:rsidRPr="00884BE2" w:rsidTr="00596AB9">
        <w:trPr>
          <w:trHeight w:val="186"/>
        </w:trPr>
        <w:tc>
          <w:tcPr>
            <w:tcW w:w="4219" w:type="dxa"/>
          </w:tcPr>
          <w:p w:rsidR="00B612EA" w:rsidRPr="00884BE2" w:rsidRDefault="00B612EA" w:rsidP="00B612EA">
            <w:pPr>
              <w:spacing w:line="360" w:lineRule="auto"/>
              <w:jc w:val="both"/>
              <w:rPr>
                <w:sz w:val="18"/>
              </w:rPr>
            </w:pPr>
            <w:proofErr w:type="spellStart"/>
            <w:r w:rsidRPr="00884BE2">
              <w:rPr>
                <w:sz w:val="18"/>
              </w:rPr>
              <w:t>Sulphonyureas</w:t>
            </w:r>
            <w:proofErr w:type="spellEnd"/>
          </w:p>
          <w:p w:rsidR="0017668F" w:rsidRPr="00884BE2" w:rsidRDefault="0017668F" w:rsidP="00B612EA">
            <w:pPr>
              <w:spacing w:line="360" w:lineRule="auto"/>
              <w:jc w:val="both"/>
              <w:rPr>
                <w:sz w:val="18"/>
              </w:rPr>
            </w:pPr>
          </w:p>
          <w:p w:rsidR="0017668F" w:rsidRPr="00884BE2" w:rsidRDefault="0017668F" w:rsidP="00B612EA">
            <w:pPr>
              <w:spacing w:line="360" w:lineRule="auto"/>
              <w:jc w:val="both"/>
              <w:rPr>
                <w:sz w:val="18"/>
              </w:rPr>
            </w:pPr>
          </w:p>
          <w:p w:rsidR="000674D2" w:rsidRPr="00884BE2" w:rsidRDefault="000674D2" w:rsidP="00B612EA">
            <w:pPr>
              <w:spacing w:line="360" w:lineRule="auto"/>
              <w:jc w:val="both"/>
              <w:rPr>
                <w:sz w:val="18"/>
              </w:rPr>
            </w:pPr>
            <w:r w:rsidRPr="00884BE2">
              <w:rPr>
                <w:sz w:val="18"/>
              </w:rPr>
              <w:t>Short-acting sulphonylurea</w:t>
            </w:r>
          </w:p>
          <w:p w:rsidR="00B612EA" w:rsidRPr="00884BE2" w:rsidRDefault="00341E2E" w:rsidP="00B612EA">
            <w:pPr>
              <w:spacing w:line="360" w:lineRule="auto"/>
              <w:jc w:val="both"/>
              <w:rPr>
                <w:sz w:val="18"/>
              </w:rPr>
            </w:pPr>
            <w:r w:rsidRPr="00884BE2">
              <w:rPr>
                <w:sz w:val="18"/>
              </w:rPr>
              <w:t xml:space="preserve">e.g. </w:t>
            </w:r>
            <w:r w:rsidR="00B612EA" w:rsidRPr="00884BE2">
              <w:rPr>
                <w:sz w:val="18"/>
              </w:rPr>
              <w:t xml:space="preserve">Gliclazide 80mg </w:t>
            </w:r>
            <w:proofErr w:type="spellStart"/>
            <w:r w:rsidR="00B612EA" w:rsidRPr="00884BE2">
              <w:rPr>
                <w:sz w:val="18"/>
              </w:rPr>
              <w:t>bd</w:t>
            </w:r>
            <w:proofErr w:type="spellEnd"/>
          </w:p>
          <w:p w:rsidR="000674D2" w:rsidRPr="00884BE2" w:rsidRDefault="000674D2" w:rsidP="00B612EA">
            <w:pPr>
              <w:spacing w:line="360" w:lineRule="auto"/>
              <w:jc w:val="both"/>
              <w:rPr>
                <w:sz w:val="18"/>
              </w:rPr>
            </w:pPr>
          </w:p>
          <w:p w:rsidR="000674D2" w:rsidRPr="00884BE2" w:rsidRDefault="000674D2" w:rsidP="00B612EA">
            <w:pPr>
              <w:spacing w:line="360" w:lineRule="auto"/>
              <w:jc w:val="both"/>
              <w:rPr>
                <w:sz w:val="18"/>
              </w:rPr>
            </w:pPr>
          </w:p>
          <w:p w:rsidR="000674D2" w:rsidRPr="00884BE2" w:rsidRDefault="000674D2" w:rsidP="00B612EA">
            <w:pPr>
              <w:spacing w:line="360" w:lineRule="auto"/>
              <w:jc w:val="both"/>
              <w:rPr>
                <w:sz w:val="18"/>
              </w:rPr>
            </w:pPr>
            <w:r w:rsidRPr="00884BE2">
              <w:rPr>
                <w:sz w:val="18"/>
              </w:rPr>
              <w:t xml:space="preserve">e.g. Gliclazide 80mg </w:t>
            </w:r>
            <w:r w:rsidR="005D3F5C" w:rsidRPr="00884BE2">
              <w:rPr>
                <w:sz w:val="18"/>
              </w:rPr>
              <w:t>am + 40mg pm</w:t>
            </w:r>
          </w:p>
          <w:p w:rsidR="005D3F5C" w:rsidRPr="00884BE2" w:rsidRDefault="005D3F5C" w:rsidP="00B612EA">
            <w:pPr>
              <w:spacing w:line="360" w:lineRule="auto"/>
              <w:jc w:val="both"/>
              <w:rPr>
                <w:sz w:val="18"/>
              </w:rPr>
            </w:pPr>
          </w:p>
          <w:p w:rsidR="008A3C6B" w:rsidRPr="00884BE2" w:rsidRDefault="008A3C6B" w:rsidP="00B612EA">
            <w:pPr>
              <w:spacing w:line="360" w:lineRule="auto"/>
              <w:jc w:val="both"/>
              <w:rPr>
                <w:sz w:val="18"/>
              </w:rPr>
            </w:pPr>
            <w:r w:rsidRPr="00884BE2">
              <w:rPr>
                <w:sz w:val="18"/>
              </w:rPr>
              <w:t>Long-acting sulphonylurea</w:t>
            </w:r>
          </w:p>
          <w:p w:rsidR="00B612EA" w:rsidRPr="00884BE2" w:rsidRDefault="00341E2E" w:rsidP="00B612EA">
            <w:pPr>
              <w:spacing w:line="360" w:lineRule="auto"/>
              <w:jc w:val="both"/>
              <w:rPr>
                <w:sz w:val="18"/>
              </w:rPr>
            </w:pPr>
            <w:r w:rsidRPr="00884BE2">
              <w:rPr>
                <w:sz w:val="18"/>
              </w:rPr>
              <w:t xml:space="preserve">e.g. </w:t>
            </w:r>
            <w:r w:rsidR="00B612EA" w:rsidRPr="00884BE2">
              <w:rPr>
                <w:sz w:val="18"/>
              </w:rPr>
              <w:t>Glimepiride 4mg od</w:t>
            </w:r>
          </w:p>
        </w:tc>
        <w:tc>
          <w:tcPr>
            <w:tcW w:w="5387" w:type="dxa"/>
          </w:tcPr>
          <w:p w:rsidR="00341E2E" w:rsidRPr="00884BE2" w:rsidRDefault="0017668F" w:rsidP="00B612EA">
            <w:pPr>
              <w:spacing w:line="360" w:lineRule="auto"/>
              <w:jc w:val="both"/>
              <w:rPr>
                <w:sz w:val="18"/>
              </w:rPr>
            </w:pPr>
            <w:r w:rsidRPr="00884BE2">
              <w:rPr>
                <w:sz w:val="18"/>
              </w:rPr>
              <w:t xml:space="preserve">Consider reducing dose of sulphonylurea for HbA1c </w:t>
            </w:r>
            <w:r w:rsidRPr="00884BE2">
              <w:rPr>
                <w:rFonts w:cstheme="minorHAnsi"/>
                <w:sz w:val="18"/>
              </w:rPr>
              <w:t>≥</w:t>
            </w:r>
            <w:r w:rsidRPr="00884BE2">
              <w:rPr>
                <w:sz w:val="18"/>
              </w:rPr>
              <w:t>7.5% or if have a history of hypoglycaemic episodes</w:t>
            </w:r>
          </w:p>
          <w:p w:rsidR="000674D2" w:rsidRPr="00884BE2" w:rsidRDefault="000674D2" w:rsidP="00B612EA">
            <w:pPr>
              <w:spacing w:line="360" w:lineRule="auto"/>
              <w:jc w:val="both"/>
              <w:rPr>
                <w:sz w:val="18"/>
              </w:rPr>
            </w:pPr>
          </w:p>
          <w:p w:rsidR="00B612EA" w:rsidRPr="00884BE2" w:rsidRDefault="00341E2E" w:rsidP="00B612EA">
            <w:pPr>
              <w:spacing w:line="360" w:lineRule="auto"/>
              <w:jc w:val="both"/>
              <w:rPr>
                <w:sz w:val="18"/>
              </w:rPr>
            </w:pPr>
            <w:r w:rsidRPr="00884BE2">
              <w:rPr>
                <w:sz w:val="18"/>
              </w:rPr>
              <w:t xml:space="preserve">Morning dose should be halved and taken with </w:t>
            </w:r>
            <w:proofErr w:type="spellStart"/>
            <w:r w:rsidRPr="00884BE2">
              <w:rPr>
                <w:sz w:val="18"/>
              </w:rPr>
              <w:t>Suhoor</w:t>
            </w:r>
            <w:proofErr w:type="spellEnd"/>
            <w:r w:rsidRPr="00884BE2">
              <w:rPr>
                <w:sz w:val="18"/>
              </w:rPr>
              <w:t xml:space="preserve"> and</w:t>
            </w:r>
            <w:r w:rsidR="000674D2" w:rsidRPr="00884BE2">
              <w:rPr>
                <w:sz w:val="18"/>
              </w:rPr>
              <w:t xml:space="preserve"> evening dose can stay the same, e.g.</w:t>
            </w:r>
            <w:r w:rsidRPr="00884BE2">
              <w:rPr>
                <w:sz w:val="18"/>
              </w:rPr>
              <w:t xml:space="preserve"> </w:t>
            </w:r>
            <w:r w:rsidR="00B612EA" w:rsidRPr="00884BE2">
              <w:rPr>
                <w:sz w:val="18"/>
              </w:rPr>
              <w:t xml:space="preserve">Gliclazide 80mg at </w:t>
            </w:r>
            <w:proofErr w:type="spellStart"/>
            <w:r w:rsidR="00B612EA" w:rsidRPr="00884BE2">
              <w:rPr>
                <w:sz w:val="18"/>
              </w:rPr>
              <w:t>Iftar</w:t>
            </w:r>
            <w:proofErr w:type="spellEnd"/>
            <w:r w:rsidR="00B612EA" w:rsidRPr="00884BE2">
              <w:rPr>
                <w:sz w:val="18"/>
              </w:rPr>
              <w:t xml:space="preserve">, 40mg at </w:t>
            </w:r>
            <w:proofErr w:type="spellStart"/>
            <w:r w:rsidR="00B612EA" w:rsidRPr="00884BE2">
              <w:rPr>
                <w:sz w:val="18"/>
              </w:rPr>
              <w:t>Suhoor</w:t>
            </w:r>
            <w:proofErr w:type="spellEnd"/>
            <w:r w:rsidR="005D3F5C" w:rsidRPr="00884BE2">
              <w:rPr>
                <w:sz w:val="18"/>
              </w:rPr>
              <w:t>.</w:t>
            </w:r>
          </w:p>
          <w:p w:rsidR="00596AB9" w:rsidRPr="00884BE2" w:rsidRDefault="00596AB9" w:rsidP="005D3F5C">
            <w:pPr>
              <w:spacing w:line="360" w:lineRule="auto"/>
              <w:jc w:val="both"/>
              <w:rPr>
                <w:sz w:val="18"/>
              </w:rPr>
            </w:pPr>
          </w:p>
          <w:p w:rsidR="005D3F5C" w:rsidRPr="00884BE2" w:rsidRDefault="005D3F5C" w:rsidP="005D3F5C">
            <w:pPr>
              <w:spacing w:line="360" w:lineRule="auto"/>
              <w:jc w:val="both"/>
              <w:rPr>
                <w:sz w:val="18"/>
              </w:rPr>
            </w:pPr>
            <w:r w:rsidRPr="00884BE2">
              <w:rPr>
                <w:sz w:val="18"/>
              </w:rPr>
              <w:t xml:space="preserve">Doses should be reversed so the larger dose is taken with </w:t>
            </w:r>
            <w:proofErr w:type="spellStart"/>
            <w:r w:rsidRPr="00884BE2">
              <w:rPr>
                <w:sz w:val="18"/>
              </w:rPr>
              <w:t>Iftar</w:t>
            </w:r>
            <w:proofErr w:type="spellEnd"/>
            <w:r w:rsidRPr="00884BE2">
              <w:rPr>
                <w:sz w:val="18"/>
              </w:rPr>
              <w:t xml:space="preserve"> in the evening, e.g. Gliclazide 80mg at </w:t>
            </w:r>
            <w:proofErr w:type="spellStart"/>
            <w:r w:rsidRPr="00884BE2">
              <w:rPr>
                <w:sz w:val="18"/>
              </w:rPr>
              <w:t>Iftar</w:t>
            </w:r>
            <w:proofErr w:type="spellEnd"/>
            <w:r w:rsidRPr="00884BE2">
              <w:rPr>
                <w:sz w:val="18"/>
              </w:rPr>
              <w:t xml:space="preserve">, 40mg at </w:t>
            </w:r>
            <w:proofErr w:type="spellStart"/>
            <w:r w:rsidRPr="00884BE2">
              <w:rPr>
                <w:sz w:val="18"/>
              </w:rPr>
              <w:t>Suhoor</w:t>
            </w:r>
            <w:proofErr w:type="spellEnd"/>
            <w:r w:rsidRPr="00884BE2">
              <w:rPr>
                <w:sz w:val="18"/>
              </w:rPr>
              <w:t>.</w:t>
            </w:r>
          </w:p>
          <w:p w:rsidR="00596AB9" w:rsidRPr="00884BE2" w:rsidRDefault="00596AB9" w:rsidP="008A3C6B">
            <w:pPr>
              <w:spacing w:line="360" w:lineRule="auto"/>
              <w:jc w:val="both"/>
              <w:rPr>
                <w:sz w:val="18"/>
              </w:rPr>
            </w:pPr>
          </w:p>
          <w:p w:rsidR="00B612EA" w:rsidRPr="00884BE2" w:rsidRDefault="008A3C6B" w:rsidP="008A3C6B">
            <w:pPr>
              <w:spacing w:line="360" w:lineRule="auto"/>
              <w:jc w:val="both"/>
              <w:rPr>
                <w:sz w:val="18"/>
              </w:rPr>
            </w:pPr>
            <w:r w:rsidRPr="00884BE2">
              <w:rPr>
                <w:sz w:val="18"/>
              </w:rPr>
              <w:t xml:space="preserve">Switch to repaglinide or short-acting sulphonylurea, if possible, otherwise dose should be taken with evening meal, </w:t>
            </w:r>
            <w:proofErr w:type="spellStart"/>
            <w:r w:rsidRPr="00884BE2">
              <w:rPr>
                <w:sz w:val="18"/>
              </w:rPr>
              <w:t>Iftar</w:t>
            </w:r>
            <w:proofErr w:type="spellEnd"/>
            <w:r w:rsidRPr="00884BE2">
              <w:rPr>
                <w:sz w:val="18"/>
              </w:rPr>
              <w:t xml:space="preserve">, e.g. </w:t>
            </w:r>
            <w:r w:rsidR="00341E2E" w:rsidRPr="00884BE2">
              <w:rPr>
                <w:sz w:val="18"/>
              </w:rPr>
              <w:t xml:space="preserve">Glimepiride 4mg at </w:t>
            </w:r>
            <w:proofErr w:type="spellStart"/>
            <w:r w:rsidR="00341E2E" w:rsidRPr="00884BE2">
              <w:rPr>
                <w:sz w:val="18"/>
              </w:rPr>
              <w:t>Iftar</w:t>
            </w:r>
            <w:proofErr w:type="spellEnd"/>
            <w:r w:rsidR="005D3F5C" w:rsidRPr="00884BE2">
              <w:rPr>
                <w:sz w:val="18"/>
              </w:rPr>
              <w:t>.</w:t>
            </w:r>
          </w:p>
        </w:tc>
      </w:tr>
      <w:tr w:rsidR="00B612EA" w:rsidRPr="00884BE2" w:rsidTr="00596AB9">
        <w:trPr>
          <w:trHeight w:val="186"/>
        </w:trPr>
        <w:tc>
          <w:tcPr>
            <w:tcW w:w="4219" w:type="dxa"/>
          </w:tcPr>
          <w:p w:rsidR="00596AB9" w:rsidRPr="00884BE2" w:rsidRDefault="00596AB9" w:rsidP="00596AB9">
            <w:pPr>
              <w:spacing w:line="360" w:lineRule="auto"/>
              <w:jc w:val="both"/>
              <w:rPr>
                <w:sz w:val="18"/>
              </w:rPr>
            </w:pPr>
            <w:r w:rsidRPr="00884BE2">
              <w:rPr>
                <w:sz w:val="18"/>
              </w:rPr>
              <w:t xml:space="preserve">Other insulin </w:t>
            </w:r>
            <w:proofErr w:type="spellStart"/>
            <w:r w:rsidRPr="00884BE2">
              <w:rPr>
                <w:sz w:val="18"/>
              </w:rPr>
              <w:t>secretatogogues</w:t>
            </w:r>
            <w:proofErr w:type="spellEnd"/>
          </w:p>
          <w:p w:rsidR="00B612EA" w:rsidRPr="00884BE2" w:rsidRDefault="008A3C6B" w:rsidP="00596AB9">
            <w:pPr>
              <w:spacing w:line="360" w:lineRule="auto"/>
              <w:jc w:val="both"/>
              <w:rPr>
                <w:sz w:val="18"/>
              </w:rPr>
            </w:pPr>
            <w:r w:rsidRPr="00884BE2">
              <w:rPr>
                <w:sz w:val="18"/>
              </w:rPr>
              <w:t xml:space="preserve">e.g. </w:t>
            </w:r>
            <w:r w:rsidR="00B612EA" w:rsidRPr="00884BE2">
              <w:rPr>
                <w:sz w:val="18"/>
              </w:rPr>
              <w:t xml:space="preserve">Repaglinide 4mg </w:t>
            </w:r>
            <w:proofErr w:type="spellStart"/>
            <w:r w:rsidR="00B612EA" w:rsidRPr="00884BE2">
              <w:rPr>
                <w:sz w:val="18"/>
              </w:rPr>
              <w:t>bd</w:t>
            </w:r>
            <w:proofErr w:type="spellEnd"/>
          </w:p>
        </w:tc>
        <w:tc>
          <w:tcPr>
            <w:tcW w:w="5387" w:type="dxa"/>
          </w:tcPr>
          <w:p w:rsidR="00B612EA" w:rsidRPr="00884BE2" w:rsidRDefault="00B612EA" w:rsidP="008A3C6B">
            <w:pPr>
              <w:spacing w:line="360" w:lineRule="auto"/>
              <w:jc w:val="both"/>
              <w:rPr>
                <w:sz w:val="18"/>
              </w:rPr>
            </w:pPr>
            <w:r w:rsidRPr="00884BE2">
              <w:rPr>
                <w:sz w:val="18"/>
              </w:rPr>
              <w:t>No change</w:t>
            </w:r>
            <w:r w:rsidR="005D3F5C" w:rsidRPr="00884BE2">
              <w:rPr>
                <w:sz w:val="18"/>
              </w:rPr>
              <w:t xml:space="preserve"> is required</w:t>
            </w:r>
            <w:r w:rsidR="008A3C6B" w:rsidRPr="00884BE2">
              <w:rPr>
                <w:sz w:val="18"/>
              </w:rPr>
              <w:t xml:space="preserve"> to dose of Repaglinide and should be taken with meals</w:t>
            </w:r>
            <w:r w:rsidR="005D3F5C" w:rsidRPr="00884BE2">
              <w:rPr>
                <w:sz w:val="18"/>
              </w:rPr>
              <w:t>.</w:t>
            </w:r>
          </w:p>
        </w:tc>
      </w:tr>
      <w:tr w:rsidR="00B612EA" w:rsidRPr="00884BE2" w:rsidTr="00596AB9">
        <w:trPr>
          <w:trHeight w:val="186"/>
        </w:trPr>
        <w:tc>
          <w:tcPr>
            <w:tcW w:w="4219" w:type="dxa"/>
          </w:tcPr>
          <w:p w:rsidR="005D3F5C" w:rsidRPr="00884BE2" w:rsidRDefault="00B612EA" w:rsidP="00B612EA">
            <w:pPr>
              <w:spacing w:line="360" w:lineRule="auto"/>
              <w:jc w:val="both"/>
              <w:rPr>
                <w:sz w:val="18"/>
              </w:rPr>
            </w:pPr>
            <w:r w:rsidRPr="00884BE2">
              <w:rPr>
                <w:sz w:val="18"/>
              </w:rPr>
              <w:t xml:space="preserve">DPP-4 inhibitors </w:t>
            </w:r>
          </w:p>
          <w:p w:rsidR="00B612EA" w:rsidRPr="00884BE2" w:rsidRDefault="00B612EA" w:rsidP="00B612EA">
            <w:pPr>
              <w:spacing w:line="360" w:lineRule="auto"/>
              <w:jc w:val="both"/>
              <w:rPr>
                <w:sz w:val="18"/>
              </w:rPr>
            </w:pPr>
            <w:r w:rsidRPr="00884BE2">
              <w:rPr>
                <w:sz w:val="18"/>
              </w:rPr>
              <w:t xml:space="preserve">e.g. vildagliptin 50mg </w:t>
            </w:r>
            <w:proofErr w:type="spellStart"/>
            <w:r w:rsidRPr="00884BE2">
              <w:rPr>
                <w:sz w:val="18"/>
              </w:rPr>
              <w:t>bd</w:t>
            </w:r>
            <w:proofErr w:type="spellEnd"/>
            <w:r w:rsidRPr="00884BE2">
              <w:rPr>
                <w:sz w:val="18"/>
              </w:rPr>
              <w:t xml:space="preserve">, sitagliptin 100mg od, </w:t>
            </w:r>
            <w:proofErr w:type="spellStart"/>
            <w:r w:rsidRPr="00884BE2">
              <w:rPr>
                <w:sz w:val="18"/>
              </w:rPr>
              <w:t>saxagliptin</w:t>
            </w:r>
            <w:proofErr w:type="spellEnd"/>
            <w:r w:rsidRPr="00884BE2">
              <w:rPr>
                <w:sz w:val="18"/>
              </w:rPr>
              <w:t xml:space="preserve"> 5mg od and </w:t>
            </w:r>
            <w:proofErr w:type="spellStart"/>
            <w:r w:rsidRPr="00884BE2">
              <w:rPr>
                <w:sz w:val="18"/>
              </w:rPr>
              <w:t>Linagliptin</w:t>
            </w:r>
            <w:proofErr w:type="spellEnd"/>
            <w:r w:rsidRPr="00884BE2">
              <w:rPr>
                <w:sz w:val="18"/>
              </w:rPr>
              <w:t xml:space="preserve"> 5mg od</w:t>
            </w:r>
          </w:p>
        </w:tc>
        <w:tc>
          <w:tcPr>
            <w:tcW w:w="5387" w:type="dxa"/>
          </w:tcPr>
          <w:p w:rsidR="00B612EA" w:rsidRPr="00884BE2" w:rsidRDefault="00B612EA" w:rsidP="00B612EA">
            <w:pPr>
              <w:spacing w:line="360" w:lineRule="auto"/>
              <w:jc w:val="both"/>
              <w:rPr>
                <w:sz w:val="18"/>
              </w:rPr>
            </w:pPr>
            <w:r w:rsidRPr="00884BE2">
              <w:rPr>
                <w:sz w:val="18"/>
              </w:rPr>
              <w:t>No change</w:t>
            </w:r>
            <w:r w:rsidR="005D3F5C" w:rsidRPr="00884BE2">
              <w:rPr>
                <w:sz w:val="18"/>
              </w:rPr>
              <w:t xml:space="preserve"> is required</w:t>
            </w:r>
            <w:r w:rsidRPr="00884BE2">
              <w:rPr>
                <w:sz w:val="18"/>
              </w:rPr>
              <w:t xml:space="preserve">. If taken in combination with sulphonylurea, </w:t>
            </w:r>
            <w:r w:rsidR="00A030F2" w:rsidRPr="00884BE2">
              <w:rPr>
                <w:sz w:val="18"/>
              </w:rPr>
              <w:t xml:space="preserve">the sulphonylurea </w:t>
            </w:r>
            <w:r w:rsidRPr="00884BE2">
              <w:rPr>
                <w:sz w:val="18"/>
              </w:rPr>
              <w:t>dose must be reduced</w:t>
            </w:r>
            <w:r w:rsidR="00A030F2" w:rsidRPr="00884BE2">
              <w:rPr>
                <w:sz w:val="18"/>
              </w:rPr>
              <w:t xml:space="preserve"> and timings changed (as above)</w:t>
            </w:r>
          </w:p>
        </w:tc>
      </w:tr>
      <w:tr w:rsidR="00B612EA" w:rsidRPr="00884BE2" w:rsidTr="00596AB9">
        <w:trPr>
          <w:trHeight w:val="186"/>
        </w:trPr>
        <w:tc>
          <w:tcPr>
            <w:tcW w:w="4219" w:type="dxa"/>
          </w:tcPr>
          <w:p w:rsidR="00596AB9" w:rsidRPr="00884BE2" w:rsidRDefault="00B612EA" w:rsidP="00B612EA">
            <w:pPr>
              <w:spacing w:line="360" w:lineRule="auto"/>
              <w:jc w:val="both"/>
              <w:rPr>
                <w:sz w:val="18"/>
              </w:rPr>
            </w:pPr>
            <w:r w:rsidRPr="00884BE2">
              <w:rPr>
                <w:sz w:val="18"/>
              </w:rPr>
              <w:t xml:space="preserve">SGLT2 inhibitors  </w:t>
            </w:r>
          </w:p>
          <w:p w:rsidR="00B612EA" w:rsidRPr="00884BE2" w:rsidRDefault="00B612EA" w:rsidP="00B612EA">
            <w:pPr>
              <w:spacing w:line="360" w:lineRule="auto"/>
              <w:jc w:val="both"/>
              <w:rPr>
                <w:sz w:val="18"/>
              </w:rPr>
            </w:pPr>
            <w:r w:rsidRPr="00884BE2">
              <w:rPr>
                <w:sz w:val="18"/>
              </w:rPr>
              <w:t xml:space="preserve">e.g. </w:t>
            </w:r>
            <w:proofErr w:type="spellStart"/>
            <w:r w:rsidRPr="00884BE2">
              <w:rPr>
                <w:sz w:val="18"/>
              </w:rPr>
              <w:t>Dapagliflozin</w:t>
            </w:r>
            <w:proofErr w:type="spellEnd"/>
            <w:r w:rsidRPr="00884BE2">
              <w:rPr>
                <w:sz w:val="18"/>
              </w:rPr>
              <w:t xml:space="preserve">, </w:t>
            </w:r>
            <w:proofErr w:type="spellStart"/>
            <w:r w:rsidRPr="00884BE2">
              <w:rPr>
                <w:sz w:val="18"/>
              </w:rPr>
              <w:t>Canagliflozin</w:t>
            </w:r>
            <w:proofErr w:type="spellEnd"/>
          </w:p>
          <w:p w:rsidR="00B612EA" w:rsidRPr="00884BE2" w:rsidRDefault="00B612EA" w:rsidP="00B612EA">
            <w:pPr>
              <w:spacing w:line="360" w:lineRule="auto"/>
              <w:jc w:val="both"/>
              <w:rPr>
                <w:sz w:val="18"/>
              </w:rPr>
            </w:pPr>
          </w:p>
        </w:tc>
        <w:tc>
          <w:tcPr>
            <w:tcW w:w="5387" w:type="dxa"/>
          </w:tcPr>
          <w:p w:rsidR="00B612EA" w:rsidRPr="00884BE2" w:rsidRDefault="008A3C6B" w:rsidP="00B612EA">
            <w:pPr>
              <w:spacing w:line="360" w:lineRule="auto"/>
              <w:jc w:val="both"/>
              <w:rPr>
                <w:sz w:val="18"/>
              </w:rPr>
            </w:pPr>
            <w:r w:rsidRPr="00884BE2">
              <w:rPr>
                <w:sz w:val="18"/>
              </w:rPr>
              <w:t xml:space="preserve">Patients should be well-established on these drugs. </w:t>
            </w:r>
            <w:r w:rsidR="00B612EA" w:rsidRPr="00884BE2">
              <w:rPr>
                <w:sz w:val="18"/>
              </w:rPr>
              <w:t>No change in dose is required but caution around dehydration and syncope in warm countries</w:t>
            </w:r>
            <w:r w:rsidRPr="00884BE2">
              <w:rPr>
                <w:sz w:val="18"/>
              </w:rPr>
              <w:t xml:space="preserve">, as well as patients </w:t>
            </w:r>
            <w:proofErr w:type="gramStart"/>
            <w:r w:rsidRPr="00884BE2">
              <w:rPr>
                <w:sz w:val="18"/>
              </w:rPr>
              <w:t>pay</w:t>
            </w:r>
            <w:proofErr w:type="gramEnd"/>
            <w:r w:rsidRPr="00884BE2">
              <w:rPr>
                <w:sz w:val="18"/>
              </w:rPr>
              <w:t xml:space="preserve"> close attention for any signs of ketoacidosis and be provided with ketone testing kits</w:t>
            </w:r>
            <w:r w:rsidR="00B612EA" w:rsidRPr="00884BE2">
              <w:rPr>
                <w:sz w:val="18"/>
              </w:rPr>
              <w:t xml:space="preserve">. </w:t>
            </w:r>
          </w:p>
        </w:tc>
      </w:tr>
      <w:tr w:rsidR="00B612EA" w:rsidRPr="00884BE2" w:rsidTr="00596AB9">
        <w:trPr>
          <w:trHeight w:val="186"/>
        </w:trPr>
        <w:tc>
          <w:tcPr>
            <w:tcW w:w="4219" w:type="dxa"/>
          </w:tcPr>
          <w:p w:rsidR="008A3C6B" w:rsidRPr="00884BE2" w:rsidRDefault="00B612EA" w:rsidP="00B612EA">
            <w:pPr>
              <w:spacing w:line="360" w:lineRule="auto"/>
              <w:jc w:val="both"/>
              <w:rPr>
                <w:sz w:val="18"/>
              </w:rPr>
            </w:pPr>
            <w:r w:rsidRPr="00884BE2">
              <w:rPr>
                <w:sz w:val="18"/>
              </w:rPr>
              <w:t xml:space="preserve">GLP-1 agonists </w:t>
            </w:r>
          </w:p>
          <w:p w:rsidR="00B612EA" w:rsidRPr="00884BE2" w:rsidRDefault="0017668F" w:rsidP="00B612EA">
            <w:pPr>
              <w:spacing w:line="360" w:lineRule="auto"/>
              <w:jc w:val="both"/>
              <w:rPr>
                <w:sz w:val="18"/>
              </w:rPr>
            </w:pPr>
            <w:proofErr w:type="gramStart"/>
            <w:r w:rsidRPr="00884BE2">
              <w:rPr>
                <w:sz w:val="18"/>
              </w:rPr>
              <w:t>e.g</w:t>
            </w:r>
            <w:proofErr w:type="gramEnd"/>
            <w:r w:rsidRPr="00884BE2">
              <w:rPr>
                <w:sz w:val="18"/>
              </w:rPr>
              <w:t>. Liraglutide 1.2mg od,</w:t>
            </w:r>
            <w:r w:rsidR="00B612EA" w:rsidRPr="00884BE2">
              <w:rPr>
                <w:sz w:val="18"/>
              </w:rPr>
              <w:t xml:space="preserve"> </w:t>
            </w:r>
            <w:proofErr w:type="spellStart"/>
            <w:r w:rsidR="00B612EA" w:rsidRPr="00884BE2">
              <w:rPr>
                <w:sz w:val="18"/>
              </w:rPr>
              <w:t>Exenatide</w:t>
            </w:r>
            <w:proofErr w:type="spellEnd"/>
            <w:r w:rsidR="00B612EA" w:rsidRPr="00884BE2">
              <w:rPr>
                <w:sz w:val="18"/>
              </w:rPr>
              <w:t xml:space="preserve"> 10mcg </w:t>
            </w:r>
            <w:proofErr w:type="spellStart"/>
            <w:r w:rsidR="00B612EA" w:rsidRPr="00884BE2">
              <w:rPr>
                <w:sz w:val="18"/>
              </w:rPr>
              <w:t>bd</w:t>
            </w:r>
            <w:proofErr w:type="spellEnd"/>
            <w:r w:rsidRPr="00884BE2">
              <w:rPr>
                <w:sz w:val="18"/>
              </w:rPr>
              <w:t xml:space="preserve">, </w:t>
            </w:r>
            <w:proofErr w:type="spellStart"/>
            <w:r w:rsidRPr="00884BE2">
              <w:rPr>
                <w:sz w:val="18"/>
              </w:rPr>
              <w:t>Lixisenatide</w:t>
            </w:r>
            <w:proofErr w:type="spellEnd"/>
            <w:r w:rsidRPr="00884BE2">
              <w:rPr>
                <w:sz w:val="18"/>
              </w:rPr>
              <w:t xml:space="preserve"> 20mg OD, </w:t>
            </w:r>
            <w:proofErr w:type="spellStart"/>
            <w:r w:rsidRPr="00884BE2">
              <w:rPr>
                <w:sz w:val="18"/>
              </w:rPr>
              <w:t>Exenetide</w:t>
            </w:r>
            <w:proofErr w:type="spellEnd"/>
            <w:r w:rsidRPr="00884BE2">
              <w:rPr>
                <w:sz w:val="18"/>
              </w:rPr>
              <w:t xml:space="preserve"> QW. </w:t>
            </w:r>
          </w:p>
          <w:p w:rsidR="00B612EA" w:rsidRPr="00884BE2" w:rsidRDefault="00B612EA" w:rsidP="00B612EA">
            <w:pPr>
              <w:spacing w:line="360" w:lineRule="auto"/>
              <w:jc w:val="both"/>
              <w:rPr>
                <w:sz w:val="18"/>
              </w:rPr>
            </w:pPr>
          </w:p>
        </w:tc>
        <w:tc>
          <w:tcPr>
            <w:tcW w:w="5387" w:type="dxa"/>
          </w:tcPr>
          <w:p w:rsidR="00596AB9" w:rsidRPr="00884BE2" w:rsidRDefault="00B612EA" w:rsidP="00596AB9">
            <w:pPr>
              <w:spacing w:line="360" w:lineRule="auto"/>
              <w:jc w:val="both"/>
              <w:rPr>
                <w:sz w:val="18"/>
              </w:rPr>
            </w:pPr>
            <w:r w:rsidRPr="00884BE2">
              <w:rPr>
                <w:sz w:val="18"/>
              </w:rPr>
              <w:t xml:space="preserve">No </w:t>
            </w:r>
            <w:proofErr w:type="gramStart"/>
            <w:r w:rsidRPr="00884BE2">
              <w:rPr>
                <w:sz w:val="18"/>
              </w:rPr>
              <w:t>change</w:t>
            </w:r>
            <w:r w:rsidR="008A3C6B" w:rsidRPr="00884BE2">
              <w:rPr>
                <w:sz w:val="18"/>
              </w:rPr>
              <w:t xml:space="preserve"> to doses are</w:t>
            </w:r>
            <w:proofErr w:type="gramEnd"/>
            <w:r w:rsidR="008A3C6B" w:rsidRPr="00884BE2">
              <w:rPr>
                <w:sz w:val="18"/>
              </w:rPr>
              <w:t xml:space="preserve"> required</w:t>
            </w:r>
            <w:r w:rsidRPr="00884BE2">
              <w:rPr>
                <w:sz w:val="18"/>
              </w:rPr>
              <w:t xml:space="preserve">. </w:t>
            </w:r>
            <w:r w:rsidR="008A3C6B" w:rsidRPr="00884BE2">
              <w:rPr>
                <w:sz w:val="18"/>
              </w:rPr>
              <w:t>However, i</w:t>
            </w:r>
            <w:r w:rsidRPr="00884BE2">
              <w:rPr>
                <w:sz w:val="18"/>
              </w:rPr>
              <w:t xml:space="preserve">f </w:t>
            </w:r>
            <w:r w:rsidR="008A3C6B" w:rsidRPr="00884BE2">
              <w:rPr>
                <w:sz w:val="18"/>
              </w:rPr>
              <w:t xml:space="preserve">there is </w:t>
            </w:r>
            <w:r w:rsidRPr="00884BE2">
              <w:rPr>
                <w:sz w:val="18"/>
              </w:rPr>
              <w:t>severe nausea</w:t>
            </w:r>
            <w:r w:rsidR="00596AB9" w:rsidRPr="00884BE2">
              <w:rPr>
                <w:sz w:val="18"/>
              </w:rPr>
              <w:t xml:space="preserve">, </w:t>
            </w:r>
            <w:r w:rsidR="0017668F" w:rsidRPr="00884BE2">
              <w:rPr>
                <w:sz w:val="18"/>
              </w:rPr>
              <w:t>reduce</w:t>
            </w:r>
            <w:r w:rsidR="00596AB9" w:rsidRPr="00884BE2">
              <w:rPr>
                <w:sz w:val="18"/>
              </w:rPr>
              <w:t xml:space="preserve"> dose of GLP-1 agonist</w:t>
            </w:r>
            <w:r w:rsidR="0017668F" w:rsidRPr="00884BE2">
              <w:rPr>
                <w:sz w:val="18"/>
              </w:rPr>
              <w:t xml:space="preserve"> by 50%</w:t>
            </w:r>
            <w:r w:rsidR="00596AB9" w:rsidRPr="00884BE2">
              <w:rPr>
                <w:sz w:val="18"/>
              </w:rPr>
              <w:t>.</w:t>
            </w:r>
            <w:r w:rsidRPr="00884BE2">
              <w:rPr>
                <w:sz w:val="18"/>
              </w:rPr>
              <w:t xml:space="preserve"> </w:t>
            </w:r>
            <w:r w:rsidR="00596AB9" w:rsidRPr="00884BE2">
              <w:rPr>
                <w:sz w:val="18"/>
              </w:rPr>
              <w:t>If</w:t>
            </w:r>
            <w:r w:rsidR="008A3C6B" w:rsidRPr="00884BE2">
              <w:rPr>
                <w:sz w:val="18"/>
              </w:rPr>
              <w:t xml:space="preserve"> </w:t>
            </w:r>
            <w:r w:rsidRPr="00884BE2">
              <w:rPr>
                <w:sz w:val="18"/>
              </w:rPr>
              <w:t xml:space="preserve">taken in combination with sulphonylurea, </w:t>
            </w:r>
            <w:r w:rsidR="00596AB9" w:rsidRPr="00884BE2">
              <w:rPr>
                <w:sz w:val="18"/>
              </w:rPr>
              <w:t xml:space="preserve">sulphonylurea </w:t>
            </w:r>
            <w:r w:rsidRPr="00884BE2">
              <w:rPr>
                <w:sz w:val="18"/>
              </w:rPr>
              <w:t xml:space="preserve">dose </w:t>
            </w:r>
            <w:r w:rsidR="00596AB9" w:rsidRPr="00884BE2">
              <w:rPr>
                <w:sz w:val="18"/>
              </w:rPr>
              <w:t xml:space="preserve">should </w:t>
            </w:r>
            <w:r w:rsidRPr="00884BE2">
              <w:rPr>
                <w:sz w:val="18"/>
              </w:rPr>
              <w:t>be reduced</w:t>
            </w:r>
            <w:r w:rsidR="00596AB9" w:rsidRPr="00884BE2">
              <w:rPr>
                <w:sz w:val="18"/>
              </w:rPr>
              <w:t xml:space="preserve"> and timings adjusted (as above)</w:t>
            </w:r>
            <w:r w:rsidRPr="00884BE2">
              <w:rPr>
                <w:sz w:val="18"/>
              </w:rPr>
              <w:t xml:space="preserve">. </w:t>
            </w:r>
          </w:p>
          <w:p w:rsidR="00B612EA" w:rsidRPr="00884BE2" w:rsidRDefault="00B612EA" w:rsidP="0017668F">
            <w:pPr>
              <w:spacing w:line="360" w:lineRule="auto"/>
              <w:jc w:val="both"/>
              <w:rPr>
                <w:sz w:val="18"/>
              </w:rPr>
            </w:pPr>
            <w:r w:rsidRPr="00884BE2">
              <w:rPr>
                <w:sz w:val="18"/>
              </w:rPr>
              <w:lastRenderedPageBreak/>
              <w:t xml:space="preserve">With </w:t>
            </w:r>
            <w:proofErr w:type="spellStart"/>
            <w:r w:rsidRPr="00884BE2">
              <w:rPr>
                <w:sz w:val="18"/>
              </w:rPr>
              <w:t>Exenatide</w:t>
            </w:r>
            <w:proofErr w:type="spellEnd"/>
            <w:r w:rsidRPr="00884BE2">
              <w:rPr>
                <w:sz w:val="18"/>
              </w:rPr>
              <w:t xml:space="preserve"> </w:t>
            </w:r>
            <w:r w:rsidR="0017668F" w:rsidRPr="00884BE2">
              <w:rPr>
                <w:sz w:val="18"/>
              </w:rPr>
              <w:t>en</w:t>
            </w:r>
            <w:r w:rsidRPr="00884BE2">
              <w:rPr>
                <w:sz w:val="18"/>
              </w:rPr>
              <w:t xml:space="preserve">sure that the duration between both the doses is greater than 6 hrs. This may be </w:t>
            </w:r>
            <w:r w:rsidR="00596AB9" w:rsidRPr="00884BE2">
              <w:rPr>
                <w:sz w:val="18"/>
              </w:rPr>
              <w:t>a</w:t>
            </w:r>
            <w:r w:rsidRPr="00884BE2">
              <w:rPr>
                <w:sz w:val="18"/>
              </w:rPr>
              <w:t>ffected when duration fast is greater than 18 hrs.</w:t>
            </w:r>
          </w:p>
        </w:tc>
      </w:tr>
      <w:tr w:rsidR="00B612EA" w:rsidRPr="00884BE2" w:rsidTr="00596AB9">
        <w:trPr>
          <w:trHeight w:val="186"/>
        </w:trPr>
        <w:tc>
          <w:tcPr>
            <w:tcW w:w="4219" w:type="dxa"/>
          </w:tcPr>
          <w:p w:rsidR="00341E2E" w:rsidRPr="00884BE2" w:rsidRDefault="00341E2E" w:rsidP="00341E2E">
            <w:pPr>
              <w:spacing w:line="360" w:lineRule="auto"/>
              <w:jc w:val="both"/>
              <w:rPr>
                <w:sz w:val="18"/>
              </w:rPr>
            </w:pPr>
            <w:r w:rsidRPr="00884BE2">
              <w:rPr>
                <w:sz w:val="18"/>
              </w:rPr>
              <w:lastRenderedPageBreak/>
              <w:t>Insulin</w:t>
            </w:r>
          </w:p>
          <w:p w:rsidR="00596AB9" w:rsidRPr="00884BE2" w:rsidRDefault="00596AB9" w:rsidP="00341E2E">
            <w:pPr>
              <w:spacing w:line="360" w:lineRule="auto"/>
              <w:jc w:val="both"/>
              <w:rPr>
                <w:sz w:val="18"/>
              </w:rPr>
            </w:pPr>
            <w:r w:rsidRPr="00884BE2">
              <w:rPr>
                <w:sz w:val="18"/>
              </w:rPr>
              <w:t>Long-acting (basal) insulin</w:t>
            </w:r>
          </w:p>
          <w:p w:rsidR="00341E2E" w:rsidRPr="00884BE2" w:rsidRDefault="00596AB9" w:rsidP="00341E2E">
            <w:pPr>
              <w:spacing w:line="360" w:lineRule="auto"/>
              <w:jc w:val="both"/>
              <w:rPr>
                <w:sz w:val="18"/>
              </w:rPr>
            </w:pPr>
            <w:r w:rsidRPr="00884BE2">
              <w:rPr>
                <w:sz w:val="18"/>
              </w:rPr>
              <w:t xml:space="preserve">e.g. </w:t>
            </w:r>
            <w:proofErr w:type="spellStart"/>
            <w:r w:rsidR="00341E2E" w:rsidRPr="00884BE2">
              <w:rPr>
                <w:sz w:val="18"/>
              </w:rPr>
              <w:t>Glargine</w:t>
            </w:r>
            <w:proofErr w:type="spellEnd"/>
            <w:r w:rsidR="00341E2E" w:rsidRPr="00884BE2">
              <w:rPr>
                <w:sz w:val="18"/>
              </w:rPr>
              <w:t xml:space="preserve"> 20 units od</w:t>
            </w:r>
          </w:p>
          <w:p w:rsidR="0017668F" w:rsidRPr="00884BE2" w:rsidRDefault="0017668F" w:rsidP="00341E2E">
            <w:pPr>
              <w:spacing w:line="360" w:lineRule="auto"/>
              <w:jc w:val="both"/>
              <w:rPr>
                <w:sz w:val="18"/>
              </w:rPr>
            </w:pPr>
          </w:p>
          <w:p w:rsidR="00341E2E" w:rsidRPr="00884BE2" w:rsidRDefault="00341E2E" w:rsidP="00341E2E">
            <w:pPr>
              <w:spacing w:line="360" w:lineRule="auto"/>
              <w:jc w:val="both"/>
              <w:rPr>
                <w:sz w:val="18"/>
              </w:rPr>
            </w:pPr>
          </w:p>
          <w:p w:rsidR="005A416F" w:rsidRPr="00884BE2" w:rsidRDefault="005A416F" w:rsidP="00341E2E">
            <w:pPr>
              <w:spacing w:line="360" w:lineRule="auto"/>
              <w:jc w:val="both"/>
              <w:rPr>
                <w:sz w:val="18"/>
              </w:rPr>
            </w:pPr>
          </w:p>
          <w:p w:rsidR="00596AB9" w:rsidRPr="00884BE2" w:rsidRDefault="00596AB9" w:rsidP="00341E2E">
            <w:pPr>
              <w:spacing w:line="360" w:lineRule="auto"/>
              <w:jc w:val="both"/>
              <w:rPr>
                <w:sz w:val="18"/>
              </w:rPr>
            </w:pPr>
            <w:r w:rsidRPr="00884BE2">
              <w:rPr>
                <w:sz w:val="18"/>
              </w:rPr>
              <w:t xml:space="preserve">Rapid-acting (meal-time) insulin </w:t>
            </w:r>
          </w:p>
          <w:p w:rsidR="00596AB9" w:rsidRPr="00884BE2" w:rsidRDefault="00596AB9" w:rsidP="00341E2E">
            <w:pPr>
              <w:spacing w:line="360" w:lineRule="auto"/>
              <w:jc w:val="both"/>
              <w:rPr>
                <w:sz w:val="18"/>
              </w:rPr>
            </w:pPr>
            <w:r w:rsidRPr="00884BE2">
              <w:rPr>
                <w:sz w:val="18"/>
              </w:rPr>
              <w:t xml:space="preserve">e.g. </w:t>
            </w:r>
            <w:proofErr w:type="spellStart"/>
            <w:r w:rsidRPr="00884BE2">
              <w:rPr>
                <w:sz w:val="18"/>
              </w:rPr>
              <w:t>Novorapid</w:t>
            </w:r>
            <w:proofErr w:type="spellEnd"/>
            <w:r w:rsidRPr="00884BE2">
              <w:rPr>
                <w:sz w:val="18"/>
              </w:rPr>
              <w:t xml:space="preserve">/Humalog 10 units </w:t>
            </w:r>
            <w:proofErr w:type="spellStart"/>
            <w:r w:rsidRPr="00884BE2">
              <w:rPr>
                <w:sz w:val="18"/>
              </w:rPr>
              <w:t>tds</w:t>
            </w:r>
            <w:proofErr w:type="spellEnd"/>
            <w:r w:rsidRPr="00884BE2">
              <w:rPr>
                <w:sz w:val="18"/>
              </w:rPr>
              <w:t xml:space="preserve"> with meals</w:t>
            </w:r>
          </w:p>
          <w:p w:rsidR="00596AB9" w:rsidRPr="00884BE2" w:rsidRDefault="00596AB9" w:rsidP="00341E2E">
            <w:pPr>
              <w:spacing w:line="360" w:lineRule="auto"/>
              <w:jc w:val="both"/>
              <w:rPr>
                <w:sz w:val="18"/>
              </w:rPr>
            </w:pPr>
          </w:p>
          <w:p w:rsidR="00596AB9" w:rsidRPr="00884BE2" w:rsidRDefault="00341E2E" w:rsidP="00341E2E">
            <w:pPr>
              <w:spacing w:line="360" w:lineRule="auto"/>
              <w:jc w:val="both"/>
              <w:rPr>
                <w:sz w:val="18"/>
              </w:rPr>
            </w:pPr>
            <w:r w:rsidRPr="00884BE2">
              <w:rPr>
                <w:sz w:val="18"/>
              </w:rPr>
              <w:t>Mixed insulin</w:t>
            </w:r>
          </w:p>
          <w:p w:rsidR="0046653C" w:rsidRPr="00884BE2" w:rsidRDefault="0046653C" w:rsidP="00341E2E">
            <w:pPr>
              <w:spacing w:line="360" w:lineRule="auto"/>
              <w:jc w:val="both"/>
              <w:rPr>
                <w:sz w:val="18"/>
              </w:rPr>
            </w:pPr>
          </w:p>
          <w:p w:rsidR="005A416F" w:rsidRPr="00884BE2" w:rsidRDefault="005A416F" w:rsidP="00341E2E">
            <w:pPr>
              <w:spacing w:line="360" w:lineRule="auto"/>
              <w:jc w:val="both"/>
              <w:rPr>
                <w:sz w:val="18"/>
              </w:rPr>
            </w:pPr>
          </w:p>
          <w:p w:rsidR="00341E2E" w:rsidRPr="00884BE2" w:rsidRDefault="00341E2E" w:rsidP="00341E2E">
            <w:pPr>
              <w:spacing w:line="360" w:lineRule="auto"/>
              <w:jc w:val="both"/>
              <w:rPr>
                <w:sz w:val="18"/>
              </w:rPr>
            </w:pPr>
            <w:r w:rsidRPr="00884BE2">
              <w:rPr>
                <w:sz w:val="18"/>
              </w:rPr>
              <w:t xml:space="preserve">e.g. </w:t>
            </w:r>
            <w:proofErr w:type="spellStart"/>
            <w:r w:rsidRPr="00884BE2">
              <w:rPr>
                <w:sz w:val="18"/>
              </w:rPr>
              <w:t>Novomix</w:t>
            </w:r>
            <w:proofErr w:type="spellEnd"/>
            <w:r w:rsidRPr="00884BE2">
              <w:rPr>
                <w:sz w:val="18"/>
              </w:rPr>
              <w:t xml:space="preserve"> 30 – 30 units am and 20 units pm</w:t>
            </w:r>
          </w:p>
          <w:p w:rsidR="00B612EA" w:rsidRPr="00884BE2" w:rsidRDefault="005A416F" w:rsidP="00341E2E">
            <w:pPr>
              <w:spacing w:line="360" w:lineRule="auto"/>
              <w:jc w:val="both"/>
              <w:rPr>
                <w:sz w:val="18"/>
              </w:rPr>
            </w:pPr>
            <w:r w:rsidRPr="00884BE2">
              <w:rPr>
                <w:sz w:val="18"/>
              </w:rPr>
              <w:t>e.g. Humalog Mix 25 – 20 units am and 20 units pm</w:t>
            </w:r>
          </w:p>
          <w:p w:rsidR="005A416F" w:rsidRPr="00884BE2" w:rsidRDefault="005A416F" w:rsidP="00341E2E">
            <w:pPr>
              <w:spacing w:line="360" w:lineRule="auto"/>
              <w:jc w:val="both"/>
              <w:rPr>
                <w:sz w:val="18"/>
              </w:rPr>
            </w:pPr>
            <w:r w:rsidRPr="00884BE2">
              <w:rPr>
                <w:sz w:val="18"/>
              </w:rPr>
              <w:t xml:space="preserve">e.g. </w:t>
            </w:r>
            <w:proofErr w:type="spellStart"/>
            <w:r w:rsidRPr="00884BE2">
              <w:rPr>
                <w:sz w:val="18"/>
              </w:rPr>
              <w:t>Humulin</w:t>
            </w:r>
            <w:proofErr w:type="spellEnd"/>
            <w:r w:rsidRPr="00884BE2">
              <w:rPr>
                <w:sz w:val="18"/>
              </w:rPr>
              <w:t xml:space="preserve"> M3 – 32 units am and 24 units pm</w:t>
            </w:r>
          </w:p>
        </w:tc>
        <w:tc>
          <w:tcPr>
            <w:tcW w:w="5387" w:type="dxa"/>
          </w:tcPr>
          <w:p w:rsidR="00596AB9" w:rsidRPr="00884BE2" w:rsidRDefault="00596AB9" w:rsidP="00341E2E">
            <w:pPr>
              <w:spacing w:line="360" w:lineRule="auto"/>
              <w:jc w:val="both"/>
              <w:rPr>
                <w:sz w:val="18"/>
              </w:rPr>
            </w:pPr>
          </w:p>
          <w:p w:rsidR="00341E2E" w:rsidRPr="00884BE2" w:rsidRDefault="00596AB9" w:rsidP="00341E2E">
            <w:pPr>
              <w:spacing w:line="360" w:lineRule="auto"/>
              <w:jc w:val="both"/>
              <w:rPr>
                <w:sz w:val="18"/>
              </w:rPr>
            </w:pPr>
            <w:r w:rsidRPr="00884BE2">
              <w:rPr>
                <w:sz w:val="18"/>
              </w:rPr>
              <w:t xml:space="preserve">Long-acting insulin dose to be reduced by 20% and taken at </w:t>
            </w:r>
            <w:proofErr w:type="spellStart"/>
            <w:r w:rsidRPr="00884BE2">
              <w:rPr>
                <w:sz w:val="18"/>
              </w:rPr>
              <w:t>Iftar</w:t>
            </w:r>
            <w:proofErr w:type="spellEnd"/>
            <w:r w:rsidRPr="00884BE2">
              <w:rPr>
                <w:sz w:val="18"/>
              </w:rPr>
              <w:t xml:space="preserve">, e.g. </w:t>
            </w:r>
            <w:proofErr w:type="spellStart"/>
            <w:r w:rsidR="00341E2E" w:rsidRPr="00884BE2">
              <w:rPr>
                <w:sz w:val="18"/>
              </w:rPr>
              <w:t>Glargine</w:t>
            </w:r>
            <w:proofErr w:type="spellEnd"/>
            <w:r w:rsidR="00341E2E" w:rsidRPr="00884BE2">
              <w:rPr>
                <w:sz w:val="18"/>
              </w:rPr>
              <w:t xml:space="preserve"> dose to reduce </w:t>
            </w:r>
            <w:r w:rsidRPr="00884BE2">
              <w:rPr>
                <w:sz w:val="18"/>
              </w:rPr>
              <w:t xml:space="preserve">from </w:t>
            </w:r>
            <w:r w:rsidR="00341E2E" w:rsidRPr="00884BE2">
              <w:rPr>
                <w:sz w:val="18"/>
              </w:rPr>
              <w:t xml:space="preserve">20 </w:t>
            </w:r>
            <w:proofErr w:type="gramStart"/>
            <w:r w:rsidR="00341E2E" w:rsidRPr="00884BE2">
              <w:rPr>
                <w:sz w:val="18"/>
              </w:rPr>
              <w:t>units</w:t>
            </w:r>
            <w:proofErr w:type="gramEnd"/>
            <w:r w:rsidR="00341E2E" w:rsidRPr="00884BE2">
              <w:rPr>
                <w:sz w:val="18"/>
              </w:rPr>
              <w:t xml:space="preserve"> dose to 16 units</w:t>
            </w:r>
            <w:r w:rsidRPr="00884BE2">
              <w:rPr>
                <w:sz w:val="18"/>
              </w:rPr>
              <w:t xml:space="preserve"> and take with evening </w:t>
            </w:r>
            <w:proofErr w:type="spellStart"/>
            <w:r w:rsidRPr="00884BE2">
              <w:rPr>
                <w:sz w:val="18"/>
              </w:rPr>
              <w:t>Iftar</w:t>
            </w:r>
            <w:proofErr w:type="spellEnd"/>
            <w:r w:rsidRPr="00884BE2">
              <w:rPr>
                <w:sz w:val="18"/>
              </w:rPr>
              <w:t xml:space="preserve"> meal.</w:t>
            </w:r>
          </w:p>
          <w:p w:rsidR="005A416F" w:rsidRPr="00884BE2" w:rsidRDefault="005A416F" w:rsidP="00341E2E">
            <w:pPr>
              <w:spacing w:line="360" w:lineRule="auto"/>
              <w:jc w:val="both"/>
              <w:rPr>
                <w:sz w:val="18"/>
              </w:rPr>
            </w:pPr>
          </w:p>
          <w:p w:rsidR="00596AB9" w:rsidRPr="00884BE2" w:rsidRDefault="00596AB9" w:rsidP="00341E2E">
            <w:pPr>
              <w:spacing w:line="360" w:lineRule="auto"/>
              <w:jc w:val="both"/>
              <w:rPr>
                <w:sz w:val="18"/>
              </w:rPr>
            </w:pPr>
            <w:r w:rsidRPr="00884BE2">
              <w:rPr>
                <w:sz w:val="18"/>
              </w:rPr>
              <w:t xml:space="preserve">Omit lunch dose and take twice daily with meals at </w:t>
            </w:r>
            <w:proofErr w:type="spellStart"/>
            <w:r w:rsidR="005A416F" w:rsidRPr="00884BE2">
              <w:rPr>
                <w:sz w:val="18"/>
              </w:rPr>
              <w:t>Suhoor</w:t>
            </w:r>
            <w:proofErr w:type="spellEnd"/>
            <w:r w:rsidR="005A416F" w:rsidRPr="00884BE2">
              <w:rPr>
                <w:sz w:val="18"/>
              </w:rPr>
              <w:t xml:space="preserve"> </w:t>
            </w:r>
            <w:r w:rsidRPr="00884BE2">
              <w:rPr>
                <w:sz w:val="18"/>
              </w:rPr>
              <w:t xml:space="preserve">and </w:t>
            </w:r>
            <w:proofErr w:type="spellStart"/>
            <w:r w:rsidR="005A416F" w:rsidRPr="00884BE2">
              <w:rPr>
                <w:sz w:val="18"/>
              </w:rPr>
              <w:t>Iftar</w:t>
            </w:r>
            <w:proofErr w:type="spellEnd"/>
            <w:r w:rsidR="005A416F" w:rsidRPr="00884BE2">
              <w:rPr>
                <w:sz w:val="18"/>
              </w:rPr>
              <w:t xml:space="preserve"> </w:t>
            </w:r>
          </w:p>
          <w:p w:rsidR="00596AB9" w:rsidRPr="00884BE2" w:rsidRDefault="005A416F" w:rsidP="00341E2E">
            <w:pPr>
              <w:spacing w:line="360" w:lineRule="auto"/>
              <w:jc w:val="both"/>
              <w:rPr>
                <w:sz w:val="18"/>
              </w:rPr>
            </w:pPr>
            <w:r w:rsidRPr="00884BE2">
              <w:rPr>
                <w:sz w:val="18"/>
              </w:rPr>
              <w:t xml:space="preserve">e.g. </w:t>
            </w:r>
            <w:proofErr w:type="spellStart"/>
            <w:r w:rsidRPr="00884BE2">
              <w:rPr>
                <w:sz w:val="18"/>
              </w:rPr>
              <w:t>Novorapid</w:t>
            </w:r>
            <w:proofErr w:type="spellEnd"/>
            <w:r w:rsidRPr="00884BE2">
              <w:rPr>
                <w:sz w:val="18"/>
              </w:rPr>
              <w:t xml:space="preserve">/ Humalog 10 units with </w:t>
            </w:r>
            <w:proofErr w:type="spellStart"/>
            <w:r w:rsidRPr="00884BE2">
              <w:rPr>
                <w:sz w:val="18"/>
              </w:rPr>
              <w:t>Suhoor</w:t>
            </w:r>
            <w:proofErr w:type="spellEnd"/>
            <w:r w:rsidRPr="00884BE2">
              <w:rPr>
                <w:sz w:val="18"/>
              </w:rPr>
              <w:t xml:space="preserve"> and </w:t>
            </w:r>
            <w:proofErr w:type="spellStart"/>
            <w:r w:rsidRPr="00884BE2">
              <w:rPr>
                <w:sz w:val="18"/>
              </w:rPr>
              <w:t>Iftar</w:t>
            </w:r>
            <w:proofErr w:type="spellEnd"/>
          </w:p>
          <w:p w:rsidR="00596AB9" w:rsidRPr="00884BE2" w:rsidRDefault="00596AB9" w:rsidP="00341E2E">
            <w:pPr>
              <w:spacing w:line="360" w:lineRule="auto"/>
              <w:jc w:val="both"/>
              <w:rPr>
                <w:sz w:val="18"/>
              </w:rPr>
            </w:pPr>
          </w:p>
          <w:p w:rsidR="005A416F" w:rsidRPr="00884BE2" w:rsidRDefault="00341E2E" w:rsidP="00341E2E">
            <w:pPr>
              <w:spacing w:line="360" w:lineRule="auto"/>
              <w:jc w:val="both"/>
              <w:rPr>
                <w:sz w:val="18"/>
              </w:rPr>
            </w:pPr>
            <w:r w:rsidRPr="00884BE2">
              <w:rPr>
                <w:sz w:val="18"/>
              </w:rPr>
              <w:t xml:space="preserve">Consider changing to basal bolus regime. Otherwise reverse doses so morning dose taken at </w:t>
            </w:r>
            <w:proofErr w:type="spellStart"/>
            <w:r w:rsidRPr="00884BE2">
              <w:rPr>
                <w:sz w:val="18"/>
              </w:rPr>
              <w:t>Iftar</w:t>
            </w:r>
            <w:proofErr w:type="spellEnd"/>
            <w:r w:rsidRPr="00884BE2">
              <w:rPr>
                <w:sz w:val="18"/>
              </w:rPr>
              <w:t xml:space="preserve"> and evening dose taken at </w:t>
            </w:r>
            <w:proofErr w:type="spellStart"/>
            <w:r w:rsidRPr="00884BE2">
              <w:rPr>
                <w:sz w:val="18"/>
              </w:rPr>
              <w:t>Suhoor</w:t>
            </w:r>
            <w:proofErr w:type="spellEnd"/>
            <w:r w:rsidRPr="00884BE2">
              <w:rPr>
                <w:sz w:val="18"/>
              </w:rPr>
              <w:t xml:space="preserve">. Halve </w:t>
            </w:r>
            <w:proofErr w:type="spellStart"/>
            <w:r w:rsidRPr="00884BE2">
              <w:rPr>
                <w:sz w:val="18"/>
              </w:rPr>
              <w:t>Suhoor</w:t>
            </w:r>
            <w:proofErr w:type="spellEnd"/>
            <w:r w:rsidRPr="00884BE2">
              <w:rPr>
                <w:sz w:val="18"/>
              </w:rPr>
              <w:t xml:space="preserve"> dose </w:t>
            </w:r>
          </w:p>
          <w:p w:rsidR="00341E2E" w:rsidRPr="00884BE2" w:rsidRDefault="00341E2E" w:rsidP="00341E2E">
            <w:pPr>
              <w:spacing w:line="360" w:lineRule="auto"/>
              <w:jc w:val="both"/>
              <w:rPr>
                <w:sz w:val="18"/>
              </w:rPr>
            </w:pPr>
            <w:r w:rsidRPr="00884BE2">
              <w:rPr>
                <w:sz w:val="18"/>
              </w:rPr>
              <w:t xml:space="preserve">e.g. </w:t>
            </w:r>
            <w:proofErr w:type="spellStart"/>
            <w:r w:rsidRPr="00884BE2">
              <w:rPr>
                <w:sz w:val="18"/>
              </w:rPr>
              <w:t>Novomix</w:t>
            </w:r>
            <w:proofErr w:type="spellEnd"/>
            <w:r w:rsidRPr="00884BE2">
              <w:rPr>
                <w:sz w:val="18"/>
              </w:rPr>
              <w:t xml:space="preserve"> 30 – 10 units at </w:t>
            </w:r>
            <w:proofErr w:type="spellStart"/>
            <w:r w:rsidRPr="00884BE2">
              <w:rPr>
                <w:sz w:val="18"/>
              </w:rPr>
              <w:t>Suhoor</w:t>
            </w:r>
            <w:proofErr w:type="spellEnd"/>
            <w:r w:rsidRPr="00884BE2">
              <w:rPr>
                <w:sz w:val="18"/>
              </w:rPr>
              <w:t xml:space="preserve"> and 30 units at </w:t>
            </w:r>
            <w:proofErr w:type="spellStart"/>
            <w:r w:rsidRPr="00884BE2">
              <w:rPr>
                <w:sz w:val="18"/>
              </w:rPr>
              <w:t>Iftar</w:t>
            </w:r>
            <w:proofErr w:type="spellEnd"/>
          </w:p>
          <w:p w:rsidR="005A416F" w:rsidRPr="00884BE2" w:rsidRDefault="005A416F" w:rsidP="005A416F">
            <w:pPr>
              <w:spacing w:line="360" w:lineRule="auto"/>
              <w:jc w:val="both"/>
              <w:rPr>
                <w:sz w:val="18"/>
              </w:rPr>
            </w:pPr>
            <w:r w:rsidRPr="00884BE2">
              <w:rPr>
                <w:sz w:val="18"/>
              </w:rPr>
              <w:t>e.g. Humalog Mix 25 – 10 units am and 20 units pm</w:t>
            </w:r>
          </w:p>
          <w:p w:rsidR="00B612EA" w:rsidRPr="00884BE2" w:rsidRDefault="005A416F" w:rsidP="005A416F">
            <w:pPr>
              <w:spacing w:line="360" w:lineRule="auto"/>
              <w:jc w:val="both"/>
              <w:rPr>
                <w:sz w:val="18"/>
              </w:rPr>
            </w:pPr>
            <w:r w:rsidRPr="00884BE2">
              <w:rPr>
                <w:sz w:val="18"/>
              </w:rPr>
              <w:t xml:space="preserve">e.g. </w:t>
            </w:r>
            <w:proofErr w:type="spellStart"/>
            <w:r w:rsidRPr="00884BE2">
              <w:rPr>
                <w:sz w:val="18"/>
              </w:rPr>
              <w:t>Humulin</w:t>
            </w:r>
            <w:proofErr w:type="spellEnd"/>
            <w:r w:rsidRPr="00884BE2">
              <w:rPr>
                <w:sz w:val="18"/>
              </w:rPr>
              <w:t xml:space="preserve"> M3 – 12 units am and </w:t>
            </w:r>
            <w:r w:rsidR="0017151C" w:rsidRPr="00884BE2">
              <w:rPr>
                <w:sz w:val="18"/>
              </w:rPr>
              <w:t>32 units pm</w:t>
            </w:r>
          </w:p>
        </w:tc>
      </w:tr>
    </w:tbl>
    <w:p w:rsidR="003112BE" w:rsidRPr="00884BE2" w:rsidRDefault="003112BE" w:rsidP="00B4470C">
      <w:pPr>
        <w:jc w:val="both"/>
        <w:rPr>
          <w:rFonts w:cs="Verdana"/>
          <w:b/>
          <w:sz w:val="20"/>
          <w:szCs w:val="20"/>
          <w:lang w:eastAsia="en-GB"/>
        </w:rPr>
        <w:sectPr w:rsidR="003112BE" w:rsidRPr="00884BE2">
          <w:footerReference w:type="default" r:id="rId9"/>
          <w:pgSz w:w="11906" w:h="16838"/>
          <w:pgMar w:top="1134" w:right="1134" w:bottom="1134" w:left="1134" w:header="708" w:footer="708" w:gutter="0"/>
          <w:cols w:space="720"/>
          <w:docGrid w:linePitch="299"/>
        </w:sectPr>
      </w:pPr>
      <w:bookmarkStart w:id="4" w:name="Table5"/>
    </w:p>
    <w:p w:rsidR="008E4A92" w:rsidRPr="00884BE2" w:rsidRDefault="008E4A92" w:rsidP="00B4470C">
      <w:pPr>
        <w:jc w:val="both"/>
        <w:rPr>
          <w:rFonts w:cs="Verdana"/>
          <w:b/>
          <w:sz w:val="20"/>
          <w:szCs w:val="20"/>
          <w:lang w:eastAsia="en-GB"/>
        </w:rPr>
      </w:pPr>
      <w:r w:rsidRPr="00884BE2">
        <w:rPr>
          <w:rFonts w:cs="Verdana"/>
          <w:b/>
          <w:sz w:val="20"/>
          <w:szCs w:val="20"/>
          <w:lang w:eastAsia="en-GB"/>
        </w:rPr>
        <w:lastRenderedPageBreak/>
        <w:t xml:space="preserve">Table </w:t>
      </w:r>
      <w:r w:rsidR="00905A87" w:rsidRPr="00884BE2">
        <w:rPr>
          <w:rFonts w:cs="Verdana"/>
          <w:b/>
          <w:sz w:val="20"/>
          <w:szCs w:val="20"/>
          <w:lang w:eastAsia="en-GB"/>
        </w:rPr>
        <w:t>5</w:t>
      </w:r>
      <w:r w:rsidRPr="00884BE2">
        <w:rPr>
          <w:rFonts w:cs="Verdana"/>
          <w:b/>
          <w:sz w:val="20"/>
          <w:szCs w:val="20"/>
          <w:lang w:eastAsia="en-GB"/>
        </w:rPr>
        <w:t xml:space="preserve">: </w:t>
      </w:r>
      <w:bookmarkEnd w:id="4"/>
      <w:r w:rsidRPr="00884BE2">
        <w:rPr>
          <w:rFonts w:cs="Verdana"/>
          <w:b/>
          <w:sz w:val="20"/>
          <w:szCs w:val="20"/>
          <w:lang w:eastAsia="en-GB"/>
        </w:rPr>
        <w:t xml:space="preserve">Characteristics of included studies </w:t>
      </w:r>
    </w:p>
    <w:tbl>
      <w:tblPr>
        <w:tblW w:w="14332" w:type="dxa"/>
        <w:tblInd w:w="93" w:type="dxa"/>
        <w:tblLook w:val="04A0" w:firstRow="1" w:lastRow="0" w:firstColumn="1" w:lastColumn="0" w:noHBand="0" w:noVBand="1"/>
      </w:tblPr>
      <w:tblGrid>
        <w:gridCol w:w="1087"/>
        <w:gridCol w:w="1465"/>
        <w:gridCol w:w="1486"/>
        <w:gridCol w:w="727"/>
        <w:gridCol w:w="998"/>
        <w:gridCol w:w="671"/>
        <w:gridCol w:w="2512"/>
        <w:gridCol w:w="5386"/>
      </w:tblGrid>
      <w:tr w:rsidR="008E4A92" w:rsidRPr="00884BE2" w:rsidTr="00C63462">
        <w:trPr>
          <w:trHeight w:val="624"/>
        </w:trPr>
        <w:tc>
          <w:tcPr>
            <w:tcW w:w="1087" w:type="dxa"/>
            <w:tcBorders>
              <w:top w:val="single" w:sz="8" w:space="0" w:color="auto"/>
              <w:left w:val="single" w:sz="8" w:space="0" w:color="auto"/>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Author and Year</w:t>
            </w:r>
          </w:p>
        </w:tc>
        <w:tc>
          <w:tcPr>
            <w:tcW w:w="2951" w:type="dxa"/>
            <w:gridSpan w:val="2"/>
            <w:tcBorders>
              <w:top w:val="single" w:sz="8" w:space="0" w:color="auto"/>
              <w:left w:val="nil"/>
              <w:bottom w:val="single" w:sz="8" w:space="0" w:color="auto"/>
              <w:right w:val="single" w:sz="8" w:space="0" w:color="000000"/>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Interventions</w:t>
            </w:r>
          </w:p>
        </w:tc>
        <w:tc>
          <w:tcPr>
            <w:tcW w:w="727" w:type="dxa"/>
            <w:tcBorders>
              <w:top w:val="single" w:sz="8" w:space="0" w:color="auto"/>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T1DM or T2DM</w:t>
            </w:r>
          </w:p>
        </w:tc>
        <w:tc>
          <w:tcPr>
            <w:tcW w:w="998" w:type="dxa"/>
            <w:tcBorders>
              <w:top w:val="single" w:sz="8" w:space="0" w:color="auto"/>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Study </w:t>
            </w:r>
          </w:p>
        </w:tc>
        <w:tc>
          <w:tcPr>
            <w:tcW w:w="671" w:type="dxa"/>
            <w:tcBorders>
              <w:top w:val="single" w:sz="8" w:space="0" w:color="auto"/>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N</w:t>
            </w:r>
          </w:p>
        </w:tc>
        <w:tc>
          <w:tcPr>
            <w:tcW w:w="2512" w:type="dxa"/>
            <w:tcBorders>
              <w:top w:val="single" w:sz="8" w:space="0" w:color="auto"/>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Country</w:t>
            </w:r>
          </w:p>
        </w:tc>
        <w:tc>
          <w:tcPr>
            <w:tcW w:w="5386" w:type="dxa"/>
            <w:tcBorders>
              <w:top w:val="single" w:sz="8" w:space="0" w:color="auto"/>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Summary of results</w:t>
            </w:r>
          </w:p>
        </w:tc>
      </w:tr>
      <w:tr w:rsidR="008E4A92" w:rsidRPr="00884BE2" w:rsidTr="006152F4">
        <w:trPr>
          <w:trHeight w:val="696"/>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035B07"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Hassanein</w:t>
            </w:r>
            <w:proofErr w:type="spellEnd"/>
            <w:r w:rsidRPr="00884BE2">
              <w:rPr>
                <w:rFonts w:ascii="Calibri" w:eastAsia="Times New Roman" w:hAnsi="Calibri" w:cs="Times New Roman"/>
                <w:color w:val="000000"/>
                <w:sz w:val="20"/>
                <w:szCs w:val="20"/>
                <w:lang w:eastAsia="en-GB"/>
              </w:rPr>
              <w:t xml:space="preserve"> 2014 [10</w:t>
            </w:r>
            <w:r w:rsidR="008E4A92"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Vildagliptin</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557</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Egypt, Lebanon, Tunisia, Russia, Indonesia, Germany, Jordan, Singapore, United Kingdom, Turkey, Spain, Malaysia, United Arab Emirates, Kuwait, Saudi Arabia, Denmark</w:t>
            </w:r>
          </w:p>
        </w:tc>
        <w:tc>
          <w:tcPr>
            <w:tcW w:w="5386" w:type="dxa"/>
            <w:tcBorders>
              <w:top w:val="nil"/>
              <w:left w:val="nil"/>
              <w:bottom w:val="single" w:sz="8" w:space="0" w:color="auto"/>
              <w:right w:val="single" w:sz="8" w:space="0" w:color="auto"/>
            </w:tcBorders>
            <w:shd w:val="clear" w:color="auto" w:fill="auto"/>
            <w:vAlign w:val="center"/>
          </w:tcPr>
          <w:p w:rsidR="00BF1DAF" w:rsidRPr="00884BE2" w:rsidRDefault="00BF1DAF"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 xml:space="preserve">3% of patients taking vildagliptin reported hypoglycaemic events compared with 7% taking </w:t>
            </w:r>
            <w:proofErr w:type="spellStart"/>
            <w:r w:rsidR="008E4A92" w:rsidRPr="00884BE2">
              <w:rPr>
                <w:rFonts w:ascii="Calibri" w:eastAsia="Times New Roman" w:hAnsi="Calibri" w:cs="Times New Roman"/>
                <w:color w:val="000000"/>
                <w:sz w:val="20"/>
                <w:szCs w:val="20"/>
                <w:lang w:eastAsia="en-GB"/>
              </w:rPr>
              <w:t>gliclazide</w:t>
            </w:r>
            <w:proofErr w:type="spellEnd"/>
            <w:r w:rsidR="008E4A92" w:rsidRPr="00884BE2">
              <w:rPr>
                <w:rFonts w:ascii="Calibri" w:eastAsia="Times New Roman" w:hAnsi="Calibri" w:cs="Times New Roman"/>
                <w:color w:val="000000"/>
                <w:sz w:val="20"/>
                <w:szCs w:val="20"/>
                <w:lang w:eastAsia="en-GB"/>
              </w:rPr>
              <w:t xml:space="preserve"> (p=0.039). </w:t>
            </w:r>
          </w:p>
          <w:p w:rsidR="00BF1DAF" w:rsidRPr="00884BE2" w:rsidRDefault="00BF1DAF"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 xml:space="preserve">There was </w:t>
            </w:r>
            <w:r w:rsidR="00FA5656" w:rsidRPr="00884BE2">
              <w:rPr>
                <w:rFonts w:ascii="Calibri" w:eastAsia="Times New Roman" w:hAnsi="Calibri" w:cs="Times New Roman"/>
                <w:color w:val="000000"/>
                <w:sz w:val="20"/>
                <w:szCs w:val="20"/>
                <w:lang w:eastAsia="en-GB"/>
              </w:rPr>
              <w:t>no significant difference in HbA1c</w:t>
            </w:r>
            <w:r w:rsidRPr="00884BE2">
              <w:rPr>
                <w:rFonts w:ascii="Calibri" w:eastAsia="Times New Roman" w:hAnsi="Calibri" w:cs="Times New Roman"/>
                <w:color w:val="000000"/>
                <w:sz w:val="20"/>
                <w:szCs w:val="20"/>
                <w:lang w:eastAsia="en-GB"/>
              </w:rPr>
              <w:t>.</w:t>
            </w:r>
          </w:p>
          <w:p w:rsidR="008E4A92" w:rsidRPr="00884BE2" w:rsidRDefault="00BF1DAF"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Weight:</w:t>
            </w:r>
            <w:r w:rsidR="00FA5656" w:rsidRPr="00884BE2">
              <w:rPr>
                <w:rFonts w:ascii="Calibri" w:eastAsia="Times New Roman" w:hAnsi="Calibri" w:cs="Times New Roman"/>
                <w:color w:val="000000"/>
                <w:sz w:val="20"/>
                <w:szCs w:val="20"/>
                <w:lang w:eastAsia="en-GB"/>
              </w:rPr>
              <w:t xml:space="preserve"> </w:t>
            </w:r>
            <w:r w:rsidRPr="00884BE2">
              <w:rPr>
                <w:rFonts w:ascii="Calibri" w:eastAsia="Times New Roman" w:hAnsi="Calibri" w:cs="Times New Roman"/>
                <w:color w:val="000000"/>
                <w:sz w:val="20"/>
                <w:szCs w:val="20"/>
                <w:lang w:eastAsia="en-GB"/>
              </w:rPr>
              <w:t xml:space="preserve">There was no difference in </w:t>
            </w:r>
            <w:r w:rsidR="00FA5656" w:rsidRPr="00884BE2">
              <w:rPr>
                <w:rFonts w:ascii="Calibri" w:eastAsia="Times New Roman" w:hAnsi="Calibri" w:cs="Times New Roman"/>
                <w:color w:val="000000"/>
                <w:sz w:val="20"/>
                <w:szCs w:val="20"/>
                <w:lang w:eastAsia="en-GB"/>
              </w:rPr>
              <w:t>weight</w:t>
            </w:r>
            <w:r w:rsidR="009B13C2" w:rsidRPr="00884BE2">
              <w:rPr>
                <w:rFonts w:ascii="Calibri" w:eastAsia="Times New Roman" w:hAnsi="Calibri" w:cs="Times New Roman"/>
                <w:color w:val="000000"/>
                <w:sz w:val="20"/>
                <w:szCs w:val="20"/>
                <w:lang w:eastAsia="en-GB"/>
              </w:rPr>
              <w:t xml:space="preserve"> between groups</w:t>
            </w:r>
            <w:r w:rsidR="008E4A92" w:rsidRPr="00884BE2">
              <w:rPr>
                <w:rFonts w:ascii="Calibri" w:eastAsia="Times New Roman" w:hAnsi="Calibri" w:cs="Times New Roman"/>
                <w:color w:val="000000"/>
                <w:sz w:val="20"/>
                <w:szCs w:val="20"/>
                <w:lang w:eastAsia="en-GB"/>
              </w:rPr>
              <w:t>.</w:t>
            </w:r>
          </w:p>
        </w:tc>
      </w:tr>
      <w:tr w:rsidR="008E4A92" w:rsidRPr="00884BE2" w:rsidTr="006152F4">
        <w:trPr>
          <w:trHeight w:val="170"/>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035B07"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Brady 2014 [11</w:t>
            </w:r>
            <w:r w:rsidR="008E4A92"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Liraglutide</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99</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United Kingdom</w:t>
            </w:r>
          </w:p>
        </w:tc>
        <w:tc>
          <w:tcPr>
            <w:tcW w:w="5386" w:type="dxa"/>
            <w:tcBorders>
              <w:top w:val="nil"/>
              <w:left w:val="nil"/>
              <w:bottom w:val="single" w:sz="8" w:space="0" w:color="auto"/>
              <w:right w:val="single" w:sz="8" w:space="0" w:color="auto"/>
            </w:tcBorders>
            <w:shd w:val="clear" w:color="auto" w:fill="auto"/>
            <w:vAlign w:val="center"/>
          </w:tcPr>
          <w:p w:rsidR="00FA5656" w:rsidRPr="00884BE2" w:rsidRDefault="009B13C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FA5656" w:rsidRPr="00884BE2">
              <w:rPr>
                <w:rFonts w:ascii="Calibri" w:eastAsia="Times New Roman" w:hAnsi="Calibri" w:cs="Times New Roman"/>
                <w:color w:val="000000"/>
                <w:sz w:val="20"/>
                <w:szCs w:val="20"/>
                <w:lang w:eastAsia="en-GB"/>
              </w:rPr>
              <w:t>There were no episodes of severe hypoglycaemia in either group. Self-recorded episodes of blood glucose ≤3.9 </w:t>
            </w:r>
            <w:proofErr w:type="spellStart"/>
            <w:r w:rsidR="00FA5656" w:rsidRPr="00884BE2">
              <w:rPr>
                <w:rFonts w:ascii="Calibri" w:eastAsia="Times New Roman" w:hAnsi="Calibri" w:cs="Times New Roman"/>
                <w:color w:val="000000"/>
                <w:sz w:val="20"/>
                <w:szCs w:val="20"/>
                <w:lang w:eastAsia="en-GB"/>
              </w:rPr>
              <w:t>mmol</w:t>
            </w:r>
            <w:proofErr w:type="spellEnd"/>
            <w:r w:rsidR="00FA5656" w:rsidRPr="00884BE2">
              <w:rPr>
                <w:rFonts w:ascii="Calibri" w:eastAsia="Times New Roman" w:hAnsi="Calibri" w:cs="Times New Roman"/>
                <w:color w:val="000000"/>
                <w:sz w:val="20"/>
                <w:szCs w:val="20"/>
                <w:lang w:eastAsia="en-GB"/>
              </w:rPr>
              <w:t xml:space="preserve">/l were significantly lower </w:t>
            </w:r>
            <w:r w:rsidR="003E088B" w:rsidRPr="00884BE2">
              <w:rPr>
                <w:rFonts w:ascii="Calibri" w:eastAsia="Times New Roman" w:hAnsi="Calibri" w:cs="Times New Roman"/>
                <w:color w:val="000000"/>
                <w:sz w:val="20"/>
                <w:szCs w:val="20"/>
                <w:lang w:eastAsia="en-GB"/>
              </w:rPr>
              <w:t>w</w:t>
            </w:r>
            <w:r w:rsidR="00FA5656" w:rsidRPr="00884BE2">
              <w:rPr>
                <w:rFonts w:ascii="Calibri" w:eastAsia="Times New Roman" w:hAnsi="Calibri" w:cs="Times New Roman"/>
                <w:color w:val="000000"/>
                <w:sz w:val="20"/>
                <w:szCs w:val="20"/>
                <w:lang w:eastAsia="en-GB"/>
              </w:rPr>
              <w:t xml:space="preserve">ith liraglutide (p&lt;0.0001). </w:t>
            </w:r>
          </w:p>
          <w:p w:rsidR="009B13C2" w:rsidRPr="00884BE2" w:rsidRDefault="009B13C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More patients o</w:t>
            </w:r>
            <w:r w:rsidR="00FA5656" w:rsidRPr="00884BE2">
              <w:rPr>
                <w:rFonts w:ascii="Calibri" w:eastAsia="Times New Roman" w:hAnsi="Calibri" w:cs="Times New Roman"/>
                <w:color w:val="000000"/>
                <w:sz w:val="20"/>
                <w:szCs w:val="20"/>
                <w:lang w:eastAsia="en-GB"/>
              </w:rPr>
              <w:t>n liraglutide</w:t>
            </w:r>
            <w:r w:rsidR="008E4A92" w:rsidRPr="00884BE2">
              <w:rPr>
                <w:rFonts w:ascii="Calibri" w:eastAsia="Times New Roman" w:hAnsi="Calibri" w:cs="Times New Roman"/>
                <w:color w:val="000000"/>
                <w:sz w:val="20"/>
                <w:szCs w:val="20"/>
                <w:lang w:eastAsia="en-GB"/>
              </w:rPr>
              <w:t xml:space="preserve"> achieved a composite endpoint of HbA1c &lt; 7%</w:t>
            </w:r>
            <w:r w:rsidR="00131205" w:rsidRPr="00884BE2">
              <w:rPr>
                <w:rFonts w:ascii="Calibri" w:eastAsia="Times New Roman" w:hAnsi="Calibri" w:cs="Times New Roman"/>
                <w:color w:val="000000"/>
                <w:sz w:val="20"/>
                <w:szCs w:val="20"/>
                <w:lang w:eastAsia="en-GB"/>
              </w:rPr>
              <w:t xml:space="preserve"> (53mmol/</w:t>
            </w:r>
            <w:proofErr w:type="spellStart"/>
            <w:r w:rsidR="00131205" w:rsidRPr="00884BE2">
              <w:rPr>
                <w:rFonts w:ascii="Calibri" w:eastAsia="Times New Roman" w:hAnsi="Calibri" w:cs="Times New Roman"/>
                <w:color w:val="000000"/>
                <w:sz w:val="20"/>
                <w:szCs w:val="20"/>
                <w:lang w:eastAsia="en-GB"/>
              </w:rPr>
              <w:t>mol</w:t>
            </w:r>
            <w:proofErr w:type="spellEnd"/>
            <w:r w:rsidR="00131205" w:rsidRPr="00884BE2">
              <w:rPr>
                <w:rFonts w:ascii="Calibri" w:eastAsia="Times New Roman" w:hAnsi="Calibri" w:cs="Times New Roman"/>
                <w:color w:val="000000"/>
                <w:sz w:val="20"/>
                <w:szCs w:val="20"/>
                <w:lang w:eastAsia="en-GB"/>
              </w:rPr>
              <w:t>)</w:t>
            </w:r>
            <w:r w:rsidR="00FA5656" w:rsidRPr="00884BE2">
              <w:rPr>
                <w:rFonts w:ascii="Calibri" w:eastAsia="Times New Roman" w:hAnsi="Calibri" w:cs="Times New Roman"/>
                <w:color w:val="000000"/>
                <w:sz w:val="20"/>
                <w:szCs w:val="20"/>
                <w:lang w:eastAsia="en-GB"/>
              </w:rPr>
              <w:t xml:space="preserve"> compared with those taking sulphonylurea</w:t>
            </w:r>
            <w:r w:rsidR="008E4A92" w:rsidRPr="00884BE2">
              <w:rPr>
                <w:rFonts w:ascii="Calibri" w:eastAsia="Times New Roman" w:hAnsi="Calibri" w:cs="Times New Roman"/>
                <w:color w:val="000000"/>
                <w:sz w:val="20"/>
                <w:szCs w:val="20"/>
                <w:lang w:eastAsia="en-GB"/>
              </w:rPr>
              <w:t xml:space="preserve">. From a baseline </w:t>
            </w:r>
            <w:r w:rsidR="00FA5656" w:rsidRPr="00884BE2">
              <w:rPr>
                <w:rFonts w:ascii="Calibri" w:eastAsia="Times New Roman" w:hAnsi="Calibri" w:cs="Times New Roman"/>
                <w:color w:val="000000"/>
                <w:sz w:val="20"/>
                <w:szCs w:val="20"/>
                <w:lang w:eastAsia="en-GB"/>
              </w:rPr>
              <w:t xml:space="preserve">HbA1c </w:t>
            </w:r>
            <w:r w:rsidR="008E4A92" w:rsidRPr="00884BE2">
              <w:rPr>
                <w:rFonts w:ascii="Calibri" w:eastAsia="Times New Roman" w:hAnsi="Calibri" w:cs="Times New Roman"/>
                <w:color w:val="000000"/>
                <w:sz w:val="20"/>
                <w:szCs w:val="20"/>
                <w:lang w:eastAsia="en-GB"/>
              </w:rPr>
              <w:t>of 7.7%</w:t>
            </w:r>
            <w:r w:rsidR="00131205" w:rsidRPr="00884BE2">
              <w:rPr>
                <w:rFonts w:ascii="Calibri" w:eastAsia="Times New Roman" w:hAnsi="Calibri" w:cs="Times New Roman"/>
                <w:color w:val="000000"/>
                <w:sz w:val="20"/>
                <w:szCs w:val="20"/>
                <w:lang w:eastAsia="en-GB"/>
              </w:rPr>
              <w:t xml:space="preserve"> (61mmol/</w:t>
            </w:r>
            <w:proofErr w:type="spellStart"/>
            <w:r w:rsidR="00131205" w:rsidRPr="00884BE2">
              <w:rPr>
                <w:rFonts w:ascii="Calibri" w:eastAsia="Times New Roman" w:hAnsi="Calibri" w:cs="Times New Roman"/>
                <w:color w:val="000000"/>
                <w:sz w:val="20"/>
                <w:szCs w:val="20"/>
                <w:lang w:eastAsia="en-GB"/>
              </w:rPr>
              <w:t>mol</w:t>
            </w:r>
            <w:proofErr w:type="spellEnd"/>
            <w:r w:rsidR="00131205" w:rsidRPr="00884BE2">
              <w:rPr>
                <w:rFonts w:ascii="Calibri" w:eastAsia="Times New Roman" w:hAnsi="Calibri" w:cs="Times New Roman"/>
                <w:color w:val="000000"/>
                <w:sz w:val="20"/>
                <w:szCs w:val="20"/>
                <w:lang w:eastAsia="en-GB"/>
              </w:rPr>
              <w:t>)</w:t>
            </w:r>
            <w:r w:rsidR="00FA5656" w:rsidRPr="00884BE2">
              <w:rPr>
                <w:rFonts w:ascii="Calibri" w:eastAsia="Times New Roman" w:hAnsi="Calibri" w:cs="Times New Roman"/>
                <w:color w:val="000000"/>
                <w:sz w:val="20"/>
                <w:szCs w:val="20"/>
                <w:lang w:eastAsia="en-GB"/>
              </w:rPr>
              <w:t>, at 12 weeks</w:t>
            </w:r>
            <w:r w:rsidR="008E4A92" w:rsidRPr="00884BE2">
              <w:rPr>
                <w:rFonts w:ascii="Calibri" w:eastAsia="Times New Roman" w:hAnsi="Calibri" w:cs="Times New Roman"/>
                <w:color w:val="000000"/>
                <w:sz w:val="20"/>
                <w:szCs w:val="20"/>
                <w:lang w:eastAsia="en-GB"/>
              </w:rPr>
              <w:t xml:space="preserve"> there was no change in HbA1c in the sulphonylurea </w:t>
            </w:r>
            <w:r w:rsidR="00FA5656" w:rsidRPr="00884BE2">
              <w:rPr>
                <w:rFonts w:ascii="Calibri" w:eastAsia="Times New Roman" w:hAnsi="Calibri" w:cs="Times New Roman"/>
                <w:color w:val="000000"/>
                <w:sz w:val="20"/>
                <w:szCs w:val="20"/>
                <w:lang w:eastAsia="en-GB"/>
              </w:rPr>
              <w:t xml:space="preserve">group </w:t>
            </w:r>
            <w:r w:rsidR="008E4A92" w:rsidRPr="00884BE2">
              <w:rPr>
                <w:rFonts w:ascii="Calibri" w:eastAsia="Times New Roman" w:hAnsi="Calibri" w:cs="Times New Roman"/>
                <w:color w:val="000000"/>
                <w:sz w:val="20"/>
                <w:szCs w:val="20"/>
                <w:lang w:eastAsia="en-GB"/>
              </w:rPr>
              <w:t>(+0.02%)</w:t>
            </w:r>
            <w:r w:rsidR="00FA5656" w:rsidRPr="00884BE2">
              <w:rPr>
                <w:rFonts w:ascii="Calibri" w:eastAsia="Times New Roman" w:hAnsi="Calibri" w:cs="Times New Roman"/>
                <w:color w:val="000000"/>
                <w:sz w:val="20"/>
                <w:szCs w:val="20"/>
                <w:lang w:eastAsia="en-GB"/>
              </w:rPr>
              <w:t xml:space="preserve">, whereas there was </w:t>
            </w:r>
            <w:r w:rsidR="008E4A92" w:rsidRPr="00884BE2">
              <w:rPr>
                <w:rFonts w:ascii="Calibri" w:eastAsia="Times New Roman" w:hAnsi="Calibri" w:cs="Times New Roman"/>
                <w:color w:val="000000"/>
                <w:sz w:val="20"/>
                <w:szCs w:val="20"/>
                <w:lang w:eastAsia="en-GB"/>
              </w:rPr>
              <w:t xml:space="preserve">a 0.3% reduction </w:t>
            </w:r>
            <w:r w:rsidR="00FA5656" w:rsidRPr="00884BE2">
              <w:rPr>
                <w:rFonts w:ascii="Calibri" w:eastAsia="Times New Roman" w:hAnsi="Calibri" w:cs="Times New Roman"/>
                <w:color w:val="000000"/>
                <w:sz w:val="20"/>
                <w:szCs w:val="20"/>
                <w:lang w:eastAsia="en-GB"/>
              </w:rPr>
              <w:t xml:space="preserve">of HbA1c </w:t>
            </w:r>
            <w:r w:rsidR="008E4A92" w:rsidRPr="00884BE2">
              <w:rPr>
                <w:rFonts w:ascii="Calibri" w:eastAsia="Times New Roman" w:hAnsi="Calibri" w:cs="Times New Roman"/>
                <w:color w:val="000000"/>
                <w:sz w:val="20"/>
                <w:szCs w:val="20"/>
                <w:lang w:eastAsia="en-GB"/>
              </w:rPr>
              <w:t xml:space="preserve">in the liraglutide group (p = 0.05). </w:t>
            </w:r>
          </w:p>
          <w:p w:rsidR="008E4A92" w:rsidRPr="00884BE2" w:rsidRDefault="009B13C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Weight:</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 xml:space="preserve">Significant reductions were reported in patients on liraglutide compared with sulphonylureas. </w:t>
            </w:r>
          </w:p>
        </w:tc>
      </w:tr>
      <w:tr w:rsidR="008E4A92" w:rsidRPr="00884BE2" w:rsidTr="006152F4">
        <w:trPr>
          <w:trHeight w:val="369"/>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C63462"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Mafauzy</w:t>
            </w:r>
            <w:proofErr w:type="spellEnd"/>
            <w:r w:rsidRPr="00884BE2">
              <w:rPr>
                <w:rFonts w:ascii="Calibri" w:eastAsia="Times New Roman" w:hAnsi="Calibri" w:cs="Times New Roman"/>
                <w:color w:val="000000"/>
                <w:sz w:val="20"/>
                <w:szCs w:val="20"/>
                <w:lang w:eastAsia="en-GB"/>
              </w:rPr>
              <w:t xml:space="preserve"> 2002 [33</w:t>
            </w:r>
            <w:r w:rsidR="008E4A92"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Repaglinide</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235</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Malaysia, United Kingdom, France, Saudi Arabia, Morocco</w:t>
            </w:r>
          </w:p>
        </w:tc>
        <w:tc>
          <w:tcPr>
            <w:tcW w:w="5386" w:type="dxa"/>
            <w:tcBorders>
              <w:top w:val="nil"/>
              <w:left w:val="nil"/>
              <w:bottom w:val="single" w:sz="8" w:space="0" w:color="auto"/>
              <w:right w:val="single" w:sz="8" w:space="0" w:color="auto"/>
            </w:tcBorders>
            <w:shd w:val="clear" w:color="auto" w:fill="auto"/>
            <w:vAlign w:val="center"/>
          </w:tcPr>
          <w:p w:rsidR="00A07E98" w:rsidRPr="00884BE2" w:rsidRDefault="009B13C2" w:rsidP="00B4470C">
            <w:pPr>
              <w:spacing w:after="0" w:line="240" w:lineRule="auto"/>
              <w:jc w:val="both"/>
              <w:rPr>
                <w:rFonts w:cs="Arial"/>
                <w:color w:val="000000"/>
                <w:sz w:val="20"/>
                <w:szCs w:val="20"/>
                <w:shd w:val="clear" w:color="auto" w:fill="FFFFFF"/>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BF1DAF" w:rsidRPr="00884BE2">
              <w:rPr>
                <w:rFonts w:cs="Arial"/>
                <w:color w:val="000000"/>
                <w:sz w:val="20"/>
                <w:szCs w:val="20"/>
                <w:shd w:val="clear" w:color="auto" w:fill="FFFFFF"/>
              </w:rPr>
              <w:t>The number of hypoglycaemic events was significantly lower in the</w:t>
            </w:r>
            <w:r w:rsidR="00BF1DAF" w:rsidRPr="00884BE2">
              <w:rPr>
                <w:rStyle w:val="apple-converted-space"/>
                <w:rFonts w:cs="Arial"/>
                <w:color w:val="000000"/>
                <w:sz w:val="20"/>
                <w:szCs w:val="20"/>
                <w:shd w:val="clear" w:color="auto" w:fill="FFFFFF"/>
              </w:rPr>
              <w:t> </w:t>
            </w:r>
            <w:r w:rsidR="00BF1DAF" w:rsidRPr="00884BE2">
              <w:rPr>
                <w:rStyle w:val="highlight"/>
                <w:rFonts w:cs="Arial"/>
                <w:color w:val="000000"/>
                <w:sz w:val="20"/>
                <w:szCs w:val="20"/>
                <w:shd w:val="clear" w:color="auto" w:fill="FFFFFF"/>
              </w:rPr>
              <w:t>repaglinide</w:t>
            </w:r>
            <w:r w:rsidR="00BF1DAF" w:rsidRPr="00884BE2">
              <w:rPr>
                <w:rStyle w:val="apple-converted-space"/>
                <w:rFonts w:cs="Arial"/>
                <w:color w:val="000000"/>
                <w:sz w:val="20"/>
                <w:szCs w:val="20"/>
                <w:shd w:val="clear" w:color="auto" w:fill="FFFFFF"/>
              </w:rPr>
              <w:t> </w:t>
            </w:r>
            <w:r w:rsidR="00BF1DAF" w:rsidRPr="00884BE2">
              <w:rPr>
                <w:rFonts w:cs="Arial"/>
                <w:color w:val="000000"/>
                <w:sz w:val="20"/>
                <w:szCs w:val="20"/>
                <w:shd w:val="clear" w:color="auto" w:fill="FFFFFF"/>
              </w:rPr>
              <w:t xml:space="preserve">group (2.8%) than the </w:t>
            </w:r>
            <w:proofErr w:type="spellStart"/>
            <w:r w:rsidR="00BF1DAF" w:rsidRPr="00884BE2">
              <w:rPr>
                <w:rFonts w:cs="Arial"/>
                <w:color w:val="000000"/>
                <w:sz w:val="20"/>
                <w:szCs w:val="20"/>
                <w:shd w:val="clear" w:color="auto" w:fill="FFFFFF"/>
              </w:rPr>
              <w:t>glibenclamide</w:t>
            </w:r>
            <w:proofErr w:type="spellEnd"/>
            <w:r w:rsidR="00BF1DAF" w:rsidRPr="00884BE2">
              <w:rPr>
                <w:rFonts w:cs="Arial"/>
                <w:color w:val="000000"/>
                <w:sz w:val="20"/>
                <w:szCs w:val="20"/>
                <w:shd w:val="clear" w:color="auto" w:fill="FFFFFF"/>
              </w:rPr>
              <w:t xml:space="preserve"> group (7.9%) (P=0.001). </w:t>
            </w:r>
          </w:p>
          <w:p w:rsidR="005A167A" w:rsidRPr="00884BE2" w:rsidRDefault="00A07E98" w:rsidP="00B4470C">
            <w:pPr>
              <w:spacing w:after="0" w:line="240" w:lineRule="auto"/>
              <w:jc w:val="both"/>
              <w:rPr>
                <w:rFonts w:cs="Arial"/>
                <w:color w:val="000000"/>
                <w:sz w:val="20"/>
                <w:szCs w:val="20"/>
                <w:shd w:val="clear" w:color="auto" w:fill="FFFFFF"/>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w:t>
            </w:r>
            <w:r w:rsidR="003E088B" w:rsidRPr="00884BE2">
              <w:rPr>
                <w:rFonts w:ascii="Calibri" w:eastAsia="Times New Roman" w:hAnsi="Calibri" w:cs="Times New Roman"/>
                <w:color w:val="000000"/>
                <w:sz w:val="20"/>
                <w:szCs w:val="20"/>
                <w:lang w:eastAsia="en-GB"/>
              </w:rPr>
              <w:t>Patients</w:t>
            </w:r>
            <w:r w:rsidR="008E4A92" w:rsidRPr="00884BE2">
              <w:rPr>
                <w:rFonts w:eastAsia="Times New Roman" w:cs="Times New Roman"/>
                <w:color w:val="000000"/>
                <w:sz w:val="20"/>
                <w:szCs w:val="20"/>
                <w:lang w:eastAsia="en-GB"/>
              </w:rPr>
              <w:t xml:space="preserve"> taking repaglinide had a </w:t>
            </w:r>
            <w:r w:rsidR="008E4A92" w:rsidRPr="00884BE2">
              <w:rPr>
                <w:rFonts w:cs="Arial"/>
                <w:color w:val="000000"/>
                <w:sz w:val="20"/>
                <w:szCs w:val="20"/>
                <w:shd w:val="clear" w:color="auto" w:fill="FFFFFF"/>
              </w:rPr>
              <w:t xml:space="preserve">significant reduction in mean serum </w:t>
            </w:r>
            <w:proofErr w:type="spellStart"/>
            <w:r w:rsidR="008E4A92" w:rsidRPr="00884BE2">
              <w:rPr>
                <w:rFonts w:cs="Arial"/>
                <w:color w:val="000000"/>
                <w:sz w:val="20"/>
                <w:szCs w:val="20"/>
                <w:shd w:val="clear" w:color="auto" w:fill="FFFFFF"/>
              </w:rPr>
              <w:t>fructosamine</w:t>
            </w:r>
            <w:proofErr w:type="spellEnd"/>
            <w:r w:rsidR="008E4A92" w:rsidRPr="00884BE2">
              <w:rPr>
                <w:rFonts w:cs="Arial"/>
                <w:color w:val="000000"/>
                <w:sz w:val="20"/>
                <w:szCs w:val="20"/>
                <w:shd w:val="clear" w:color="auto" w:fill="FFFFFF"/>
              </w:rPr>
              <w:t xml:space="preserve"> concentration from baseline (P&lt;0.05) but not with </w:t>
            </w:r>
            <w:proofErr w:type="spellStart"/>
            <w:r w:rsidR="008E4A92" w:rsidRPr="00884BE2">
              <w:rPr>
                <w:rFonts w:cs="Arial"/>
                <w:color w:val="000000"/>
                <w:sz w:val="20"/>
                <w:szCs w:val="20"/>
                <w:shd w:val="clear" w:color="auto" w:fill="FFFFFF"/>
              </w:rPr>
              <w:t>glibenclamide</w:t>
            </w:r>
            <w:proofErr w:type="spellEnd"/>
            <w:r w:rsidR="008E4A92" w:rsidRPr="00884BE2">
              <w:rPr>
                <w:rFonts w:cs="Arial"/>
                <w:color w:val="000000"/>
                <w:sz w:val="20"/>
                <w:szCs w:val="20"/>
                <w:shd w:val="clear" w:color="auto" w:fill="FFFFFF"/>
              </w:rPr>
              <w:t xml:space="preserve">. There was no significant difference in HbA1c between groups. </w:t>
            </w:r>
          </w:p>
        </w:tc>
      </w:tr>
      <w:tr w:rsidR="008E4A92" w:rsidRPr="00884BE2" w:rsidTr="003E088B">
        <w:trPr>
          <w:trHeight w:val="122"/>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C6346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Anwar 2006[35</w:t>
            </w:r>
            <w:r w:rsidR="008E4A92"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Repaglinide</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41</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Malaysia</w:t>
            </w:r>
          </w:p>
        </w:tc>
        <w:tc>
          <w:tcPr>
            <w:tcW w:w="5386" w:type="dxa"/>
            <w:tcBorders>
              <w:top w:val="nil"/>
              <w:left w:val="nil"/>
              <w:bottom w:val="single" w:sz="8" w:space="0" w:color="auto"/>
              <w:right w:val="single" w:sz="8" w:space="0" w:color="auto"/>
            </w:tcBorders>
            <w:shd w:val="clear" w:color="auto" w:fill="auto"/>
            <w:vAlign w:val="center"/>
          </w:tcPr>
          <w:p w:rsidR="003E088B" w:rsidRPr="00884BE2" w:rsidRDefault="009B13C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3E088B" w:rsidRPr="00884BE2">
              <w:rPr>
                <w:rFonts w:ascii="Calibri" w:eastAsia="Times New Roman" w:hAnsi="Calibri" w:cs="Times New Roman"/>
                <w:color w:val="000000"/>
                <w:sz w:val="20"/>
                <w:szCs w:val="20"/>
                <w:lang w:eastAsia="en-GB"/>
              </w:rPr>
              <w:t xml:space="preserve">There was no significant difference in hypoglycaemic events between the two groups. </w:t>
            </w:r>
          </w:p>
          <w:p w:rsidR="003E088B" w:rsidRPr="00884BE2" w:rsidRDefault="00A07E98"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w:t>
            </w:r>
            <w:r w:rsidR="003E088B" w:rsidRPr="00884BE2">
              <w:rPr>
                <w:rFonts w:ascii="Calibri" w:eastAsia="Times New Roman" w:hAnsi="Calibri" w:cs="Times New Roman"/>
                <w:color w:val="000000"/>
                <w:sz w:val="20"/>
                <w:szCs w:val="20"/>
                <w:lang w:eastAsia="en-GB"/>
              </w:rPr>
              <w:t>Blood glucose levels were significantly lower in the glimepiride group compared to the repaglinide group.</w:t>
            </w:r>
          </w:p>
        </w:tc>
      </w:tr>
      <w:tr w:rsidR="008E4A92" w:rsidRPr="00884BE2" w:rsidTr="006152F4">
        <w:trPr>
          <w:trHeight w:val="545"/>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C63462"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Vasan</w:t>
            </w:r>
            <w:proofErr w:type="spellEnd"/>
            <w:r w:rsidRPr="00884BE2">
              <w:rPr>
                <w:rFonts w:ascii="Calibri" w:eastAsia="Times New Roman" w:hAnsi="Calibri" w:cs="Times New Roman"/>
                <w:color w:val="000000"/>
                <w:sz w:val="20"/>
                <w:szCs w:val="20"/>
                <w:lang w:eastAsia="en-GB"/>
              </w:rPr>
              <w:t xml:space="preserve"> 2006 [37</w:t>
            </w:r>
            <w:r w:rsidR="008E4A92"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Pioglitazone</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Placebo</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86</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India</w:t>
            </w:r>
          </w:p>
        </w:tc>
        <w:tc>
          <w:tcPr>
            <w:tcW w:w="5386" w:type="dxa"/>
            <w:tcBorders>
              <w:top w:val="nil"/>
              <w:left w:val="nil"/>
              <w:bottom w:val="single" w:sz="8" w:space="0" w:color="auto"/>
              <w:right w:val="single" w:sz="8" w:space="0" w:color="auto"/>
            </w:tcBorders>
            <w:shd w:val="clear" w:color="auto" w:fill="auto"/>
            <w:vAlign w:val="center"/>
          </w:tcPr>
          <w:p w:rsidR="005A167A" w:rsidRPr="00884BE2" w:rsidRDefault="003E088B"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There was no increase in hypoglycaemic events between patients taking pioglitazone compared to patients taking other oral hypoglycaemic agents.</w:t>
            </w:r>
          </w:p>
        </w:tc>
      </w:tr>
      <w:tr w:rsidR="008E4A92" w:rsidRPr="00884BE2" w:rsidTr="00385AC8">
        <w:trPr>
          <w:trHeight w:val="831"/>
        </w:trPr>
        <w:tc>
          <w:tcPr>
            <w:tcW w:w="1087" w:type="dxa"/>
            <w:tcBorders>
              <w:top w:val="nil"/>
              <w:left w:val="single" w:sz="8" w:space="0" w:color="auto"/>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lastRenderedPageBreak/>
              <w:t>A</w:t>
            </w:r>
            <w:r w:rsidR="00C63462" w:rsidRPr="00884BE2">
              <w:rPr>
                <w:rFonts w:ascii="Calibri" w:eastAsia="Times New Roman" w:hAnsi="Calibri" w:cs="Times New Roman"/>
                <w:color w:val="000000"/>
                <w:sz w:val="20"/>
                <w:szCs w:val="20"/>
                <w:lang w:eastAsia="en-GB"/>
              </w:rPr>
              <w:t>l-</w:t>
            </w:r>
            <w:proofErr w:type="spellStart"/>
            <w:r w:rsidR="00C63462" w:rsidRPr="00884BE2">
              <w:rPr>
                <w:rFonts w:ascii="Calibri" w:eastAsia="Times New Roman" w:hAnsi="Calibri" w:cs="Times New Roman"/>
                <w:color w:val="000000"/>
                <w:sz w:val="20"/>
                <w:szCs w:val="20"/>
                <w:lang w:eastAsia="en-GB"/>
              </w:rPr>
              <w:t>Sifri</w:t>
            </w:r>
            <w:proofErr w:type="spellEnd"/>
            <w:r w:rsidR="00C63462" w:rsidRPr="00884BE2">
              <w:rPr>
                <w:rFonts w:ascii="Calibri" w:eastAsia="Times New Roman" w:hAnsi="Calibri" w:cs="Times New Roman"/>
                <w:color w:val="000000"/>
                <w:sz w:val="20"/>
                <w:szCs w:val="20"/>
                <w:lang w:eastAsia="en-GB"/>
              </w:rPr>
              <w:t xml:space="preserve"> 2011[40</w:t>
            </w:r>
            <w:r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Sitagliptin</w:t>
            </w:r>
          </w:p>
        </w:tc>
        <w:tc>
          <w:tcPr>
            <w:tcW w:w="1486"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1021</w:t>
            </w:r>
          </w:p>
        </w:tc>
        <w:tc>
          <w:tcPr>
            <w:tcW w:w="2512" w:type="dxa"/>
            <w:tcBorders>
              <w:top w:val="nil"/>
              <w:left w:val="nil"/>
              <w:bottom w:val="single" w:sz="8" w:space="0" w:color="auto"/>
              <w:right w:val="single" w:sz="8" w:space="0" w:color="auto"/>
            </w:tcBorders>
            <w:shd w:val="clear" w:color="auto" w:fill="auto"/>
            <w:vAlign w:val="center"/>
          </w:tcPr>
          <w:p w:rsidR="008E4A92" w:rsidRPr="00884BE2" w:rsidRDefault="008E4A9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Egypt, Israel, Jordan, Lebanon, Saudi Arabia, United Arab Emirates</w:t>
            </w:r>
          </w:p>
        </w:tc>
        <w:tc>
          <w:tcPr>
            <w:tcW w:w="5386" w:type="dxa"/>
            <w:tcBorders>
              <w:top w:val="nil"/>
              <w:left w:val="nil"/>
              <w:bottom w:val="single" w:sz="8" w:space="0" w:color="auto"/>
              <w:right w:val="single" w:sz="8" w:space="0" w:color="auto"/>
            </w:tcBorders>
            <w:shd w:val="clear" w:color="auto" w:fill="auto"/>
            <w:vAlign w:val="center"/>
          </w:tcPr>
          <w:p w:rsidR="00385AC8" w:rsidRPr="00884BE2" w:rsidRDefault="00385AC8" w:rsidP="00B4470C">
            <w:pPr>
              <w:spacing w:after="0" w:line="240" w:lineRule="auto"/>
              <w:jc w:val="both"/>
              <w:rPr>
                <w:rFonts w:ascii="Calibri" w:eastAsia="Times New Roman" w:hAnsi="Calibri" w:cs="Times New Roman"/>
                <w:i/>
                <w:color w:val="000000"/>
                <w:sz w:val="20"/>
                <w:szCs w:val="20"/>
                <w:lang w:eastAsia="en-GB"/>
              </w:rPr>
            </w:pPr>
          </w:p>
          <w:p w:rsidR="00385AC8" w:rsidRPr="00884BE2" w:rsidRDefault="009B13C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008E4A92" w:rsidRPr="00884BE2">
              <w:rPr>
                <w:rFonts w:ascii="Calibri" w:eastAsia="Times New Roman" w:hAnsi="Calibri" w:cs="Times New Roman"/>
                <w:color w:val="000000"/>
                <w:sz w:val="20"/>
                <w:szCs w:val="20"/>
                <w:lang w:eastAsia="en-GB"/>
              </w:rPr>
              <w:t xml:space="preserve">The risk of symptomatic hypoglycaemia was significantly lower in the sitagliptin group compared with the sulphonylurea group; p &lt; 0.001. </w:t>
            </w:r>
          </w:p>
        </w:tc>
      </w:tr>
      <w:tr w:rsidR="00951E4A" w:rsidRPr="00884BE2" w:rsidTr="006152F4">
        <w:trPr>
          <w:trHeight w:val="405"/>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Hassanein</w:t>
            </w:r>
            <w:proofErr w:type="spellEnd"/>
            <w:r w:rsidRPr="00884BE2">
              <w:rPr>
                <w:rFonts w:ascii="Calibri" w:eastAsia="Times New Roman" w:hAnsi="Calibri" w:cs="Times New Roman"/>
                <w:color w:val="000000"/>
                <w:sz w:val="20"/>
                <w:szCs w:val="20"/>
                <w:lang w:eastAsia="en-GB"/>
              </w:rPr>
              <w:t xml:space="preserve"> 2011 [12</w:t>
            </w:r>
            <w:r w:rsidR="00951E4A"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Vildagliptin</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59</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United Kingdom</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cs="Arial"/>
                <w:color w:val="000000"/>
                <w:sz w:val="20"/>
                <w:szCs w:val="20"/>
                <w:shd w:val="clear" w:color="auto" w:fill="FFFFFF"/>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w:t>
            </w:r>
            <w:r w:rsidRPr="00884BE2">
              <w:rPr>
                <w:rFonts w:cs="Arial"/>
                <w:color w:val="000000"/>
                <w:sz w:val="20"/>
                <w:szCs w:val="20"/>
                <w:shd w:val="clear" w:color="auto" w:fill="FFFFFF"/>
              </w:rPr>
              <w:t>No hypoglycaemic events were reported with</w:t>
            </w:r>
            <w:r w:rsidRPr="00884BE2">
              <w:rPr>
                <w:rStyle w:val="apple-converted-space"/>
                <w:rFonts w:cs="Arial"/>
                <w:color w:val="000000"/>
                <w:sz w:val="20"/>
                <w:szCs w:val="20"/>
                <w:shd w:val="clear" w:color="auto" w:fill="FFFFFF"/>
              </w:rPr>
              <w:t> </w:t>
            </w:r>
            <w:r w:rsidRPr="00884BE2">
              <w:rPr>
                <w:rStyle w:val="highlight"/>
                <w:rFonts w:cs="Arial"/>
                <w:color w:val="000000"/>
                <w:sz w:val="20"/>
                <w:szCs w:val="20"/>
                <w:shd w:val="clear" w:color="auto" w:fill="FFFFFF"/>
              </w:rPr>
              <w:t>vildagliptin</w:t>
            </w:r>
            <w:r w:rsidRPr="00884BE2">
              <w:t xml:space="preserve"> </w:t>
            </w:r>
            <w:r w:rsidRPr="00884BE2">
              <w:rPr>
                <w:rFonts w:cs="Arial"/>
                <w:color w:val="000000"/>
                <w:sz w:val="20"/>
                <w:szCs w:val="20"/>
                <w:shd w:val="clear" w:color="auto" w:fill="FFFFFF"/>
              </w:rPr>
              <w:t xml:space="preserve">compared with 35 events (one severe) with sulphonylureas. </w:t>
            </w:r>
          </w:p>
          <w:p w:rsidR="00951E4A" w:rsidRPr="00884BE2" w:rsidRDefault="00951E4A" w:rsidP="00B4470C">
            <w:pPr>
              <w:spacing w:after="0" w:line="240" w:lineRule="auto"/>
              <w:jc w:val="both"/>
              <w:rPr>
                <w:rFonts w:cs="Arial"/>
                <w:color w:val="000000"/>
                <w:sz w:val="20"/>
                <w:szCs w:val="20"/>
                <w:shd w:val="clear" w:color="auto" w:fill="FFFFFF"/>
              </w:rPr>
            </w:pPr>
            <w:r w:rsidRPr="00884BE2">
              <w:rPr>
                <w:rFonts w:ascii="Calibri" w:eastAsia="Times New Roman" w:hAnsi="Calibri" w:cs="Times New Roman"/>
                <w:i/>
                <w:color w:val="000000"/>
                <w:sz w:val="20"/>
                <w:szCs w:val="20"/>
                <w:lang w:eastAsia="en-GB"/>
              </w:rPr>
              <w:t xml:space="preserve">Glycaemic control: </w:t>
            </w:r>
            <w:r w:rsidRPr="00884BE2">
              <w:rPr>
                <w:rFonts w:cs="Arial"/>
                <w:color w:val="000000"/>
                <w:sz w:val="20"/>
                <w:szCs w:val="20"/>
                <w:shd w:val="clear" w:color="auto" w:fill="FFFFFF"/>
              </w:rPr>
              <w:t>Mean HbA1c decre</w:t>
            </w:r>
            <w:r w:rsidR="00131205" w:rsidRPr="00884BE2">
              <w:rPr>
                <w:rFonts w:cs="Arial"/>
                <w:color w:val="000000"/>
                <w:sz w:val="20"/>
                <w:szCs w:val="20"/>
                <w:shd w:val="clear" w:color="auto" w:fill="FFFFFF"/>
              </w:rPr>
              <w:t>ased in the vildagliptin group [</w:t>
            </w:r>
            <w:r w:rsidRPr="00884BE2">
              <w:rPr>
                <w:rFonts w:cs="Arial"/>
                <w:color w:val="000000"/>
                <w:sz w:val="20"/>
                <w:szCs w:val="20"/>
                <w:shd w:val="clear" w:color="auto" w:fill="FFFFFF"/>
              </w:rPr>
              <w:t xml:space="preserve">from 7.6% </w:t>
            </w:r>
            <w:r w:rsidR="00131205" w:rsidRPr="00884BE2">
              <w:rPr>
                <w:rFonts w:cs="Arial"/>
                <w:color w:val="000000"/>
                <w:sz w:val="20"/>
                <w:szCs w:val="20"/>
                <w:shd w:val="clear" w:color="auto" w:fill="FFFFFF"/>
              </w:rPr>
              <w:t>(60mmol/</w:t>
            </w:r>
            <w:proofErr w:type="spellStart"/>
            <w:r w:rsidR="00131205" w:rsidRPr="00884BE2">
              <w:rPr>
                <w:rFonts w:cs="Arial"/>
                <w:color w:val="000000"/>
                <w:sz w:val="20"/>
                <w:szCs w:val="20"/>
                <w:shd w:val="clear" w:color="auto" w:fill="FFFFFF"/>
              </w:rPr>
              <w:t>mol</w:t>
            </w:r>
            <w:proofErr w:type="spellEnd"/>
            <w:r w:rsidR="00131205" w:rsidRPr="00884BE2">
              <w:rPr>
                <w:rFonts w:cs="Arial"/>
                <w:color w:val="000000"/>
                <w:sz w:val="20"/>
                <w:szCs w:val="20"/>
                <w:shd w:val="clear" w:color="auto" w:fill="FFFFFF"/>
              </w:rPr>
              <w:t xml:space="preserve">) </w:t>
            </w:r>
            <w:r w:rsidRPr="00884BE2">
              <w:rPr>
                <w:rFonts w:cs="Arial"/>
                <w:color w:val="000000"/>
                <w:sz w:val="20"/>
                <w:szCs w:val="20"/>
                <w:shd w:val="clear" w:color="auto" w:fill="FFFFFF"/>
              </w:rPr>
              <w:t>to 7.2%</w:t>
            </w:r>
            <w:r w:rsidR="00131205" w:rsidRPr="00884BE2">
              <w:rPr>
                <w:rFonts w:cs="Arial"/>
                <w:color w:val="000000"/>
                <w:sz w:val="20"/>
                <w:szCs w:val="20"/>
                <w:shd w:val="clear" w:color="auto" w:fill="FFFFFF"/>
              </w:rPr>
              <w:t xml:space="preserve"> (55mmol/</w:t>
            </w:r>
            <w:proofErr w:type="spellStart"/>
            <w:r w:rsidR="00131205" w:rsidRPr="00884BE2">
              <w:rPr>
                <w:rFonts w:cs="Arial"/>
                <w:color w:val="000000"/>
                <w:sz w:val="20"/>
                <w:szCs w:val="20"/>
                <w:shd w:val="clear" w:color="auto" w:fill="FFFFFF"/>
              </w:rPr>
              <w:t>mol</w:t>
            </w:r>
            <w:proofErr w:type="spellEnd"/>
            <w:r w:rsidRPr="00884BE2">
              <w:rPr>
                <w:rFonts w:cs="Arial"/>
                <w:color w:val="000000"/>
                <w:sz w:val="20"/>
                <w:szCs w:val="20"/>
                <w:shd w:val="clear" w:color="auto" w:fill="FFFFFF"/>
              </w:rPr>
              <w:t>)</w:t>
            </w:r>
            <w:r w:rsidR="00131205" w:rsidRPr="00884BE2">
              <w:rPr>
                <w:rFonts w:cs="Arial"/>
                <w:color w:val="000000"/>
                <w:sz w:val="20"/>
                <w:szCs w:val="20"/>
                <w:shd w:val="clear" w:color="auto" w:fill="FFFFFF"/>
              </w:rPr>
              <w:t>]</w:t>
            </w:r>
            <w:r w:rsidRPr="00884BE2">
              <w:rPr>
                <w:rFonts w:cs="Arial"/>
                <w:color w:val="000000"/>
                <w:sz w:val="20"/>
                <w:szCs w:val="20"/>
                <w:shd w:val="clear" w:color="auto" w:fill="FFFFFF"/>
              </w:rPr>
              <w:t xml:space="preserve"> vs no difference in sulphonylureas group; mean between-group difference p = 0.026. </w:t>
            </w:r>
          </w:p>
          <w:p w:rsidR="00951E4A" w:rsidRPr="00884BE2" w:rsidRDefault="00951E4A" w:rsidP="00B4470C">
            <w:pPr>
              <w:spacing w:after="0" w:line="240" w:lineRule="auto"/>
              <w:jc w:val="both"/>
              <w:rPr>
                <w:rFonts w:cs="Arial"/>
                <w:color w:val="000000"/>
                <w:sz w:val="20"/>
                <w:szCs w:val="20"/>
                <w:shd w:val="clear" w:color="auto" w:fill="FFFFFF"/>
              </w:rPr>
            </w:pPr>
            <w:r w:rsidRPr="00884BE2">
              <w:rPr>
                <w:rFonts w:ascii="Calibri" w:eastAsia="Times New Roman" w:hAnsi="Calibri" w:cs="Times New Roman"/>
                <w:i/>
                <w:color w:val="000000"/>
                <w:sz w:val="20"/>
                <w:szCs w:val="20"/>
                <w:lang w:eastAsia="en-GB"/>
              </w:rPr>
              <w:t>Weight:</w:t>
            </w:r>
            <w:r w:rsidRPr="00884BE2">
              <w:rPr>
                <w:rFonts w:cs="Arial"/>
                <w:color w:val="000000"/>
                <w:sz w:val="20"/>
                <w:szCs w:val="20"/>
                <w:shd w:val="clear" w:color="auto" w:fill="FFFFFF"/>
              </w:rPr>
              <w:t xml:space="preserve"> No significant difference reported.</w:t>
            </w:r>
          </w:p>
          <w:p w:rsidR="00951E4A" w:rsidRPr="00884BE2" w:rsidRDefault="00951E4A" w:rsidP="00B4470C">
            <w:pPr>
              <w:spacing w:after="0" w:line="240" w:lineRule="auto"/>
              <w:jc w:val="both"/>
              <w:rPr>
                <w:rFonts w:cs="Arial"/>
                <w:color w:val="000000"/>
                <w:sz w:val="20"/>
                <w:szCs w:val="20"/>
                <w:shd w:val="clear" w:color="auto" w:fill="FFFFFF"/>
              </w:rPr>
            </w:pPr>
            <w:r w:rsidRPr="00884BE2">
              <w:rPr>
                <w:rFonts w:cs="Arial"/>
                <w:i/>
                <w:color w:val="000000"/>
                <w:sz w:val="20"/>
                <w:szCs w:val="20"/>
                <w:shd w:val="clear" w:color="auto" w:fill="FFFFFF"/>
              </w:rPr>
              <w:t xml:space="preserve">Other: </w:t>
            </w:r>
            <w:r w:rsidRPr="00884BE2">
              <w:rPr>
                <w:rFonts w:cs="Arial"/>
                <w:color w:val="000000"/>
                <w:sz w:val="20"/>
                <w:szCs w:val="20"/>
                <w:shd w:val="clear" w:color="auto" w:fill="FFFFFF"/>
              </w:rPr>
              <w:t xml:space="preserve">Compliance was better with vildagliptin; mean number of missed doses 0.2 [SD 0.8] vs 7.6 [SD 14.9]. </w:t>
            </w:r>
          </w:p>
        </w:tc>
      </w:tr>
      <w:tr w:rsidR="00951E4A" w:rsidRPr="00884BE2" w:rsidTr="00C63462">
        <w:trPr>
          <w:trHeight w:val="2210"/>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8D24F1">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Al-</w:t>
            </w:r>
            <w:proofErr w:type="spellStart"/>
            <w:r w:rsidRPr="00884BE2">
              <w:rPr>
                <w:rFonts w:ascii="Calibri" w:eastAsia="Times New Roman" w:hAnsi="Calibri" w:cs="Times New Roman"/>
                <w:color w:val="000000"/>
                <w:sz w:val="20"/>
                <w:szCs w:val="20"/>
                <w:lang w:eastAsia="en-GB"/>
              </w:rPr>
              <w:t>Arouj</w:t>
            </w:r>
            <w:proofErr w:type="spellEnd"/>
            <w:r w:rsidRPr="00884BE2">
              <w:rPr>
                <w:rFonts w:ascii="Calibri" w:eastAsia="Times New Roman" w:hAnsi="Calibri" w:cs="Times New Roman"/>
                <w:color w:val="000000"/>
                <w:sz w:val="20"/>
                <w:szCs w:val="20"/>
                <w:lang w:eastAsia="en-GB"/>
              </w:rPr>
              <w:t xml:space="preserve"> 2013[1</w:t>
            </w:r>
            <w:r w:rsidR="00035B07" w:rsidRPr="00884BE2">
              <w:rPr>
                <w:rFonts w:ascii="Calibri" w:eastAsia="Times New Roman" w:hAnsi="Calibri" w:cs="Times New Roman"/>
                <w:color w:val="000000"/>
                <w:sz w:val="20"/>
                <w:szCs w:val="20"/>
                <w:lang w:eastAsia="en-GB"/>
              </w:rPr>
              <w:t>3</w:t>
            </w:r>
            <w:r w:rsidR="00951E4A"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Vildagliptin </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1315</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Bangladesh, Egypt, India, Indonesia, Kuwait, Lebanon, Oman, Pakistan, Saudi Arabia, United Arab Emirates</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Significantly fewer patients experienced ≥ 1 hypoglycaemic event with vildagliptin compared with those on sulphonylureas (5.4% vs. 19.8%; p &lt; 0.001); no vildagliptin-treated patients reported severe hypoglycaemia vs. 4 in sulphonylureas treated patients (p = 0.053).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Mean HbA1c from baseline were improved in vildagliptin: -0.24%, SUs: +0.02% (p &lt; 0.001).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Weight:</w:t>
            </w:r>
            <w:r w:rsidRPr="00884BE2">
              <w:rPr>
                <w:rFonts w:ascii="Calibri" w:eastAsia="Times New Roman" w:hAnsi="Calibri" w:cs="Times New Roman"/>
                <w:color w:val="000000"/>
                <w:sz w:val="20"/>
                <w:szCs w:val="20"/>
                <w:lang w:eastAsia="en-GB"/>
              </w:rPr>
              <w:t xml:space="preserve"> Mean body weight reductions from baseline were more significant with vildagliptin: -0.76 kg compared with SUs: -0.13 kg (p &lt; 0.001). </w:t>
            </w:r>
          </w:p>
        </w:tc>
      </w:tr>
      <w:tr w:rsidR="00951E4A" w:rsidRPr="00884BE2" w:rsidTr="006152F4">
        <w:trPr>
          <w:trHeight w:val="528"/>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035B07"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Bakiner</w:t>
            </w:r>
            <w:proofErr w:type="spellEnd"/>
            <w:r w:rsidRPr="00884BE2">
              <w:rPr>
                <w:rFonts w:ascii="Calibri" w:eastAsia="Times New Roman" w:hAnsi="Calibri" w:cs="Times New Roman"/>
                <w:color w:val="000000"/>
                <w:sz w:val="20"/>
                <w:szCs w:val="20"/>
                <w:lang w:eastAsia="en-GB"/>
              </w:rPr>
              <w:t xml:space="preserve"> 2009 [15</w:t>
            </w:r>
            <w:r w:rsidR="00951E4A" w:rsidRPr="00884BE2">
              <w:rPr>
                <w:rFonts w:ascii="Calibri" w:eastAsia="Times New Roman" w:hAnsi="Calibri" w:cs="Times New Roman"/>
                <w:color w:val="000000"/>
                <w:sz w:val="20"/>
                <w:szCs w:val="20"/>
                <w:lang w:eastAsia="en-GB"/>
              </w:rPr>
              <w:t xml:space="preserve">] </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Repaglinide plus </w:t>
            </w:r>
            <w:proofErr w:type="spellStart"/>
            <w:r w:rsidRPr="00884BE2">
              <w:rPr>
                <w:rFonts w:ascii="Calibri" w:eastAsia="Times New Roman" w:hAnsi="Calibri" w:cs="Times New Roman"/>
                <w:color w:val="000000"/>
                <w:sz w:val="20"/>
                <w:szCs w:val="20"/>
                <w:lang w:eastAsia="en-GB"/>
              </w:rPr>
              <w:t>glargine</w:t>
            </w:r>
            <w:proofErr w:type="spellEnd"/>
            <w:r w:rsidRPr="00884BE2">
              <w:rPr>
                <w:rFonts w:ascii="Calibri" w:eastAsia="Times New Roman" w:hAnsi="Calibri" w:cs="Times New Roman"/>
                <w:color w:val="000000"/>
                <w:sz w:val="20"/>
                <w:szCs w:val="20"/>
                <w:lang w:eastAsia="en-GB"/>
              </w:rPr>
              <w:t xml:space="preserve"> in fasting</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val="fr-FR" w:eastAsia="en-GB"/>
              </w:rPr>
            </w:pPr>
            <w:r w:rsidRPr="00884BE2">
              <w:rPr>
                <w:rFonts w:ascii="Calibri" w:eastAsia="Times New Roman" w:hAnsi="Calibri" w:cs="Times New Roman"/>
                <w:color w:val="000000"/>
                <w:sz w:val="20"/>
                <w:szCs w:val="20"/>
                <w:lang w:val="fr-FR" w:eastAsia="en-GB"/>
              </w:rPr>
              <w:t xml:space="preserve">Repaglinide plus </w:t>
            </w:r>
            <w:proofErr w:type="spellStart"/>
            <w:r w:rsidRPr="00884BE2">
              <w:rPr>
                <w:rFonts w:ascii="Calibri" w:eastAsia="Times New Roman" w:hAnsi="Calibri" w:cs="Times New Roman"/>
                <w:color w:val="000000"/>
                <w:sz w:val="20"/>
                <w:szCs w:val="20"/>
                <w:lang w:val="fr-FR" w:eastAsia="en-GB"/>
              </w:rPr>
              <w:t>glargine</w:t>
            </w:r>
            <w:proofErr w:type="spellEnd"/>
            <w:r w:rsidRPr="00884BE2">
              <w:rPr>
                <w:rFonts w:ascii="Calibri" w:eastAsia="Times New Roman" w:hAnsi="Calibri" w:cs="Times New Roman"/>
                <w:color w:val="000000"/>
                <w:sz w:val="20"/>
                <w:szCs w:val="20"/>
                <w:lang w:val="fr-FR" w:eastAsia="en-GB"/>
              </w:rPr>
              <w:t xml:space="preserve"> in non-</w:t>
            </w:r>
            <w:proofErr w:type="spellStart"/>
            <w:r w:rsidRPr="00884BE2">
              <w:rPr>
                <w:rFonts w:ascii="Calibri" w:eastAsia="Times New Roman" w:hAnsi="Calibri" w:cs="Times New Roman"/>
                <w:color w:val="000000"/>
                <w:sz w:val="20"/>
                <w:szCs w:val="20"/>
                <w:lang w:val="fr-FR" w:eastAsia="en-GB"/>
              </w:rPr>
              <w:t>fasting</w:t>
            </w:r>
            <w:proofErr w:type="spellEnd"/>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19</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Turkey</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There were no reported hypoglycaemic events in either group.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There was no difference in glycaemic control between the fasting and non-fasting groups. </w:t>
            </w:r>
          </w:p>
        </w:tc>
      </w:tr>
      <w:tr w:rsidR="00951E4A" w:rsidRPr="00884BE2" w:rsidTr="003B0DC3">
        <w:trPr>
          <w:trHeight w:val="559"/>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Mucha</w:t>
            </w:r>
            <w:proofErr w:type="spellEnd"/>
            <w:r w:rsidRPr="00884BE2">
              <w:rPr>
                <w:rFonts w:ascii="Calibri" w:eastAsia="Times New Roman" w:hAnsi="Calibri" w:cs="Times New Roman"/>
                <w:color w:val="000000"/>
                <w:sz w:val="20"/>
                <w:szCs w:val="20"/>
                <w:lang w:eastAsia="en-GB"/>
              </w:rPr>
              <w:t xml:space="preserve"> 2004 [27</w:t>
            </w:r>
            <w:r w:rsidR="00951E4A" w:rsidRPr="00884BE2">
              <w:rPr>
                <w:rFonts w:ascii="Calibri" w:eastAsia="Times New Roman" w:hAnsi="Calibri" w:cs="Times New Roman"/>
                <w:color w:val="000000"/>
                <w:sz w:val="20"/>
                <w:szCs w:val="20"/>
                <w:lang w:eastAsia="en-GB"/>
              </w:rPr>
              <w:t xml:space="preserve">] </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Glargine</w:t>
            </w:r>
            <w:proofErr w:type="spellEnd"/>
            <w:r w:rsidRPr="00884BE2">
              <w:rPr>
                <w:rFonts w:ascii="Calibri" w:eastAsia="Times New Roman" w:hAnsi="Calibri" w:cs="Times New Roman"/>
                <w:color w:val="000000"/>
                <w:sz w:val="20"/>
                <w:szCs w:val="20"/>
                <w:lang w:eastAsia="en-GB"/>
              </w:rPr>
              <w:t>/ Rapid acting insulin in fasting</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Glargine</w:t>
            </w:r>
            <w:proofErr w:type="spellEnd"/>
            <w:r w:rsidRPr="00884BE2">
              <w:rPr>
                <w:rFonts w:ascii="Calibri" w:eastAsia="Times New Roman" w:hAnsi="Calibri" w:cs="Times New Roman"/>
                <w:color w:val="000000"/>
                <w:sz w:val="20"/>
                <w:szCs w:val="20"/>
                <w:lang w:eastAsia="en-GB"/>
              </w:rPr>
              <w:t>/ Rapid acting insulin in non-fasting</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T1DM </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15</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United States of America </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Only two episodes of hypoglycaemia were reported in fasting patients.</w:t>
            </w:r>
          </w:p>
        </w:tc>
      </w:tr>
      <w:tr w:rsidR="00951E4A" w:rsidRPr="00884BE2" w:rsidTr="006152F4">
        <w:trPr>
          <w:trHeight w:val="231"/>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Azar 2008 [28</w:t>
            </w:r>
            <w:r w:rsidR="00951E4A" w:rsidRPr="00884BE2">
              <w:rPr>
                <w:rFonts w:ascii="Calibri" w:eastAsia="Times New Roman" w:hAnsi="Calibri" w:cs="Times New Roman"/>
                <w:color w:val="000000"/>
                <w:sz w:val="20"/>
                <w:szCs w:val="20"/>
                <w:lang w:eastAsia="en-GB"/>
              </w:rPr>
              <w:t xml:space="preserve">] </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Glargine</w:t>
            </w:r>
            <w:proofErr w:type="spellEnd"/>
            <w:r w:rsidRPr="00884BE2">
              <w:rPr>
                <w:rFonts w:ascii="Calibri" w:eastAsia="Times New Roman" w:hAnsi="Calibri" w:cs="Times New Roman"/>
                <w:color w:val="000000"/>
                <w:sz w:val="20"/>
                <w:szCs w:val="20"/>
                <w:lang w:eastAsia="en-GB"/>
              </w:rPr>
              <w:t xml:space="preserve">/ insulin </w:t>
            </w:r>
            <w:proofErr w:type="spellStart"/>
            <w:r w:rsidRPr="00884BE2">
              <w:rPr>
                <w:rFonts w:ascii="Calibri" w:eastAsia="Times New Roman" w:hAnsi="Calibri" w:cs="Times New Roman"/>
                <w:color w:val="000000"/>
                <w:sz w:val="20"/>
                <w:szCs w:val="20"/>
                <w:lang w:eastAsia="en-GB"/>
              </w:rPr>
              <w:t>lispro</w:t>
            </w:r>
            <w:proofErr w:type="spellEnd"/>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Glargine</w:t>
            </w:r>
            <w:proofErr w:type="spellEnd"/>
            <w:r w:rsidRPr="00884BE2">
              <w:rPr>
                <w:rFonts w:ascii="Calibri" w:eastAsia="Times New Roman" w:hAnsi="Calibri" w:cs="Times New Roman"/>
                <w:color w:val="000000"/>
                <w:sz w:val="20"/>
                <w:szCs w:val="20"/>
                <w:lang w:eastAsia="en-GB"/>
              </w:rPr>
              <w:t xml:space="preserve">/ </w:t>
            </w:r>
            <w:proofErr w:type="spellStart"/>
            <w:r w:rsidRPr="00884BE2">
              <w:rPr>
                <w:rFonts w:ascii="Calibri" w:eastAsia="Times New Roman" w:hAnsi="Calibri" w:cs="Times New Roman"/>
                <w:color w:val="000000"/>
                <w:sz w:val="20"/>
                <w:szCs w:val="20"/>
                <w:lang w:eastAsia="en-GB"/>
              </w:rPr>
              <w:t>aspart</w:t>
            </w:r>
            <w:proofErr w:type="spellEnd"/>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T1DM </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Open-label</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9</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Libya</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There were no reported episodes of severe hypoglycaemia.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 xml:space="preserve">Glycaemic control: </w:t>
            </w:r>
            <w:r w:rsidRPr="00884BE2">
              <w:rPr>
                <w:rFonts w:ascii="Calibri" w:eastAsia="Times New Roman" w:hAnsi="Calibri" w:cs="Times New Roman"/>
                <w:color w:val="000000"/>
                <w:sz w:val="20"/>
                <w:szCs w:val="20"/>
                <w:lang w:eastAsia="en-GB"/>
              </w:rPr>
              <w:t xml:space="preserve">HbA1c remained stable.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 xml:space="preserve">Other: </w:t>
            </w:r>
            <w:r w:rsidRPr="00884BE2">
              <w:rPr>
                <w:rFonts w:ascii="Calibri" w:eastAsia="Times New Roman" w:hAnsi="Calibri" w:cs="Times New Roman"/>
                <w:color w:val="000000"/>
                <w:sz w:val="20"/>
                <w:szCs w:val="20"/>
                <w:lang w:eastAsia="en-GB"/>
              </w:rPr>
              <w:t>There were no reports of DKA.</w:t>
            </w:r>
          </w:p>
        </w:tc>
      </w:tr>
      <w:tr w:rsidR="00951E4A" w:rsidRPr="00884BE2" w:rsidTr="006152F4">
        <w:trPr>
          <w:trHeight w:val="1713"/>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lastRenderedPageBreak/>
              <w:t>Kadiri</w:t>
            </w:r>
            <w:proofErr w:type="spellEnd"/>
            <w:r w:rsidRPr="00884BE2">
              <w:rPr>
                <w:rFonts w:ascii="Calibri" w:eastAsia="Times New Roman" w:hAnsi="Calibri" w:cs="Times New Roman"/>
                <w:color w:val="000000"/>
                <w:sz w:val="20"/>
                <w:szCs w:val="20"/>
                <w:lang w:eastAsia="en-GB"/>
              </w:rPr>
              <w:t xml:space="preserve"> 2001 [</w:t>
            </w:r>
            <w:r w:rsidR="00C63462" w:rsidRPr="00884BE2">
              <w:rPr>
                <w:rFonts w:ascii="Calibri" w:eastAsia="Times New Roman" w:hAnsi="Calibri" w:cs="Times New Roman"/>
                <w:color w:val="000000"/>
                <w:sz w:val="20"/>
                <w:szCs w:val="20"/>
                <w:lang w:eastAsia="en-GB"/>
              </w:rPr>
              <w:t>29</w:t>
            </w:r>
            <w:r w:rsidRPr="00884BE2">
              <w:rPr>
                <w:rFonts w:ascii="Calibri" w:eastAsia="Times New Roman" w:hAnsi="Calibri" w:cs="Times New Roman"/>
                <w:color w:val="000000"/>
                <w:sz w:val="20"/>
                <w:szCs w:val="20"/>
                <w:lang w:eastAsia="en-GB"/>
              </w:rPr>
              <w:t xml:space="preserve">] </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Isophane</w:t>
            </w:r>
            <w:proofErr w:type="spellEnd"/>
            <w:r w:rsidRPr="00884BE2">
              <w:rPr>
                <w:rFonts w:ascii="Calibri" w:eastAsia="Times New Roman" w:hAnsi="Calibri" w:cs="Times New Roman"/>
                <w:color w:val="000000"/>
                <w:sz w:val="20"/>
                <w:szCs w:val="20"/>
                <w:lang w:eastAsia="en-GB"/>
              </w:rPr>
              <w:t xml:space="preserve"> insulin (</w:t>
            </w:r>
            <w:proofErr w:type="spellStart"/>
            <w:r w:rsidRPr="00884BE2">
              <w:rPr>
                <w:rFonts w:ascii="Calibri" w:eastAsia="Times New Roman" w:hAnsi="Calibri" w:cs="Times New Roman"/>
                <w:color w:val="000000"/>
                <w:sz w:val="20"/>
                <w:szCs w:val="20"/>
                <w:lang w:eastAsia="en-GB"/>
              </w:rPr>
              <w:t>Humulin</w:t>
            </w:r>
            <w:proofErr w:type="spellEnd"/>
            <w:r w:rsidRPr="00884BE2">
              <w:rPr>
                <w:rFonts w:ascii="Calibri" w:eastAsia="Times New Roman" w:hAnsi="Calibri" w:cs="Times New Roman"/>
                <w:color w:val="000000"/>
                <w:sz w:val="20"/>
                <w:szCs w:val="20"/>
                <w:lang w:eastAsia="en-GB"/>
              </w:rPr>
              <w:t xml:space="preserve"> I) plus insulin </w:t>
            </w:r>
            <w:proofErr w:type="spellStart"/>
            <w:r w:rsidRPr="00884BE2">
              <w:rPr>
                <w:rFonts w:ascii="Calibri" w:eastAsia="Times New Roman" w:hAnsi="Calibri" w:cs="Times New Roman"/>
                <w:color w:val="000000"/>
                <w:sz w:val="20"/>
                <w:szCs w:val="20"/>
                <w:lang w:eastAsia="en-GB"/>
              </w:rPr>
              <w:t>lispro</w:t>
            </w:r>
            <w:proofErr w:type="spellEnd"/>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Isophane</w:t>
            </w:r>
            <w:proofErr w:type="spellEnd"/>
            <w:r w:rsidRPr="00884BE2">
              <w:rPr>
                <w:rFonts w:ascii="Calibri" w:eastAsia="Times New Roman" w:hAnsi="Calibri" w:cs="Times New Roman"/>
                <w:color w:val="000000"/>
                <w:sz w:val="20"/>
                <w:szCs w:val="20"/>
                <w:lang w:eastAsia="en-GB"/>
              </w:rPr>
              <w:t xml:space="preserve"> insulin (</w:t>
            </w:r>
            <w:proofErr w:type="spellStart"/>
            <w:r w:rsidRPr="00884BE2">
              <w:rPr>
                <w:rFonts w:ascii="Calibri" w:eastAsia="Times New Roman" w:hAnsi="Calibri" w:cs="Times New Roman"/>
                <w:color w:val="000000"/>
                <w:sz w:val="20"/>
                <w:szCs w:val="20"/>
                <w:lang w:eastAsia="en-GB"/>
              </w:rPr>
              <w:t>Humulin</w:t>
            </w:r>
            <w:proofErr w:type="spellEnd"/>
            <w:r w:rsidRPr="00884BE2">
              <w:rPr>
                <w:rFonts w:ascii="Calibri" w:eastAsia="Times New Roman" w:hAnsi="Calibri" w:cs="Times New Roman"/>
                <w:color w:val="000000"/>
                <w:sz w:val="20"/>
                <w:szCs w:val="20"/>
                <w:lang w:eastAsia="en-GB"/>
              </w:rPr>
              <w:t xml:space="preserve"> I) plus short-acting human insulin</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T1DM </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Open-label,  crossover study </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64</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Morocco, Kuwait, Egypt, Pakistan, Austria, United Kingdom</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The incidence and frequency of hypoglycaemic events were significantly lower with use of insulin </w:t>
            </w:r>
            <w:proofErr w:type="spellStart"/>
            <w:r w:rsidRPr="00884BE2">
              <w:rPr>
                <w:rFonts w:ascii="Calibri" w:eastAsia="Times New Roman" w:hAnsi="Calibri" w:cs="Times New Roman"/>
                <w:color w:val="000000"/>
                <w:sz w:val="20"/>
                <w:szCs w:val="20"/>
                <w:lang w:eastAsia="en-GB"/>
              </w:rPr>
              <w:t>lispro</w:t>
            </w:r>
            <w:proofErr w:type="spellEnd"/>
            <w:r w:rsidRPr="00884BE2">
              <w:rPr>
                <w:rFonts w:ascii="Calibri" w:eastAsia="Times New Roman" w:hAnsi="Calibri" w:cs="Times New Roman"/>
                <w:color w:val="000000"/>
                <w:sz w:val="20"/>
                <w:szCs w:val="20"/>
                <w:lang w:eastAsia="en-GB"/>
              </w:rPr>
              <w:t xml:space="preserve"> [(incidence: 23.4% vs 48.4%; p=0.004) &amp; (frequency: 0.70 +/- 0.19 vs 2.25 +/- 0.36 episodes/patient/30 days; p&lt;0.001)].</w:t>
            </w:r>
          </w:p>
          <w:p w:rsidR="00951E4A" w:rsidRPr="00884BE2" w:rsidRDefault="00951E4A" w:rsidP="00B4470C">
            <w:pPr>
              <w:spacing w:after="0" w:line="240" w:lineRule="auto"/>
              <w:jc w:val="both"/>
              <w:rPr>
                <w:rFonts w:ascii="Calibri" w:eastAsia="Times New Roman" w:hAnsi="Calibri" w:cs="Times New Roman"/>
                <w:i/>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Significantly lower postprandial blood glucose levels were noted after </w:t>
            </w:r>
            <w:proofErr w:type="spellStart"/>
            <w:r w:rsidRPr="00884BE2">
              <w:rPr>
                <w:rFonts w:ascii="Calibri" w:eastAsia="Times New Roman" w:hAnsi="Calibri" w:cs="Times New Roman"/>
                <w:color w:val="000000"/>
                <w:sz w:val="20"/>
                <w:szCs w:val="20"/>
                <w:lang w:eastAsia="en-GB"/>
              </w:rPr>
              <w:t>Iftar</w:t>
            </w:r>
            <w:proofErr w:type="spellEnd"/>
            <w:r w:rsidRPr="00884BE2">
              <w:rPr>
                <w:rFonts w:ascii="Calibri" w:eastAsia="Times New Roman" w:hAnsi="Calibri" w:cs="Times New Roman"/>
                <w:color w:val="000000"/>
                <w:sz w:val="20"/>
                <w:szCs w:val="20"/>
                <w:lang w:eastAsia="en-GB"/>
              </w:rPr>
              <w:t xml:space="preserve"> (p=0.026) in the group taking </w:t>
            </w:r>
            <w:proofErr w:type="spellStart"/>
            <w:r w:rsidRPr="00884BE2">
              <w:rPr>
                <w:rFonts w:ascii="Calibri" w:eastAsia="Times New Roman" w:hAnsi="Calibri" w:cs="Times New Roman"/>
                <w:color w:val="000000"/>
                <w:sz w:val="20"/>
                <w:szCs w:val="20"/>
                <w:lang w:eastAsia="en-GB"/>
              </w:rPr>
              <w:t>Isophane</w:t>
            </w:r>
            <w:proofErr w:type="spellEnd"/>
            <w:r w:rsidRPr="00884BE2">
              <w:rPr>
                <w:rFonts w:ascii="Calibri" w:eastAsia="Times New Roman" w:hAnsi="Calibri" w:cs="Times New Roman"/>
                <w:color w:val="000000"/>
                <w:sz w:val="20"/>
                <w:szCs w:val="20"/>
                <w:lang w:eastAsia="en-GB"/>
              </w:rPr>
              <w:t xml:space="preserve"> insulin plus insulin </w:t>
            </w:r>
            <w:proofErr w:type="spellStart"/>
            <w:r w:rsidRPr="00884BE2">
              <w:rPr>
                <w:rFonts w:ascii="Calibri" w:eastAsia="Times New Roman" w:hAnsi="Calibri" w:cs="Times New Roman"/>
                <w:color w:val="000000"/>
                <w:sz w:val="20"/>
                <w:szCs w:val="20"/>
                <w:lang w:eastAsia="en-GB"/>
              </w:rPr>
              <w:t>lispro</w:t>
            </w:r>
            <w:proofErr w:type="spellEnd"/>
            <w:r w:rsidRPr="00884BE2">
              <w:rPr>
                <w:rFonts w:ascii="Calibri" w:eastAsia="Times New Roman" w:hAnsi="Calibri" w:cs="Times New Roman"/>
                <w:color w:val="000000"/>
                <w:sz w:val="20"/>
                <w:szCs w:val="20"/>
                <w:lang w:eastAsia="en-GB"/>
              </w:rPr>
              <w:t xml:space="preserve">, compared with </w:t>
            </w:r>
            <w:proofErr w:type="spellStart"/>
            <w:r w:rsidRPr="00884BE2">
              <w:rPr>
                <w:rFonts w:ascii="Calibri" w:eastAsia="Times New Roman" w:hAnsi="Calibri" w:cs="Times New Roman"/>
                <w:color w:val="000000"/>
                <w:sz w:val="20"/>
                <w:szCs w:val="20"/>
                <w:lang w:eastAsia="en-GB"/>
              </w:rPr>
              <w:t>Isophane</w:t>
            </w:r>
            <w:proofErr w:type="spellEnd"/>
            <w:r w:rsidRPr="00884BE2">
              <w:rPr>
                <w:rFonts w:ascii="Calibri" w:eastAsia="Times New Roman" w:hAnsi="Calibri" w:cs="Times New Roman"/>
                <w:color w:val="000000"/>
                <w:sz w:val="20"/>
                <w:szCs w:val="20"/>
                <w:lang w:eastAsia="en-GB"/>
              </w:rPr>
              <w:t xml:space="preserve"> insulin plus short-acting human insulin.</w:t>
            </w:r>
          </w:p>
        </w:tc>
      </w:tr>
      <w:tr w:rsidR="00951E4A" w:rsidRPr="00884BE2" w:rsidTr="006152F4">
        <w:trPr>
          <w:trHeight w:val="1833"/>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B4470C">
            <w:pPr>
              <w:spacing w:after="0" w:line="240" w:lineRule="auto"/>
              <w:jc w:val="both"/>
              <w:rPr>
                <w:rFonts w:ascii="Calibri" w:eastAsia="Times New Roman" w:hAnsi="Calibri" w:cs="Times New Roman"/>
                <w:color w:val="000000"/>
                <w:sz w:val="20"/>
                <w:szCs w:val="20"/>
                <w:lang w:eastAsia="en-GB"/>
              </w:rPr>
            </w:pPr>
            <w:proofErr w:type="spellStart"/>
            <w:r w:rsidRPr="00884BE2">
              <w:rPr>
                <w:rFonts w:ascii="Calibri" w:eastAsia="Times New Roman" w:hAnsi="Calibri" w:cs="Times New Roman"/>
                <w:color w:val="000000"/>
                <w:sz w:val="20"/>
                <w:szCs w:val="20"/>
                <w:lang w:eastAsia="en-GB"/>
              </w:rPr>
              <w:t>Benbarka</w:t>
            </w:r>
            <w:proofErr w:type="spellEnd"/>
            <w:r w:rsidRPr="00884BE2">
              <w:rPr>
                <w:rFonts w:ascii="Calibri" w:eastAsia="Times New Roman" w:hAnsi="Calibri" w:cs="Times New Roman"/>
                <w:color w:val="000000"/>
                <w:sz w:val="20"/>
                <w:szCs w:val="20"/>
                <w:lang w:eastAsia="en-GB"/>
              </w:rPr>
              <w:t xml:space="preserve"> 2009 [30</w:t>
            </w:r>
            <w:r w:rsidR="00951E4A"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Insulin pump in fasting</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Insulin pump in non-fasting</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xml:space="preserve">T1DM </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63</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United Arab Emirates</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Approximately half of patients reduced basal insulin by 5-50% of their pre-fasting doses. 17 patients had hypoglycaemia requiring breaking the fast. No severe hypoglycaemia was reported.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 xml:space="preserve">Glycaemic control: </w:t>
            </w:r>
            <w:r w:rsidRPr="00884BE2">
              <w:rPr>
                <w:rFonts w:ascii="Calibri" w:eastAsia="Times New Roman" w:hAnsi="Calibri" w:cs="Times New Roman"/>
                <w:color w:val="000000"/>
                <w:sz w:val="20"/>
                <w:szCs w:val="20"/>
                <w:lang w:eastAsia="en-GB"/>
              </w:rPr>
              <w:t xml:space="preserve">Hyperglycaemia was reported in nine patients (18.4%), with only one hospital visit. Only 12 patients had </w:t>
            </w:r>
            <w:proofErr w:type="spellStart"/>
            <w:r w:rsidRPr="00884BE2">
              <w:rPr>
                <w:rFonts w:ascii="Calibri" w:eastAsia="Times New Roman" w:hAnsi="Calibri" w:cs="Times New Roman"/>
                <w:color w:val="000000"/>
                <w:sz w:val="20"/>
                <w:szCs w:val="20"/>
                <w:lang w:eastAsia="en-GB"/>
              </w:rPr>
              <w:t>fructosamine</w:t>
            </w:r>
            <w:proofErr w:type="spellEnd"/>
            <w:r w:rsidRPr="00884BE2">
              <w:rPr>
                <w:rFonts w:ascii="Calibri" w:eastAsia="Times New Roman" w:hAnsi="Calibri" w:cs="Times New Roman"/>
                <w:color w:val="000000"/>
                <w:sz w:val="20"/>
                <w:szCs w:val="20"/>
                <w:lang w:eastAsia="en-GB"/>
              </w:rPr>
              <w:t xml:space="preserve"> levels measured both before and immediately after Ramadan; in these patients, a reduction in </w:t>
            </w:r>
            <w:proofErr w:type="spellStart"/>
            <w:r w:rsidRPr="00884BE2">
              <w:rPr>
                <w:rFonts w:ascii="Calibri" w:eastAsia="Times New Roman" w:hAnsi="Calibri" w:cs="Times New Roman"/>
                <w:color w:val="000000"/>
                <w:sz w:val="20"/>
                <w:szCs w:val="20"/>
                <w:lang w:eastAsia="en-GB"/>
              </w:rPr>
              <w:t>fructosamine</w:t>
            </w:r>
            <w:proofErr w:type="spellEnd"/>
            <w:r w:rsidRPr="00884BE2">
              <w:rPr>
                <w:rFonts w:ascii="Calibri" w:eastAsia="Times New Roman" w:hAnsi="Calibri" w:cs="Times New Roman"/>
                <w:color w:val="000000"/>
                <w:sz w:val="20"/>
                <w:szCs w:val="20"/>
                <w:lang w:eastAsia="en-GB"/>
              </w:rPr>
              <w:t xml:space="preserve"> levels was reported (p = 0.007).</w:t>
            </w:r>
          </w:p>
        </w:tc>
      </w:tr>
      <w:tr w:rsidR="00951E4A" w:rsidRPr="00884BE2" w:rsidTr="006152F4">
        <w:trPr>
          <w:trHeight w:val="597"/>
        </w:trPr>
        <w:tc>
          <w:tcPr>
            <w:tcW w:w="1087" w:type="dxa"/>
            <w:tcBorders>
              <w:top w:val="nil"/>
              <w:left w:val="single" w:sz="8" w:space="0" w:color="auto"/>
              <w:bottom w:val="single" w:sz="8" w:space="0" w:color="auto"/>
              <w:right w:val="single" w:sz="8" w:space="0" w:color="auto"/>
            </w:tcBorders>
            <w:shd w:val="clear" w:color="auto" w:fill="auto"/>
            <w:vAlign w:val="center"/>
          </w:tcPr>
          <w:p w:rsidR="00951E4A" w:rsidRPr="00884BE2" w:rsidRDefault="00C63462"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Sari 2004 [34</w:t>
            </w:r>
            <w:r w:rsidR="00951E4A" w:rsidRPr="00884BE2">
              <w:rPr>
                <w:rFonts w:ascii="Calibri" w:eastAsia="Times New Roman" w:hAnsi="Calibri" w:cs="Times New Roman"/>
                <w:color w:val="000000"/>
                <w:sz w:val="20"/>
                <w:szCs w:val="20"/>
                <w:lang w:eastAsia="en-GB"/>
              </w:rPr>
              <w:t>]</w:t>
            </w:r>
          </w:p>
        </w:tc>
        <w:tc>
          <w:tcPr>
            <w:tcW w:w="1465"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Repaglinide</w:t>
            </w:r>
          </w:p>
        </w:tc>
        <w:tc>
          <w:tcPr>
            <w:tcW w:w="14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52</w:t>
            </w:r>
          </w:p>
        </w:tc>
        <w:tc>
          <w:tcPr>
            <w:tcW w:w="2512"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Turkey</w:t>
            </w:r>
          </w:p>
        </w:tc>
        <w:tc>
          <w:tcPr>
            <w:tcW w:w="5386" w:type="dxa"/>
            <w:tcBorders>
              <w:top w:val="nil"/>
              <w:left w:val="nil"/>
              <w:bottom w:val="single" w:sz="8"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xml:space="preserve">: Only one hypoglycaemic event was reported in a patient on </w:t>
            </w:r>
            <w:proofErr w:type="gramStart"/>
            <w:r w:rsidRPr="00884BE2">
              <w:rPr>
                <w:rFonts w:ascii="Calibri" w:eastAsia="Times New Roman" w:hAnsi="Calibri" w:cs="Times New Roman"/>
                <w:color w:val="000000"/>
                <w:sz w:val="20"/>
                <w:szCs w:val="20"/>
                <w:lang w:eastAsia="en-GB"/>
              </w:rPr>
              <w:t>glimepiride .</w:t>
            </w:r>
            <w:proofErr w:type="gramEnd"/>
            <w:r w:rsidRPr="00884BE2">
              <w:rPr>
                <w:rFonts w:ascii="Calibri" w:eastAsia="Times New Roman" w:hAnsi="Calibri" w:cs="Times New Roman"/>
                <w:color w:val="000000"/>
                <w:sz w:val="20"/>
                <w:szCs w:val="20"/>
                <w:lang w:eastAsia="en-GB"/>
              </w:rPr>
              <w:t xml:space="preserve"> </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ascii="Calibri" w:eastAsia="Times New Roman" w:hAnsi="Calibri" w:cs="Times New Roman"/>
                <w:color w:val="000000"/>
                <w:sz w:val="20"/>
                <w:szCs w:val="20"/>
                <w:lang w:eastAsia="en-GB"/>
              </w:rPr>
              <w:t xml:space="preserve"> There was no change in fasting plasma glucose, </w:t>
            </w:r>
            <w:proofErr w:type="spellStart"/>
            <w:r w:rsidRPr="00884BE2">
              <w:rPr>
                <w:rFonts w:ascii="Calibri" w:eastAsia="Times New Roman" w:hAnsi="Calibri" w:cs="Times New Roman"/>
                <w:color w:val="000000"/>
                <w:sz w:val="20"/>
                <w:szCs w:val="20"/>
                <w:lang w:eastAsia="en-GB"/>
              </w:rPr>
              <w:t>fructosamine</w:t>
            </w:r>
            <w:proofErr w:type="spellEnd"/>
            <w:r w:rsidRPr="00884BE2">
              <w:rPr>
                <w:rFonts w:ascii="Calibri" w:eastAsia="Times New Roman" w:hAnsi="Calibri" w:cs="Times New Roman"/>
                <w:color w:val="000000"/>
                <w:sz w:val="20"/>
                <w:szCs w:val="20"/>
                <w:lang w:eastAsia="en-GB"/>
              </w:rPr>
              <w:t>, HbA1c between the two groups.</w:t>
            </w:r>
          </w:p>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Weight:</w:t>
            </w:r>
            <w:r w:rsidRPr="00884BE2">
              <w:rPr>
                <w:rFonts w:ascii="Calibri" w:eastAsia="Times New Roman" w:hAnsi="Calibri" w:cs="Times New Roman"/>
                <w:color w:val="000000"/>
                <w:sz w:val="20"/>
                <w:szCs w:val="20"/>
                <w:lang w:eastAsia="en-GB"/>
              </w:rPr>
              <w:t xml:space="preserve"> There was no reported change in body weight between groups.</w:t>
            </w:r>
          </w:p>
        </w:tc>
      </w:tr>
      <w:tr w:rsidR="00951E4A" w:rsidRPr="00884BE2" w:rsidTr="00035B07">
        <w:trPr>
          <w:trHeight w:val="964"/>
        </w:trPr>
        <w:tc>
          <w:tcPr>
            <w:tcW w:w="1087" w:type="dxa"/>
            <w:tcBorders>
              <w:top w:val="nil"/>
              <w:left w:val="single" w:sz="8" w:space="0" w:color="auto"/>
              <w:bottom w:val="single" w:sz="4" w:space="0" w:color="auto"/>
              <w:right w:val="single" w:sz="8" w:space="0" w:color="auto"/>
            </w:tcBorders>
            <w:shd w:val="clear" w:color="auto" w:fill="auto"/>
            <w:vAlign w:val="center"/>
          </w:tcPr>
          <w:p w:rsidR="00951E4A" w:rsidRPr="00884BE2" w:rsidRDefault="008E4308"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GLIRA study group 2005 [</w:t>
            </w:r>
            <w:r w:rsidR="00C63462" w:rsidRPr="00884BE2">
              <w:rPr>
                <w:rFonts w:ascii="Calibri" w:eastAsia="Times New Roman" w:hAnsi="Calibri" w:cs="Times New Roman"/>
                <w:color w:val="000000"/>
                <w:sz w:val="20"/>
                <w:szCs w:val="20"/>
                <w:lang w:eastAsia="en-GB"/>
              </w:rPr>
              <w:t>36</w:t>
            </w:r>
            <w:r w:rsidR="00951E4A" w:rsidRPr="00884BE2">
              <w:rPr>
                <w:rFonts w:ascii="Calibri" w:eastAsia="Times New Roman" w:hAnsi="Calibri" w:cs="Times New Roman"/>
                <w:color w:val="000000"/>
                <w:sz w:val="20"/>
                <w:szCs w:val="20"/>
                <w:lang w:eastAsia="en-GB"/>
              </w:rPr>
              <w:t>]</w:t>
            </w:r>
          </w:p>
        </w:tc>
        <w:tc>
          <w:tcPr>
            <w:tcW w:w="1465"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Glimepiride</w:t>
            </w:r>
          </w:p>
        </w:tc>
        <w:tc>
          <w:tcPr>
            <w:tcW w:w="1486"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 </w:t>
            </w:r>
          </w:p>
        </w:tc>
        <w:tc>
          <w:tcPr>
            <w:tcW w:w="727"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332</w:t>
            </w:r>
          </w:p>
        </w:tc>
        <w:tc>
          <w:tcPr>
            <w:tcW w:w="2512"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Algeria, Egypt, Indonesia, Jordan, Lebanon, Malaysia</w:t>
            </w:r>
          </w:p>
        </w:tc>
        <w:tc>
          <w:tcPr>
            <w:tcW w:w="5386" w:type="dxa"/>
            <w:tcBorders>
              <w:top w:val="nil"/>
              <w:left w:val="nil"/>
              <w:bottom w:val="single" w:sz="4" w:space="0" w:color="auto"/>
              <w:right w:val="single" w:sz="8"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i/>
                <w:color w:val="000000"/>
                <w:sz w:val="20"/>
                <w:szCs w:val="20"/>
                <w:lang w:eastAsia="en-GB"/>
              </w:rPr>
              <w:t>Hypoglycaemia</w:t>
            </w:r>
            <w:r w:rsidRPr="00884BE2">
              <w:rPr>
                <w:rFonts w:ascii="Calibri" w:eastAsia="Times New Roman" w:hAnsi="Calibri" w:cs="Times New Roman"/>
                <w:color w:val="000000"/>
                <w:sz w:val="20"/>
                <w:szCs w:val="20"/>
                <w:lang w:eastAsia="en-GB"/>
              </w:rPr>
              <w:t>: The incidence of hypoglycaemia during Ramadan was similar to pre- and post-Ramadan periods: 3% in newly-diagnosed patients and 3.7% in previously-treated patients.</w:t>
            </w:r>
          </w:p>
        </w:tc>
      </w:tr>
      <w:tr w:rsidR="00951E4A" w:rsidRPr="00884BE2" w:rsidTr="00035B07">
        <w:trPr>
          <w:trHeight w:val="67"/>
        </w:trPr>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035B07">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Hui</w:t>
            </w:r>
            <w:r w:rsidR="008D6B50" w:rsidRPr="00884BE2">
              <w:rPr>
                <w:rFonts w:ascii="Calibri" w:eastAsia="Times New Roman" w:hAnsi="Calibri" w:cs="Times New Roman"/>
                <w:color w:val="000000"/>
                <w:sz w:val="20"/>
                <w:szCs w:val="20"/>
                <w:lang w:eastAsia="en-GB"/>
              </w:rPr>
              <w:t xml:space="preserve"> 2009 [4</w:t>
            </w:r>
            <w:r w:rsidR="00035B07" w:rsidRPr="00884BE2">
              <w:rPr>
                <w:rFonts w:ascii="Calibri" w:eastAsia="Times New Roman" w:hAnsi="Calibri" w:cs="Times New Roman"/>
                <w:color w:val="000000"/>
                <w:sz w:val="20"/>
                <w:szCs w:val="20"/>
                <w:lang w:eastAsia="en-GB"/>
              </w:rPr>
              <w:t>9</w:t>
            </w:r>
            <w:r w:rsidRPr="00884BE2">
              <w:rPr>
                <w:rFonts w:ascii="Calibri" w:eastAsia="Times New Roman" w:hAnsi="Calibri" w:cs="Times New Roman"/>
                <w:color w:val="000000"/>
                <w:sz w:val="20"/>
                <w:szCs w:val="20"/>
                <w:lang w:eastAsia="en-GB"/>
              </w:rPr>
              <w:t>]</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Humalog Mix 50</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5A416F">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Huma</w:t>
            </w:r>
            <w:r w:rsidR="005A416F" w:rsidRPr="00884BE2">
              <w:rPr>
                <w:rFonts w:ascii="Calibri" w:eastAsia="Times New Roman" w:hAnsi="Calibri" w:cs="Times New Roman"/>
                <w:color w:val="000000"/>
                <w:sz w:val="20"/>
                <w:szCs w:val="20"/>
                <w:lang w:eastAsia="en-GB"/>
              </w:rPr>
              <w:t>n</w:t>
            </w:r>
            <w:r w:rsidRPr="00884BE2">
              <w:rPr>
                <w:rFonts w:ascii="Calibri" w:eastAsia="Times New Roman" w:hAnsi="Calibri" w:cs="Times New Roman"/>
                <w:color w:val="000000"/>
                <w:sz w:val="20"/>
                <w:szCs w:val="20"/>
                <w:lang w:eastAsia="en-GB"/>
              </w:rPr>
              <w:t xml:space="preserve"> </w:t>
            </w:r>
            <w:proofErr w:type="spellStart"/>
            <w:r w:rsidRPr="00884BE2">
              <w:rPr>
                <w:rFonts w:ascii="Calibri" w:eastAsia="Times New Roman" w:hAnsi="Calibri" w:cs="Times New Roman"/>
                <w:color w:val="000000"/>
                <w:sz w:val="20"/>
                <w:szCs w:val="20"/>
                <w:lang w:eastAsia="en-GB"/>
              </w:rPr>
              <w:t>Mix</w:t>
            </w:r>
            <w:r w:rsidR="005A416F" w:rsidRPr="00884BE2">
              <w:rPr>
                <w:rFonts w:ascii="Calibri" w:eastAsia="Times New Roman" w:hAnsi="Calibri" w:cs="Times New Roman"/>
                <w:color w:val="000000"/>
                <w:sz w:val="20"/>
                <w:szCs w:val="20"/>
                <w:lang w:eastAsia="en-GB"/>
              </w:rPr>
              <w:t>tard</w:t>
            </w:r>
            <w:proofErr w:type="spellEnd"/>
            <w:r w:rsidRPr="00884BE2">
              <w:rPr>
                <w:rFonts w:ascii="Calibri" w:eastAsia="Times New Roman" w:hAnsi="Calibri" w:cs="Times New Roman"/>
                <w:color w:val="000000"/>
                <w:sz w:val="20"/>
                <w:szCs w:val="20"/>
                <w:lang w:eastAsia="en-GB"/>
              </w:rPr>
              <w:t xml:space="preserve"> 30</w:t>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OBS</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52</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United Kingdom</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951E4A" w:rsidRPr="00884BE2" w:rsidRDefault="00951E4A" w:rsidP="005A416F">
            <w:pPr>
              <w:spacing w:after="0" w:line="240" w:lineRule="auto"/>
              <w:jc w:val="both"/>
              <w:rPr>
                <w:rFonts w:ascii="Calibri" w:eastAsia="Times New Roman" w:hAnsi="Calibri" w:cs="Times New Roman"/>
                <w:i/>
                <w:color w:val="000000"/>
                <w:sz w:val="20"/>
                <w:szCs w:val="20"/>
                <w:lang w:eastAsia="en-GB"/>
              </w:rPr>
            </w:pPr>
            <w:r w:rsidRPr="00884BE2">
              <w:rPr>
                <w:rFonts w:ascii="Calibri" w:eastAsia="Times New Roman" w:hAnsi="Calibri" w:cs="Times New Roman"/>
                <w:i/>
                <w:color w:val="000000"/>
                <w:sz w:val="20"/>
                <w:szCs w:val="20"/>
                <w:lang w:eastAsia="en-GB"/>
              </w:rPr>
              <w:t>Glycaemic control:</w:t>
            </w:r>
            <w:r w:rsidRPr="00884BE2">
              <w:rPr>
                <w:rFonts w:eastAsia="Times New Roman" w:cs="Times New Roman"/>
                <w:color w:val="000000"/>
                <w:sz w:val="20"/>
                <w:szCs w:val="20"/>
                <w:lang w:eastAsia="en-GB"/>
              </w:rPr>
              <w:t xml:space="preserve"> Patients taking Humalog Mix 50 had a mean HbA1c reduction of 0.48% (p = 0.0001) pre- and post-Ramadan, compared to an increase of 0.28% in patients taking Huma</w:t>
            </w:r>
            <w:r w:rsidR="005A416F" w:rsidRPr="00884BE2">
              <w:rPr>
                <w:rFonts w:eastAsia="Times New Roman" w:cs="Times New Roman"/>
                <w:color w:val="000000"/>
                <w:sz w:val="20"/>
                <w:szCs w:val="20"/>
                <w:lang w:eastAsia="en-GB"/>
              </w:rPr>
              <w:t xml:space="preserve">n </w:t>
            </w:r>
            <w:proofErr w:type="spellStart"/>
            <w:r w:rsidRPr="00884BE2">
              <w:rPr>
                <w:rFonts w:eastAsia="Times New Roman" w:cs="Times New Roman"/>
                <w:color w:val="000000"/>
                <w:sz w:val="20"/>
                <w:szCs w:val="20"/>
                <w:lang w:eastAsia="en-GB"/>
              </w:rPr>
              <w:t>Mix</w:t>
            </w:r>
            <w:r w:rsidR="005A416F" w:rsidRPr="00884BE2">
              <w:rPr>
                <w:rFonts w:eastAsia="Times New Roman" w:cs="Times New Roman"/>
                <w:color w:val="000000"/>
                <w:sz w:val="20"/>
                <w:szCs w:val="20"/>
                <w:lang w:eastAsia="en-GB"/>
              </w:rPr>
              <w:t>tard</w:t>
            </w:r>
            <w:proofErr w:type="spellEnd"/>
            <w:r w:rsidRPr="00884BE2">
              <w:rPr>
                <w:rFonts w:eastAsia="Times New Roman" w:cs="Times New Roman"/>
                <w:color w:val="000000"/>
                <w:sz w:val="20"/>
                <w:szCs w:val="20"/>
                <w:lang w:eastAsia="en-GB"/>
              </w:rPr>
              <w:t xml:space="preserve"> 30 (p = 0.007).</w:t>
            </w:r>
          </w:p>
        </w:tc>
      </w:tr>
      <w:tr w:rsidR="00035B07" w:rsidRPr="00884BE2" w:rsidTr="00035B07">
        <w:trPr>
          <w:trHeight w:val="67"/>
        </w:trPr>
        <w:tc>
          <w:tcPr>
            <w:tcW w:w="1087"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035B07">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Azar S 2015 [46]</w:t>
            </w:r>
          </w:p>
        </w:tc>
        <w:tc>
          <w:tcPr>
            <w:tcW w:w="1465"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Liraglutide</w:t>
            </w:r>
          </w:p>
        </w:tc>
        <w:tc>
          <w:tcPr>
            <w:tcW w:w="1486"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5A416F">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Sulphonylurea</w:t>
            </w:r>
          </w:p>
        </w:tc>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T2DM</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RCT</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343</w:t>
            </w:r>
          </w:p>
        </w:tc>
        <w:tc>
          <w:tcPr>
            <w:tcW w:w="2512"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BE1B49" w:rsidP="00B4470C">
            <w:pPr>
              <w:spacing w:after="0" w:line="240" w:lineRule="auto"/>
              <w:jc w:val="both"/>
              <w:rPr>
                <w:rFonts w:ascii="Calibri" w:eastAsia="Times New Roman" w:hAnsi="Calibri" w:cs="Times New Roman"/>
                <w:color w:val="000000"/>
                <w:sz w:val="20"/>
                <w:szCs w:val="20"/>
                <w:lang w:eastAsia="en-GB"/>
              </w:rPr>
            </w:pPr>
            <w:r w:rsidRPr="00884BE2">
              <w:rPr>
                <w:rFonts w:ascii="Calibri" w:eastAsia="Times New Roman" w:hAnsi="Calibri" w:cs="Times New Roman"/>
                <w:color w:val="000000"/>
                <w:sz w:val="20"/>
                <w:szCs w:val="20"/>
                <w:lang w:eastAsia="en-GB"/>
              </w:rPr>
              <w:t>Lebanon</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rsidR="00035B07" w:rsidRPr="00884BE2" w:rsidRDefault="00035B07" w:rsidP="00035B07">
            <w:pPr>
              <w:spacing w:after="0" w:line="240" w:lineRule="auto"/>
              <w:jc w:val="both"/>
              <w:rPr>
                <w:rFonts w:ascii="Calibri" w:eastAsia="Times New Roman" w:hAnsi="Calibri" w:cs="Times New Roman"/>
                <w:i/>
                <w:color w:val="000000"/>
                <w:sz w:val="20"/>
                <w:szCs w:val="20"/>
                <w:lang w:eastAsia="en-GB"/>
              </w:rPr>
            </w:pPr>
            <w:r w:rsidRPr="00884BE2">
              <w:rPr>
                <w:rFonts w:ascii="Calibri" w:eastAsia="Times New Roman" w:hAnsi="Calibri" w:cs="Times New Roman"/>
                <w:i/>
                <w:color w:val="000000"/>
                <w:sz w:val="20"/>
                <w:szCs w:val="20"/>
                <w:lang w:eastAsia="en-GB"/>
              </w:rPr>
              <w:t xml:space="preserve">Glycaemic control: </w:t>
            </w:r>
            <w:r w:rsidRPr="00884BE2">
              <w:rPr>
                <w:rFonts w:ascii="Calibri" w:eastAsia="Times New Roman" w:hAnsi="Calibri" w:cs="Times New Roman"/>
                <w:color w:val="000000"/>
                <w:sz w:val="20"/>
                <w:szCs w:val="20"/>
                <w:lang w:eastAsia="en-GB"/>
              </w:rPr>
              <w:t>Significantly more patients treated with liraglutide achieved the composite end point of an Hb</w:t>
            </w:r>
            <w:r w:rsidR="003B2DA0" w:rsidRPr="00884BE2">
              <w:rPr>
                <w:rFonts w:ascii="Calibri" w:eastAsia="Times New Roman" w:hAnsi="Calibri" w:cs="Times New Roman"/>
                <w:color w:val="000000"/>
                <w:sz w:val="20"/>
                <w:szCs w:val="20"/>
                <w:lang w:eastAsia="en-GB"/>
              </w:rPr>
              <w:t>A1c target &lt;7%   and no confirm</w:t>
            </w:r>
            <w:r w:rsidRPr="00884BE2">
              <w:rPr>
                <w:rFonts w:ascii="Calibri" w:eastAsia="Times New Roman" w:hAnsi="Calibri" w:cs="Times New Roman"/>
                <w:color w:val="000000"/>
                <w:sz w:val="20"/>
                <w:szCs w:val="20"/>
                <w:lang w:eastAsia="en-GB"/>
              </w:rPr>
              <w:t xml:space="preserve">ed hypoglycaemic events </w:t>
            </w:r>
            <w:r w:rsidR="003B2DA0" w:rsidRPr="00884BE2">
              <w:rPr>
                <w:rFonts w:ascii="Calibri" w:eastAsia="Times New Roman" w:hAnsi="Calibri" w:cs="Times New Roman"/>
                <w:color w:val="000000"/>
                <w:sz w:val="20"/>
                <w:szCs w:val="20"/>
                <w:lang w:eastAsia="en-GB"/>
              </w:rPr>
              <w:t xml:space="preserve">compared to those taking a sulphonylurea (53.8% vs. 23.5%, p&lt;0.0001). </w:t>
            </w:r>
            <w:proofErr w:type="gramStart"/>
            <w:r w:rsidR="003B2DA0" w:rsidRPr="00884BE2">
              <w:rPr>
                <w:rFonts w:ascii="Calibri" w:eastAsia="Times New Roman" w:hAnsi="Calibri" w:cs="Times New Roman"/>
                <w:color w:val="000000"/>
                <w:sz w:val="20"/>
                <w:szCs w:val="20"/>
                <w:lang w:eastAsia="en-GB"/>
              </w:rPr>
              <w:t>overall</w:t>
            </w:r>
            <w:proofErr w:type="gramEnd"/>
            <w:r w:rsidR="003B2DA0" w:rsidRPr="00884BE2">
              <w:rPr>
                <w:rFonts w:ascii="Calibri" w:eastAsia="Times New Roman" w:hAnsi="Calibri" w:cs="Times New Roman"/>
                <w:color w:val="000000"/>
                <w:sz w:val="20"/>
                <w:szCs w:val="20"/>
                <w:lang w:eastAsia="en-GB"/>
              </w:rPr>
              <w:t xml:space="preserve"> low incidence of severe AEs observed in both groups (1.3% liraglutide and 0% </w:t>
            </w:r>
            <w:proofErr w:type="spellStart"/>
            <w:r w:rsidR="003B2DA0" w:rsidRPr="00884BE2">
              <w:rPr>
                <w:rFonts w:ascii="Calibri" w:eastAsia="Times New Roman" w:hAnsi="Calibri" w:cs="Times New Roman"/>
                <w:color w:val="000000"/>
                <w:sz w:val="20"/>
                <w:szCs w:val="20"/>
                <w:lang w:eastAsia="en-GB"/>
              </w:rPr>
              <w:t>sulphlyurea</w:t>
            </w:r>
            <w:proofErr w:type="spellEnd"/>
            <w:r w:rsidR="003B2DA0" w:rsidRPr="00884BE2">
              <w:rPr>
                <w:rFonts w:ascii="Calibri" w:eastAsia="Times New Roman" w:hAnsi="Calibri" w:cs="Times New Roman"/>
                <w:color w:val="000000"/>
                <w:sz w:val="20"/>
                <w:szCs w:val="20"/>
                <w:lang w:eastAsia="en-GB"/>
              </w:rPr>
              <w:t>).</w:t>
            </w:r>
            <w:r w:rsidR="003B2DA0" w:rsidRPr="00884BE2">
              <w:rPr>
                <w:rFonts w:ascii="Calibri" w:eastAsia="Times New Roman" w:hAnsi="Calibri" w:cs="Times New Roman"/>
                <w:i/>
                <w:color w:val="000000"/>
                <w:sz w:val="20"/>
                <w:szCs w:val="20"/>
                <w:lang w:eastAsia="en-GB"/>
              </w:rPr>
              <w:t xml:space="preserve"> </w:t>
            </w:r>
          </w:p>
        </w:tc>
      </w:tr>
    </w:tbl>
    <w:p w:rsidR="008E4A92" w:rsidRPr="00884BE2" w:rsidRDefault="008E4A92" w:rsidP="00B4470C">
      <w:pPr>
        <w:spacing w:line="360" w:lineRule="auto"/>
        <w:jc w:val="both"/>
        <w:rPr>
          <w:sz w:val="20"/>
        </w:rPr>
      </w:pPr>
    </w:p>
    <w:p w:rsidR="00385BB3" w:rsidRPr="00884BE2" w:rsidRDefault="00385BB3" w:rsidP="00B4470C">
      <w:pPr>
        <w:spacing w:line="360" w:lineRule="auto"/>
        <w:jc w:val="both"/>
        <w:rPr>
          <w:b/>
          <w:sz w:val="20"/>
        </w:rPr>
      </w:pPr>
    </w:p>
    <w:p w:rsidR="00D5610F" w:rsidRPr="00884BE2" w:rsidRDefault="00015C6A" w:rsidP="00B4470C">
      <w:pPr>
        <w:jc w:val="both"/>
        <w:rPr>
          <w:b/>
          <w:sz w:val="20"/>
        </w:rPr>
      </w:pPr>
      <w:bookmarkStart w:id="5" w:name="Table6"/>
      <w:proofErr w:type="gramStart"/>
      <w:r w:rsidRPr="00884BE2">
        <w:rPr>
          <w:b/>
          <w:sz w:val="20"/>
        </w:rPr>
        <w:t>Table 6.</w:t>
      </w:r>
      <w:proofErr w:type="gramEnd"/>
      <w:r w:rsidRPr="00884BE2">
        <w:rPr>
          <w:b/>
          <w:sz w:val="20"/>
        </w:rPr>
        <w:t xml:space="preserve"> </w:t>
      </w:r>
      <w:r w:rsidR="00D5610F" w:rsidRPr="00884BE2">
        <w:rPr>
          <w:b/>
          <w:sz w:val="20"/>
        </w:rPr>
        <w:t>Areas for further research and development in this field:</w:t>
      </w:r>
      <w:r w:rsidR="00D5610F" w:rsidRPr="00884BE2">
        <w:rPr>
          <w:rFonts w:ascii="Garamond" w:eastAsia="Times New Roman" w:hAnsi="Garamond" w:cs="Times New Roman"/>
          <w:color w:val="000000"/>
          <w:sz w:val="24"/>
          <w:szCs w:val="24"/>
          <w:lang w:eastAsia="en-GB"/>
        </w:rPr>
        <w:t xml:space="preserve"> </w:t>
      </w:r>
    </w:p>
    <w:tbl>
      <w:tblPr>
        <w:tblStyle w:val="TableGrid"/>
        <w:tblW w:w="0" w:type="auto"/>
        <w:tblLook w:val="04A0" w:firstRow="1" w:lastRow="0" w:firstColumn="1" w:lastColumn="0" w:noHBand="0" w:noVBand="1"/>
      </w:tblPr>
      <w:tblGrid>
        <w:gridCol w:w="8701"/>
      </w:tblGrid>
      <w:tr w:rsidR="0037785B" w:rsidRPr="00884BE2" w:rsidTr="0037785B">
        <w:trPr>
          <w:trHeight w:val="2187"/>
        </w:trPr>
        <w:tc>
          <w:tcPr>
            <w:tcW w:w="8701" w:type="dxa"/>
          </w:tcPr>
          <w:bookmarkEnd w:id="5"/>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Continuous Glucose Monitoring (CGM) based physiological studies in fasting patients</w:t>
            </w:r>
          </w:p>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Studies demonstrating the safety of SGLT-2 inhibitors</w:t>
            </w:r>
          </w:p>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Studies regarding the safety and tolerability with GLP-1 analogues</w:t>
            </w:r>
          </w:p>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Further observational data on complications of fasting</w:t>
            </w:r>
          </w:p>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Further research investigating the impact of patient education in Ramadan</w:t>
            </w:r>
          </w:p>
          <w:p w:rsidR="0037785B" w:rsidRPr="00884BE2" w:rsidRDefault="0037785B" w:rsidP="00B4470C">
            <w:pPr>
              <w:pStyle w:val="ListParagraph"/>
              <w:numPr>
                <w:ilvl w:val="0"/>
                <w:numId w:val="19"/>
              </w:numPr>
              <w:shd w:val="clear" w:color="auto" w:fill="FFFFFF"/>
              <w:spacing w:line="320" w:lineRule="atLeast"/>
              <w:jc w:val="both"/>
              <w:rPr>
                <w:rFonts w:eastAsia="Times New Roman" w:cs="Times New Roman"/>
                <w:color w:val="444444"/>
                <w:sz w:val="20"/>
                <w:szCs w:val="23"/>
                <w:lang w:eastAsia="en-GB"/>
              </w:rPr>
            </w:pPr>
            <w:r w:rsidRPr="00884BE2">
              <w:rPr>
                <w:rFonts w:eastAsia="Times New Roman" w:cs="Times New Roman"/>
                <w:color w:val="000000"/>
                <w:sz w:val="20"/>
                <w:szCs w:val="24"/>
                <w:lang w:eastAsia="en-GB"/>
              </w:rPr>
              <w:t>Patient satisfaction questionnaires.</w:t>
            </w:r>
          </w:p>
          <w:p w:rsidR="0037785B" w:rsidRPr="00884BE2" w:rsidRDefault="0037785B" w:rsidP="00B4470C">
            <w:pPr>
              <w:jc w:val="both"/>
              <w:rPr>
                <w:b/>
                <w:sz w:val="20"/>
              </w:rPr>
            </w:pPr>
          </w:p>
        </w:tc>
      </w:tr>
    </w:tbl>
    <w:p w:rsidR="005D58F1" w:rsidRPr="00884BE2" w:rsidRDefault="005D58F1" w:rsidP="00B4470C">
      <w:pPr>
        <w:jc w:val="both"/>
        <w:rPr>
          <w:b/>
          <w:sz w:val="20"/>
        </w:rPr>
      </w:pPr>
    </w:p>
    <w:p w:rsidR="00D5610F" w:rsidRPr="00884BE2" w:rsidRDefault="00D5610F" w:rsidP="00B4470C">
      <w:pPr>
        <w:jc w:val="both"/>
        <w:rPr>
          <w:b/>
          <w:sz w:val="20"/>
        </w:rPr>
      </w:pPr>
      <w:proofErr w:type="gramStart"/>
      <w:r w:rsidRPr="00884BE2">
        <w:rPr>
          <w:b/>
          <w:sz w:val="20"/>
        </w:rPr>
        <w:t>Table 7.</w:t>
      </w:r>
      <w:proofErr w:type="gramEnd"/>
      <w:r w:rsidRPr="00884BE2">
        <w:rPr>
          <w:b/>
          <w:sz w:val="20"/>
        </w:rPr>
        <w:t xml:space="preserve"> Further resources</w:t>
      </w:r>
    </w:p>
    <w:tbl>
      <w:tblPr>
        <w:tblStyle w:val="TableGrid"/>
        <w:tblW w:w="0" w:type="auto"/>
        <w:tblLook w:val="04A0" w:firstRow="1" w:lastRow="0" w:firstColumn="1" w:lastColumn="0" w:noHBand="0" w:noVBand="1"/>
      </w:tblPr>
      <w:tblGrid>
        <w:gridCol w:w="8848"/>
      </w:tblGrid>
      <w:tr w:rsidR="00D5610F" w:rsidRPr="00884BE2" w:rsidTr="008D44C1">
        <w:trPr>
          <w:trHeight w:val="3067"/>
        </w:trPr>
        <w:tc>
          <w:tcPr>
            <w:tcW w:w="8848" w:type="dxa"/>
          </w:tcPr>
          <w:p w:rsidR="008D44C1" w:rsidRPr="00884BE2" w:rsidRDefault="00392BF1" w:rsidP="00B4470C">
            <w:pPr>
              <w:pStyle w:val="ListParagraph"/>
              <w:numPr>
                <w:ilvl w:val="0"/>
                <w:numId w:val="21"/>
              </w:numPr>
              <w:shd w:val="clear" w:color="auto" w:fill="FFFFFF"/>
              <w:spacing w:line="320" w:lineRule="atLeast"/>
              <w:jc w:val="both"/>
              <w:rPr>
                <w:rFonts w:eastAsia="Times New Roman" w:cs="Times New Roman"/>
                <w:b/>
                <w:color w:val="444444"/>
                <w:sz w:val="20"/>
                <w:szCs w:val="20"/>
                <w:lang w:val="fr-FR" w:eastAsia="en-GB"/>
              </w:rPr>
            </w:pPr>
            <w:r w:rsidRPr="00884BE2">
              <w:rPr>
                <w:rFonts w:eastAsia="Times New Roman" w:cs="Times New Roman"/>
                <w:color w:val="000000"/>
                <w:sz w:val="20"/>
                <w:szCs w:val="20"/>
                <w:lang w:val="fr-FR" w:eastAsia="en-GB"/>
              </w:rPr>
              <w:t xml:space="preserve">Diabetes UK: </w:t>
            </w:r>
            <w:hyperlink r:id="rId10" w:history="1">
              <w:r w:rsidRPr="00884BE2">
                <w:rPr>
                  <w:rStyle w:val="Hyperlink"/>
                  <w:b/>
                  <w:color w:val="0000FF"/>
                  <w:sz w:val="20"/>
                  <w:szCs w:val="20"/>
                  <w:lang w:val="fr-FR"/>
                </w:rPr>
                <w:t>https://www.diabetes.org.uk/ramadan</w:t>
              </w:r>
            </w:hyperlink>
            <w:r w:rsidRPr="00884BE2">
              <w:rPr>
                <w:color w:val="0000FF"/>
                <w:sz w:val="20"/>
                <w:szCs w:val="20"/>
                <w:lang w:val="fr-FR"/>
              </w:rPr>
              <w:t xml:space="preserve">. </w:t>
            </w:r>
          </w:p>
          <w:p w:rsidR="00392BF1" w:rsidRPr="00884BE2" w:rsidRDefault="00392BF1" w:rsidP="00B4470C">
            <w:pPr>
              <w:pStyle w:val="ListParagraph"/>
              <w:shd w:val="clear" w:color="auto" w:fill="FFFFFF"/>
              <w:spacing w:line="320" w:lineRule="atLeast"/>
              <w:jc w:val="both"/>
              <w:rPr>
                <w:rFonts w:eastAsia="Times New Roman" w:cs="Times New Roman"/>
                <w:b/>
                <w:color w:val="444444"/>
                <w:sz w:val="20"/>
                <w:szCs w:val="20"/>
                <w:lang w:eastAsia="en-GB"/>
              </w:rPr>
            </w:pPr>
            <w:r w:rsidRPr="00884BE2">
              <w:rPr>
                <w:sz w:val="20"/>
                <w:szCs w:val="20"/>
              </w:rPr>
              <w:t xml:space="preserve">Factsheet available at </w:t>
            </w:r>
            <w:hyperlink r:id="rId11" w:history="1">
              <w:r w:rsidRPr="00884BE2">
                <w:rPr>
                  <w:rStyle w:val="Hyperlink"/>
                  <w:b/>
                  <w:sz w:val="20"/>
                  <w:szCs w:val="20"/>
                </w:rPr>
                <w:t>http://www.mcb.org.uk/wp-content/uploads/2014/07/Ramadan-and-Diabetes-MCB-DiabetesUK-leaflet.pdf</w:t>
              </w:r>
            </w:hyperlink>
            <w:r w:rsidRPr="00884BE2">
              <w:rPr>
                <w:b/>
                <w:sz w:val="20"/>
                <w:szCs w:val="20"/>
              </w:rPr>
              <w:t xml:space="preserve"> </w:t>
            </w:r>
          </w:p>
          <w:p w:rsidR="008D44C1" w:rsidRPr="00884BE2" w:rsidRDefault="00392BF1" w:rsidP="00B4470C">
            <w:pPr>
              <w:pStyle w:val="ListParagraph"/>
              <w:numPr>
                <w:ilvl w:val="0"/>
                <w:numId w:val="21"/>
              </w:numPr>
              <w:shd w:val="clear" w:color="auto" w:fill="FFFFFF"/>
              <w:spacing w:line="320" w:lineRule="atLeast"/>
              <w:jc w:val="both"/>
              <w:rPr>
                <w:rFonts w:eastAsia="Times New Roman" w:cs="Times New Roman"/>
                <w:b/>
                <w:color w:val="444444"/>
                <w:sz w:val="20"/>
                <w:szCs w:val="20"/>
                <w:lang w:eastAsia="en-GB"/>
              </w:rPr>
            </w:pPr>
            <w:r w:rsidRPr="00884BE2">
              <w:rPr>
                <w:rFonts w:eastAsia="Times New Roman" w:cs="Times New Roman"/>
                <w:color w:val="000000"/>
                <w:sz w:val="20"/>
                <w:szCs w:val="20"/>
                <w:lang w:eastAsia="en-GB"/>
              </w:rPr>
              <w:t>Muslim Council of Britain</w:t>
            </w:r>
            <w:r w:rsidR="008D44C1" w:rsidRPr="00884BE2">
              <w:rPr>
                <w:rFonts w:eastAsia="Times New Roman" w:cs="Times New Roman"/>
                <w:color w:val="000000"/>
                <w:sz w:val="20"/>
                <w:szCs w:val="20"/>
                <w:lang w:eastAsia="en-GB"/>
              </w:rPr>
              <w:t xml:space="preserve">: </w:t>
            </w:r>
            <w:r w:rsidRPr="00884BE2">
              <w:rPr>
                <w:rFonts w:eastAsia="Times New Roman" w:cs="Times New Roman"/>
                <w:color w:val="000000"/>
                <w:sz w:val="20"/>
                <w:szCs w:val="20"/>
                <w:lang w:eastAsia="en-GB"/>
              </w:rPr>
              <w:t> </w:t>
            </w:r>
            <w:hyperlink r:id="rId12" w:history="1">
              <w:r w:rsidRPr="00884BE2">
                <w:rPr>
                  <w:rStyle w:val="Hyperlink"/>
                  <w:b/>
                  <w:sz w:val="20"/>
                  <w:szCs w:val="20"/>
                </w:rPr>
                <w:t>http://www.mcb.org.uk/ramadan/ramadan-and-you/</w:t>
              </w:r>
            </w:hyperlink>
            <w:r w:rsidRPr="00884BE2">
              <w:rPr>
                <w:b/>
                <w:color w:val="0000FF"/>
                <w:sz w:val="20"/>
                <w:szCs w:val="20"/>
              </w:rPr>
              <w:t xml:space="preserve">. </w:t>
            </w:r>
          </w:p>
          <w:p w:rsidR="00392BF1" w:rsidRPr="00884BE2" w:rsidRDefault="00392BF1" w:rsidP="00B4470C">
            <w:pPr>
              <w:pStyle w:val="ListParagraph"/>
              <w:shd w:val="clear" w:color="auto" w:fill="FFFFFF"/>
              <w:spacing w:line="320" w:lineRule="atLeast"/>
              <w:jc w:val="both"/>
              <w:rPr>
                <w:rFonts w:eastAsia="Times New Roman" w:cs="Times New Roman"/>
                <w:b/>
                <w:color w:val="444444"/>
                <w:sz w:val="20"/>
                <w:szCs w:val="20"/>
                <w:lang w:eastAsia="en-GB"/>
              </w:rPr>
            </w:pPr>
            <w:r w:rsidRPr="00884BE2">
              <w:rPr>
                <w:sz w:val="20"/>
                <w:szCs w:val="20"/>
              </w:rPr>
              <w:t xml:space="preserve">Factsheet available at </w:t>
            </w:r>
            <w:hyperlink r:id="rId13" w:history="1">
              <w:r w:rsidRPr="00884BE2">
                <w:rPr>
                  <w:rStyle w:val="Hyperlink"/>
                  <w:b/>
                  <w:sz w:val="20"/>
                  <w:szCs w:val="20"/>
                </w:rPr>
                <w:t>http://www.mcb.org.uk/wp-content/uploads/2014/06/Ramadan-and-diabetes-A-guide-for-patients-2013.pdf</w:t>
              </w:r>
            </w:hyperlink>
            <w:r w:rsidRPr="00884BE2">
              <w:rPr>
                <w:b/>
                <w:sz w:val="20"/>
                <w:szCs w:val="20"/>
              </w:rPr>
              <w:t xml:space="preserve"> </w:t>
            </w:r>
          </w:p>
          <w:p w:rsidR="00392BF1" w:rsidRPr="00884BE2" w:rsidRDefault="00392BF1" w:rsidP="00B4470C">
            <w:pPr>
              <w:pStyle w:val="ListParagraph"/>
              <w:numPr>
                <w:ilvl w:val="0"/>
                <w:numId w:val="21"/>
              </w:numPr>
              <w:shd w:val="clear" w:color="auto" w:fill="FFFFFF"/>
              <w:spacing w:line="320" w:lineRule="atLeast"/>
              <w:jc w:val="both"/>
              <w:rPr>
                <w:rFonts w:eastAsia="Times New Roman" w:cs="Times New Roman"/>
                <w:color w:val="444444"/>
                <w:sz w:val="20"/>
                <w:szCs w:val="20"/>
                <w:lang w:eastAsia="en-GB"/>
              </w:rPr>
            </w:pPr>
            <w:proofErr w:type="spellStart"/>
            <w:r w:rsidRPr="00884BE2">
              <w:rPr>
                <w:rFonts w:eastAsia="Times New Roman" w:cs="Times New Roman"/>
                <w:color w:val="000000"/>
                <w:sz w:val="20"/>
                <w:szCs w:val="20"/>
                <w:lang w:eastAsia="en-GB"/>
              </w:rPr>
              <w:t>Apnee</w:t>
            </w:r>
            <w:proofErr w:type="spellEnd"/>
            <w:r w:rsidRPr="00884BE2">
              <w:rPr>
                <w:rFonts w:eastAsia="Times New Roman" w:cs="Times New Roman"/>
                <w:color w:val="000000"/>
                <w:sz w:val="20"/>
                <w:szCs w:val="20"/>
                <w:lang w:eastAsia="en-GB"/>
              </w:rPr>
              <w:t xml:space="preserve"> </w:t>
            </w:r>
            <w:proofErr w:type="spellStart"/>
            <w:r w:rsidRPr="00884BE2">
              <w:rPr>
                <w:rFonts w:eastAsia="Times New Roman" w:cs="Times New Roman"/>
                <w:color w:val="000000"/>
                <w:sz w:val="20"/>
                <w:szCs w:val="20"/>
                <w:lang w:eastAsia="en-GB"/>
              </w:rPr>
              <w:t>Sehat</w:t>
            </w:r>
            <w:proofErr w:type="spellEnd"/>
            <w:r w:rsidR="008D44C1" w:rsidRPr="00884BE2">
              <w:rPr>
                <w:rFonts w:eastAsia="Times New Roman" w:cs="Times New Roman"/>
                <w:color w:val="000000"/>
                <w:sz w:val="20"/>
                <w:szCs w:val="20"/>
                <w:lang w:eastAsia="en-GB"/>
              </w:rPr>
              <w:t>:</w:t>
            </w:r>
            <w:r w:rsidRPr="00884BE2">
              <w:rPr>
                <w:rFonts w:eastAsia="Times New Roman" w:cs="Times New Roman"/>
                <w:b/>
                <w:color w:val="0070C0"/>
                <w:sz w:val="20"/>
                <w:szCs w:val="20"/>
                <w:lang w:eastAsia="en-GB"/>
              </w:rPr>
              <w:t> </w:t>
            </w:r>
            <w:hyperlink r:id="rId14" w:tgtFrame="_blank" w:history="1">
              <w:r w:rsidRPr="00884BE2">
                <w:rPr>
                  <w:rFonts w:eastAsia="Times New Roman" w:cs="Times New Roman"/>
                  <w:b/>
                  <w:color w:val="0000FF"/>
                  <w:sz w:val="20"/>
                  <w:szCs w:val="20"/>
                  <w:u w:val="single"/>
                  <w:lang w:eastAsia="en-GB"/>
                </w:rPr>
                <w:t>www.apneesehat.com</w:t>
              </w:r>
            </w:hyperlink>
          </w:p>
          <w:p w:rsidR="00392BF1" w:rsidRPr="00884BE2" w:rsidRDefault="00392BF1" w:rsidP="00B4470C">
            <w:pPr>
              <w:pStyle w:val="ListParagraph"/>
              <w:numPr>
                <w:ilvl w:val="0"/>
                <w:numId w:val="21"/>
              </w:numPr>
              <w:shd w:val="clear" w:color="auto" w:fill="FFFFFF"/>
              <w:spacing w:line="320" w:lineRule="atLeast"/>
              <w:jc w:val="both"/>
              <w:rPr>
                <w:rFonts w:eastAsia="Times New Roman" w:cs="Times New Roman"/>
                <w:color w:val="444444"/>
                <w:sz w:val="20"/>
                <w:szCs w:val="20"/>
                <w:lang w:eastAsia="en-GB"/>
              </w:rPr>
            </w:pPr>
            <w:r w:rsidRPr="00884BE2">
              <w:rPr>
                <w:rFonts w:eastAsia="Times New Roman" w:cs="Times New Roman"/>
                <w:color w:val="000000"/>
                <w:sz w:val="20"/>
                <w:szCs w:val="20"/>
                <w:lang w:eastAsia="en-GB"/>
              </w:rPr>
              <w:t>DESMOND BME</w:t>
            </w:r>
            <w:r w:rsidR="008D44C1" w:rsidRPr="00884BE2">
              <w:rPr>
                <w:rFonts w:eastAsia="Times New Roman" w:cs="Times New Roman"/>
                <w:color w:val="000000"/>
                <w:sz w:val="20"/>
                <w:szCs w:val="20"/>
                <w:lang w:eastAsia="en-GB"/>
              </w:rPr>
              <w:t xml:space="preserve">: </w:t>
            </w:r>
            <w:hyperlink r:id="rId15" w:tgtFrame="_blank" w:history="1">
              <w:r w:rsidRPr="00884BE2">
                <w:rPr>
                  <w:rFonts w:eastAsia="Times New Roman" w:cs="Times New Roman"/>
                  <w:b/>
                  <w:color w:val="0000FF"/>
                  <w:sz w:val="20"/>
                  <w:szCs w:val="20"/>
                  <w:u w:val="single"/>
                  <w:lang w:eastAsia="en-GB"/>
                </w:rPr>
                <w:t>www.desmond-project.org.uk/bmefoundationnewlydiagnosed-279.html</w:t>
              </w:r>
            </w:hyperlink>
          </w:p>
          <w:p w:rsidR="00392BF1" w:rsidRPr="00884BE2" w:rsidRDefault="00392BF1" w:rsidP="00B4470C">
            <w:pPr>
              <w:pStyle w:val="ListParagraph"/>
              <w:numPr>
                <w:ilvl w:val="0"/>
                <w:numId w:val="21"/>
              </w:numPr>
              <w:shd w:val="clear" w:color="auto" w:fill="FFFFFF"/>
              <w:spacing w:line="320" w:lineRule="atLeast"/>
              <w:jc w:val="both"/>
              <w:rPr>
                <w:b/>
                <w:sz w:val="20"/>
                <w:szCs w:val="20"/>
              </w:rPr>
            </w:pPr>
            <w:r w:rsidRPr="00884BE2">
              <w:rPr>
                <w:rFonts w:eastAsia="Times New Roman" w:cs="Times New Roman"/>
                <w:color w:val="000000"/>
                <w:sz w:val="20"/>
                <w:szCs w:val="20"/>
                <w:lang w:eastAsia="en-GB"/>
              </w:rPr>
              <w:t>Facts About Fasting</w:t>
            </w:r>
            <w:r w:rsidR="008D44C1" w:rsidRPr="00884BE2">
              <w:rPr>
                <w:rFonts w:eastAsia="Times New Roman" w:cs="Times New Roman"/>
                <w:color w:val="000000"/>
                <w:sz w:val="20"/>
                <w:szCs w:val="20"/>
                <w:lang w:eastAsia="en-GB"/>
              </w:rPr>
              <w:t>:</w:t>
            </w:r>
            <w:r w:rsidRPr="00884BE2">
              <w:rPr>
                <w:rFonts w:eastAsia="Times New Roman" w:cs="Times New Roman"/>
                <w:color w:val="000000"/>
                <w:sz w:val="20"/>
                <w:szCs w:val="20"/>
                <w:lang w:eastAsia="en-GB"/>
              </w:rPr>
              <w:t> </w:t>
            </w:r>
            <w:hyperlink r:id="rId16" w:tgtFrame="_blank" w:history="1">
              <w:r w:rsidRPr="00884BE2">
                <w:rPr>
                  <w:rFonts w:eastAsia="Times New Roman" w:cs="Times New Roman"/>
                  <w:b/>
                  <w:color w:val="0000FF"/>
                  <w:sz w:val="20"/>
                  <w:szCs w:val="20"/>
                  <w:u w:val="single"/>
                  <w:lang w:eastAsia="en-GB"/>
                </w:rPr>
                <w:t>www.factsaboutfasting.com</w:t>
              </w:r>
            </w:hyperlink>
          </w:p>
          <w:p w:rsidR="00392BF1" w:rsidRPr="00884BE2" w:rsidRDefault="00392BF1" w:rsidP="00B4470C">
            <w:pPr>
              <w:pStyle w:val="ListParagraph"/>
              <w:numPr>
                <w:ilvl w:val="0"/>
                <w:numId w:val="21"/>
              </w:numPr>
              <w:shd w:val="clear" w:color="auto" w:fill="FFFFFF"/>
              <w:spacing w:line="320" w:lineRule="atLeast"/>
              <w:jc w:val="both"/>
              <w:rPr>
                <w:rFonts w:eastAsia="Times New Roman" w:cs="Times New Roman"/>
                <w:color w:val="444444"/>
                <w:sz w:val="20"/>
                <w:szCs w:val="20"/>
                <w:lang w:eastAsia="en-GB"/>
              </w:rPr>
            </w:pPr>
            <w:r w:rsidRPr="00884BE2">
              <w:rPr>
                <w:rFonts w:eastAsia="Times New Roman" w:cs="Times New Roman"/>
                <w:color w:val="000000"/>
                <w:sz w:val="20"/>
                <w:szCs w:val="20"/>
                <w:lang w:eastAsia="en-GB"/>
              </w:rPr>
              <w:t>South Asian Health Foundation</w:t>
            </w:r>
            <w:r w:rsidR="008D44C1" w:rsidRPr="00884BE2">
              <w:rPr>
                <w:rFonts w:eastAsia="Times New Roman" w:cs="Times New Roman"/>
                <w:color w:val="000000"/>
                <w:sz w:val="20"/>
                <w:szCs w:val="20"/>
                <w:lang w:eastAsia="en-GB"/>
              </w:rPr>
              <w:t>:</w:t>
            </w:r>
            <w:r w:rsidRPr="00884BE2">
              <w:rPr>
                <w:rFonts w:eastAsia="Times New Roman" w:cs="Times New Roman"/>
                <w:color w:val="000000"/>
                <w:sz w:val="20"/>
                <w:szCs w:val="20"/>
                <w:lang w:eastAsia="en-GB"/>
              </w:rPr>
              <w:t> </w:t>
            </w:r>
            <w:hyperlink r:id="rId17" w:tgtFrame="_blank" w:history="1">
              <w:r w:rsidRPr="00884BE2">
                <w:rPr>
                  <w:rFonts w:eastAsia="Times New Roman" w:cs="Times New Roman"/>
                  <w:b/>
                  <w:color w:val="0000FF"/>
                  <w:sz w:val="20"/>
                  <w:szCs w:val="20"/>
                  <w:u w:val="single"/>
                  <w:lang w:eastAsia="en-GB"/>
                </w:rPr>
                <w:t>www.sahf.org.uk</w:t>
              </w:r>
            </w:hyperlink>
          </w:p>
          <w:p w:rsidR="00392BF1" w:rsidRPr="00884BE2" w:rsidRDefault="00392BF1" w:rsidP="00B4470C">
            <w:pPr>
              <w:jc w:val="both"/>
              <w:rPr>
                <w:b/>
                <w:sz w:val="20"/>
              </w:rPr>
            </w:pPr>
          </w:p>
        </w:tc>
      </w:tr>
    </w:tbl>
    <w:p w:rsidR="00D5610F" w:rsidRPr="00884BE2" w:rsidRDefault="00D5610F" w:rsidP="00B4470C">
      <w:pPr>
        <w:jc w:val="both"/>
        <w:rPr>
          <w:b/>
          <w:sz w:val="20"/>
        </w:rPr>
      </w:pPr>
    </w:p>
    <w:p w:rsidR="005D58F1" w:rsidRPr="00884BE2" w:rsidRDefault="005D58F1" w:rsidP="00B4470C">
      <w:pPr>
        <w:jc w:val="both"/>
        <w:rPr>
          <w:b/>
          <w:sz w:val="20"/>
        </w:rPr>
      </w:pPr>
    </w:p>
    <w:p w:rsidR="0012513B" w:rsidRPr="00884BE2" w:rsidRDefault="0012513B" w:rsidP="00B4470C">
      <w:pPr>
        <w:jc w:val="both"/>
        <w:rPr>
          <w:rFonts w:cs="Verdana"/>
          <w:b/>
          <w:sz w:val="20"/>
          <w:szCs w:val="20"/>
          <w:lang w:eastAsia="en-GB"/>
        </w:rPr>
      </w:pPr>
    </w:p>
    <w:p w:rsidR="00781475" w:rsidRPr="00884BE2" w:rsidRDefault="00781475" w:rsidP="00B4470C">
      <w:pPr>
        <w:jc w:val="both"/>
        <w:rPr>
          <w:rFonts w:cs="Verdana"/>
          <w:b/>
          <w:sz w:val="20"/>
          <w:szCs w:val="20"/>
          <w:lang w:eastAsia="en-GB"/>
        </w:rPr>
        <w:sectPr w:rsidR="00781475" w:rsidRPr="00884BE2" w:rsidSect="003112BE">
          <w:pgSz w:w="16838" w:h="11906" w:orient="landscape"/>
          <w:pgMar w:top="1134" w:right="1134" w:bottom="1134" w:left="1134" w:header="708" w:footer="708" w:gutter="0"/>
          <w:cols w:space="720"/>
          <w:docGrid w:linePitch="299"/>
        </w:sectPr>
      </w:pPr>
    </w:p>
    <w:p w:rsidR="00BD455C" w:rsidRPr="00884BE2" w:rsidRDefault="00BD455C" w:rsidP="00B4470C">
      <w:pPr>
        <w:jc w:val="both"/>
        <w:rPr>
          <w:rFonts w:cs="Verdana"/>
          <w:lang w:eastAsia="en-GB"/>
        </w:rPr>
      </w:pPr>
      <w:r w:rsidRPr="00884BE2">
        <w:rPr>
          <w:rFonts w:cs="Verdana"/>
          <w:lang w:eastAsia="en-GB"/>
        </w:rPr>
        <w:lastRenderedPageBreak/>
        <w:t>References</w:t>
      </w:r>
    </w:p>
    <w:p w:rsidR="00875638" w:rsidRPr="00884BE2" w:rsidRDefault="00875638" w:rsidP="00B4470C">
      <w:pPr>
        <w:pStyle w:val="FootnoteText"/>
        <w:numPr>
          <w:ilvl w:val="0"/>
          <w:numId w:val="9"/>
        </w:numPr>
        <w:jc w:val="both"/>
        <w:rPr>
          <w:sz w:val="22"/>
          <w:szCs w:val="22"/>
        </w:rPr>
      </w:pPr>
      <w:bookmarkStart w:id="6" w:name="Reference2"/>
      <w:r w:rsidRPr="00884BE2">
        <w:rPr>
          <w:sz w:val="22"/>
          <w:szCs w:val="22"/>
        </w:rPr>
        <w:t xml:space="preserve">Pew Research </w:t>
      </w:r>
      <w:proofErr w:type="spellStart"/>
      <w:r w:rsidRPr="00884BE2">
        <w:rPr>
          <w:sz w:val="22"/>
          <w:szCs w:val="22"/>
        </w:rPr>
        <w:t>Center’s</w:t>
      </w:r>
      <w:proofErr w:type="spellEnd"/>
      <w:r w:rsidRPr="00884BE2">
        <w:rPr>
          <w:sz w:val="22"/>
          <w:szCs w:val="22"/>
        </w:rPr>
        <w:t xml:space="preserve"> Forum on Religion &amp; Public Life. </w:t>
      </w:r>
      <w:hyperlink r:id="rId18" w:history="1">
        <w:r w:rsidRPr="00884BE2">
          <w:rPr>
            <w:rStyle w:val="Hyperlink"/>
            <w:sz w:val="22"/>
            <w:szCs w:val="22"/>
          </w:rPr>
          <w:t>http://www.pewforum.org/2012/12/18/global-religious-landscape-exec/</w:t>
        </w:r>
      </w:hyperlink>
      <w:r w:rsidR="00493BF6" w:rsidRPr="00884BE2">
        <w:rPr>
          <w:rStyle w:val="Hyperlink"/>
          <w:sz w:val="22"/>
          <w:szCs w:val="22"/>
        </w:rPr>
        <w:t xml:space="preserve"> </w:t>
      </w:r>
      <w:r w:rsidR="00493BF6" w:rsidRPr="00884BE2">
        <w:rPr>
          <w:sz w:val="22"/>
          <w:szCs w:val="22"/>
        </w:rPr>
        <w:t>[accessed 24 February 2014]</w:t>
      </w:r>
      <w:r w:rsidR="003A4A1C" w:rsidRPr="00884BE2">
        <w:rPr>
          <w:sz w:val="22"/>
          <w:szCs w:val="22"/>
        </w:rPr>
        <w:t>.</w:t>
      </w:r>
    </w:p>
    <w:p w:rsidR="00875638" w:rsidRPr="00884BE2" w:rsidRDefault="00875638" w:rsidP="00B4470C">
      <w:pPr>
        <w:pStyle w:val="FootnoteText"/>
        <w:numPr>
          <w:ilvl w:val="0"/>
          <w:numId w:val="9"/>
        </w:numPr>
        <w:jc w:val="both"/>
        <w:rPr>
          <w:sz w:val="22"/>
          <w:szCs w:val="22"/>
        </w:rPr>
      </w:pPr>
      <w:bookmarkStart w:id="7" w:name="Reference3"/>
      <w:bookmarkEnd w:id="6"/>
      <w:r w:rsidRPr="00884BE2">
        <w:rPr>
          <w:sz w:val="22"/>
          <w:szCs w:val="22"/>
        </w:rPr>
        <w:t xml:space="preserve">International Diabetes Federation. IDF Diabetes Atlas, 6th </w:t>
      </w:r>
      <w:proofErr w:type="spellStart"/>
      <w:r w:rsidRPr="00884BE2">
        <w:rPr>
          <w:sz w:val="22"/>
          <w:szCs w:val="22"/>
        </w:rPr>
        <w:t>edn</w:t>
      </w:r>
      <w:proofErr w:type="spellEnd"/>
      <w:r w:rsidRPr="00884BE2">
        <w:rPr>
          <w:sz w:val="22"/>
          <w:szCs w:val="22"/>
        </w:rPr>
        <w:t>. 2013. www.idf.org/diabetesatlas [accessed 24 February 2014]</w:t>
      </w:r>
      <w:r w:rsidR="003A4A1C" w:rsidRPr="00884BE2">
        <w:rPr>
          <w:sz w:val="22"/>
          <w:szCs w:val="22"/>
        </w:rPr>
        <w:t>.</w:t>
      </w:r>
    </w:p>
    <w:p w:rsidR="009C4AF9" w:rsidRPr="00884BE2" w:rsidRDefault="009C4AF9" w:rsidP="00B4470C">
      <w:pPr>
        <w:pStyle w:val="FootnoteText"/>
        <w:numPr>
          <w:ilvl w:val="0"/>
          <w:numId w:val="9"/>
        </w:numPr>
        <w:jc w:val="both"/>
        <w:rPr>
          <w:sz w:val="22"/>
          <w:szCs w:val="22"/>
        </w:rPr>
      </w:pPr>
      <w:proofErr w:type="spellStart"/>
      <w:r w:rsidRPr="00884BE2">
        <w:rPr>
          <w:sz w:val="22"/>
          <w:szCs w:val="22"/>
          <w:lang w:val="fr-FR"/>
        </w:rPr>
        <w:t>Hol</w:t>
      </w:r>
      <w:r w:rsidR="008E3AA1" w:rsidRPr="00884BE2">
        <w:rPr>
          <w:sz w:val="22"/>
          <w:szCs w:val="22"/>
          <w:lang w:val="fr-FR"/>
        </w:rPr>
        <w:t>man</w:t>
      </w:r>
      <w:proofErr w:type="spellEnd"/>
      <w:r w:rsidR="008E3AA1" w:rsidRPr="00884BE2">
        <w:rPr>
          <w:sz w:val="22"/>
          <w:szCs w:val="22"/>
          <w:lang w:val="fr-FR"/>
        </w:rPr>
        <w:t xml:space="preserve"> N, </w:t>
      </w:r>
      <w:proofErr w:type="spellStart"/>
      <w:r w:rsidR="008E3AA1" w:rsidRPr="00884BE2">
        <w:rPr>
          <w:sz w:val="22"/>
          <w:szCs w:val="22"/>
          <w:lang w:val="fr-FR"/>
        </w:rPr>
        <w:t>Forouhi</w:t>
      </w:r>
      <w:proofErr w:type="spellEnd"/>
      <w:r w:rsidR="008E3AA1" w:rsidRPr="00884BE2">
        <w:rPr>
          <w:sz w:val="22"/>
          <w:szCs w:val="22"/>
          <w:lang w:val="fr-FR"/>
        </w:rPr>
        <w:t xml:space="preserve"> N</w:t>
      </w:r>
      <w:r w:rsidR="00B719E8" w:rsidRPr="00884BE2">
        <w:rPr>
          <w:sz w:val="22"/>
          <w:szCs w:val="22"/>
          <w:lang w:val="fr-FR"/>
        </w:rPr>
        <w:t xml:space="preserve">, </w:t>
      </w:r>
      <w:proofErr w:type="spellStart"/>
      <w:r w:rsidR="00B719E8" w:rsidRPr="00884BE2">
        <w:rPr>
          <w:sz w:val="22"/>
          <w:szCs w:val="22"/>
          <w:lang w:val="fr-FR"/>
        </w:rPr>
        <w:t>Goyder</w:t>
      </w:r>
      <w:proofErr w:type="spellEnd"/>
      <w:r w:rsidR="00B719E8" w:rsidRPr="00884BE2">
        <w:rPr>
          <w:sz w:val="22"/>
          <w:szCs w:val="22"/>
          <w:lang w:val="fr-FR"/>
        </w:rPr>
        <w:t xml:space="preserve"> E</w:t>
      </w:r>
      <w:r w:rsidRPr="00884BE2">
        <w:rPr>
          <w:sz w:val="22"/>
          <w:szCs w:val="22"/>
          <w:lang w:val="fr-FR"/>
        </w:rPr>
        <w:t xml:space="preserve"> et al</w:t>
      </w:r>
      <w:r w:rsidR="00B719E8" w:rsidRPr="00884BE2">
        <w:rPr>
          <w:sz w:val="22"/>
          <w:szCs w:val="22"/>
          <w:lang w:val="fr-FR"/>
        </w:rPr>
        <w:t xml:space="preserve">. </w:t>
      </w:r>
      <w:r w:rsidR="00B719E8" w:rsidRPr="00884BE2">
        <w:rPr>
          <w:sz w:val="22"/>
          <w:szCs w:val="22"/>
        </w:rPr>
        <w:t xml:space="preserve">The Association of Public </w:t>
      </w:r>
      <w:r w:rsidR="003A4A1C" w:rsidRPr="00884BE2">
        <w:rPr>
          <w:sz w:val="22"/>
          <w:szCs w:val="22"/>
        </w:rPr>
        <w:t>Health Observatories (APHO) Diabetes Preval</w:t>
      </w:r>
      <w:r w:rsidR="00493BBB" w:rsidRPr="00884BE2">
        <w:rPr>
          <w:sz w:val="22"/>
          <w:szCs w:val="22"/>
        </w:rPr>
        <w:t>e</w:t>
      </w:r>
      <w:r w:rsidR="003A4A1C" w:rsidRPr="00884BE2">
        <w:rPr>
          <w:sz w:val="22"/>
          <w:szCs w:val="22"/>
        </w:rPr>
        <w:t xml:space="preserve">nce Model: estimates of total diabetes prevalence for England 2010-2030. </w:t>
      </w:r>
      <w:proofErr w:type="spellStart"/>
      <w:r w:rsidRPr="00884BE2">
        <w:rPr>
          <w:sz w:val="22"/>
          <w:szCs w:val="22"/>
        </w:rPr>
        <w:t>Diabet</w:t>
      </w:r>
      <w:proofErr w:type="spellEnd"/>
      <w:r w:rsidRPr="00884BE2">
        <w:rPr>
          <w:sz w:val="22"/>
          <w:szCs w:val="22"/>
        </w:rPr>
        <w:t xml:space="preserve"> Med</w:t>
      </w:r>
      <w:r w:rsidR="003A4A1C" w:rsidRPr="00884BE2">
        <w:rPr>
          <w:sz w:val="22"/>
          <w:szCs w:val="22"/>
        </w:rPr>
        <w:t xml:space="preserve"> 2011</w:t>
      </w:r>
      <w:proofErr w:type="gramStart"/>
      <w:r w:rsidR="003A4A1C" w:rsidRPr="00884BE2">
        <w:rPr>
          <w:sz w:val="22"/>
          <w:szCs w:val="22"/>
        </w:rPr>
        <w:t>;28:575</w:t>
      </w:r>
      <w:proofErr w:type="gramEnd"/>
      <w:r w:rsidR="003A4A1C" w:rsidRPr="00884BE2">
        <w:rPr>
          <w:sz w:val="22"/>
          <w:szCs w:val="22"/>
        </w:rPr>
        <w:t>-82.</w:t>
      </w:r>
    </w:p>
    <w:p w:rsidR="00875638" w:rsidRPr="00884BE2" w:rsidRDefault="003A4A1C" w:rsidP="00B4470C">
      <w:pPr>
        <w:pStyle w:val="FootnoteText"/>
        <w:numPr>
          <w:ilvl w:val="0"/>
          <w:numId w:val="9"/>
        </w:numPr>
        <w:jc w:val="both"/>
        <w:rPr>
          <w:sz w:val="22"/>
          <w:szCs w:val="22"/>
        </w:rPr>
      </w:pPr>
      <w:bookmarkStart w:id="8" w:name="Reference4"/>
      <w:bookmarkEnd w:id="7"/>
      <w:r w:rsidRPr="00884BE2">
        <w:rPr>
          <w:sz w:val="22"/>
          <w:szCs w:val="22"/>
        </w:rPr>
        <w:t xml:space="preserve">Rogers S. Muslim populations by country: how big will each Muslim population be by </w:t>
      </w:r>
      <w:proofErr w:type="gramStart"/>
      <w:r w:rsidRPr="00884BE2">
        <w:rPr>
          <w:sz w:val="22"/>
          <w:szCs w:val="22"/>
        </w:rPr>
        <w:t>2030.</w:t>
      </w:r>
      <w:proofErr w:type="gramEnd"/>
      <w:r w:rsidRPr="00884BE2">
        <w:rPr>
          <w:sz w:val="22"/>
          <w:szCs w:val="22"/>
        </w:rPr>
        <w:t xml:space="preserve"> The Guardian 2011.</w:t>
      </w:r>
      <w:r w:rsidR="00875638" w:rsidRPr="00884BE2">
        <w:rPr>
          <w:sz w:val="22"/>
          <w:szCs w:val="22"/>
        </w:rPr>
        <w:t xml:space="preserve"> </w:t>
      </w:r>
      <w:hyperlink r:id="rId19" w:history="1">
        <w:r w:rsidR="00875638" w:rsidRPr="00884BE2">
          <w:rPr>
            <w:rStyle w:val="Hyperlink"/>
            <w:sz w:val="22"/>
            <w:szCs w:val="22"/>
          </w:rPr>
          <w:t>www.guardian.co.uk/news/datablog/2011/jan/28/muslim-population-country-projection-2030</w:t>
        </w:r>
      </w:hyperlink>
      <w:r w:rsidR="00493BF6" w:rsidRPr="00884BE2">
        <w:rPr>
          <w:rStyle w:val="Hyperlink"/>
          <w:sz w:val="22"/>
          <w:szCs w:val="22"/>
        </w:rPr>
        <w:t xml:space="preserve"> </w:t>
      </w:r>
      <w:r w:rsidR="00493BF6" w:rsidRPr="00884BE2">
        <w:rPr>
          <w:sz w:val="22"/>
          <w:szCs w:val="22"/>
        </w:rPr>
        <w:t>[accessed 24 February 2014]</w:t>
      </w:r>
      <w:r w:rsidRPr="00884BE2">
        <w:rPr>
          <w:sz w:val="22"/>
          <w:szCs w:val="22"/>
        </w:rPr>
        <w:t>.</w:t>
      </w:r>
    </w:p>
    <w:p w:rsidR="00875638" w:rsidRPr="00884BE2" w:rsidRDefault="0035743F" w:rsidP="00B4470C">
      <w:pPr>
        <w:pStyle w:val="FootnoteText"/>
        <w:numPr>
          <w:ilvl w:val="0"/>
          <w:numId w:val="9"/>
        </w:numPr>
        <w:jc w:val="both"/>
        <w:rPr>
          <w:sz w:val="22"/>
          <w:szCs w:val="22"/>
        </w:rPr>
      </w:pPr>
      <w:bookmarkStart w:id="9" w:name="Reference5"/>
      <w:bookmarkEnd w:id="8"/>
      <w:r w:rsidRPr="00884BE2">
        <w:rPr>
          <w:sz w:val="22"/>
          <w:szCs w:val="22"/>
        </w:rPr>
        <w:t xml:space="preserve">The Holy </w:t>
      </w:r>
      <w:r w:rsidR="00875638" w:rsidRPr="00884BE2">
        <w:rPr>
          <w:sz w:val="22"/>
          <w:szCs w:val="22"/>
        </w:rPr>
        <w:t xml:space="preserve">Qur'an. </w:t>
      </w:r>
      <w:proofErr w:type="spellStart"/>
      <w:r w:rsidRPr="00884BE2">
        <w:rPr>
          <w:sz w:val="22"/>
          <w:szCs w:val="22"/>
        </w:rPr>
        <w:t>Sura</w:t>
      </w:r>
      <w:proofErr w:type="spellEnd"/>
      <w:r w:rsidRPr="00884BE2">
        <w:rPr>
          <w:sz w:val="22"/>
          <w:szCs w:val="22"/>
        </w:rPr>
        <w:t xml:space="preserve"> </w:t>
      </w:r>
      <w:r w:rsidR="00875638" w:rsidRPr="00884BE2">
        <w:rPr>
          <w:sz w:val="22"/>
          <w:szCs w:val="22"/>
        </w:rPr>
        <w:t>2:</w:t>
      </w:r>
      <w:r w:rsidRPr="00884BE2">
        <w:rPr>
          <w:sz w:val="22"/>
          <w:szCs w:val="22"/>
        </w:rPr>
        <w:t xml:space="preserve"> Verses </w:t>
      </w:r>
      <w:r w:rsidR="00875638" w:rsidRPr="00884BE2">
        <w:rPr>
          <w:sz w:val="22"/>
          <w:szCs w:val="22"/>
        </w:rPr>
        <w:t>183-5</w:t>
      </w:r>
      <w:r w:rsidRPr="00884BE2">
        <w:rPr>
          <w:sz w:val="22"/>
          <w:szCs w:val="22"/>
        </w:rPr>
        <w:t>.</w:t>
      </w:r>
    </w:p>
    <w:bookmarkEnd w:id="9"/>
    <w:p w:rsidR="00B12901" w:rsidRPr="00884BE2" w:rsidRDefault="00875638" w:rsidP="00B4470C">
      <w:pPr>
        <w:pStyle w:val="FootnoteText"/>
        <w:numPr>
          <w:ilvl w:val="0"/>
          <w:numId w:val="9"/>
        </w:numPr>
        <w:jc w:val="both"/>
        <w:rPr>
          <w:sz w:val="22"/>
          <w:szCs w:val="22"/>
        </w:rPr>
      </w:pPr>
      <w:proofErr w:type="spellStart"/>
      <w:r w:rsidRPr="00884BE2">
        <w:rPr>
          <w:sz w:val="22"/>
          <w:szCs w:val="22"/>
        </w:rPr>
        <w:t>Salti</w:t>
      </w:r>
      <w:proofErr w:type="spellEnd"/>
      <w:r w:rsidRPr="00884BE2">
        <w:rPr>
          <w:sz w:val="22"/>
          <w:szCs w:val="22"/>
        </w:rPr>
        <w:t xml:space="preserve"> I, </w:t>
      </w:r>
      <w:proofErr w:type="spellStart"/>
      <w:r w:rsidRPr="00884BE2">
        <w:rPr>
          <w:sz w:val="22"/>
          <w:szCs w:val="22"/>
        </w:rPr>
        <w:t>Be'nard</w:t>
      </w:r>
      <w:proofErr w:type="spellEnd"/>
      <w:r w:rsidRPr="00884BE2">
        <w:rPr>
          <w:sz w:val="22"/>
          <w:szCs w:val="22"/>
        </w:rPr>
        <w:t xml:space="preserve"> E, </w:t>
      </w:r>
      <w:proofErr w:type="spellStart"/>
      <w:r w:rsidRPr="00884BE2">
        <w:rPr>
          <w:sz w:val="22"/>
          <w:szCs w:val="22"/>
        </w:rPr>
        <w:t>Detournay</w:t>
      </w:r>
      <w:proofErr w:type="spellEnd"/>
      <w:r w:rsidRPr="00884BE2">
        <w:rPr>
          <w:sz w:val="22"/>
          <w:szCs w:val="22"/>
        </w:rPr>
        <w:t xml:space="preserve"> B</w:t>
      </w:r>
      <w:r w:rsidR="003A4A1C" w:rsidRPr="00884BE2">
        <w:rPr>
          <w:sz w:val="22"/>
          <w:szCs w:val="22"/>
        </w:rPr>
        <w:t xml:space="preserve"> et </w:t>
      </w:r>
      <w:r w:rsidRPr="00884BE2">
        <w:rPr>
          <w:sz w:val="22"/>
          <w:szCs w:val="22"/>
        </w:rPr>
        <w:t>al. Results of the Epidemiology of Diabetes and Ramadan 1422/2001 (EPIDIAR) study. Diabetes Care</w:t>
      </w:r>
      <w:r w:rsidR="003A4A1C" w:rsidRPr="00884BE2">
        <w:rPr>
          <w:sz w:val="22"/>
          <w:szCs w:val="22"/>
        </w:rPr>
        <w:t xml:space="preserve"> 2004</w:t>
      </w:r>
      <w:proofErr w:type="gramStart"/>
      <w:r w:rsidR="003A4A1C" w:rsidRPr="00884BE2">
        <w:rPr>
          <w:sz w:val="22"/>
          <w:szCs w:val="22"/>
        </w:rPr>
        <w:t>;</w:t>
      </w:r>
      <w:r w:rsidRPr="00884BE2">
        <w:rPr>
          <w:sz w:val="22"/>
          <w:szCs w:val="22"/>
        </w:rPr>
        <w:t>27</w:t>
      </w:r>
      <w:r w:rsidR="003A4A1C" w:rsidRPr="00884BE2">
        <w:rPr>
          <w:sz w:val="22"/>
          <w:szCs w:val="22"/>
        </w:rPr>
        <w:t>:</w:t>
      </w:r>
      <w:r w:rsidRPr="00884BE2">
        <w:rPr>
          <w:sz w:val="22"/>
          <w:szCs w:val="22"/>
        </w:rPr>
        <w:t>2306</w:t>
      </w:r>
      <w:proofErr w:type="gramEnd"/>
      <w:r w:rsidRPr="00884BE2">
        <w:rPr>
          <w:sz w:val="22"/>
          <w:szCs w:val="22"/>
        </w:rPr>
        <w:t>-11.</w:t>
      </w:r>
    </w:p>
    <w:p w:rsidR="00875638" w:rsidRPr="00884BE2" w:rsidRDefault="00875638" w:rsidP="00B4470C">
      <w:pPr>
        <w:pStyle w:val="FootnoteText"/>
        <w:numPr>
          <w:ilvl w:val="0"/>
          <w:numId w:val="9"/>
        </w:numPr>
        <w:jc w:val="both"/>
        <w:rPr>
          <w:sz w:val="22"/>
          <w:szCs w:val="22"/>
        </w:rPr>
      </w:pPr>
      <w:r w:rsidRPr="00884BE2">
        <w:rPr>
          <w:sz w:val="22"/>
          <w:szCs w:val="22"/>
        </w:rPr>
        <w:t>Al-</w:t>
      </w:r>
      <w:proofErr w:type="spellStart"/>
      <w:r w:rsidRPr="00884BE2">
        <w:rPr>
          <w:sz w:val="22"/>
          <w:szCs w:val="22"/>
        </w:rPr>
        <w:t>Arouj</w:t>
      </w:r>
      <w:proofErr w:type="spellEnd"/>
      <w:r w:rsidRPr="00884BE2">
        <w:rPr>
          <w:sz w:val="22"/>
          <w:szCs w:val="22"/>
        </w:rPr>
        <w:t xml:space="preserve"> M, </w:t>
      </w:r>
      <w:proofErr w:type="spellStart"/>
      <w:r w:rsidRPr="00884BE2">
        <w:rPr>
          <w:sz w:val="22"/>
          <w:szCs w:val="22"/>
        </w:rPr>
        <w:t>Assaad</w:t>
      </w:r>
      <w:proofErr w:type="spellEnd"/>
      <w:r w:rsidRPr="00884BE2">
        <w:rPr>
          <w:sz w:val="22"/>
          <w:szCs w:val="22"/>
        </w:rPr>
        <w:t xml:space="preserve">-Khalil S, </w:t>
      </w:r>
      <w:proofErr w:type="spellStart"/>
      <w:proofErr w:type="gramStart"/>
      <w:r w:rsidRPr="00884BE2">
        <w:rPr>
          <w:sz w:val="22"/>
          <w:szCs w:val="22"/>
        </w:rPr>
        <w:t>Buse</w:t>
      </w:r>
      <w:proofErr w:type="spellEnd"/>
      <w:proofErr w:type="gramEnd"/>
      <w:r w:rsidRPr="00884BE2">
        <w:rPr>
          <w:sz w:val="22"/>
          <w:szCs w:val="22"/>
        </w:rPr>
        <w:t xml:space="preserve"> J</w:t>
      </w:r>
      <w:r w:rsidR="003A4A1C" w:rsidRPr="00884BE2">
        <w:rPr>
          <w:sz w:val="22"/>
          <w:szCs w:val="22"/>
        </w:rPr>
        <w:t xml:space="preserve"> et al</w:t>
      </w:r>
      <w:r w:rsidRPr="00884BE2">
        <w:rPr>
          <w:sz w:val="22"/>
          <w:szCs w:val="22"/>
        </w:rPr>
        <w:t>. Recommendations for management of diabetes during Ramadan: update 2010. Diabetes Care 2010</w:t>
      </w:r>
      <w:proofErr w:type="gramStart"/>
      <w:r w:rsidRPr="00884BE2">
        <w:rPr>
          <w:sz w:val="22"/>
          <w:szCs w:val="22"/>
        </w:rPr>
        <w:t>;33</w:t>
      </w:r>
      <w:proofErr w:type="gramEnd"/>
      <w:r w:rsidRPr="00884BE2">
        <w:rPr>
          <w:sz w:val="22"/>
          <w:szCs w:val="22"/>
        </w:rPr>
        <w:t>(8):1895-902.</w:t>
      </w:r>
    </w:p>
    <w:p w:rsidR="002C4F25" w:rsidRPr="00884BE2" w:rsidRDefault="00875638" w:rsidP="002C4F25">
      <w:pPr>
        <w:pStyle w:val="FootnoteText"/>
        <w:numPr>
          <w:ilvl w:val="0"/>
          <w:numId w:val="9"/>
        </w:numPr>
        <w:jc w:val="both"/>
        <w:rPr>
          <w:sz w:val="22"/>
          <w:szCs w:val="22"/>
        </w:rPr>
      </w:pPr>
      <w:r w:rsidRPr="00884BE2">
        <w:rPr>
          <w:sz w:val="22"/>
          <w:szCs w:val="22"/>
          <w:lang w:val="fr-FR"/>
        </w:rPr>
        <w:t xml:space="preserve">Hui E, </w:t>
      </w:r>
      <w:proofErr w:type="spellStart"/>
      <w:r w:rsidRPr="00884BE2">
        <w:rPr>
          <w:sz w:val="22"/>
          <w:szCs w:val="22"/>
          <w:lang w:val="fr-FR"/>
        </w:rPr>
        <w:t>Bravis</w:t>
      </w:r>
      <w:proofErr w:type="spellEnd"/>
      <w:r w:rsidRPr="00884BE2">
        <w:rPr>
          <w:sz w:val="22"/>
          <w:szCs w:val="22"/>
          <w:lang w:val="fr-FR"/>
        </w:rPr>
        <w:t xml:space="preserve"> V, </w:t>
      </w:r>
      <w:proofErr w:type="spellStart"/>
      <w:r w:rsidRPr="00884BE2">
        <w:rPr>
          <w:sz w:val="22"/>
          <w:szCs w:val="22"/>
          <w:lang w:val="fr-FR"/>
        </w:rPr>
        <w:t>Hassanein</w:t>
      </w:r>
      <w:proofErr w:type="spellEnd"/>
      <w:r w:rsidRPr="00884BE2">
        <w:rPr>
          <w:sz w:val="22"/>
          <w:szCs w:val="22"/>
          <w:lang w:val="fr-FR"/>
        </w:rPr>
        <w:t xml:space="preserve"> M</w:t>
      </w:r>
      <w:r w:rsidR="003A4A1C" w:rsidRPr="00884BE2">
        <w:rPr>
          <w:sz w:val="22"/>
          <w:szCs w:val="22"/>
          <w:lang w:val="fr-FR"/>
        </w:rPr>
        <w:t xml:space="preserve"> et al</w:t>
      </w:r>
      <w:r w:rsidRPr="00884BE2">
        <w:rPr>
          <w:sz w:val="22"/>
          <w:szCs w:val="22"/>
          <w:lang w:val="fr-FR"/>
        </w:rPr>
        <w:t xml:space="preserve">. </w:t>
      </w:r>
      <w:r w:rsidRPr="00884BE2">
        <w:rPr>
          <w:sz w:val="22"/>
          <w:szCs w:val="22"/>
        </w:rPr>
        <w:t xml:space="preserve">Management of people with diabetes wanting to fast during Ramadan. </w:t>
      </w:r>
      <w:r w:rsidR="00510A16" w:rsidRPr="00884BE2">
        <w:rPr>
          <w:sz w:val="22"/>
          <w:szCs w:val="22"/>
        </w:rPr>
        <w:t>BMJ 2010</w:t>
      </w:r>
      <w:proofErr w:type="gramStart"/>
      <w:r w:rsidR="00510A16" w:rsidRPr="00884BE2">
        <w:rPr>
          <w:sz w:val="22"/>
          <w:szCs w:val="22"/>
        </w:rPr>
        <w:t>;</w:t>
      </w:r>
      <w:r w:rsidRPr="00884BE2">
        <w:rPr>
          <w:sz w:val="22"/>
          <w:szCs w:val="22"/>
        </w:rPr>
        <w:t>340</w:t>
      </w:r>
      <w:r w:rsidR="00510A16" w:rsidRPr="00884BE2">
        <w:rPr>
          <w:sz w:val="22"/>
          <w:szCs w:val="22"/>
        </w:rPr>
        <w:t>:</w:t>
      </w:r>
      <w:r w:rsidRPr="00884BE2">
        <w:rPr>
          <w:sz w:val="22"/>
          <w:szCs w:val="22"/>
        </w:rPr>
        <w:t>1407</w:t>
      </w:r>
      <w:proofErr w:type="gramEnd"/>
      <w:r w:rsidRPr="00884BE2">
        <w:rPr>
          <w:sz w:val="22"/>
          <w:szCs w:val="22"/>
        </w:rPr>
        <w:t xml:space="preserve">-11. </w:t>
      </w:r>
    </w:p>
    <w:p w:rsidR="00875638" w:rsidRPr="00884BE2" w:rsidRDefault="002C4F25" w:rsidP="002C4F25">
      <w:pPr>
        <w:pStyle w:val="FootnoteText"/>
        <w:numPr>
          <w:ilvl w:val="0"/>
          <w:numId w:val="9"/>
        </w:numPr>
        <w:jc w:val="both"/>
        <w:rPr>
          <w:sz w:val="22"/>
          <w:szCs w:val="22"/>
        </w:rPr>
      </w:pPr>
      <w:proofErr w:type="spellStart"/>
      <w:r w:rsidRPr="00884BE2">
        <w:rPr>
          <w:sz w:val="22"/>
          <w:szCs w:val="22"/>
        </w:rPr>
        <w:t>Karamat</w:t>
      </w:r>
      <w:proofErr w:type="spellEnd"/>
      <w:r w:rsidRPr="00884BE2">
        <w:rPr>
          <w:sz w:val="22"/>
          <w:szCs w:val="22"/>
        </w:rPr>
        <w:t xml:space="preserve"> MA, Syed A, </w:t>
      </w:r>
      <w:proofErr w:type="spellStart"/>
      <w:r w:rsidRPr="00884BE2">
        <w:rPr>
          <w:sz w:val="22"/>
          <w:szCs w:val="22"/>
        </w:rPr>
        <w:t>Hanif</w:t>
      </w:r>
      <w:proofErr w:type="spellEnd"/>
      <w:r w:rsidRPr="00884BE2">
        <w:rPr>
          <w:sz w:val="22"/>
          <w:szCs w:val="22"/>
        </w:rPr>
        <w:t xml:space="preserve"> W. Review of diabetes management and guidelines during Ramadan. J R </w:t>
      </w:r>
      <w:proofErr w:type="spellStart"/>
      <w:r w:rsidRPr="00884BE2">
        <w:rPr>
          <w:sz w:val="22"/>
          <w:szCs w:val="22"/>
        </w:rPr>
        <w:t>Soc</w:t>
      </w:r>
      <w:proofErr w:type="spellEnd"/>
      <w:r w:rsidRPr="00884BE2">
        <w:rPr>
          <w:sz w:val="22"/>
          <w:szCs w:val="22"/>
        </w:rPr>
        <w:t xml:space="preserve"> Med 2010</w:t>
      </w:r>
      <w:proofErr w:type="gramStart"/>
      <w:r w:rsidRPr="00884BE2">
        <w:rPr>
          <w:sz w:val="22"/>
          <w:szCs w:val="22"/>
        </w:rPr>
        <w:t>;103:139</w:t>
      </w:r>
      <w:proofErr w:type="gramEnd"/>
      <w:r w:rsidRPr="00884BE2">
        <w:rPr>
          <w:sz w:val="22"/>
          <w:szCs w:val="22"/>
        </w:rPr>
        <w:t>-147.</w:t>
      </w:r>
    </w:p>
    <w:p w:rsidR="00875638" w:rsidRPr="00884BE2" w:rsidRDefault="00875638" w:rsidP="00B4470C">
      <w:pPr>
        <w:pStyle w:val="FootnoteText"/>
        <w:numPr>
          <w:ilvl w:val="0"/>
          <w:numId w:val="9"/>
        </w:numPr>
        <w:jc w:val="both"/>
        <w:rPr>
          <w:sz w:val="22"/>
          <w:szCs w:val="22"/>
        </w:rPr>
      </w:pPr>
      <w:proofErr w:type="spellStart"/>
      <w:r w:rsidRPr="00884BE2">
        <w:rPr>
          <w:sz w:val="22"/>
          <w:szCs w:val="22"/>
        </w:rPr>
        <w:t>Hassanein</w:t>
      </w:r>
      <w:proofErr w:type="spellEnd"/>
      <w:r w:rsidRPr="00884BE2">
        <w:rPr>
          <w:sz w:val="22"/>
          <w:szCs w:val="22"/>
        </w:rPr>
        <w:t xml:space="preserve"> M, Abdallah K, </w:t>
      </w:r>
      <w:proofErr w:type="spellStart"/>
      <w:r w:rsidRPr="00884BE2">
        <w:rPr>
          <w:sz w:val="22"/>
          <w:szCs w:val="22"/>
        </w:rPr>
        <w:t>Schweizer</w:t>
      </w:r>
      <w:proofErr w:type="spellEnd"/>
      <w:r w:rsidRPr="00884BE2">
        <w:rPr>
          <w:sz w:val="22"/>
          <w:szCs w:val="22"/>
        </w:rPr>
        <w:t xml:space="preserve"> A. A double-blind, randomized trial, including frequent patient-physician contacts and Ramadan-focused advice, assessing vildagliptin and </w:t>
      </w:r>
      <w:proofErr w:type="spellStart"/>
      <w:r w:rsidRPr="00884BE2">
        <w:rPr>
          <w:sz w:val="22"/>
          <w:szCs w:val="22"/>
        </w:rPr>
        <w:t>gliclazide</w:t>
      </w:r>
      <w:proofErr w:type="spellEnd"/>
      <w:r w:rsidRPr="00884BE2">
        <w:rPr>
          <w:sz w:val="22"/>
          <w:szCs w:val="22"/>
        </w:rPr>
        <w:t xml:space="preserve"> in patients with type 2 diabetes fasting during Ramadan: the STEADFAST study. Vascular Health and Risk Management 2014:10 319-326</w:t>
      </w:r>
      <w:r w:rsidR="00233347" w:rsidRPr="00884BE2">
        <w:rPr>
          <w:sz w:val="22"/>
          <w:szCs w:val="22"/>
        </w:rPr>
        <w:t>.</w:t>
      </w:r>
    </w:p>
    <w:p w:rsidR="00233347" w:rsidRPr="00884BE2" w:rsidRDefault="00233347" w:rsidP="00B4470C">
      <w:pPr>
        <w:pStyle w:val="FootnoteText"/>
        <w:numPr>
          <w:ilvl w:val="0"/>
          <w:numId w:val="9"/>
        </w:numPr>
        <w:jc w:val="both"/>
        <w:rPr>
          <w:sz w:val="22"/>
          <w:szCs w:val="22"/>
        </w:rPr>
      </w:pPr>
      <w:r w:rsidRPr="00884BE2">
        <w:rPr>
          <w:sz w:val="22"/>
          <w:szCs w:val="22"/>
        </w:rPr>
        <w:t>Brady EM, Davies MJ, Gray LJ</w:t>
      </w:r>
      <w:r w:rsidR="00BC643A" w:rsidRPr="00884BE2">
        <w:rPr>
          <w:sz w:val="22"/>
          <w:szCs w:val="22"/>
        </w:rPr>
        <w:t xml:space="preserve"> et al</w:t>
      </w:r>
      <w:r w:rsidRPr="00884BE2">
        <w:rPr>
          <w:sz w:val="22"/>
          <w:szCs w:val="22"/>
        </w:rPr>
        <w:t xml:space="preserve">. A randomized controlled trial comparing the GLP-1 receptor agonist liraglutide to a sulphonylurea as add on to metformin in patients with established type 2 diabetes during Ramadan: the Treat 4 Ramadan Trial. Diabetes </w:t>
      </w:r>
      <w:proofErr w:type="spellStart"/>
      <w:r w:rsidRPr="00884BE2">
        <w:rPr>
          <w:sz w:val="22"/>
          <w:szCs w:val="22"/>
        </w:rPr>
        <w:t>Obes</w:t>
      </w:r>
      <w:proofErr w:type="spellEnd"/>
      <w:r w:rsidRPr="00884BE2">
        <w:rPr>
          <w:sz w:val="22"/>
          <w:szCs w:val="22"/>
        </w:rPr>
        <w:t xml:space="preserve"> </w:t>
      </w:r>
      <w:proofErr w:type="spellStart"/>
      <w:r w:rsidRPr="00884BE2">
        <w:rPr>
          <w:sz w:val="22"/>
          <w:szCs w:val="22"/>
        </w:rPr>
        <w:t>Metab</w:t>
      </w:r>
      <w:proofErr w:type="spellEnd"/>
      <w:r w:rsidRPr="00884BE2">
        <w:rPr>
          <w:sz w:val="22"/>
          <w:szCs w:val="22"/>
        </w:rPr>
        <w:t>. 2014</w:t>
      </w:r>
      <w:proofErr w:type="gramStart"/>
      <w:r w:rsidRPr="00884BE2">
        <w:rPr>
          <w:sz w:val="22"/>
          <w:szCs w:val="22"/>
        </w:rPr>
        <w:t>;16</w:t>
      </w:r>
      <w:proofErr w:type="gramEnd"/>
      <w:r w:rsidRPr="00884BE2">
        <w:rPr>
          <w:sz w:val="22"/>
          <w:szCs w:val="22"/>
        </w:rPr>
        <w:t>(6):527-36.</w:t>
      </w:r>
    </w:p>
    <w:p w:rsidR="002E2D1F" w:rsidRPr="00884BE2" w:rsidRDefault="002E2D1F" w:rsidP="00B4470C">
      <w:pPr>
        <w:pStyle w:val="FootnoteText"/>
        <w:numPr>
          <w:ilvl w:val="0"/>
          <w:numId w:val="9"/>
        </w:numPr>
        <w:jc w:val="both"/>
        <w:rPr>
          <w:sz w:val="22"/>
          <w:szCs w:val="22"/>
        </w:rPr>
      </w:pPr>
      <w:proofErr w:type="spellStart"/>
      <w:r w:rsidRPr="00884BE2">
        <w:rPr>
          <w:sz w:val="22"/>
          <w:szCs w:val="22"/>
        </w:rPr>
        <w:t>Hassanein</w:t>
      </w:r>
      <w:proofErr w:type="spellEnd"/>
      <w:r w:rsidRPr="00884BE2">
        <w:rPr>
          <w:sz w:val="22"/>
          <w:szCs w:val="22"/>
        </w:rPr>
        <w:t xml:space="preserve"> M, </w:t>
      </w:r>
      <w:proofErr w:type="spellStart"/>
      <w:r w:rsidRPr="00884BE2">
        <w:rPr>
          <w:sz w:val="22"/>
          <w:szCs w:val="22"/>
        </w:rPr>
        <w:t>Hanif</w:t>
      </w:r>
      <w:proofErr w:type="spellEnd"/>
      <w:r w:rsidRPr="00884BE2">
        <w:rPr>
          <w:sz w:val="22"/>
          <w:szCs w:val="22"/>
        </w:rPr>
        <w:t xml:space="preserve"> W, Malik W, et al. Comparison of the </w:t>
      </w:r>
      <w:proofErr w:type="spellStart"/>
      <w:r w:rsidRPr="00884BE2">
        <w:rPr>
          <w:sz w:val="22"/>
          <w:szCs w:val="22"/>
        </w:rPr>
        <w:t>dipeptidyl</w:t>
      </w:r>
      <w:proofErr w:type="spellEnd"/>
      <w:r w:rsidRPr="00884BE2">
        <w:rPr>
          <w:sz w:val="22"/>
          <w:szCs w:val="22"/>
        </w:rPr>
        <w:t xml:space="preserve"> peptidase-4 inhibitor vildagliptin and the sulphonylurea </w:t>
      </w:r>
      <w:proofErr w:type="spellStart"/>
      <w:r w:rsidRPr="00884BE2">
        <w:rPr>
          <w:sz w:val="22"/>
          <w:szCs w:val="22"/>
        </w:rPr>
        <w:t>gliclazide</w:t>
      </w:r>
      <w:proofErr w:type="spellEnd"/>
      <w:r w:rsidRPr="00884BE2">
        <w:rPr>
          <w:sz w:val="22"/>
          <w:szCs w:val="22"/>
        </w:rPr>
        <w:t xml:space="preserve"> in combination with metformin, in Muslim patients with type 2 diabetes mellitus fasting during Ramadan: results of the VECTOR study. </w:t>
      </w:r>
      <w:proofErr w:type="spellStart"/>
      <w:r w:rsidRPr="00884BE2">
        <w:rPr>
          <w:sz w:val="22"/>
          <w:szCs w:val="22"/>
        </w:rPr>
        <w:t>Curr</w:t>
      </w:r>
      <w:proofErr w:type="spellEnd"/>
      <w:r w:rsidRPr="00884BE2">
        <w:rPr>
          <w:sz w:val="22"/>
          <w:szCs w:val="22"/>
        </w:rPr>
        <w:t xml:space="preserve"> Med Res </w:t>
      </w:r>
      <w:proofErr w:type="spellStart"/>
      <w:r w:rsidRPr="00884BE2">
        <w:rPr>
          <w:sz w:val="22"/>
          <w:szCs w:val="22"/>
        </w:rPr>
        <w:t>Opin</w:t>
      </w:r>
      <w:proofErr w:type="spellEnd"/>
      <w:r w:rsidRPr="00884BE2">
        <w:rPr>
          <w:sz w:val="22"/>
          <w:szCs w:val="22"/>
        </w:rPr>
        <w:t xml:space="preserve"> 2011</w:t>
      </w:r>
      <w:proofErr w:type="gramStart"/>
      <w:r w:rsidRPr="00884BE2">
        <w:rPr>
          <w:sz w:val="22"/>
          <w:szCs w:val="22"/>
        </w:rPr>
        <w:t>;27:1367</w:t>
      </w:r>
      <w:proofErr w:type="gramEnd"/>
      <w:r w:rsidRPr="00884BE2">
        <w:rPr>
          <w:sz w:val="22"/>
          <w:szCs w:val="22"/>
        </w:rPr>
        <w:t>-74</w:t>
      </w:r>
      <w:r w:rsidR="00BC643A" w:rsidRPr="00884BE2">
        <w:rPr>
          <w:sz w:val="22"/>
          <w:szCs w:val="22"/>
        </w:rPr>
        <w:t>.</w:t>
      </w:r>
    </w:p>
    <w:p w:rsidR="002E2D1F" w:rsidRPr="00884BE2" w:rsidRDefault="002E2D1F" w:rsidP="00B4470C">
      <w:pPr>
        <w:pStyle w:val="FootnoteText"/>
        <w:numPr>
          <w:ilvl w:val="0"/>
          <w:numId w:val="9"/>
        </w:numPr>
        <w:jc w:val="both"/>
        <w:rPr>
          <w:sz w:val="22"/>
          <w:szCs w:val="22"/>
        </w:rPr>
      </w:pPr>
      <w:r w:rsidRPr="00884BE2">
        <w:rPr>
          <w:sz w:val="22"/>
          <w:szCs w:val="22"/>
        </w:rPr>
        <w:t>Al-</w:t>
      </w:r>
      <w:proofErr w:type="spellStart"/>
      <w:r w:rsidRPr="00884BE2">
        <w:rPr>
          <w:sz w:val="22"/>
          <w:szCs w:val="22"/>
        </w:rPr>
        <w:t>Arouj</w:t>
      </w:r>
      <w:proofErr w:type="spellEnd"/>
      <w:r w:rsidRPr="00884BE2">
        <w:rPr>
          <w:sz w:val="22"/>
          <w:szCs w:val="22"/>
        </w:rPr>
        <w:t xml:space="preserve"> M, </w:t>
      </w:r>
      <w:proofErr w:type="spellStart"/>
      <w:r w:rsidRPr="00884BE2">
        <w:rPr>
          <w:sz w:val="22"/>
          <w:szCs w:val="22"/>
        </w:rPr>
        <w:t>Hassoun</w:t>
      </w:r>
      <w:proofErr w:type="spellEnd"/>
      <w:r w:rsidRPr="00884BE2">
        <w:rPr>
          <w:sz w:val="22"/>
          <w:szCs w:val="22"/>
        </w:rPr>
        <w:t xml:space="preserve"> AA, </w:t>
      </w:r>
      <w:proofErr w:type="spellStart"/>
      <w:r w:rsidRPr="00884BE2">
        <w:rPr>
          <w:sz w:val="22"/>
          <w:szCs w:val="22"/>
        </w:rPr>
        <w:t>Medlej</w:t>
      </w:r>
      <w:proofErr w:type="spellEnd"/>
      <w:r w:rsidRPr="00884BE2">
        <w:rPr>
          <w:sz w:val="22"/>
          <w:szCs w:val="22"/>
        </w:rPr>
        <w:t xml:space="preserve"> R</w:t>
      </w:r>
      <w:r w:rsidR="00DE5BF4" w:rsidRPr="00884BE2">
        <w:rPr>
          <w:sz w:val="22"/>
          <w:szCs w:val="22"/>
        </w:rPr>
        <w:t xml:space="preserve"> et al.</w:t>
      </w:r>
      <w:r w:rsidRPr="00884BE2">
        <w:rPr>
          <w:sz w:val="22"/>
          <w:szCs w:val="22"/>
        </w:rPr>
        <w:t xml:space="preserve"> The effect of vildagliptin relative to sulphonylureas in Muslim patients with type 2 diabetes fasting during Ramadan: the VIRTUE s</w:t>
      </w:r>
      <w:r w:rsidR="00DE5BF4" w:rsidRPr="00884BE2">
        <w:rPr>
          <w:sz w:val="22"/>
          <w:szCs w:val="22"/>
        </w:rPr>
        <w:t xml:space="preserve">tudy. </w:t>
      </w:r>
      <w:proofErr w:type="spellStart"/>
      <w:r w:rsidR="00DE5BF4" w:rsidRPr="00884BE2">
        <w:rPr>
          <w:sz w:val="22"/>
          <w:szCs w:val="22"/>
        </w:rPr>
        <w:t>Int</w:t>
      </w:r>
      <w:proofErr w:type="spellEnd"/>
      <w:r w:rsidR="00DE5BF4" w:rsidRPr="00884BE2">
        <w:rPr>
          <w:sz w:val="22"/>
          <w:szCs w:val="22"/>
        </w:rPr>
        <w:t xml:space="preserve"> J </w:t>
      </w:r>
      <w:proofErr w:type="spellStart"/>
      <w:r w:rsidR="00DE5BF4" w:rsidRPr="00884BE2">
        <w:rPr>
          <w:sz w:val="22"/>
          <w:szCs w:val="22"/>
        </w:rPr>
        <w:t>Clin</w:t>
      </w:r>
      <w:proofErr w:type="spellEnd"/>
      <w:r w:rsidR="00DE5BF4" w:rsidRPr="00884BE2">
        <w:rPr>
          <w:sz w:val="22"/>
          <w:szCs w:val="22"/>
        </w:rPr>
        <w:t xml:space="preserve"> </w:t>
      </w:r>
      <w:proofErr w:type="spellStart"/>
      <w:r w:rsidR="00DE5BF4" w:rsidRPr="00884BE2">
        <w:rPr>
          <w:sz w:val="22"/>
          <w:szCs w:val="22"/>
        </w:rPr>
        <w:t>Pract</w:t>
      </w:r>
      <w:proofErr w:type="spellEnd"/>
      <w:r w:rsidR="00DE5BF4" w:rsidRPr="00884BE2">
        <w:rPr>
          <w:sz w:val="22"/>
          <w:szCs w:val="22"/>
        </w:rPr>
        <w:t>. 2013</w:t>
      </w:r>
      <w:proofErr w:type="gramStart"/>
      <w:r w:rsidRPr="00884BE2">
        <w:rPr>
          <w:sz w:val="22"/>
          <w:szCs w:val="22"/>
        </w:rPr>
        <w:t>;67</w:t>
      </w:r>
      <w:proofErr w:type="gramEnd"/>
      <w:r w:rsidRPr="00884BE2">
        <w:rPr>
          <w:sz w:val="22"/>
          <w:szCs w:val="22"/>
        </w:rPr>
        <w:t>(10):957-63.</w:t>
      </w:r>
    </w:p>
    <w:p w:rsidR="00875638" w:rsidRPr="00884BE2" w:rsidRDefault="00875638" w:rsidP="00B4470C">
      <w:pPr>
        <w:pStyle w:val="FootnoteText"/>
        <w:numPr>
          <w:ilvl w:val="0"/>
          <w:numId w:val="9"/>
        </w:numPr>
        <w:jc w:val="both"/>
        <w:rPr>
          <w:sz w:val="22"/>
          <w:szCs w:val="22"/>
        </w:rPr>
      </w:pPr>
      <w:proofErr w:type="spellStart"/>
      <w:r w:rsidRPr="00884BE2">
        <w:rPr>
          <w:sz w:val="22"/>
          <w:szCs w:val="22"/>
        </w:rPr>
        <w:t>Beshyah</w:t>
      </w:r>
      <w:proofErr w:type="spellEnd"/>
      <w:r w:rsidRPr="00884BE2">
        <w:rPr>
          <w:sz w:val="22"/>
          <w:szCs w:val="22"/>
        </w:rPr>
        <w:t xml:space="preserve"> SA. Fasting during the month of Ramadan for people with diabetes: medicine and </w:t>
      </w:r>
      <w:proofErr w:type="spellStart"/>
      <w:r w:rsidRPr="00884BE2">
        <w:rPr>
          <w:sz w:val="22"/>
          <w:szCs w:val="22"/>
        </w:rPr>
        <w:t>Fiqh</w:t>
      </w:r>
      <w:proofErr w:type="spellEnd"/>
      <w:r w:rsidRPr="00884BE2">
        <w:rPr>
          <w:sz w:val="22"/>
          <w:szCs w:val="22"/>
        </w:rPr>
        <w:t xml:space="preserve"> united at last. </w:t>
      </w:r>
      <w:proofErr w:type="spellStart"/>
      <w:r w:rsidRPr="00884BE2">
        <w:rPr>
          <w:sz w:val="22"/>
          <w:szCs w:val="22"/>
        </w:rPr>
        <w:t>Ibnosina</w:t>
      </w:r>
      <w:proofErr w:type="spellEnd"/>
      <w:r w:rsidRPr="00884BE2">
        <w:rPr>
          <w:sz w:val="22"/>
          <w:szCs w:val="22"/>
        </w:rPr>
        <w:t xml:space="preserve"> Journal of Medicine and Biomedical Sciences 2009</w:t>
      </w:r>
      <w:proofErr w:type="gramStart"/>
      <w:r w:rsidRPr="00884BE2">
        <w:rPr>
          <w:sz w:val="22"/>
          <w:szCs w:val="22"/>
        </w:rPr>
        <w:t>;1:58</w:t>
      </w:r>
      <w:proofErr w:type="gramEnd"/>
      <w:r w:rsidRPr="00884BE2">
        <w:rPr>
          <w:sz w:val="22"/>
          <w:szCs w:val="22"/>
        </w:rPr>
        <w:t>-60.</w:t>
      </w:r>
    </w:p>
    <w:p w:rsidR="00875638" w:rsidRPr="00884BE2" w:rsidRDefault="00875638" w:rsidP="00B4470C">
      <w:pPr>
        <w:pStyle w:val="FootnoteText"/>
        <w:numPr>
          <w:ilvl w:val="0"/>
          <w:numId w:val="9"/>
        </w:numPr>
        <w:jc w:val="both"/>
        <w:rPr>
          <w:sz w:val="22"/>
          <w:szCs w:val="22"/>
        </w:rPr>
      </w:pPr>
      <w:proofErr w:type="spellStart"/>
      <w:r w:rsidRPr="00884BE2">
        <w:rPr>
          <w:sz w:val="22"/>
          <w:szCs w:val="22"/>
        </w:rPr>
        <w:t>Bakiner</w:t>
      </w:r>
      <w:proofErr w:type="spellEnd"/>
      <w:r w:rsidRPr="00884BE2">
        <w:rPr>
          <w:sz w:val="22"/>
          <w:szCs w:val="22"/>
        </w:rPr>
        <w:t xml:space="preserve"> O, </w:t>
      </w:r>
      <w:proofErr w:type="spellStart"/>
      <w:r w:rsidRPr="00884BE2">
        <w:rPr>
          <w:sz w:val="22"/>
          <w:szCs w:val="22"/>
        </w:rPr>
        <w:t>Ertorer</w:t>
      </w:r>
      <w:proofErr w:type="spellEnd"/>
      <w:r w:rsidRPr="00884BE2">
        <w:rPr>
          <w:sz w:val="22"/>
          <w:szCs w:val="22"/>
        </w:rPr>
        <w:t xml:space="preserve"> ME, </w:t>
      </w:r>
      <w:proofErr w:type="spellStart"/>
      <w:r w:rsidRPr="00884BE2">
        <w:rPr>
          <w:sz w:val="22"/>
          <w:szCs w:val="22"/>
        </w:rPr>
        <w:t>Bozkirli</w:t>
      </w:r>
      <w:proofErr w:type="spellEnd"/>
      <w:r w:rsidRPr="00884BE2">
        <w:rPr>
          <w:sz w:val="22"/>
          <w:szCs w:val="22"/>
        </w:rPr>
        <w:t xml:space="preserve"> E</w:t>
      </w:r>
      <w:r w:rsidR="00C6554C" w:rsidRPr="00884BE2">
        <w:rPr>
          <w:sz w:val="22"/>
          <w:szCs w:val="22"/>
        </w:rPr>
        <w:t xml:space="preserve"> et al.</w:t>
      </w:r>
      <w:r w:rsidRPr="00884BE2">
        <w:rPr>
          <w:sz w:val="22"/>
          <w:szCs w:val="22"/>
        </w:rPr>
        <w:t xml:space="preserve"> Repaglinide plus single-dose insulin </w:t>
      </w:r>
      <w:proofErr w:type="spellStart"/>
      <w:r w:rsidRPr="00884BE2">
        <w:rPr>
          <w:sz w:val="22"/>
          <w:szCs w:val="22"/>
        </w:rPr>
        <w:t>glargine</w:t>
      </w:r>
      <w:proofErr w:type="spellEnd"/>
      <w:r w:rsidRPr="00884BE2">
        <w:rPr>
          <w:sz w:val="22"/>
          <w:szCs w:val="22"/>
        </w:rPr>
        <w:t xml:space="preserve">: a safe regimen for low-risk type 2 diabetic patients who insist on fasting in Ramadan. </w:t>
      </w:r>
      <w:proofErr w:type="spellStart"/>
      <w:r w:rsidRPr="00884BE2">
        <w:rPr>
          <w:sz w:val="22"/>
          <w:szCs w:val="22"/>
        </w:rPr>
        <w:t>Acta</w:t>
      </w:r>
      <w:proofErr w:type="spellEnd"/>
      <w:r w:rsidRPr="00884BE2">
        <w:rPr>
          <w:sz w:val="22"/>
          <w:szCs w:val="22"/>
        </w:rPr>
        <w:t xml:space="preserve"> Diabetologia 2009</w:t>
      </w:r>
      <w:proofErr w:type="gramStart"/>
      <w:r w:rsidRPr="00884BE2">
        <w:rPr>
          <w:sz w:val="22"/>
          <w:szCs w:val="22"/>
        </w:rPr>
        <w:t>;46:63</w:t>
      </w:r>
      <w:proofErr w:type="gramEnd"/>
      <w:r w:rsidRPr="00884BE2">
        <w:rPr>
          <w:sz w:val="22"/>
          <w:szCs w:val="22"/>
        </w:rPr>
        <w:t>-5.</w:t>
      </w:r>
    </w:p>
    <w:p w:rsidR="00085818" w:rsidRPr="00884BE2" w:rsidRDefault="00313B4E" w:rsidP="00085818">
      <w:pPr>
        <w:pStyle w:val="ListParagraph"/>
        <w:numPr>
          <w:ilvl w:val="0"/>
          <w:numId w:val="9"/>
        </w:numPr>
        <w:jc w:val="both"/>
        <w:rPr>
          <w:rStyle w:val="cit"/>
          <w:lang w:val="en"/>
        </w:rPr>
      </w:pPr>
      <w:proofErr w:type="spellStart"/>
      <w:r w:rsidRPr="00884BE2">
        <w:rPr>
          <w:rStyle w:val="cit"/>
          <w:lang w:val="en"/>
        </w:rPr>
        <w:t>Elmehdawi</w:t>
      </w:r>
      <w:proofErr w:type="spellEnd"/>
      <w:r w:rsidRPr="00884BE2">
        <w:rPr>
          <w:rStyle w:val="cit"/>
          <w:lang w:val="en"/>
        </w:rPr>
        <w:t xml:space="preserve"> R, </w:t>
      </w:r>
      <w:proofErr w:type="spellStart"/>
      <w:r w:rsidRPr="00884BE2">
        <w:rPr>
          <w:rStyle w:val="cit"/>
          <w:lang w:val="en"/>
        </w:rPr>
        <w:t>Ehmida</w:t>
      </w:r>
      <w:proofErr w:type="spellEnd"/>
      <w:r w:rsidRPr="00884BE2">
        <w:rPr>
          <w:rStyle w:val="cit"/>
          <w:lang w:val="en"/>
        </w:rPr>
        <w:t xml:space="preserve"> M and </w:t>
      </w:r>
      <w:proofErr w:type="spellStart"/>
      <w:r w:rsidRPr="00884BE2">
        <w:rPr>
          <w:rStyle w:val="cit"/>
          <w:lang w:val="en"/>
        </w:rPr>
        <w:t>Elmagrehi</w:t>
      </w:r>
      <w:proofErr w:type="spellEnd"/>
      <w:r w:rsidRPr="00884BE2">
        <w:rPr>
          <w:rStyle w:val="cit"/>
          <w:lang w:val="en"/>
        </w:rPr>
        <w:t xml:space="preserve"> H. Incidence of Diabetic Ketoacidosis during Ramadan Fasting in Benghazi-Libya.  Oman Med J. 2009 Apr; 24(2): 99–102.</w:t>
      </w:r>
    </w:p>
    <w:p w:rsidR="00085818" w:rsidRPr="00884BE2" w:rsidRDefault="00313B4E" w:rsidP="00085818">
      <w:pPr>
        <w:pStyle w:val="ListParagraph"/>
        <w:numPr>
          <w:ilvl w:val="0"/>
          <w:numId w:val="9"/>
        </w:numPr>
        <w:jc w:val="both"/>
        <w:rPr>
          <w:lang w:val="en"/>
        </w:rPr>
      </w:pPr>
      <w:r w:rsidRPr="00884BE2">
        <w:t xml:space="preserve">Salim I, Al </w:t>
      </w:r>
      <w:proofErr w:type="spellStart"/>
      <w:r w:rsidRPr="00884BE2">
        <w:t>Suwaidi</w:t>
      </w:r>
      <w:proofErr w:type="spellEnd"/>
      <w:r w:rsidRPr="00884BE2">
        <w:t xml:space="preserve"> J, </w:t>
      </w:r>
      <w:proofErr w:type="spellStart"/>
      <w:r w:rsidRPr="00884BE2">
        <w:t>Ghadban</w:t>
      </w:r>
      <w:proofErr w:type="spellEnd"/>
      <w:r w:rsidRPr="00884BE2">
        <w:t xml:space="preserve"> W et al. Impact of religious Ramadan fasting on cardiovascular disease: a systematic review of the literature. </w:t>
      </w:r>
      <w:proofErr w:type="spellStart"/>
      <w:r w:rsidRPr="00884BE2">
        <w:t>Curr</w:t>
      </w:r>
      <w:proofErr w:type="spellEnd"/>
      <w:r w:rsidRPr="00884BE2">
        <w:t xml:space="preserve"> Med Res </w:t>
      </w:r>
      <w:proofErr w:type="spellStart"/>
      <w:r w:rsidRPr="00884BE2">
        <w:t>Opin</w:t>
      </w:r>
      <w:proofErr w:type="spellEnd"/>
      <w:r w:rsidRPr="00884BE2">
        <w:t>. 2013</w:t>
      </w:r>
      <w:proofErr w:type="gramStart"/>
      <w:r w:rsidRPr="00884BE2">
        <w:t>;29</w:t>
      </w:r>
      <w:proofErr w:type="gramEnd"/>
      <w:r w:rsidRPr="00884BE2">
        <w:t xml:space="preserve">(4):343-54. </w:t>
      </w:r>
    </w:p>
    <w:p w:rsidR="00085818" w:rsidRPr="00884BE2" w:rsidRDefault="00875638" w:rsidP="00085818">
      <w:pPr>
        <w:pStyle w:val="ListParagraph"/>
        <w:numPr>
          <w:ilvl w:val="0"/>
          <w:numId w:val="9"/>
        </w:numPr>
        <w:jc w:val="both"/>
        <w:rPr>
          <w:lang w:val="en"/>
        </w:rPr>
      </w:pPr>
      <w:proofErr w:type="spellStart"/>
      <w:r w:rsidRPr="00884BE2">
        <w:rPr>
          <w:lang w:val="fr-FR"/>
        </w:rPr>
        <w:t>Saadatnia</w:t>
      </w:r>
      <w:proofErr w:type="spellEnd"/>
      <w:r w:rsidRPr="00884BE2">
        <w:rPr>
          <w:lang w:val="fr-FR"/>
        </w:rPr>
        <w:t xml:space="preserve"> M, </w:t>
      </w:r>
      <w:proofErr w:type="spellStart"/>
      <w:r w:rsidRPr="00884BE2">
        <w:rPr>
          <w:lang w:val="fr-FR"/>
        </w:rPr>
        <w:t>Zare</w:t>
      </w:r>
      <w:proofErr w:type="spellEnd"/>
      <w:r w:rsidRPr="00884BE2">
        <w:rPr>
          <w:lang w:val="fr-FR"/>
        </w:rPr>
        <w:t xml:space="preserve"> M, </w:t>
      </w:r>
      <w:proofErr w:type="spellStart"/>
      <w:r w:rsidRPr="00884BE2">
        <w:rPr>
          <w:lang w:val="fr-FR"/>
        </w:rPr>
        <w:t>Fatehi</w:t>
      </w:r>
      <w:proofErr w:type="spellEnd"/>
      <w:r w:rsidRPr="00884BE2">
        <w:rPr>
          <w:lang w:val="fr-FR"/>
        </w:rPr>
        <w:t xml:space="preserve"> F</w:t>
      </w:r>
      <w:r w:rsidR="00D75C7E" w:rsidRPr="00884BE2">
        <w:rPr>
          <w:lang w:val="fr-FR"/>
        </w:rPr>
        <w:t xml:space="preserve"> et al</w:t>
      </w:r>
      <w:r w:rsidRPr="00884BE2">
        <w:rPr>
          <w:lang w:val="fr-FR"/>
        </w:rPr>
        <w:t xml:space="preserve">. </w:t>
      </w:r>
      <w:r w:rsidRPr="00884BE2">
        <w:t xml:space="preserve">The effect of fasting on cerebral venous and </w:t>
      </w:r>
      <w:proofErr w:type="spellStart"/>
      <w:r w:rsidRPr="00884BE2">
        <w:t>dural</w:t>
      </w:r>
      <w:proofErr w:type="spellEnd"/>
      <w:r w:rsidRPr="00884BE2">
        <w:t xml:space="preserve"> sinus thrombosis. </w:t>
      </w:r>
      <w:proofErr w:type="spellStart"/>
      <w:r w:rsidRPr="00884BE2">
        <w:t>N</w:t>
      </w:r>
      <w:r w:rsidR="00CD21CD" w:rsidRPr="00884BE2">
        <w:t>eurol</w:t>
      </w:r>
      <w:proofErr w:type="spellEnd"/>
      <w:r w:rsidR="00CD21CD" w:rsidRPr="00884BE2">
        <w:t xml:space="preserve"> Res 2009</w:t>
      </w:r>
      <w:proofErr w:type="gramStart"/>
      <w:r w:rsidRPr="00884BE2">
        <w:t>;31</w:t>
      </w:r>
      <w:proofErr w:type="gramEnd"/>
      <w:r w:rsidRPr="00884BE2">
        <w:t xml:space="preserve">(8):794-8. </w:t>
      </w:r>
    </w:p>
    <w:p w:rsidR="00875638" w:rsidRPr="00884BE2" w:rsidRDefault="00875638" w:rsidP="00085818">
      <w:pPr>
        <w:pStyle w:val="ListParagraph"/>
        <w:numPr>
          <w:ilvl w:val="0"/>
          <w:numId w:val="9"/>
        </w:numPr>
        <w:jc w:val="both"/>
        <w:rPr>
          <w:lang w:val="en"/>
        </w:rPr>
      </w:pPr>
      <w:proofErr w:type="spellStart"/>
      <w:r w:rsidRPr="00884BE2">
        <w:t>Temizhan</w:t>
      </w:r>
      <w:proofErr w:type="spellEnd"/>
      <w:r w:rsidRPr="00884BE2">
        <w:t xml:space="preserve"> A, </w:t>
      </w:r>
      <w:proofErr w:type="spellStart"/>
      <w:r w:rsidRPr="00884BE2">
        <w:t>Dönderici</w:t>
      </w:r>
      <w:proofErr w:type="spellEnd"/>
      <w:r w:rsidRPr="00884BE2">
        <w:t xml:space="preserve"> O, </w:t>
      </w:r>
      <w:proofErr w:type="spellStart"/>
      <w:r w:rsidRPr="00884BE2">
        <w:t>Ouz</w:t>
      </w:r>
      <w:proofErr w:type="spellEnd"/>
      <w:r w:rsidRPr="00884BE2">
        <w:t xml:space="preserve"> D</w:t>
      </w:r>
      <w:r w:rsidR="00750856" w:rsidRPr="00884BE2">
        <w:t xml:space="preserve"> et al.</w:t>
      </w:r>
      <w:r w:rsidRPr="00884BE2">
        <w:t xml:space="preserve"> Is there any effect of Ramadan fasting on acute coronary hear</w:t>
      </w:r>
      <w:r w:rsidR="001C59B1" w:rsidRPr="00884BE2">
        <w:t xml:space="preserve">t disease events? </w:t>
      </w:r>
      <w:proofErr w:type="spellStart"/>
      <w:r w:rsidR="001C59B1" w:rsidRPr="00884BE2">
        <w:t>Int</w:t>
      </w:r>
      <w:proofErr w:type="spellEnd"/>
      <w:r w:rsidR="001C59B1" w:rsidRPr="00884BE2">
        <w:t xml:space="preserve"> J </w:t>
      </w:r>
      <w:proofErr w:type="spellStart"/>
      <w:r w:rsidR="001C59B1" w:rsidRPr="00884BE2">
        <w:t>Cardiol</w:t>
      </w:r>
      <w:proofErr w:type="spellEnd"/>
      <w:r w:rsidRPr="00884BE2">
        <w:t xml:space="preserve"> 1999</w:t>
      </w:r>
      <w:proofErr w:type="gramStart"/>
      <w:r w:rsidRPr="00884BE2">
        <w:t>;70</w:t>
      </w:r>
      <w:proofErr w:type="gramEnd"/>
      <w:r w:rsidRPr="00884BE2">
        <w:t>(2):149-53.</w:t>
      </w:r>
    </w:p>
    <w:p w:rsidR="00D87A35" w:rsidRPr="00884BE2" w:rsidRDefault="00D87A35" w:rsidP="00D87A35">
      <w:pPr>
        <w:pStyle w:val="FootnoteText"/>
        <w:numPr>
          <w:ilvl w:val="0"/>
          <w:numId w:val="9"/>
        </w:numPr>
        <w:jc w:val="both"/>
        <w:rPr>
          <w:sz w:val="22"/>
          <w:szCs w:val="22"/>
        </w:rPr>
      </w:pPr>
      <w:r w:rsidRPr="00884BE2">
        <w:rPr>
          <w:sz w:val="22"/>
          <w:szCs w:val="22"/>
        </w:rPr>
        <w:lastRenderedPageBreak/>
        <w:t xml:space="preserve">Davies MJ, Heller S, Skinner TC et al; Diabetes Education and </w:t>
      </w:r>
      <w:proofErr w:type="spellStart"/>
      <w:r w:rsidRPr="00884BE2">
        <w:rPr>
          <w:sz w:val="22"/>
          <w:szCs w:val="22"/>
        </w:rPr>
        <w:t>Self Management</w:t>
      </w:r>
      <w:proofErr w:type="spellEnd"/>
      <w:r w:rsidRPr="00884BE2">
        <w:rPr>
          <w:sz w:val="22"/>
          <w:szCs w:val="22"/>
        </w:rPr>
        <w:t xml:space="preserve"> for Ongoing and Newly Diagnosed Collaborative. Effectiveness of the diabetes education and </w:t>
      </w:r>
      <w:proofErr w:type="spellStart"/>
      <w:r w:rsidRPr="00884BE2">
        <w:rPr>
          <w:sz w:val="22"/>
          <w:szCs w:val="22"/>
        </w:rPr>
        <w:t>self management</w:t>
      </w:r>
      <w:proofErr w:type="spellEnd"/>
      <w:r w:rsidRPr="00884BE2">
        <w:rPr>
          <w:sz w:val="22"/>
          <w:szCs w:val="22"/>
        </w:rPr>
        <w:t xml:space="preserve"> for ongoing and newly diagnosed (DESMOND) programme for people with newly diagnosed type 2 diabetes: cluster randomised controlled trial. BMJ 2008</w:t>
      </w:r>
      <w:proofErr w:type="gramStart"/>
      <w:r w:rsidRPr="00884BE2">
        <w:rPr>
          <w:sz w:val="22"/>
          <w:szCs w:val="22"/>
        </w:rPr>
        <w:t>;336</w:t>
      </w:r>
      <w:proofErr w:type="gramEnd"/>
      <w:r w:rsidRPr="00884BE2">
        <w:rPr>
          <w:sz w:val="22"/>
          <w:szCs w:val="22"/>
        </w:rPr>
        <w:t>(7642):491-5.</w:t>
      </w:r>
    </w:p>
    <w:p w:rsidR="00D87A35" w:rsidRPr="00884BE2" w:rsidRDefault="00D87A35" w:rsidP="00D87A35">
      <w:pPr>
        <w:pStyle w:val="FootnoteText"/>
        <w:numPr>
          <w:ilvl w:val="0"/>
          <w:numId w:val="9"/>
        </w:numPr>
        <w:jc w:val="both"/>
        <w:rPr>
          <w:sz w:val="22"/>
          <w:szCs w:val="22"/>
        </w:rPr>
      </w:pPr>
      <w:proofErr w:type="spellStart"/>
      <w:r w:rsidRPr="00884BE2">
        <w:rPr>
          <w:sz w:val="22"/>
          <w:szCs w:val="22"/>
          <w:lang w:val="fr-FR"/>
        </w:rPr>
        <w:t>Bravis</w:t>
      </w:r>
      <w:proofErr w:type="spellEnd"/>
      <w:r w:rsidRPr="00884BE2">
        <w:rPr>
          <w:sz w:val="22"/>
          <w:szCs w:val="22"/>
          <w:lang w:val="fr-FR"/>
        </w:rPr>
        <w:t xml:space="preserve"> V, Hui E, </w:t>
      </w:r>
      <w:proofErr w:type="spellStart"/>
      <w:r w:rsidRPr="00884BE2">
        <w:rPr>
          <w:sz w:val="22"/>
          <w:szCs w:val="22"/>
          <w:lang w:val="fr-FR"/>
        </w:rPr>
        <w:t>Salih</w:t>
      </w:r>
      <w:proofErr w:type="spellEnd"/>
      <w:r w:rsidRPr="00884BE2">
        <w:rPr>
          <w:sz w:val="22"/>
          <w:szCs w:val="22"/>
          <w:lang w:val="fr-FR"/>
        </w:rPr>
        <w:t xml:space="preserve"> S et al. </w:t>
      </w:r>
      <w:r w:rsidRPr="00884BE2">
        <w:rPr>
          <w:sz w:val="22"/>
          <w:szCs w:val="22"/>
        </w:rPr>
        <w:t xml:space="preserve">Ramadan education and awareness in diabetes programme for Muslims with type 2 diabetes who fast during Ramadan. </w:t>
      </w:r>
      <w:proofErr w:type="spellStart"/>
      <w:r w:rsidRPr="00884BE2">
        <w:rPr>
          <w:sz w:val="22"/>
          <w:szCs w:val="22"/>
        </w:rPr>
        <w:t>Diabet</w:t>
      </w:r>
      <w:proofErr w:type="spellEnd"/>
      <w:r w:rsidRPr="00884BE2">
        <w:rPr>
          <w:sz w:val="22"/>
          <w:szCs w:val="22"/>
        </w:rPr>
        <w:t xml:space="preserve"> Medicine 2010</w:t>
      </w:r>
      <w:proofErr w:type="gramStart"/>
      <w:r w:rsidRPr="00884BE2">
        <w:rPr>
          <w:sz w:val="22"/>
          <w:szCs w:val="22"/>
        </w:rPr>
        <w:t>;27:327</w:t>
      </w:r>
      <w:proofErr w:type="gramEnd"/>
      <w:r w:rsidRPr="00884BE2">
        <w:rPr>
          <w:sz w:val="22"/>
          <w:szCs w:val="22"/>
        </w:rPr>
        <w:t>-31.</w:t>
      </w:r>
    </w:p>
    <w:p w:rsidR="003D0E76" w:rsidRPr="00884BE2" w:rsidRDefault="003D0E76" w:rsidP="00B4470C">
      <w:pPr>
        <w:pStyle w:val="FootnoteText"/>
        <w:numPr>
          <w:ilvl w:val="0"/>
          <w:numId w:val="9"/>
        </w:numPr>
        <w:jc w:val="both"/>
        <w:rPr>
          <w:rStyle w:val="Hyperlink"/>
          <w:color w:val="auto"/>
          <w:sz w:val="22"/>
          <w:szCs w:val="22"/>
          <w:u w:val="none"/>
        </w:rPr>
      </w:pPr>
      <w:r w:rsidRPr="00884BE2">
        <w:rPr>
          <w:sz w:val="22"/>
          <w:szCs w:val="22"/>
        </w:rPr>
        <w:t>Daly H, Byrne J, Martin-Stacey L et al. ‘A Safer Ramadan’: developing an integrated approach to support safer fasting and feasting for people with type 2 diabetes. Practical Diabetes. 2014</w:t>
      </w:r>
      <w:proofErr w:type="gramStart"/>
      <w:r w:rsidRPr="00884BE2">
        <w:rPr>
          <w:sz w:val="22"/>
          <w:szCs w:val="22"/>
        </w:rPr>
        <w:t>;31</w:t>
      </w:r>
      <w:proofErr w:type="gramEnd"/>
      <w:r w:rsidRPr="00884BE2">
        <w:rPr>
          <w:sz w:val="22"/>
          <w:szCs w:val="22"/>
        </w:rPr>
        <w:t>(7):292-7.</w:t>
      </w:r>
      <w:r w:rsidRPr="00884BE2">
        <w:rPr>
          <w:rStyle w:val="Hyperlink"/>
          <w:sz w:val="22"/>
          <w:szCs w:val="22"/>
        </w:rPr>
        <w:t xml:space="preserve"> </w:t>
      </w:r>
    </w:p>
    <w:p w:rsidR="00085818" w:rsidRPr="00884BE2" w:rsidRDefault="00085818" w:rsidP="00085818">
      <w:pPr>
        <w:pStyle w:val="ListParagraph"/>
        <w:numPr>
          <w:ilvl w:val="0"/>
          <w:numId w:val="9"/>
        </w:numPr>
        <w:rPr>
          <w:lang w:val="en"/>
        </w:rPr>
      </w:pPr>
      <w:r w:rsidRPr="00884BE2">
        <w:rPr>
          <w:lang w:val="en"/>
        </w:rPr>
        <w:t xml:space="preserve">Factsheet about Ramadan and Diabetes, 2014. Written by the Muslim Council of Britain Diabetes Advisory Group (Dr Sarah Ali, Dr </w:t>
      </w:r>
      <w:proofErr w:type="spellStart"/>
      <w:r w:rsidRPr="00884BE2">
        <w:rPr>
          <w:lang w:val="en"/>
        </w:rPr>
        <w:t>Sufyan</w:t>
      </w:r>
      <w:proofErr w:type="spellEnd"/>
      <w:r w:rsidRPr="00884BE2">
        <w:rPr>
          <w:lang w:val="en"/>
        </w:rPr>
        <w:t xml:space="preserve"> Hussain, Dr </w:t>
      </w:r>
      <w:proofErr w:type="spellStart"/>
      <w:r w:rsidRPr="00884BE2">
        <w:rPr>
          <w:lang w:val="en"/>
        </w:rPr>
        <w:t>Tahseen</w:t>
      </w:r>
      <w:proofErr w:type="spellEnd"/>
      <w:r w:rsidRPr="00884BE2">
        <w:rPr>
          <w:lang w:val="en"/>
        </w:rPr>
        <w:t xml:space="preserve"> Chowdhury, Professor </w:t>
      </w:r>
      <w:proofErr w:type="spellStart"/>
      <w:r w:rsidRPr="00884BE2">
        <w:rPr>
          <w:lang w:val="en"/>
        </w:rPr>
        <w:t>Wasim</w:t>
      </w:r>
      <w:proofErr w:type="spellEnd"/>
      <w:r w:rsidRPr="00884BE2">
        <w:rPr>
          <w:lang w:val="en"/>
        </w:rPr>
        <w:t xml:space="preserve"> </w:t>
      </w:r>
      <w:proofErr w:type="spellStart"/>
      <w:r w:rsidRPr="00884BE2">
        <w:rPr>
          <w:lang w:val="en"/>
        </w:rPr>
        <w:t>Hanif</w:t>
      </w:r>
      <w:proofErr w:type="spellEnd"/>
      <w:r w:rsidRPr="00884BE2">
        <w:rPr>
          <w:lang w:val="en"/>
        </w:rPr>
        <w:t xml:space="preserve"> and Dr </w:t>
      </w:r>
      <w:proofErr w:type="spellStart"/>
      <w:r w:rsidRPr="00884BE2">
        <w:rPr>
          <w:lang w:val="en"/>
        </w:rPr>
        <w:t>Shuja</w:t>
      </w:r>
      <w:proofErr w:type="spellEnd"/>
      <w:r w:rsidRPr="00884BE2">
        <w:rPr>
          <w:lang w:val="en"/>
        </w:rPr>
        <w:t xml:space="preserve"> </w:t>
      </w:r>
      <w:proofErr w:type="spellStart"/>
      <w:r w:rsidRPr="00884BE2">
        <w:rPr>
          <w:lang w:val="en"/>
        </w:rPr>
        <w:t>Shafi</w:t>
      </w:r>
      <w:proofErr w:type="spellEnd"/>
      <w:r w:rsidRPr="00884BE2">
        <w:rPr>
          <w:lang w:val="en"/>
        </w:rPr>
        <w:t>) and Diabetes UK.</w:t>
      </w:r>
    </w:p>
    <w:p w:rsidR="00085818" w:rsidRPr="00884BE2" w:rsidRDefault="00875638" w:rsidP="00085818">
      <w:pPr>
        <w:pStyle w:val="ListParagraph"/>
        <w:numPr>
          <w:ilvl w:val="0"/>
          <w:numId w:val="9"/>
        </w:numPr>
        <w:rPr>
          <w:lang w:val="en"/>
        </w:rPr>
      </w:pPr>
      <w:r w:rsidRPr="00884BE2">
        <w:t xml:space="preserve">Muslim Spiritual Care Division in the NHS. Ramadan Health Factsheet 2009. A project of the Muslim Council in Partnership with the department of Health. Available from </w:t>
      </w:r>
      <w:hyperlink r:id="rId20" w:history="1">
        <w:r w:rsidRPr="00884BE2">
          <w:rPr>
            <w:rStyle w:val="Hyperlink"/>
          </w:rPr>
          <w:t>nhsspiritualcare@mcb.org.uk</w:t>
        </w:r>
      </w:hyperlink>
      <w:r w:rsidR="00A82D42" w:rsidRPr="00884BE2">
        <w:rPr>
          <w:rStyle w:val="Hyperlink"/>
        </w:rPr>
        <w:t xml:space="preserve">. </w:t>
      </w:r>
      <w:r w:rsidR="00A82D42" w:rsidRPr="00884BE2">
        <w:rPr>
          <w:lang w:val="fr-FR"/>
        </w:rPr>
        <w:t>[</w:t>
      </w:r>
      <w:r w:rsidR="00A82D42" w:rsidRPr="00884BE2">
        <w:t>Accessed February 2014]</w:t>
      </w:r>
      <w:r w:rsidR="00C20409" w:rsidRPr="00884BE2">
        <w:t>.</w:t>
      </w:r>
    </w:p>
    <w:p w:rsidR="00085818" w:rsidRPr="00884BE2" w:rsidRDefault="00875638" w:rsidP="00085818">
      <w:pPr>
        <w:pStyle w:val="ListParagraph"/>
        <w:numPr>
          <w:ilvl w:val="0"/>
          <w:numId w:val="9"/>
        </w:numPr>
        <w:rPr>
          <w:lang w:val="en"/>
        </w:rPr>
      </w:pPr>
      <w:r w:rsidRPr="00884BE2">
        <w:rPr>
          <w:lang w:val="fr-FR"/>
        </w:rPr>
        <w:t xml:space="preserve">Amiel SA, Dixon T, Mann R et al. </w:t>
      </w:r>
      <w:r w:rsidRPr="00884BE2">
        <w:t xml:space="preserve">Hypoglycaemia in type 2 diabetes. </w:t>
      </w:r>
      <w:proofErr w:type="spellStart"/>
      <w:r w:rsidRPr="00884BE2">
        <w:t>Diabet</w:t>
      </w:r>
      <w:proofErr w:type="spellEnd"/>
      <w:r w:rsidRPr="00884BE2">
        <w:t xml:space="preserve"> Med</w:t>
      </w:r>
      <w:r w:rsidR="00C20409" w:rsidRPr="00884BE2">
        <w:t>icine</w:t>
      </w:r>
      <w:r w:rsidRPr="00884BE2">
        <w:t xml:space="preserve"> 2008</w:t>
      </w:r>
      <w:proofErr w:type="gramStart"/>
      <w:r w:rsidRPr="00884BE2">
        <w:t>;25:245</w:t>
      </w:r>
      <w:proofErr w:type="gramEnd"/>
      <w:r w:rsidRPr="00884BE2">
        <w:t>-54</w:t>
      </w:r>
      <w:r w:rsidR="00C20409" w:rsidRPr="00884BE2">
        <w:t>.</w:t>
      </w:r>
    </w:p>
    <w:p w:rsidR="00085818" w:rsidRPr="00884BE2" w:rsidRDefault="00875638" w:rsidP="00085818">
      <w:pPr>
        <w:pStyle w:val="ListParagraph"/>
        <w:numPr>
          <w:ilvl w:val="0"/>
          <w:numId w:val="9"/>
        </w:numPr>
        <w:rPr>
          <w:lang w:val="en"/>
        </w:rPr>
      </w:pPr>
      <w:r w:rsidRPr="00884BE2">
        <w:t xml:space="preserve">Aadil N, </w:t>
      </w:r>
      <w:proofErr w:type="spellStart"/>
      <w:r w:rsidRPr="00884BE2">
        <w:t>Houti</w:t>
      </w:r>
      <w:proofErr w:type="spellEnd"/>
      <w:r w:rsidRPr="00884BE2">
        <w:t xml:space="preserve"> IE, </w:t>
      </w:r>
      <w:proofErr w:type="spellStart"/>
      <w:r w:rsidRPr="00884BE2">
        <w:t>Moussamih</w:t>
      </w:r>
      <w:proofErr w:type="spellEnd"/>
      <w:r w:rsidRPr="00884BE2">
        <w:t xml:space="preserve"> S. Drug intake during Ramadan. BMJ 2004</w:t>
      </w:r>
      <w:proofErr w:type="gramStart"/>
      <w:r w:rsidRPr="00884BE2">
        <w:t>;329:778</w:t>
      </w:r>
      <w:proofErr w:type="gramEnd"/>
      <w:r w:rsidRPr="00884BE2">
        <w:t>-82</w:t>
      </w:r>
      <w:r w:rsidR="00C20409" w:rsidRPr="00884BE2">
        <w:t>.</w:t>
      </w:r>
    </w:p>
    <w:p w:rsidR="00085818" w:rsidRPr="00884BE2" w:rsidRDefault="00875638" w:rsidP="00085818">
      <w:pPr>
        <w:pStyle w:val="ListParagraph"/>
        <w:numPr>
          <w:ilvl w:val="0"/>
          <w:numId w:val="9"/>
        </w:numPr>
        <w:rPr>
          <w:lang w:val="en"/>
        </w:rPr>
      </w:pPr>
      <w:proofErr w:type="spellStart"/>
      <w:r w:rsidRPr="00884BE2">
        <w:t>Mucha</w:t>
      </w:r>
      <w:proofErr w:type="spellEnd"/>
      <w:r w:rsidRPr="00884BE2">
        <w:t xml:space="preserve"> GT, Merkel S, Thomas W</w:t>
      </w:r>
      <w:r w:rsidR="00C20409" w:rsidRPr="00884BE2">
        <w:t xml:space="preserve"> et al</w:t>
      </w:r>
      <w:r w:rsidRPr="00884BE2">
        <w:t xml:space="preserve">. Fasting and insulin </w:t>
      </w:r>
      <w:proofErr w:type="spellStart"/>
      <w:r w:rsidRPr="00884BE2">
        <w:t>glargine</w:t>
      </w:r>
      <w:proofErr w:type="spellEnd"/>
      <w:r w:rsidRPr="00884BE2">
        <w:t xml:space="preserve"> in individuals with type 1 diabetes. Diabetes Care. 2004</w:t>
      </w:r>
      <w:proofErr w:type="gramStart"/>
      <w:r w:rsidRPr="00884BE2">
        <w:t>;27</w:t>
      </w:r>
      <w:proofErr w:type="gramEnd"/>
      <w:r w:rsidRPr="00884BE2">
        <w:t>(5):1209-10.</w:t>
      </w:r>
    </w:p>
    <w:p w:rsidR="00085818" w:rsidRPr="00884BE2" w:rsidRDefault="00875638" w:rsidP="00085818">
      <w:pPr>
        <w:pStyle w:val="ListParagraph"/>
        <w:numPr>
          <w:ilvl w:val="0"/>
          <w:numId w:val="9"/>
        </w:numPr>
        <w:rPr>
          <w:lang w:val="en"/>
        </w:rPr>
      </w:pPr>
      <w:r w:rsidRPr="00884BE2">
        <w:t xml:space="preserve">Azar ST, </w:t>
      </w:r>
      <w:proofErr w:type="spellStart"/>
      <w:r w:rsidRPr="00884BE2">
        <w:t>Khairallah</w:t>
      </w:r>
      <w:proofErr w:type="spellEnd"/>
      <w:r w:rsidRPr="00884BE2">
        <w:t xml:space="preserve"> WG, </w:t>
      </w:r>
      <w:proofErr w:type="spellStart"/>
      <w:r w:rsidRPr="00884BE2">
        <w:t>Merheb</w:t>
      </w:r>
      <w:proofErr w:type="spellEnd"/>
      <w:r w:rsidRPr="00884BE2">
        <w:t xml:space="preserve"> MT</w:t>
      </w:r>
      <w:r w:rsidR="00617D97" w:rsidRPr="00884BE2">
        <w:t xml:space="preserve"> et al</w:t>
      </w:r>
      <w:r w:rsidRPr="00884BE2">
        <w:t xml:space="preserve">. Insulin therapy during Ramadan fast for patients with type 1 diabetes mellitus. J Med </w:t>
      </w:r>
      <w:proofErr w:type="spellStart"/>
      <w:r w:rsidRPr="00884BE2">
        <w:t>Liban</w:t>
      </w:r>
      <w:proofErr w:type="spellEnd"/>
      <w:r w:rsidRPr="00884BE2">
        <w:t xml:space="preserve"> 2008</w:t>
      </w:r>
      <w:proofErr w:type="gramStart"/>
      <w:r w:rsidRPr="00884BE2">
        <w:t>;56</w:t>
      </w:r>
      <w:proofErr w:type="gramEnd"/>
      <w:r w:rsidRPr="00884BE2">
        <w:t>(1):46.</w:t>
      </w:r>
    </w:p>
    <w:p w:rsidR="00085818" w:rsidRPr="00884BE2" w:rsidRDefault="00875638" w:rsidP="00085818">
      <w:pPr>
        <w:pStyle w:val="ListParagraph"/>
        <w:numPr>
          <w:ilvl w:val="0"/>
          <w:numId w:val="9"/>
        </w:numPr>
        <w:rPr>
          <w:lang w:val="en"/>
        </w:rPr>
      </w:pPr>
      <w:proofErr w:type="spellStart"/>
      <w:r w:rsidRPr="00884BE2">
        <w:t>Kadiri</w:t>
      </w:r>
      <w:proofErr w:type="spellEnd"/>
      <w:r w:rsidRPr="00884BE2">
        <w:t xml:space="preserve"> A, Al-</w:t>
      </w:r>
      <w:proofErr w:type="spellStart"/>
      <w:r w:rsidRPr="00884BE2">
        <w:t>Nakhi</w:t>
      </w:r>
      <w:proofErr w:type="spellEnd"/>
      <w:r w:rsidRPr="00884BE2">
        <w:t xml:space="preserve"> A, El-</w:t>
      </w:r>
      <w:proofErr w:type="spellStart"/>
      <w:r w:rsidRPr="00884BE2">
        <w:t>Ghazali</w:t>
      </w:r>
      <w:proofErr w:type="spellEnd"/>
      <w:r w:rsidRPr="00884BE2">
        <w:t xml:space="preserve"> S</w:t>
      </w:r>
      <w:r w:rsidR="008C1A88" w:rsidRPr="00884BE2">
        <w:t xml:space="preserve"> et al.</w:t>
      </w:r>
      <w:r w:rsidRPr="00884BE2">
        <w:t xml:space="preserve"> Treatment of type 1 diabetes with insulin </w:t>
      </w:r>
      <w:proofErr w:type="spellStart"/>
      <w:r w:rsidRPr="00884BE2">
        <w:t>lispro</w:t>
      </w:r>
      <w:proofErr w:type="spellEnd"/>
      <w:r w:rsidRPr="00884BE2">
        <w:t xml:space="preserve"> during Ramadan. Diabetes </w:t>
      </w:r>
      <w:proofErr w:type="spellStart"/>
      <w:r w:rsidRPr="00884BE2">
        <w:t>Metab</w:t>
      </w:r>
      <w:proofErr w:type="spellEnd"/>
      <w:r w:rsidRPr="00884BE2">
        <w:t xml:space="preserve"> 2001</w:t>
      </w:r>
      <w:proofErr w:type="gramStart"/>
      <w:r w:rsidRPr="00884BE2">
        <w:t>;27:482</w:t>
      </w:r>
      <w:proofErr w:type="gramEnd"/>
      <w:r w:rsidRPr="00884BE2">
        <w:t>-6.</w:t>
      </w:r>
    </w:p>
    <w:p w:rsidR="00803B1D" w:rsidRPr="00884BE2" w:rsidRDefault="00875638" w:rsidP="00803B1D">
      <w:pPr>
        <w:pStyle w:val="ListParagraph"/>
        <w:numPr>
          <w:ilvl w:val="0"/>
          <w:numId w:val="9"/>
        </w:numPr>
        <w:rPr>
          <w:lang w:val="en"/>
        </w:rPr>
      </w:pPr>
      <w:proofErr w:type="spellStart"/>
      <w:r w:rsidRPr="00884BE2">
        <w:rPr>
          <w:lang w:val="fr-FR"/>
        </w:rPr>
        <w:t>Benbarka</w:t>
      </w:r>
      <w:proofErr w:type="spellEnd"/>
      <w:r w:rsidRPr="00884BE2">
        <w:rPr>
          <w:lang w:val="fr-FR"/>
        </w:rPr>
        <w:t xml:space="preserve"> MM, Khalil AB, </w:t>
      </w:r>
      <w:proofErr w:type="spellStart"/>
      <w:r w:rsidRPr="00884BE2">
        <w:rPr>
          <w:lang w:val="fr-FR"/>
        </w:rPr>
        <w:t>Beshyah</w:t>
      </w:r>
      <w:proofErr w:type="spellEnd"/>
      <w:r w:rsidRPr="00884BE2">
        <w:rPr>
          <w:lang w:val="fr-FR"/>
        </w:rPr>
        <w:t xml:space="preserve"> SA</w:t>
      </w:r>
      <w:r w:rsidR="002E25B0" w:rsidRPr="00884BE2">
        <w:rPr>
          <w:lang w:val="fr-FR"/>
        </w:rPr>
        <w:t xml:space="preserve"> et al</w:t>
      </w:r>
      <w:r w:rsidRPr="00884BE2">
        <w:rPr>
          <w:lang w:val="fr-FR"/>
        </w:rPr>
        <w:t xml:space="preserve">. </w:t>
      </w:r>
      <w:r w:rsidRPr="00884BE2">
        <w:t xml:space="preserve">Insulin pump therapy in Moslem patients with type 1 diabetes during Ramadan fasting: an observational report. Diabetes </w:t>
      </w:r>
      <w:proofErr w:type="spellStart"/>
      <w:r w:rsidRPr="00884BE2">
        <w:t>Technol</w:t>
      </w:r>
      <w:proofErr w:type="spellEnd"/>
      <w:r w:rsidRPr="00884BE2">
        <w:t xml:space="preserve"> </w:t>
      </w:r>
      <w:proofErr w:type="spellStart"/>
      <w:r w:rsidRPr="00884BE2">
        <w:t>Ther</w:t>
      </w:r>
      <w:proofErr w:type="spellEnd"/>
      <w:r w:rsidRPr="00884BE2">
        <w:t>. 2010</w:t>
      </w:r>
      <w:proofErr w:type="gramStart"/>
      <w:r w:rsidRPr="00884BE2">
        <w:t>;12</w:t>
      </w:r>
      <w:proofErr w:type="gramEnd"/>
      <w:r w:rsidRPr="00884BE2">
        <w:t>(4):287-90.</w:t>
      </w:r>
    </w:p>
    <w:p w:rsidR="00803B1D" w:rsidRPr="00884BE2" w:rsidRDefault="00875638" w:rsidP="00803B1D">
      <w:pPr>
        <w:pStyle w:val="ListParagraph"/>
        <w:numPr>
          <w:ilvl w:val="0"/>
          <w:numId w:val="9"/>
        </w:numPr>
        <w:rPr>
          <w:lang w:val="en"/>
        </w:rPr>
      </w:pPr>
      <w:r w:rsidRPr="00884BE2">
        <w:t xml:space="preserve">Pan C, Yang W, Barona JP et al. Comparison of vildagliptin and </w:t>
      </w:r>
      <w:proofErr w:type="spellStart"/>
      <w:r w:rsidRPr="00884BE2">
        <w:t>acarbose</w:t>
      </w:r>
      <w:proofErr w:type="spellEnd"/>
      <w:r w:rsidRPr="00884BE2">
        <w:t xml:space="preserve"> monotherapy in patients with type 2 diabetes: a 24-week, double-blind, randomized trial. </w:t>
      </w:r>
      <w:proofErr w:type="spellStart"/>
      <w:r w:rsidRPr="00884BE2">
        <w:t>Diabet</w:t>
      </w:r>
      <w:proofErr w:type="spellEnd"/>
      <w:r w:rsidRPr="00884BE2">
        <w:t xml:space="preserve"> Medicine 2008</w:t>
      </w:r>
      <w:proofErr w:type="gramStart"/>
      <w:r w:rsidRPr="00884BE2">
        <w:t>;25:435</w:t>
      </w:r>
      <w:proofErr w:type="gramEnd"/>
      <w:r w:rsidRPr="00884BE2">
        <w:t>-41.</w:t>
      </w:r>
    </w:p>
    <w:p w:rsidR="00803B1D" w:rsidRPr="00884BE2" w:rsidRDefault="008E4308" w:rsidP="00803B1D">
      <w:pPr>
        <w:pStyle w:val="ListParagraph"/>
        <w:numPr>
          <w:ilvl w:val="0"/>
          <w:numId w:val="9"/>
        </w:numPr>
        <w:rPr>
          <w:lang w:val="en"/>
        </w:rPr>
      </w:pPr>
      <w:r w:rsidRPr="00884BE2">
        <w:t>McIntosh B, Cameron C, Singh SR et al. Second-line therapy in patients with type 2 diabetes inadequately controlled with metformin monotherapy: a systematic review and mixed-treatment comparison meta-analysis. Open Med. 2011</w:t>
      </w:r>
      <w:proofErr w:type="gramStart"/>
      <w:r w:rsidRPr="00884BE2">
        <w:t>;5</w:t>
      </w:r>
      <w:proofErr w:type="gramEnd"/>
      <w:r w:rsidRPr="00884BE2">
        <w:t>(1):e35-48.</w:t>
      </w:r>
    </w:p>
    <w:p w:rsidR="00803B1D" w:rsidRPr="00884BE2" w:rsidRDefault="00875638" w:rsidP="00803B1D">
      <w:pPr>
        <w:pStyle w:val="ListParagraph"/>
        <w:numPr>
          <w:ilvl w:val="0"/>
          <w:numId w:val="9"/>
        </w:numPr>
        <w:rPr>
          <w:lang w:val="en"/>
        </w:rPr>
      </w:pPr>
      <w:proofErr w:type="spellStart"/>
      <w:r w:rsidRPr="00884BE2">
        <w:t>Mafauzy</w:t>
      </w:r>
      <w:proofErr w:type="spellEnd"/>
      <w:r w:rsidRPr="00884BE2">
        <w:t xml:space="preserve"> M. Repaglinide versus </w:t>
      </w:r>
      <w:proofErr w:type="spellStart"/>
      <w:r w:rsidRPr="00884BE2">
        <w:t>glibenclamide</w:t>
      </w:r>
      <w:proofErr w:type="spellEnd"/>
      <w:r w:rsidRPr="00884BE2">
        <w:t xml:space="preserve"> treatment of type 2 diabetes during Ramadan fasting. Diabetes Res </w:t>
      </w:r>
      <w:proofErr w:type="spellStart"/>
      <w:r w:rsidRPr="00884BE2">
        <w:t>Clin</w:t>
      </w:r>
      <w:proofErr w:type="spellEnd"/>
      <w:r w:rsidRPr="00884BE2">
        <w:t xml:space="preserve"> </w:t>
      </w:r>
      <w:proofErr w:type="spellStart"/>
      <w:r w:rsidRPr="00884BE2">
        <w:t>Pract</w:t>
      </w:r>
      <w:proofErr w:type="spellEnd"/>
      <w:r w:rsidRPr="00884BE2">
        <w:t xml:space="preserve"> 2002</w:t>
      </w:r>
      <w:proofErr w:type="gramStart"/>
      <w:r w:rsidRPr="00884BE2">
        <w:t>;58</w:t>
      </w:r>
      <w:proofErr w:type="gramEnd"/>
      <w:r w:rsidRPr="00884BE2">
        <w:t>(1):45-53.</w:t>
      </w:r>
    </w:p>
    <w:p w:rsidR="00803B1D" w:rsidRPr="00884BE2" w:rsidRDefault="00875638" w:rsidP="00803B1D">
      <w:pPr>
        <w:pStyle w:val="ListParagraph"/>
        <w:numPr>
          <w:ilvl w:val="0"/>
          <w:numId w:val="9"/>
        </w:numPr>
        <w:rPr>
          <w:lang w:val="en"/>
        </w:rPr>
      </w:pPr>
      <w:r w:rsidRPr="00884BE2">
        <w:rPr>
          <w:lang w:val="fr-FR"/>
        </w:rPr>
        <w:t xml:space="preserve">Sari R, </w:t>
      </w:r>
      <w:proofErr w:type="spellStart"/>
      <w:r w:rsidRPr="00884BE2">
        <w:rPr>
          <w:lang w:val="fr-FR"/>
        </w:rPr>
        <w:t>Balci</w:t>
      </w:r>
      <w:proofErr w:type="spellEnd"/>
      <w:r w:rsidRPr="00884BE2">
        <w:rPr>
          <w:lang w:val="fr-FR"/>
        </w:rPr>
        <w:t xml:space="preserve"> MK, </w:t>
      </w:r>
      <w:proofErr w:type="spellStart"/>
      <w:r w:rsidRPr="00884BE2">
        <w:rPr>
          <w:lang w:val="fr-FR"/>
        </w:rPr>
        <w:t>Akbas</w:t>
      </w:r>
      <w:proofErr w:type="spellEnd"/>
      <w:r w:rsidRPr="00884BE2">
        <w:rPr>
          <w:lang w:val="fr-FR"/>
        </w:rPr>
        <w:t xml:space="preserve"> SH</w:t>
      </w:r>
      <w:r w:rsidR="009C776E" w:rsidRPr="00884BE2">
        <w:rPr>
          <w:lang w:val="fr-FR"/>
        </w:rPr>
        <w:t xml:space="preserve"> et al.</w:t>
      </w:r>
      <w:r w:rsidRPr="00884BE2">
        <w:rPr>
          <w:lang w:val="fr-FR"/>
        </w:rPr>
        <w:t xml:space="preserve"> </w:t>
      </w:r>
      <w:r w:rsidRPr="00884BE2">
        <w:t xml:space="preserve">The effects of diet, sulfonylurea and repaglinide therapy on clinical and metabolic parameters in type 2 diabetic patients during Ramadan. </w:t>
      </w:r>
      <w:proofErr w:type="spellStart"/>
      <w:r w:rsidRPr="00884BE2">
        <w:t>Endocr</w:t>
      </w:r>
      <w:proofErr w:type="spellEnd"/>
      <w:r w:rsidRPr="00884BE2">
        <w:t xml:space="preserve"> Res 2004</w:t>
      </w:r>
      <w:proofErr w:type="gramStart"/>
      <w:r w:rsidRPr="00884BE2">
        <w:t>;30:169</w:t>
      </w:r>
      <w:proofErr w:type="gramEnd"/>
      <w:r w:rsidRPr="00884BE2">
        <w:t>-77.</w:t>
      </w:r>
    </w:p>
    <w:p w:rsidR="00803B1D" w:rsidRPr="00884BE2" w:rsidRDefault="00875638" w:rsidP="00803B1D">
      <w:pPr>
        <w:pStyle w:val="ListParagraph"/>
        <w:numPr>
          <w:ilvl w:val="0"/>
          <w:numId w:val="9"/>
        </w:numPr>
        <w:rPr>
          <w:lang w:val="en"/>
        </w:rPr>
      </w:pPr>
      <w:r w:rsidRPr="00884BE2">
        <w:t xml:space="preserve">Anwar A, </w:t>
      </w:r>
      <w:proofErr w:type="spellStart"/>
      <w:r w:rsidRPr="00884BE2">
        <w:t>Azmi</w:t>
      </w:r>
      <w:proofErr w:type="spellEnd"/>
      <w:r w:rsidRPr="00884BE2">
        <w:t xml:space="preserve"> KN, </w:t>
      </w:r>
      <w:proofErr w:type="spellStart"/>
      <w:r w:rsidRPr="00884BE2">
        <w:t>Hamidon</w:t>
      </w:r>
      <w:proofErr w:type="spellEnd"/>
      <w:r w:rsidRPr="00884BE2">
        <w:t xml:space="preserve"> BB</w:t>
      </w:r>
      <w:r w:rsidR="008F3D8E" w:rsidRPr="00884BE2">
        <w:t xml:space="preserve"> et al</w:t>
      </w:r>
      <w:r w:rsidRPr="00884BE2">
        <w:t>. An open label comparative study of glimepiride versus repaglinide in type 2 diabetes mellitus Muslim subjects during the month of Ramadan. Med J Malaysia 2006</w:t>
      </w:r>
      <w:proofErr w:type="gramStart"/>
      <w:r w:rsidRPr="00884BE2">
        <w:t>;61:28</w:t>
      </w:r>
      <w:proofErr w:type="gramEnd"/>
      <w:r w:rsidRPr="00884BE2">
        <w:t>-35.</w:t>
      </w:r>
    </w:p>
    <w:p w:rsidR="00737DA7" w:rsidRPr="00884BE2" w:rsidRDefault="00875638" w:rsidP="00803B1D">
      <w:pPr>
        <w:pStyle w:val="ListParagraph"/>
        <w:numPr>
          <w:ilvl w:val="0"/>
          <w:numId w:val="9"/>
        </w:numPr>
        <w:rPr>
          <w:lang w:val="en"/>
        </w:rPr>
      </w:pPr>
      <w:proofErr w:type="spellStart"/>
      <w:r w:rsidRPr="00884BE2">
        <w:t>Glimperide</w:t>
      </w:r>
      <w:proofErr w:type="spellEnd"/>
      <w:r w:rsidRPr="00884BE2">
        <w:t xml:space="preserve"> in Ramadan (GLIRA) Study Group. The efficacy and safety of glimepiride in the management of type 2 diabetes in Muslim patients during Ramadan. Diabetes Care 2005</w:t>
      </w:r>
      <w:proofErr w:type="gramStart"/>
      <w:r w:rsidRPr="00884BE2">
        <w:t>;28:421</w:t>
      </w:r>
      <w:proofErr w:type="gramEnd"/>
      <w:r w:rsidRPr="00884BE2">
        <w:t>-2.</w:t>
      </w:r>
    </w:p>
    <w:p w:rsidR="00B47D4B" w:rsidRPr="00884BE2" w:rsidRDefault="00B47D4B" w:rsidP="00B47D4B">
      <w:pPr>
        <w:pStyle w:val="FootnoteText"/>
        <w:ind w:left="720"/>
        <w:jc w:val="both"/>
        <w:rPr>
          <w:sz w:val="22"/>
          <w:szCs w:val="22"/>
        </w:rPr>
      </w:pPr>
    </w:p>
    <w:p w:rsidR="00737DA7" w:rsidRPr="00884BE2" w:rsidRDefault="00875638" w:rsidP="00512236">
      <w:pPr>
        <w:pStyle w:val="FootnoteText"/>
        <w:numPr>
          <w:ilvl w:val="0"/>
          <w:numId w:val="9"/>
        </w:numPr>
        <w:jc w:val="both"/>
        <w:rPr>
          <w:sz w:val="22"/>
          <w:szCs w:val="22"/>
        </w:rPr>
      </w:pPr>
      <w:proofErr w:type="spellStart"/>
      <w:r w:rsidRPr="00884BE2">
        <w:rPr>
          <w:sz w:val="22"/>
          <w:szCs w:val="22"/>
        </w:rPr>
        <w:t>Vasan</w:t>
      </w:r>
      <w:proofErr w:type="spellEnd"/>
      <w:r w:rsidRPr="00884BE2">
        <w:rPr>
          <w:sz w:val="22"/>
          <w:szCs w:val="22"/>
        </w:rPr>
        <w:t xml:space="preserve"> S, Thomas N, </w:t>
      </w:r>
      <w:proofErr w:type="spellStart"/>
      <w:r w:rsidRPr="00884BE2">
        <w:rPr>
          <w:sz w:val="22"/>
          <w:szCs w:val="22"/>
        </w:rPr>
        <w:t>Bharani</w:t>
      </w:r>
      <w:proofErr w:type="spellEnd"/>
      <w:r w:rsidR="00D330FD" w:rsidRPr="00884BE2">
        <w:rPr>
          <w:sz w:val="22"/>
          <w:szCs w:val="22"/>
        </w:rPr>
        <w:t xml:space="preserve"> </w:t>
      </w:r>
      <w:r w:rsidRPr="00884BE2">
        <w:rPr>
          <w:sz w:val="22"/>
          <w:szCs w:val="22"/>
        </w:rPr>
        <w:t xml:space="preserve">et al. A double-blind, randomized, </w:t>
      </w:r>
      <w:proofErr w:type="spellStart"/>
      <w:r w:rsidRPr="00884BE2">
        <w:rPr>
          <w:sz w:val="22"/>
          <w:szCs w:val="22"/>
        </w:rPr>
        <w:t>multicenter</w:t>
      </w:r>
      <w:proofErr w:type="spellEnd"/>
      <w:r w:rsidRPr="00884BE2">
        <w:rPr>
          <w:sz w:val="22"/>
          <w:szCs w:val="22"/>
        </w:rPr>
        <w:t xml:space="preserve"> study evaluating the effects of pioglitazone in fasting Muslim subjects during Ramadan. </w:t>
      </w:r>
      <w:proofErr w:type="spellStart"/>
      <w:r w:rsidRPr="00884BE2">
        <w:rPr>
          <w:sz w:val="22"/>
          <w:szCs w:val="22"/>
        </w:rPr>
        <w:t>Int</w:t>
      </w:r>
      <w:proofErr w:type="spellEnd"/>
      <w:r w:rsidRPr="00884BE2">
        <w:rPr>
          <w:sz w:val="22"/>
          <w:szCs w:val="22"/>
        </w:rPr>
        <w:t xml:space="preserve"> J Diabetes Dev </w:t>
      </w:r>
      <w:proofErr w:type="spellStart"/>
      <w:r w:rsidRPr="00884BE2">
        <w:rPr>
          <w:sz w:val="22"/>
          <w:szCs w:val="22"/>
        </w:rPr>
        <w:t>Ctries</w:t>
      </w:r>
      <w:proofErr w:type="spellEnd"/>
      <w:r w:rsidRPr="00884BE2">
        <w:rPr>
          <w:sz w:val="22"/>
          <w:szCs w:val="22"/>
        </w:rPr>
        <w:t xml:space="preserve"> 2006</w:t>
      </w:r>
      <w:proofErr w:type="gramStart"/>
      <w:r w:rsidRPr="00884BE2">
        <w:rPr>
          <w:sz w:val="22"/>
          <w:szCs w:val="22"/>
        </w:rPr>
        <w:t>;26:70</w:t>
      </w:r>
      <w:proofErr w:type="gramEnd"/>
      <w:r w:rsidRPr="00884BE2">
        <w:rPr>
          <w:sz w:val="22"/>
          <w:szCs w:val="22"/>
        </w:rPr>
        <w:t>-6.</w:t>
      </w:r>
    </w:p>
    <w:p w:rsidR="00737DA7" w:rsidRPr="00884BE2" w:rsidRDefault="00875638" w:rsidP="00B4470C">
      <w:pPr>
        <w:pStyle w:val="FootnoteText"/>
        <w:numPr>
          <w:ilvl w:val="0"/>
          <w:numId w:val="9"/>
        </w:numPr>
        <w:jc w:val="both"/>
        <w:rPr>
          <w:sz w:val="22"/>
          <w:szCs w:val="22"/>
        </w:rPr>
      </w:pPr>
      <w:proofErr w:type="spellStart"/>
      <w:r w:rsidRPr="00884BE2">
        <w:rPr>
          <w:sz w:val="22"/>
          <w:szCs w:val="22"/>
        </w:rPr>
        <w:t>Ahrén</w:t>
      </w:r>
      <w:proofErr w:type="spellEnd"/>
      <w:r w:rsidRPr="00884BE2">
        <w:rPr>
          <w:sz w:val="22"/>
          <w:szCs w:val="22"/>
        </w:rPr>
        <w:t xml:space="preserve"> B, </w:t>
      </w:r>
      <w:proofErr w:type="spellStart"/>
      <w:r w:rsidRPr="00884BE2">
        <w:rPr>
          <w:sz w:val="22"/>
          <w:szCs w:val="22"/>
        </w:rPr>
        <w:t>Schweizer</w:t>
      </w:r>
      <w:proofErr w:type="spellEnd"/>
      <w:r w:rsidRPr="00884BE2">
        <w:rPr>
          <w:sz w:val="22"/>
          <w:szCs w:val="22"/>
        </w:rPr>
        <w:t xml:space="preserve"> A, </w:t>
      </w:r>
      <w:proofErr w:type="spellStart"/>
      <w:r w:rsidRPr="00884BE2">
        <w:rPr>
          <w:sz w:val="22"/>
          <w:szCs w:val="22"/>
        </w:rPr>
        <w:t>Dejager</w:t>
      </w:r>
      <w:proofErr w:type="spellEnd"/>
      <w:r w:rsidRPr="00884BE2">
        <w:rPr>
          <w:sz w:val="22"/>
          <w:szCs w:val="22"/>
        </w:rPr>
        <w:t xml:space="preserve"> S</w:t>
      </w:r>
      <w:r w:rsidR="00474663" w:rsidRPr="00884BE2">
        <w:rPr>
          <w:sz w:val="22"/>
          <w:szCs w:val="22"/>
        </w:rPr>
        <w:t xml:space="preserve"> et al.</w:t>
      </w:r>
      <w:r w:rsidRPr="00884BE2">
        <w:rPr>
          <w:sz w:val="22"/>
          <w:szCs w:val="22"/>
        </w:rPr>
        <w:t xml:space="preserve"> Mechanisms of action of the </w:t>
      </w:r>
      <w:proofErr w:type="spellStart"/>
      <w:r w:rsidRPr="00884BE2">
        <w:rPr>
          <w:sz w:val="22"/>
          <w:szCs w:val="22"/>
        </w:rPr>
        <w:t>dipeptidyl</w:t>
      </w:r>
      <w:proofErr w:type="spellEnd"/>
      <w:r w:rsidRPr="00884BE2">
        <w:rPr>
          <w:sz w:val="22"/>
          <w:szCs w:val="22"/>
        </w:rPr>
        <w:t xml:space="preserve"> peptidase-4 inhibitor vildagliptin in humans. Diabetes </w:t>
      </w:r>
      <w:proofErr w:type="spellStart"/>
      <w:r w:rsidRPr="00884BE2">
        <w:rPr>
          <w:sz w:val="22"/>
          <w:szCs w:val="22"/>
        </w:rPr>
        <w:t>Obes</w:t>
      </w:r>
      <w:proofErr w:type="spellEnd"/>
      <w:r w:rsidRPr="00884BE2">
        <w:rPr>
          <w:sz w:val="22"/>
          <w:szCs w:val="22"/>
        </w:rPr>
        <w:t xml:space="preserve"> </w:t>
      </w:r>
      <w:proofErr w:type="spellStart"/>
      <w:r w:rsidRPr="00884BE2">
        <w:rPr>
          <w:sz w:val="22"/>
          <w:szCs w:val="22"/>
        </w:rPr>
        <w:t>Metab</w:t>
      </w:r>
      <w:proofErr w:type="spellEnd"/>
      <w:r w:rsidRPr="00884BE2">
        <w:rPr>
          <w:sz w:val="22"/>
          <w:szCs w:val="22"/>
        </w:rPr>
        <w:t xml:space="preserve"> 2011</w:t>
      </w:r>
      <w:proofErr w:type="gramStart"/>
      <w:r w:rsidRPr="00884BE2">
        <w:rPr>
          <w:sz w:val="22"/>
          <w:szCs w:val="22"/>
        </w:rPr>
        <w:t>;13</w:t>
      </w:r>
      <w:proofErr w:type="gramEnd"/>
      <w:r w:rsidRPr="00884BE2">
        <w:rPr>
          <w:sz w:val="22"/>
          <w:szCs w:val="22"/>
        </w:rPr>
        <w:t>(9):775-83.</w:t>
      </w:r>
    </w:p>
    <w:p w:rsidR="00316127" w:rsidRPr="00884BE2" w:rsidRDefault="00C914C4" w:rsidP="00512236">
      <w:pPr>
        <w:pStyle w:val="FootnoteText"/>
        <w:numPr>
          <w:ilvl w:val="0"/>
          <w:numId w:val="9"/>
        </w:numPr>
        <w:jc w:val="both"/>
        <w:rPr>
          <w:sz w:val="22"/>
          <w:szCs w:val="22"/>
        </w:rPr>
      </w:pPr>
      <w:r w:rsidRPr="00884BE2">
        <w:rPr>
          <w:sz w:val="22"/>
          <w:szCs w:val="22"/>
          <w:lang w:val="fr-FR"/>
        </w:rPr>
        <w:t>Hanif W</w:t>
      </w:r>
      <w:r w:rsidR="00316127" w:rsidRPr="00884BE2">
        <w:rPr>
          <w:sz w:val="22"/>
          <w:szCs w:val="22"/>
          <w:lang w:val="fr-FR"/>
        </w:rPr>
        <w:t xml:space="preserve">, Malik W, </w:t>
      </w:r>
      <w:proofErr w:type="spellStart"/>
      <w:r w:rsidR="00316127" w:rsidRPr="00884BE2">
        <w:rPr>
          <w:sz w:val="22"/>
          <w:szCs w:val="22"/>
          <w:lang w:val="fr-FR"/>
        </w:rPr>
        <w:t>Hassanein</w:t>
      </w:r>
      <w:proofErr w:type="spellEnd"/>
      <w:r w:rsidR="00316127" w:rsidRPr="00884BE2">
        <w:rPr>
          <w:sz w:val="22"/>
          <w:szCs w:val="22"/>
          <w:lang w:val="fr-FR"/>
        </w:rPr>
        <w:t xml:space="preserve"> M</w:t>
      </w:r>
      <w:r w:rsidR="001D701B" w:rsidRPr="00884BE2">
        <w:rPr>
          <w:sz w:val="22"/>
          <w:szCs w:val="22"/>
          <w:lang w:val="fr-FR"/>
        </w:rPr>
        <w:t xml:space="preserve"> et al.</w:t>
      </w:r>
      <w:r w:rsidR="00316127" w:rsidRPr="00884BE2" w:rsidDel="00316127">
        <w:rPr>
          <w:sz w:val="22"/>
          <w:szCs w:val="22"/>
          <w:lang w:val="fr-FR"/>
        </w:rPr>
        <w:t xml:space="preserve"> </w:t>
      </w:r>
      <w:r w:rsidR="00316127" w:rsidRPr="00884BE2">
        <w:rPr>
          <w:sz w:val="22"/>
          <w:szCs w:val="22"/>
        </w:rPr>
        <w:t xml:space="preserve">Treatment adherence with vildagliptin compared to sulphonylurea as add-on to metformin in Muslim patients with type 2 diabetes mellitus fasting during Ramadan. </w:t>
      </w:r>
      <w:proofErr w:type="spellStart"/>
      <w:r w:rsidR="00316127" w:rsidRPr="00884BE2">
        <w:rPr>
          <w:sz w:val="22"/>
          <w:szCs w:val="22"/>
        </w:rPr>
        <w:t>Curr</w:t>
      </w:r>
      <w:proofErr w:type="spellEnd"/>
      <w:r w:rsidR="00316127" w:rsidRPr="00884BE2">
        <w:rPr>
          <w:sz w:val="22"/>
          <w:szCs w:val="22"/>
        </w:rPr>
        <w:t xml:space="preserve"> Med Res </w:t>
      </w:r>
      <w:proofErr w:type="spellStart"/>
      <w:r w:rsidR="00316127" w:rsidRPr="00884BE2">
        <w:rPr>
          <w:sz w:val="22"/>
          <w:szCs w:val="22"/>
        </w:rPr>
        <w:t>Opin</w:t>
      </w:r>
      <w:proofErr w:type="spellEnd"/>
      <w:r w:rsidR="00316127" w:rsidRPr="00884BE2">
        <w:rPr>
          <w:sz w:val="22"/>
          <w:szCs w:val="22"/>
        </w:rPr>
        <w:t xml:space="preserve"> 2013</w:t>
      </w:r>
      <w:proofErr w:type="gramStart"/>
      <w:r w:rsidR="00316127" w:rsidRPr="00884BE2">
        <w:rPr>
          <w:sz w:val="22"/>
          <w:szCs w:val="22"/>
        </w:rPr>
        <w:t>;29</w:t>
      </w:r>
      <w:proofErr w:type="gramEnd"/>
      <w:r w:rsidR="00316127" w:rsidRPr="00884BE2">
        <w:rPr>
          <w:sz w:val="22"/>
          <w:szCs w:val="22"/>
        </w:rPr>
        <w:t xml:space="preserve">(7):807-11. </w:t>
      </w:r>
    </w:p>
    <w:p w:rsidR="00737DA7" w:rsidRPr="00884BE2" w:rsidRDefault="00875638" w:rsidP="00B4470C">
      <w:pPr>
        <w:pStyle w:val="FootnoteText"/>
        <w:numPr>
          <w:ilvl w:val="0"/>
          <w:numId w:val="9"/>
        </w:numPr>
        <w:jc w:val="both"/>
        <w:rPr>
          <w:sz w:val="22"/>
          <w:szCs w:val="22"/>
        </w:rPr>
      </w:pPr>
      <w:r w:rsidRPr="00884BE2">
        <w:rPr>
          <w:sz w:val="22"/>
          <w:szCs w:val="22"/>
        </w:rPr>
        <w:t xml:space="preserve">Al </w:t>
      </w:r>
      <w:proofErr w:type="spellStart"/>
      <w:r w:rsidRPr="00884BE2">
        <w:rPr>
          <w:sz w:val="22"/>
          <w:szCs w:val="22"/>
        </w:rPr>
        <w:t>Sifri</w:t>
      </w:r>
      <w:proofErr w:type="spellEnd"/>
      <w:r w:rsidRPr="00884BE2">
        <w:rPr>
          <w:sz w:val="22"/>
          <w:szCs w:val="22"/>
        </w:rPr>
        <w:t xml:space="preserve"> S, </w:t>
      </w:r>
      <w:proofErr w:type="spellStart"/>
      <w:r w:rsidRPr="00884BE2">
        <w:rPr>
          <w:sz w:val="22"/>
          <w:szCs w:val="22"/>
        </w:rPr>
        <w:t>Basiounny</w:t>
      </w:r>
      <w:proofErr w:type="spellEnd"/>
      <w:r w:rsidRPr="00884BE2">
        <w:rPr>
          <w:sz w:val="22"/>
          <w:szCs w:val="22"/>
        </w:rPr>
        <w:t xml:space="preserve"> IA, </w:t>
      </w:r>
      <w:proofErr w:type="spellStart"/>
      <w:r w:rsidRPr="00884BE2">
        <w:rPr>
          <w:sz w:val="22"/>
          <w:szCs w:val="22"/>
        </w:rPr>
        <w:t>Echtay</w:t>
      </w:r>
      <w:proofErr w:type="spellEnd"/>
      <w:r w:rsidRPr="00884BE2">
        <w:rPr>
          <w:sz w:val="22"/>
          <w:szCs w:val="22"/>
        </w:rPr>
        <w:t xml:space="preserve"> A et al. The incidence of hypoglycaemia in Muslim patients with type 2 diabetes treated with sitagliptin or a sulphonylurea during Ramadan: a randomised trial. </w:t>
      </w:r>
      <w:proofErr w:type="spellStart"/>
      <w:r w:rsidRPr="00884BE2">
        <w:rPr>
          <w:sz w:val="22"/>
          <w:szCs w:val="22"/>
        </w:rPr>
        <w:t>Int</w:t>
      </w:r>
      <w:proofErr w:type="spellEnd"/>
      <w:r w:rsidRPr="00884BE2">
        <w:rPr>
          <w:sz w:val="22"/>
          <w:szCs w:val="22"/>
        </w:rPr>
        <w:t xml:space="preserve"> J </w:t>
      </w:r>
      <w:proofErr w:type="spellStart"/>
      <w:r w:rsidRPr="00884BE2">
        <w:rPr>
          <w:sz w:val="22"/>
          <w:szCs w:val="22"/>
        </w:rPr>
        <w:t>Clin</w:t>
      </w:r>
      <w:proofErr w:type="spellEnd"/>
      <w:r w:rsidRPr="00884BE2">
        <w:rPr>
          <w:sz w:val="22"/>
          <w:szCs w:val="22"/>
        </w:rPr>
        <w:t xml:space="preserve"> </w:t>
      </w:r>
      <w:proofErr w:type="spellStart"/>
      <w:r w:rsidRPr="00884BE2">
        <w:rPr>
          <w:sz w:val="22"/>
          <w:szCs w:val="22"/>
        </w:rPr>
        <w:t>Pract</w:t>
      </w:r>
      <w:proofErr w:type="spellEnd"/>
      <w:r w:rsidRPr="00884BE2">
        <w:rPr>
          <w:sz w:val="22"/>
          <w:szCs w:val="22"/>
        </w:rPr>
        <w:t xml:space="preserve"> 2011</w:t>
      </w:r>
      <w:proofErr w:type="gramStart"/>
      <w:r w:rsidRPr="00884BE2">
        <w:rPr>
          <w:sz w:val="22"/>
          <w:szCs w:val="22"/>
        </w:rPr>
        <w:t>;65:1132</w:t>
      </w:r>
      <w:proofErr w:type="gramEnd"/>
      <w:r w:rsidRPr="00884BE2">
        <w:rPr>
          <w:sz w:val="22"/>
          <w:szCs w:val="22"/>
        </w:rPr>
        <w:t>-40</w:t>
      </w:r>
      <w:r w:rsidR="00733B41" w:rsidRPr="00884BE2">
        <w:rPr>
          <w:sz w:val="22"/>
          <w:szCs w:val="22"/>
        </w:rPr>
        <w:t>.</w:t>
      </w:r>
    </w:p>
    <w:p w:rsidR="006A25E5" w:rsidRPr="00884BE2" w:rsidRDefault="006A25E5" w:rsidP="00512236">
      <w:pPr>
        <w:pStyle w:val="FootnoteText"/>
        <w:numPr>
          <w:ilvl w:val="0"/>
          <w:numId w:val="9"/>
        </w:numPr>
        <w:jc w:val="both"/>
        <w:rPr>
          <w:sz w:val="22"/>
          <w:szCs w:val="22"/>
        </w:rPr>
      </w:pPr>
      <w:proofErr w:type="spellStart"/>
      <w:r w:rsidRPr="00884BE2">
        <w:rPr>
          <w:sz w:val="22"/>
          <w:szCs w:val="22"/>
        </w:rPr>
        <w:t>Tahrani</w:t>
      </w:r>
      <w:proofErr w:type="spellEnd"/>
      <w:r w:rsidRPr="00884BE2">
        <w:rPr>
          <w:sz w:val="22"/>
          <w:szCs w:val="22"/>
        </w:rPr>
        <w:t xml:space="preserve"> AA, Barnett AH, Bailey CJ. SGLT inhibitors in management of diabetes.  Lancet Diabetes </w:t>
      </w:r>
      <w:proofErr w:type="spellStart"/>
      <w:r w:rsidRPr="00884BE2">
        <w:rPr>
          <w:sz w:val="22"/>
          <w:szCs w:val="22"/>
        </w:rPr>
        <w:t>Endocrinol</w:t>
      </w:r>
      <w:proofErr w:type="spellEnd"/>
      <w:r w:rsidRPr="00884BE2">
        <w:rPr>
          <w:sz w:val="22"/>
          <w:szCs w:val="22"/>
        </w:rPr>
        <w:t xml:space="preserve"> 2013</w:t>
      </w:r>
      <w:proofErr w:type="gramStart"/>
      <w:r w:rsidRPr="00884BE2">
        <w:rPr>
          <w:sz w:val="22"/>
          <w:szCs w:val="22"/>
        </w:rPr>
        <w:t>;1</w:t>
      </w:r>
      <w:proofErr w:type="gramEnd"/>
      <w:r w:rsidRPr="00884BE2">
        <w:rPr>
          <w:sz w:val="22"/>
          <w:szCs w:val="22"/>
        </w:rPr>
        <w:t>(2):140-51.</w:t>
      </w:r>
    </w:p>
    <w:p w:rsidR="00737DA7" w:rsidRPr="00884BE2" w:rsidRDefault="00875638" w:rsidP="00B4470C">
      <w:pPr>
        <w:pStyle w:val="FootnoteText"/>
        <w:numPr>
          <w:ilvl w:val="0"/>
          <w:numId w:val="9"/>
        </w:numPr>
        <w:jc w:val="both"/>
        <w:rPr>
          <w:sz w:val="22"/>
          <w:szCs w:val="22"/>
        </w:rPr>
      </w:pPr>
      <w:r w:rsidRPr="00884BE2">
        <w:rPr>
          <w:sz w:val="22"/>
          <w:szCs w:val="22"/>
        </w:rPr>
        <w:t>Abdul-</w:t>
      </w:r>
      <w:proofErr w:type="spellStart"/>
      <w:r w:rsidRPr="00884BE2">
        <w:rPr>
          <w:sz w:val="22"/>
          <w:szCs w:val="22"/>
        </w:rPr>
        <w:t>Ghani</w:t>
      </w:r>
      <w:proofErr w:type="spellEnd"/>
      <w:r w:rsidRPr="00884BE2">
        <w:rPr>
          <w:sz w:val="22"/>
          <w:szCs w:val="22"/>
        </w:rPr>
        <w:t xml:space="preserve"> MA, Norton L, </w:t>
      </w:r>
      <w:proofErr w:type="spellStart"/>
      <w:r w:rsidRPr="00884BE2">
        <w:rPr>
          <w:sz w:val="22"/>
          <w:szCs w:val="22"/>
        </w:rPr>
        <w:t>Defronzo</w:t>
      </w:r>
      <w:proofErr w:type="spellEnd"/>
      <w:r w:rsidRPr="00884BE2">
        <w:rPr>
          <w:sz w:val="22"/>
          <w:szCs w:val="22"/>
        </w:rPr>
        <w:t xml:space="preserve"> RA. Role of sodium-glucose </w:t>
      </w:r>
      <w:proofErr w:type="spellStart"/>
      <w:r w:rsidRPr="00884BE2">
        <w:rPr>
          <w:sz w:val="22"/>
          <w:szCs w:val="22"/>
        </w:rPr>
        <w:t>cotransporter</w:t>
      </w:r>
      <w:proofErr w:type="spellEnd"/>
      <w:r w:rsidRPr="00884BE2">
        <w:rPr>
          <w:sz w:val="22"/>
          <w:szCs w:val="22"/>
        </w:rPr>
        <w:t xml:space="preserve"> 2 (SGLT 2) inhibitors in the treatment of type 2 diabetes. </w:t>
      </w:r>
      <w:proofErr w:type="spellStart"/>
      <w:r w:rsidRPr="00884BE2">
        <w:rPr>
          <w:sz w:val="22"/>
          <w:szCs w:val="22"/>
        </w:rPr>
        <w:t>Endocr</w:t>
      </w:r>
      <w:proofErr w:type="spellEnd"/>
      <w:r w:rsidRPr="00884BE2">
        <w:rPr>
          <w:sz w:val="22"/>
          <w:szCs w:val="22"/>
        </w:rPr>
        <w:t xml:space="preserve"> Rev 2011</w:t>
      </w:r>
      <w:proofErr w:type="gramStart"/>
      <w:r w:rsidRPr="00884BE2">
        <w:rPr>
          <w:sz w:val="22"/>
          <w:szCs w:val="22"/>
        </w:rPr>
        <w:t>;32:515</w:t>
      </w:r>
      <w:proofErr w:type="gramEnd"/>
      <w:r w:rsidRPr="00884BE2">
        <w:rPr>
          <w:sz w:val="22"/>
          <w:szCs w:val="22"/>
        </w:rPr>
        <w:t xml:space="preserve">–531. </w:t>
      </w:r>
    </w:p>
    <w:p w:rsidR="00313B4E" w:rsidRPr="00884BE2" w:rsidRDefault="00313B4E" w:rsidP="00512236">
      <w:pPr>
        <w:pStyle w:val="ListParagraph"/>
        <w:numPr>
          <w:ilvl w:val="0"/>
          <w:numId w:val="9"/>
        </w:numPr>
        <w:spacing w:line="240" w:lineRule="auto"/>
        <w:jc w:val="both"/>
        <w:rPr>
          <w:rFonts w:cstheme="minorHAnsi"/>
          <w:lang w:val="en"/>
        </w:rPr>
      </w:pPr>
      <w:r w:rsidRPr="00884BE2">
        <w:rPr>
          <w:rFonts w:cstheme="minorHAnsi"/>
          <w:lang w:val="en"/>
        </w:rPr>
        <w:t>U.S. Food and Drug Administration. Drug Safety Communication: FDA warns that SGLT2 inhibitors for diabetes may result in a serious condition of too much acid in the blood [Internet], 15 May 2015. Available from (below) – accessed 21.10.2015</w:t>
      </w:r>
    </w:p>
    <w:p w:rsidR="00313B4E" w:rsidRPr="00884BE2" w:rsidRDefault="00313B4E" w:rsidP="00512236">
      <w:pPr>
        <w:pStyle w:val="ListParagraph"/>
        <w:spacing w:line="240" w:lineRule="auto"/>
        <w:jc w:val="both"/>
        <w:rPr>
          <w:rFonts w:cstheme="minorHAnsi"/>
          <w:lang w:val="en"/>
        </w:rPr>
      </w:pPr>
      <w:r w:rsidRPr="00884BE2">
        <w:rPr>
          <w:rFonts w:cstheme="minorHAnsi"/>
          <w:lang w:val="en"/>
        </w:rPr>
        <w:t xml:space="preserve"> </w:t>
      </w:r>
      <w:hyperlink r:id="rId21" w:history="1">
        <w:r w:rsidRPr="00884BE2">
          <w:rPr>
            <w:rStyle w:val="Hyperlink"/>
            <w:rFonts w:cstheme="minorHAnsi"/>
            <w:color w:val="auto"/>
            <w:lang w:val="en"/>
          </w:rPr>
          <w:t>http://www.fda.gov/downloads/Drugs/DrugSafety/UCM446954.pdf</w:t>
        </w:r>
      </w:hyperlink>
      <w:r w:rsidRPr="00884BE2">
        <w:rPr>
          <w:rFonts w:cstheme="minorHAnsi"/>
          <w:lang w:val="en"/>
        </w:rPr>
        <w:t xml:space="preserve">.  </w:t>
      </w:r>
    </w:p>
    <w:p w:rsidR="00313B4E" w:rsidRPr="00884BE2" w:rsidRDefault="00313B4E" w:rsidP="00512236">
      <w:pPr>
        <w:pStyle w:val="ListParagraph"/>
        <w:numPr>
          <w:ilvl w:val="0"/>
          <w:numId w:val="9"/>
        </w:numPr>
        <w:spacing w:line="240" w:lineRule="auto"/>
        <w:jc w:val="both"/>
        <w:rPr>
          <w:rFonts w:cstheme="minorHAnsi"/>
          <w:lang w:val="en"/>
        </w:rPr>
      </w:pPr>
      <w:proofErr w:type="spellStart"/>
      <w:r w:rsidRPr="00884BE2">
        <w:rPr>
          <w:rFonts w:eastAsia="Times New Roman" w:cstheme="minorHAnsi"/>
          <w:lang w:val="fr-FR" w:eastAsia="en-GB"/>
        </w:rPr>
        <w:t>Erondu</w:t>
      </w:r>
      <w:proofErr w:type="spellEnd"/>
      <w:r w:rsidRPr="00884BE2">
        <w:rPr>
          <w:rFonts w:eastAsia="Times New Roman" w:cstheme="minorHAnsi"/>
          <w:lang w:val="fr-FR" w:eastAsia="en-GB"/>
        </w:rPr>
        <w:t xml:space="preserve"> N, </w:t>
      </w:r>
      <w:proofErr w:type="spellStart"/>
      <w:r w:rsidRPr="00884BE2">
        <w:rPr>
          <w:rFonts w:eastAsia="Times New Roman" w:cstheme="minorHAnsi"/>
          <w:lang w:val="fr-FR" w:eastAsia="en-GB"/>
        </w:rPr>
        <w:t>Desai</w:t>
      </w:r>
      <w:proofErr w:type="spellEnd"/>
      <w:r w:rsidRPr="00884BE2">
        <w:rPr>
          <w:rFonts w:eastAsia="Times New Roman" w:cstheme="minorHAnsi"/>
          <w:lang w:val="fr-FR" w:eastAsia="en-GB"/>
        </w:rPr>
        <w:t xml:space="preserve"> M, </w:t>
      </w:r>
      <w:proofErr w:type="spellStart"/>
      <w:r w:rsidRPr="00884BE2">
        <w:rPr>
          <w:rFonts w:eastAsia="Times New Roman" w:cstheme="minorHAnsi"/>
          <w:lang w:val="fr-FR" w:eastAsia="en-GB"/>
        </w:rPr>
        <w:t>Ways</w:t>
      </w:r>
      <w:proofErr w:type="spellEnd"/>
      <w:r w:rsidRPr="00884BE2">
        <w:rPr>
          <w:rFonts w:eastAsia="Times New Roman" w:cstheme="minorHAnsi"/>
          <w:lang w:val="fr-FR" w:eastAsia="en-GB"/>
        </w:rPr>
        <w:t xml:space="preserve"> K et al. </w:t>
      </w:r>
      <w:r w:rsidRPr="00884BE2">
        <w:rPr>
          <w:rFonts w:eastAsia="Times New Roman" w:cstheme="minorHAnsi"/>
          <w:lang w:val="en" w:eastAsia="en-GB"/>
        </w:rPr>
        <w:t xml:space="preserve">Diabetic Ketoacidosis and Related Events in the </w:t>
      </w:r>
      <w:proofErr w:type="spellStart"/>
      <w:r w:rsidRPr="00884BE2">
        <w:rPr>
          <w:rFonts w:eastAsia="Times New Roman" w:cstheme="minorHAnsi"/>
          <w:lang w:val="en" w:eastAsia="en-GB"/>
        </w:rPr>
        <w:t>Canagliflozin</w:t>
      </w:r>
      <w:proofErr w:type="spellEnd"/>
      <w:r w:rsidRPr="00884BE2">
        <w:rPr>
          <w:rFonts w:eastAsia="Times New Roman" w:cstheme="minorHAnsi"/>
          <w:lang w:val="en" w:eastAsia="en-GB"/>
        </w:rPr>
        <w:t xml:space="preserve"> Type 2 Diabetes Clinical Program </w:t>
      </w:r>
      <w:r w:rsidRPr="00884BE2">
        <w:rPr>
          <w:rFonts w:eastAsia="Times New Roman" w:cstheme="minorHAnsi"/>
          <w:iCs/>
          <w:lang w:val="en" w:eastAsia="en-GB"/>
        </w:rPr>
        <w:t>Diabetes Care September 2015 38:</w:t>
      </w:r>
      <w:r w:rsidRPr="00884BE2">
        <w:rPr>
          <w:rFonts w:eastAsia="Times New Roman" w:cstheme="minorHAnsi"/>
          <w:iCs/>
          <w:vanish/>
          <w:lang w:val="en" w:eastAsia="en-GB"/>
        </w:rPr>
        <w:t xml:space="preserve">9 </w:t>
      </w:r>
      <w:r w:rsidRPr="00884BE2">
        <w:rPr>
          <w:rFonts w:eastAsia="Times New Roman" w:cstheme="minorHAnsi"/>
          <w:iCs/>
          <w:lang w:val="en" w:eastAsia="en-GB"/>
        </w:rPr>
        <w:t>1680-1686; published ahead of print July 22, 2015, doi:10.2337/dc15-1251</w:t>
      </w:r>
    </w:p>
    <w:p w:rsidR="00512236" w:rsidRPr="00884BE2" w:rsidRDefault="00F35862" w:rsidP="00512236">
      <w:pPr>
        <w:pStyle w:val="ListParagraph"/>
        <w:numPr>
          <w:ilvl w:val="0"/>
          <w:numId w:val="9"/>
        </w:numPr>
        <w:spacing w:line="240" w:lineRule="auto"/>
        <w:jc w:val="both"/>
        <w:rPr>
          <w:rFonts w:cstheme="minorHAnsi"/>
          <w:lang w:val="en"/>
        </w:rPr>
      </w:pPr>
      <w:r w:rsidRPr="00884BE2">
        <w:rPr>
          <w:rFonts w:eastAsia="Times New Roman" w:cstheme="minorHAnsi"/>
          <w:iCs/>
          <w:lang w:val="en" w:eastAsia="en-GB"/>
        </w:rPr>
        <w:t xml:space="preserve">Azar S, </w:t>
      </w:r>
      <w:proofErr w:type="spellStart"/>
      <w:r w:rsidRPr="00884BE2">
        <w:rPr>
          <w:rFonts w:eastAsia="Times New Roman" w:cstheme="minorHAnsi"/>
          <w:iCs/>
          <w:lang w:val="en" w:eastAsia="en-GB"/>
        </w:rPr>
        <w:t>Echtay</w:t>
      </w:r>
      <w:proofErr w:type="spellEnd"/>
      <w:r w:rsidRPr="00884BE2">
        <w:rPr>
          <w:rFonts w:eastAsia="Times New Roman" w:cstheme="minorHAnsi"/>
          <w:iCs/>
          <w:lang w:val="en" w:eastAsia="en-GB"/>
        </w:rPr>
        <w:t xml:space="preserve"> A, Mohamad W et al. Efficacy and safety of liraglutide versus sulphonylurea both in combination with metformin during Ramadan in subjects with Type 2 diabetes (LIRA-Ramadan): A </w:t>
      </w:r>
      <w:proofErr w:type="spellStart"/>
      <w:r w:rsidRPr="00884BE2">
        <w:rPr>
          <w:rFonts w:eastAsia="Times New Roman" w:cstheme="minorHAnsi"/>
          <w:iCs/>
          <w:lang w:val="en" w:eastAsia="en-GB"/>
        </w:rPr>
        <w:t>randomised</w:t>
      </w:r>
      <w:proofErr w:type="spellEnd"/>
      <w:r w:rsidRPr="00884BE2">
        <w:rPr>
          <w:rFonts w:eastAsia="Times New Roman" w:cstheme="minorHAnsi"/>
          <w:iCs/>
          <w:lang w:val="en" w:eastAsia="en-GB"/>
        </w:rPr>
        <w:t xml:space="preserve"> trial. Poster Presented at 75</w:t>
      </w:r>
      <w:r w:rsidRPr="00884BE2">
        <w:rPr>
          <w:rFonts w:eastAsia="Times New Roman" w:cstheme="minorHAnsi"/>
          <w:iCs/>
          <w:vertAlign w:val="superscript"/>
          <w:lang w:val="en" w:eastAsia="en-GB"/>
        </w:rPr>
        <w:t>th</w:t>
      </w:r>
      <w:r w:rsidRPr="00884BE2">
        <w:rPr>
          <w:rFonts w:eastAsia="Times New Roman" w:cstheme="minorHAnsi"/>
          <w:iCs/>
          <w:lang w:val="en" w:eastAsia="en-GB"/>
        </w:rPr>
        <w:t xml:space="preserve"> Scientific Sessions of the American Diabetes Association (ADA). June 2015. </w:t>
      </w:r>
    </w:p>
    <w:p w:rsidR="00F35862" w:rsidRPr="00884BE2" w:rsidRDefault="00F35862" w:rsidP="00F35862">
      <w:pPr>
        <w:pStyle w:val="ListParagraph"/>
        <w:numPr>
          <w:ilvl w:val="0"/>
          <w:numId w:val="9"/>
        </w:numPr>
        <w:spacing w:line="240" w:lineRule="auto"/>
        <w:jc w:val="both"/>
        <w:rPr>
          <w:rFonts w:cstheme="minorHAnsi"/>
          <w:lang w:val="en"/>
        </w:rPr>
      </w:pPr>
      <w:proofErr w:type="spellStart"/>
      <w:r w:rsidRPr="00884BE2">
        <w:t>Mattoo</w:t>
      </w:r>
      <w:proofErr w:type="spellEnd"/>
      <w:r w:rsidRPr="00884BE2">
        <w:t xml:space="preserve"> V, </w:t>
      </w:r>
      <w:proofErr w:type="spellStart"/>
      <w:r w:rsidRPr="00884BE2">
        <w:t>Milicevic</w:t>
      </w:r>
      <w:proofErr w:type="spellEnd"/>
      <w:r w:rsidRPr="00884BE2">
        <w:t xml:space="preserve"> Z, Malone JK et al; Ramadan Study Group. A comparison of insulin </w:t>
      </w:r>
      <w:proofErr w:type="spellStart"/>
      <w:r w:rsidRPr="00884BE2">
        <w:t>lispro</w:t>
      </w:r>
      <w:proofErr w:type="spellEnd"/>
      <w:r w:rsidRPr="00884BE2">
        <w:t xml:space="preserve"> Mix25 and human insulin 30/70 in the treatment of type 2 diabetes during Ramadan. Diabetes Res </w:t>
      </w:r>
      <w:proofErr w:type="spellStart"/>
      <w:r w:rsidRPr="00884BE2">
        <w:t>Clin</w:t>
      </w:r>
      <w:proofErr w:type="spellEnd"/>
      <w:r w:rsidRPr="00884BE2">
        <w:t xml:space="preserve"> </w:t>
      </w:r>
      <w:proofErr w:type="spellStart"/>
      <w:r w:rsidRPr="00884BE2">
        <w:t>Pract</w:t>
      </w:r>
      <w:proofErr w:type="spellEnd"/>
      <w:r w:rsidRPr="00884BE2">
        <w:t xml:space="preserve"> 2003</w:t>
      </w:r>
      <w:proofErr w:type="gramStart"/>
      <w:r w:rsidRPr="00884BE2">
        <w:t>;59</w:t>
      </w:r>
      <w:proofErr w:type="gramEnd"/>
      <w:r w:rsidRPr="00884BE2">
        <w:t>(2):137-43.</w:t>
      </w:r>
    </w:p>
    <w:p w:rsidR="00F35862" w:rsidRPr="00884BE2" w:rsidRDefault="00F35862" w:rsidP="00F35862">
      <w:pPr>
        <w:pStyle w:val="ListParagraph"/>
        <w:numPr>
          <w:ilvl w:val="0"/>
          <w:numId w:val="9"/>
        </w:numPr>
        <w:spacing w:line="240" w:lineRule="auto"/>
        <w:jc w:val="both"/>
        <w:rPr>
          <w:rFonts w:cstheme="minorHAnsi"/>
          <w:lang w:val="en"/>
        </w:rPr>
      </w:pPr>
      <w:proofErr w:type="spellStart"/>
      <w:r w:rsidRPr="00884BE2">
        <w:t>Akram</w:t>
      </w:r>
      <w:proofErr w:type="spellEnd"/>
      <w:r w:rsidRPr="00884BE2">
        <w:t xml:space="preserve"> J, De </w:t>
      </w:r>
      <w:proofErr w:type="spellStart"/>
      <w:r w:rsidRPr="00884BE2">
        <w:t>Verga</w:t>
      </w:r>
      <w:proofErr w:type="spellEnd"/>
      <w:r w:rsidRPr="00884BE2">
        <w:t xml:space="preserve"> V. Insulin </w:t>
      </w:r>
      <w:proofErr w:type="spellStart"/>
      <w:r w:rsidRPr="00884BE2">
        <w:t>lispro</w:t>
      </w:r>
      <w:proofErr w:type="spellEnd"/>
      <w:r w:rsidRPr="00884BE2">
        <w:t xml:space="preserve"> (</w:t>
      </w:r>
      <w:proofErr w:type="gramStart"/>
      <w:r w:rsidRPr="00884BE2">
        <w:t>Lys(</w:t>
      </w:r>
      <w:proofErr w:type="gramEnd"/>
      <w:r w:rsidRPr="00884BE2">
        <w:t xml:space="preserve">B28), Pro(B29) in the treatment of diabetes during the fasting month of Ramadan. Ramadan Study Group. </w:t>
      </w:r>
      <w:proofErr w:type="spellStart"/>
      <w:r w:rsidRPr="00884BE2">
        <w:t>Diabet</w:t>
      </w:r>
      <w:proofErr w:type="spellEnd"/>
      <w:r w:rsidRPr="00884BE2">
        <w:t xml:space="preserve"> Med. 1999</w:t>
      </w:r>
      <w:proofErr w:type="gramStart"/>
      <w:r w:rsidRPr="00884BE2">
        <w:t>;16</w:t>
      </w:r>
      <w:proofErr w:type="gramEnd"/>
      <w:r w:rsidRPr="00884BE2">
        <w:t>(10):861-6.</w:t>
      </w:r>
    </w:p>
    <w:p w:rsidR="00F35862" w:rsidRPr="00884BE2" w:rsidRDefault="00F35862" w:rsidP="00F35862">
      <w:pPr>
        <w:pStyle w:val="ListParagraph"/>
        <w:numPr>
          <w:ilvl w:val="0"/>
          <w:numId w:val="9"/>
        </w:numPr>
        <w:jc w:val="both"/>
        <w:rPr>
          <w:lang w:val="en"/>
        </w:rPr>
      </w:pPr>
      <w:r w:rsidRPr="00884BE2">
        <w:rPr>
          <w:lang w:val="fr-FR"/>
        </w:rPr>
        <w:t xml:space="preserve">Hui E, </w:t>
      </w:r>
      <w:proofErr w:type="spellStart"/>
      <w:r w:rsidRPr="00884BE2">
        <w:rPr>
          <w:lang w:val="fr-FR"/>
        </w:rPr>
        <w:t>Bravis</w:t>
      </w:r>
      <w:proofErr w:type="spellEnd"/>
      <w:r w:rsidRPr="00884BE2">
        <w:rPr>
          <w:lang w:val="fr-FR"/>
        </w:rPr>
        <w:t xml:space="preserve"> V, </w:t>
      </w:r>
      <w:proofErr w:type="spellStart"/>
      <w:r w:rsidRPr="00884BE2">
        <w:rPr>
          <w:lang w:val="fr-FR"/>
        </w:rPr>
        <w:t>Salih</w:t>
      </w:r>
      <w:proofErr w:type="spellEnd"/>
      <w:r w:rsidRPr="00884BE2">
        <w:rPr>
          <w:lang w:val="fr-FR"/>
        </w:rPr>
        <w:t xml:space="preserve"> S et al. </w:t>
      </w:r>
      <w:r w:rsidRPr="00884BE2">
        <w:t xml:space="preserve">Comparison of Humalog Mix 50 with human insulin Mix 30 in type 2 diabetes patients during Ramadan. </w:t>
      </w:r>
      <w:proofErr w:type="spellStart"/>
      <w:r w:rsidRPr="00884BE2">
        <w:t>Int</w:t>
      </w:r>
      <w:proofErr w:type="spellEnd"/>
      <w:r w:rsidRPr="00884BE2">
        <w:t xml:space="preserve"> J </w:t>
      </w:r>
      <w:proofErr w:type="spellStart"/>
      <w:r w:rsidRPr="00884BE2">
        <w:t>Clin</w:t>
      </w:r>
      <w:proofErr w:type="spellEnd"/>
      <w:r w:rsidRPr="00884BE2">
        <w:t xml:space="preserve"> </w:t>
      </w:r>
      <w:proofErr w:type="spellStart"/>
      <w:r w:rsidRPr="00884BE2">
        <w:t>Pract</w:t>
      </w:r>
      <w:proofErr w:type="spellEnd"/>
      <w:r w:rsidRPr="00884BE2">
        <w:t xml:space="preserve"> 2010</w:t>
      </w:r>
      <w:proofErr w:type="gramStart"/>
      <w:r w:rsidRPr="00884BE2">
        <w:t>;64</w:t>
      </w:r>
      <w:proofErr w:type="gramEnd"/>
      <w:r w:rsidRPr="00884BE2">
        <w:t xml:space="preserve">(8):1095-9. </w:t>
      </w:r>
    </w:p>
    <w:p w:rsidR="00F35862" w:rsidRPr="00884BE2" w:rsidRDefault="00F35862" w:rsidP="00F35862">
      <w:pPr>
        <w:pStyle w:val="ListParagraph"/>
        <w:numPr>
          <w:ilvl w:val="0"/>
          <w:numId w:val="9"/>
        </w:numPr>
        <w:jc w:val="both"/>
        <w:rPr>
          <w:lang w:val="en"/>
        </w:rPr>
      </w:pPr>
      <w:r w:rsidRPr="00884BE2">
        <w:t xml:space="preserve">Metzger BE, Lowe LP, Dyer AR et al. </w:t>
      </w:r>
      <w:proofErr w:type="spellStart"/>
      <w:r w:rsidRPr="00884BE2">
        <w:t>Hyperglycemia</w:t>
      </w:r>
      <w:proofErr w:type="spellEnd"/>
      <w:r w:rsidRPr="00884BE2">
        <w:t xml:space="preserve"> and adverse pregnancy outcomes. N </w:t>
      </w:r>
      <w:proofErr w:type="spellStart"/>
      <w:r w:rsidRPr="00884BE2">
        <w:t>Engl</w:t>
      </w:r>
      <w:proofErr w:type="spellEnd"/>
      <w:r w:rsidRPr="00884BE2">
        <w:t xml:space="preserve"> J Med 2008</w:t>
      </w:r>
      <w:proofErr w:type="gramStart"/>
      <w:r w:rsidRPr="00884BE2">
        <w:t>;358:1991</w:t>
      </w:r>
      <w:proofErr w:type="gramEnd"/>
      <w:r w:rsidRPr="00884BE2">
        <w:t>-2002.</w:t>
      </w:r>
    </w:p>
    <w:p w:rsidR="00F35862" w:rsidRPr="00884BE2" w:rsidRDefault="00F35862" w:rsidP="00F35862">
      <w:pPr>
        <w:pStyle w:val="ListParagraph"/>
        <w:numPr>
          <w:ilvl w:val="0"/>
          <w:numId w:val="9"/>
        </w:numPr>
        <w:jc w:val="both"/>
        <w:rPr>
          <w:lang w:val="en"/>
        </w:rPr>
      </w:pPr>
      <w:r w:rsidRPr="00884BE2">
        <w:t xml:space="preserve">White M, Bush J, </w:t>
      </w:r>
      <w:proofErr w:type="gramStart"/>
      <w:r w:rsidRPr="00884BE2">
        <w:t>Kai</w:t>
      </w:r>
      <w:proofErr w:type="gramEnd"/>
      <w:r w:rsidRPr="00884BE2">
        <w:t xml:space="preserve"> J et al. Quitting smoking and experience of smoking cessation interventions among UK Bangladeshi and Pakistani adults: the views of community members and health professionals. J </w:t>
      </w:r>
      <w:proofErr w:type="spellStart"/>
      <w:r w:rsidRPr="00884BE2">
        <w:t>Epidemiol</w:t>
      </w:r>
      <w:proofErr w:type="spellEnd"/>
      <w:r w:rsidRPr="00884BE2">
        <w:t xml:space="preserve"> Community Health 2006</w:t>
      </w:r>
      <w:proofErr w:type="gramStart"/>
      <w:r w:rsidRPr="00884BE2">
        <w:t>;60</w:t>
      </w:r>
      <w:proofErr w:type="gramEnd"/>
      <w:r w:rsidRPr="00884BE2">
        <w:t>(5):405-11.</w:t>
      </w:r>
    </w:p>
    <w:p w:rsidR="00F35862" w:rsidRDefault="00F35862" w:rsidP="00B47D4B">
      <w:pPr>
        <w:spacing w:line="240" w:lineRule="auto"/>
        <w:jc w:val="both"/>
        <w:rPr>
          <w:rFonts w:cstheme="minorHAnsi"/>
          <w:lang w:val="en"/>
        </w:rPr>
      </w:pPr>
      <w:bookmarkStart w:id="10" w:name="_GoBack"/>
      <w:bookmarkEnd w:id="10"/>
    </w:p>
    <w:p w:rsidR="00B47D4B" w:rsidRDefault="00B47D4B" w:rsidP="00B47D4B">
      <w:pPr>
        <w:spacing w:line="240" w:lineRule="auto"/>
        <w:jc w:val="both"/>
        <w:rPr>
          <w:rFonts w:cstheme="minorHAnsi"/>
          <w:lang w:val="en"/>
        </w:rPr>
      </w:pPr>
    </w:p>
    <w:p w:rsidR="00B47D4B" w:rsidRDefault="00B47D4B" w:rsidP="00B47D4B">
      <w:pPr>
        <w:spacing w:line="240" w:lineRule="auto"/>
        <w:jc w:val="both"/>
        <w:rPr>
          <w:rFonts w:cstheme="minorHAnsi"/>
          <w:lang w:val="en"/>
        </w:rPr>
      </w:pPr>
    </w:p>
    <w:p w:rsidR="00B47D4B" w:rsidRDefault="00B47D4B" w:rsidP="00B47D4B">
      <w:pPr>
        <w:spacing w:line="240" w:lineRule="auto"/>
        <w:jc w:val="both"/>
        <w:rPr>
          <w:rFonts w:cstheme="minorHAnsi"/>
          <w:lang w:val="en"/>
        </w:rPr>
      </w:pPr>
    </w:p>
    <w:p w:rsidR="00B47D4B" w:rsidRPr="00B47D4B" w:rsidRDefault="00B47D4B" w:rsidP="00B47D4B">
      <w:pPr>
        <w:spacing w:line="240" w:lineRule="auto"/>
        <w:jc w:val="both"/>
        <w:rPr>
          <w:rFonts w:cstheme="minorHAnsi"/>
          <w:lang w:val="en"/>
        </w:rPr>
      </w:pPr>
    </w:p>
    <w:p w:rsidR="00B05966" w:rsidRDefault="00B05966" w:rsidP="00B4470C">
      <w:pPr>
        <w:pStyle w:val="FootnoteText"/>
        <w:ind w:left="720"/>
        <w:jc w:val="both"/>
        <w:rPr>
          <w:sz w:val="22"/>
          <w:szCs w:val="22"/>
        </w:rPr>
      </w:pPr>
    </w:p>
    <w:sectPr w:rsidR="00B05966" w:rsidSect="002C363E">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CF1" w:rsidRDefault="00134CF1" w:rsidP="000A3BEE">
      <w:pPr>
        <w:spacing w:after="0" w:line="240" w:lineRule="auto"/>
      </w:pPr>
      <w:r>
        <w:separator/>
      </w:r>
    </w:p>
  </w:endnote>
  <w:endnote w:type="continuationSeparator" w:id="0">
    <w:p w:rsidR="00134CF1" w:rsidRDefault="00134CF1" w:rsidP="000A3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ta Serif Pro Book">
    <w:altName w:val="Meta Serif Pro Book"/>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MT-Regular">
    <w:panose1 w:val="00000000000000000000"/>
    <w:charset w:val="00"/>
    <w:family w:val="auto"/>
    <w:notTrueType/>
    <w:pitch w:val="default"/>
    <w:sig w:usb0="00000003" w:usb1="00000000" w:usb2="00000000" w:usb3="00000000" w:csb0="00000001" w:csb1="00000000"/>
  </w:font>
  <w:font w:name="Berkeley-Book">
    <w:altName w:val="Cambria"/>
    <w:panose1 w:val="00000000000000000000"/>
    <w:charset w:val="00"/>
    <w:family w:val="roman"/>
    <w:notTrueType/>
    <w:pitch w:val="default"/>
    <w:sig w:usb0="00000003" w:usb1="00000000" w:usb2="00000000" w:usb3="00000000" w:csb0="00000001" w:csb1="00000000"/>
  </w:font>
  <w:font w:name="AdvP49C7A2">
    <w:panose1 w:val="00000000000000000000"/>
    <w:charset w:val="00"/>
    <w:family w:val="swiss"/>
    <w:notTrueType/>
    <w:pitch w:val="default"/>
    <w:sig w:usb0="00000003" w:usb1="00000000" w:usb2="00000000" w:usb3="00000000" w:csb0="00000001" w:csb1="00000000"/>
  </w:font>
  <w:font w:name="AdvP49EBEE">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828705"/>
      <w:docPartObj>
        <w:docPartGallery w:val="Page Numbers (Bottom of Page)"/>
        <w:docPartUnique/>
      </w:docPartObj>
    </w:sdtPr>
    <w:sdtEndPr>
      <w:rPr>
        <w:noProof/>
      </w:rPr>
    </w:sdtEndPr>
    <w:sdtContent>
      <w:p w:rsidR="00134CF1" w:rsidRDefault="00134CF1">
        <w:pPr>
          <w:pStyle w:val="Footer"/>
          <w:jc w:val="center"/>
        </w:pPr>
        <w:r>
          <w:fldChar w:fldCharType="begin"/>
        </w:r>
        <w:r>
          <w:instrText xml:space="preserve"> PAGE   \* MERGEFORMAT </w:instrText>
        </w:r>
        <w:r>
          <w:fldChar w:fldCharType="separate"/>
        </w:r>
        <w:r w:rsidR="00884BE2">
          <w:rPr>
            <w:noProof/>
          </w:rPr>
          <w:t>1</w:t>
        </w:r>
        <w:r>
          <w:rPr>
            <w:noProof/>
          </w:rPr>
          <w:fldChar w:fldCharType="end"/>
        </w:r>
      </w:p>
    </w:sdtContent>
  </w:sdt>
  <w:p w:rsidR="00134CF1" w:rsidRDefault="00134C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4342996"/>
      <w:docPartObj>
        <w:docPartGallery w:val="Page Numbers (Bottom of Page)"/>
        <w:docPartUnique/>
      </w:docPartObj>
    </w:sdtPr>
    <w:sdtEndPr>
      <w:rPr>
        <w:noProof/>
      </w:rPr>
    </w:sdtEndPr>
    <w:sdtContent>
      <w:p w:rsidR="00134CF1" w:rsidRDefault="00134CF1">
        <w:pPr>
          <w:pStyle w:val="Footer"/>
          <w:jc w:val="center"/>
        </w:pPr>
        <w:r>
          <w:fldChar w:fldCharType="begin"/>
        </w:r>
        <w:r>
          <w:instrText xml:space="preserve"> PAGE   \* MERGEFORMAT </w:instrText>
        </w:r>
        <w:r>
          <w:fldChar w:fldCharType="separate"/>
        </w:r>
        <w:r w:rsidR="00884BE2">
          <w:rPr>
            <w:noProof/>
          </w:rPr>
          <w:t>24</w:t>
        </w:r>
        <w:r>
          <w:rPr>
            <w:noProof/>
          </w:rPr>
          <w:fldChar w:fldCharType="end"/>
        </w:r>
      </w:p>
    </w:sdtContent>
  </w:sdt>
  <w:p w:rsidR="00134CF1" w:rsidRDefault="00134C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CF1" w:rsidRDefault="00134CF1" w:rsidP="000A3BEE">
      <w:pPr>
        <w:spacing w:after="0" w:line="240" w:lineRule="auto"/>
      </w:pPr>
      <w:r>
        <w:separator/>
      </w:r>
    </w:p>
  </w:footnote>
  <w:footnote w:type="continuationSeparator" w:id="0">
    <w:p w:rsidR="00134CF1" w:rsidRDefault="00134CF1" w:rsidP="000A3B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03A57D58"/>
    <w:multiLevelType w:val="hybridMultilevel"/>
    <w:tmpl w:val="FA262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E05F73"/>
    <w:multiLevelType w:val="hybridMultilevel"/>
    <w:tmpl w:val="F09AE1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68E6980"/>
    <w:multiLevelType w:val="hybridMultilevel"/>
    <w:tmpl w:val="5742EE3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7DD7ACE"/>
    <w:multiLevelType w:val="hybridMultilevel"/>
    <w:tmpl w:val="4524D248"/>
    <w:lvl w:ilvl="0" w:tplc="9CF61126">
      <w:start w:val="1"/>
      <w:numFmt w:val="decimal"/>
      <w:lvlText w:val="%1."/>
      <w:lvlJc w:val="left"/>
      <w:pPr>
        <w:ind w:left="168" w:hanging="528"/>
      </w:pPr>
      <w:rPr>
        <w:rFonts w:hint="default"/>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4">
    <w:nsid w:val="3B03105B"/>
    <w:multiLevelType w:val="hybridMultilevel"/>
    <w:tmpl w:val="F2A0967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3C4E4E70"/>
    <w:multiLevelType w:val="multilevel"/>
    <w:tmpl w:val="D960D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B411CC"/>
    <w:multiLevelType w:val="hybridMultilevel"/>
    <w:tmpl w:val="C9ECE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5B2BC3"/>
    <w:multiLevelType w:val="hybridMultilevel"/>
    <w:tmpl w:val="3126F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2A3283C"/>
    <w:multiLevelType w:val="hybridMultilevel"/>
    <w:tmpl w:val="2A962F72"/>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FD580C"/>
    <w:multiLevelType w:val="hybridMultilevel"/>
    <w:tmpl w:val="E83285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92E39EF"/>
    <w:multiLevelType w:val="hybridMultilevel"/>
    <w:tmpl w:val="72A0E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E026334"/>
    <w:multiLevelType w:val="hybridMultilevel"/>
    <w:tmpl w:val="64B4AE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0435C35"/>
    <w:multiLevelType w:val="hybridMultilevel"/>
    <w:tmpl w:val="2D94D2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22E7045"/>
    <w:multiLevelType w:val="hybridMultilevel"/>
    <w:tmpl w:val="96F82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BF9188F"/>
    <w:multiLevelType w:val="multilevel"/>
    <w:tmpl w:val="AB683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B251CD"/>
    <w:multiLevelType w:val="hybridMultilevel"/>
    <w:tmpl w:val="CCF451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664A6D91"/>
    <w:multiLevelType w:val="multilevel"/>
    <w:tmpl w:val="3CA63A2C"/>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9B0B1F"/>
    <w:multiLevelType w:val="hybridMultilevel"/>
    <w:tmpl w:val="0C125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D617EFD"/>
    <w:multiLevelType w:val="hybridMultilevel"/>
    <w:tmpl w:val="BFE0A7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F2B06E5"/>
    <w:multiLevelType w:val="hybridMultilevel"/>
    <w:tmpl w:val="7F94B7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5BB497D"/>
    <w:multiLevelType w:val="hybridMultilevel"/>
    <w:tmpl w:val="1FEE5F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7BC1774D"/>
    <w:multiLevelType w:val="hybridMultilevel"/>
    <w:tmpl w:val="4F62C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17"/>
  </w:num>
  <w:num w:numId="4">
    <w:abstractNumId w:val="0"/>
  </w:num>
  <w:num w:numId="5">
    <w:abstractNumId w:val="14"/>
  </w:num>
  <w:num w:numId="6">
    <w:abstractNumId w:val="7"/>
  </w:num>
  <w:num w:numId="7">
    <w:abstractNumId w:val="1"/>
  </w:num>
  <w:num w:numId="8">
    <w:abstractNumId w:val="4"/>
  </w:num>
  <w:num w:numId="9">
    <w:abstractNumId w:val="18"/>
  </w:num>
  <w:num w:numId="10">
    <w:abstractNumId w:val="11"/>
  </w:num>
  <w:num w:numId="11">
    <w:abstractNumId w:val="20"/>
  </w:num>
  <w:num w:numId="12">
    <w:abstractNumId w:val="19"/>
  </w:num>
  <w:num w:numId="13">
    <w:abstractNumId w:val="15"/>
  </w:num>
  <w:num w:numId="14">
    <w:abstractNumId w:val="9"/>
  </w:num>
  <w:num w:numId="15">
    <w:abstractNumId w:val="8"/>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3"/>
  </w:num>
  <w:num w:numId="20">
    <w:abstractNumId w:val="10"/>
  </w:num>
  <w:num w:numId="21">
    <w:abstractNumId w:val="6"/>
  </w:num>
  <w:num w:numId="22">
    <w:abstractNumId w:val="5"/>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1&lt;/Enabled&gt;&lt;ScanUnformatted&gt;1&lt;/ScanUnformatted&gt;&lt;ScanChanges&gt;1&lt;/ScanChanges&gt;&lt;/ENInstantFormat&gt;"/>
    <w:docVar w:name="REFMGR.Libraries" w:val="&lt;ENLibraries&gt;&lt;Libraries&gt;&lt;item&gt;Ramadan Diabetes&lt;/item&gt;&lt;/Libraries&gt;&lt;/ENLibraries&gt;"/>
  </w:docVars>
  <w:rsids>
    <w:rsidRoot w:val="006A559D"/>
    <w:rsid w:val="000025AC"/>
    <w:rsid w:val="0000308E"/>
    <w:rsid w:val="00003989"/>
    <w:rsid w:val="00004154"/>
    <w:rsid w:val="000113A5"/>
    <w:rsid w:val="00011785"/>
    <w:rsid w:val="00015C6A"/>
    <w:rsid w:val="00017977"/>
    <w:rsid w:val="000208EA"/>
    <w:rsid w:val="00021135"/>
    <w:rsid w:val="00024C1B"/>
    <w:rsid w:val="00024DC7"/>
    <w:rsid w:val="000253AC"/>
    <w:rsid w:val="000253E0"/>
    <w:rsid w:val="000255F1"/>
    <w:rsid w:val="00025FD3"/>
    <w:rsid w:val="000272C6"/>
    <w:rsid w:val="00035B07"/>
    <w:rsid w:val="0003635C"/>
    <w:rsid w:val="000363A9"/>
    <w:rsid w:val="000404A7"/>
    <w:rsid w:val="00041A6E"/>
    <w:rsid w:val="00042573"/>
    <w:rsid w:val="0004417D"/>
    <w:rsid w:val="000508EB"/>
    <w:rsid w:val="00056E3E"/>
    <w:rsid w:val="00060AAD"/>
    <w:rsid w:val="00060C2A"/>
    <w:rsid w:val="0006211C"/>
    <w:rsid w:val="000626A5"/>
    <w:rsid w:val="00062C48"/>
    <w:rsid w:val="000645D7"/>
    <w:rsid w:val="00064671"/>
    <w:rsid w:val="0006499A"/>
    <w:rsid w:val="00065F54"/>
    <w:rsid w:val="000674D2"/>
    <w:rsid w:val="00072BFA"/>
    <w:rsid w:val="00073B72"/>
    <w:rsid w:val="00073DBD"/>
    <w:rsid w:val="000766D4"/>
    <w:rsid w:val="00081A42"/>
    <w:rsid w:val="00085818"/>
    <w:rsid w:val="00085AE9"/>
    <w:rsid w:val="000862F7"/>
    <w:rsid w:val="000874FA"/>
    <w:rsid w:val="000928EC"/>
    <w:rsid w:val="000928FA"/>
    <w:rsid w:val="000940DF"/>
    <w:rsid w:val="00097BD4"/>
    <w:rsid w:val="000A0E48"/>
    <w:rsid w:val="000A3BEE"/>
    <w:rsid w:val="000A4808"/>
    <w:rsid w:val="000B592F"/>
    <w:rsid w:val="000B6E43"/>
    <w:rsid w:val="000B713D"/>
    <w:rsid w:val="000C1BE0"/>
    <w:rsid w:val="000C498F"/>
    <w:rsid w:val="000C7570"/>
    <w:rsid w:val="000D1079"/>
    <w:rsid w:val="000D3901"/>
    <w:rsid w:val="000D4CE5"/>
    <w:rsid w:val="000D6FDC"/>
    <w:rsid w:val="000E19FC"/>
    <w:rsid w:val="000E1EF3"/>
    <w:rsid w:val="000E45ED"/>
    <w:rsid w:val="000E6F10"/>
    <w:rsid w:val="000F1D24"/>
    <w:rsid w:val="000F39BD"/>
    <w:rsid w:val="0010245E"/>
    <w:rsid w:val="00106E6B"/>
    <w:rsid w:val="0010798F"/>
    <w:rsid w:val="001122EA"/>
    <w:rsid w:val="00113E8E"/>
    <w:rsid w:val="00123D55"/>
    <w:rsid w:val="0012513B"/>
    <w:rsid w:val="00126082"/>
    <w:rsid w:val="00127538"/>
    <w:rsid w:val="00127DEA"/>
    <w:rsid w:val="001311E6"/>
    <w:rsid w:val="00131205"/>
    <w:rsid w:val="0013431D"/>
    <w:rsid w:val="00134857"/>
    <w:rsid w:val="00134CF1"/>
    <w:rsid w:val="00134F8B"/>
    <w:rsid w:val="00137E3E"/>
    <w:rsid w:val="00140263"/>
    <w:rsid w:val="00140270"/>
    <w:rsid w:val="00140C9D"/>
    <w:rsid w:val="001469E7"/>
    <w:rsid w:val="00151554"/>
    <w:rsid w:val="0015532A"/>
    <w:rsid w:val="00160492"/>
    <w:rsid w:val="00161FEB"/>
    <w:rsid w:val="00164E9A"/>
    <w:rsid w:val="00170112"/>
    <w:rsid w:val="001714AA"/>
    <w:rsid w:val="0017151C"/>
    <w:rsid w:val="00172F7B"/>
    <w:rsid w:val="0017668F"/>
    <w:rsid w:val="00177573"/>
    <w:rsid w:val="00177B87"/>
    <w:rsid w:val="0018046D"/>
    <w:rsid w:val="00186C77"/>
    <w:rsid w:val="00195346"/>
    <w:rsid w:val="00197012"/>
    <w:rsid w:val="001A0DF9"/>
    <w:rsid w:val="001A384B"/>
    <w:rsid w:val="001A5D2E"/>
    <w:rsid w:val="001B3ECF"/>
    <w:rsid w:val="001B77BC"/>
    <w:rsid w:val="001C09D1"/>
    <w:rsid w:val="001C2EBD"/>
    <w:rsid w:val="001C59B1"/>
    <w:rsid w:val="001C70D6"/>
    <w:rsid w:val="001D101B"/>
    <w:rsid w:val="001D1BC5"/>
    <w:rsid w:val="001D1C8D"/>
    <w:rsid w:val="001D5591"/>
    <w:rsid w:val="001D582A"/>
    <w:rsid w:val="001D701B"/>
    <w:rsid w:val="001E19F9"/>
    <w:rsid w:val="001E2C63"/>
    <w:rsid w:val="001E334D"/>
    <w:rsid w:val="001E3E38"/>
    <w:rsid w:val="001F0691"/>
    <w:rsid w:val="001F1791"/>
    <w:rsid w:val="001F299A"/>
    <w:rsid w:val="001F40C4"/>
    <w:rsid w:val="001F484B"/>
    <w:rsid w:val="001F51E9"/>
    <w:rsid w:val="001F5D92"/>
    <w:rsid w:val="00200134"/>
    <w:rsid w:val="0020096C"/>
    <w:rsid w:val="00200C7E"/>
    <w:rsid w:val="00202E7C"/>
    <w:rsid w:val="002047C6"/>
    <w:rsid w:val="002049B0"/>
    <w:rsid w:val="00212DAE"/>
    <w:rsid w:val="00215191"/>
    <w:rsid w:val="002155FF"/>
    <w:rsid w:val="00216498"/>
    <w:rsid w:val="00217D00"/>
    <w:rsid w:val="00222BA3"/>
    <w:rsid w:val="002249D2"/>
    <w:rsid w:val="00233347"/>
    <w:rsid w:val="00235EDD"/>
    <w:rsid w:val="00237F28"/>
    <w:rsid w:val="00240A07"/>
    <w:rsid w:val="00240E6A"/>
    <w:rsid w:val="00242E2F"/>
    <w:rsid w:val="002512C0"/>
    <w:rsid w:val="00253E4E"/>
    <w:rsid w:val="00254B49"/>
    <w:rsid w:val="00254C0C"/>
    <w:rsid w:val="00257290"/>
    <w:rsid w:val="00257AB8"/>
    <w:rsid w:val="00263F3E"/>
    <w:rsid w:val="00265BA6"/>
    <w:rsid w:val="00266F92"/>
    <w:rsid w:val="002673F6"/>
    <w:rsid w:val="00272690"/>
    <w:rsid w:val="00273A43"/>
    <w:rsid w:val="00275FFE"/>
    <w:rsid w:val="002765C1"/>
    <w:rsid w:val="00277AF2"/>
    <w:rsid w:val="00280D4D"/>
    <w:rsid w:val="00282818"/>
    <w:rsid w:val="00287979"/>
    <w:rsid w:val="00296E06"/>
    <w:rsid w:val="0029720F"/>
    <w:rsid w:val="002A36ED"/>
    <w:rsid w:val="002A4EB3"/>
    <w:rsid w:val="002A4F5F"/>
    <w:rsid w:val="002B407C"/>
    <w:rsid w:val="002B5E97"/>
    <w:rsid w:val="002B6172"/>
    <w:rsid w:val="002B7EA1"/>
    <w:rsid w:val="002C1FE7"/>
    <w:rsid w:val="002C363E"/>
    <w:rsid w:val="002C3F71"/>
    <w:rsid w:val="002C4ED7"/>
    <w:rsid w:val="002C4F25"/>
    <w:rsid w:val="002D1FB9"/>
    <w:rsid w:val="002D50BA"/>
    <w:rsid w:val="002D7251"/>
    <w:rsid w:val="002E25B0"/>
    <w:rsid w:val="002E2D1F"/>
    <w:rsid w:val="002F1A53"/>
    <w:rsid w:val="002F4760"/>
    <w:rsid w:val="002F5B64"/>
    <w:rsid w:val="002F5BAD"/>
    <w:rsid w:val="002F7F83"/>
    <w:rsid w:val="00301F4D"/>
    <w:rsid w:val="00303106"/>
    <w:rsid w:val="00310CE6"/>
    <w:rsid w:val="003112BE"/>
    <w:rsid w:val="003114A4"/>
    <w:rsid w:val="00313B4E"/>
    <w:rsid w:val="00314573"/>
    <w:rsid w:val="00316127"/>
    <w:rsid w:val="00316BA7"/>
    <w:rsid w:val="00322E53"/>
    <w:rsid w:val="003246B0"/>
    <w:rsid w:val="00333BEE"/>
    <w:rsid w:val="00336861"/>
    <w:rsid w:val="00341CEC"/>
    <w:rsid w:val="00341D12"/>
    <w:rsid w:val="00341E2E"/>
    <w:rsid w:val="00342225"/>
    <w:rsid w:val="00342CAD"/>
    <w:rsid w:val="00344749"/>
    <w:rsid w:val="003555AA"/>
    <w:rsid w:val="003558D9"/>
    <w:rsid w:val="00356764"/>
    <w:rsid w:val="0035743F"/>
    <w:rsid w:val="00362D20"/>
    <w:rsid w:val="00367ADD"/>
    <w:rsid w:val="003709AF"/>
    <w:rsid w:val="003742D3"/>
    <w:rsid w:val="00375554"/>
    <w:rsid w:val="0037785B"/>
    <w:rsid w:val="0038072E"/>
    <w:rsid w:val="00380EBE"/>
    <w:rsid w:val="003822C3"/>
    <w:rsid w:val="00385AC8"/>
    <w:rsid w:val="00385B10"/>
    <w:rsid w:val="00385BB3"/>
    <w:rsid w:val="00390BEB"/>
    <w:rsid w:val="00392BF1"/>
    <w:rsid w:val="00393BB7"/>
    <w:rsid w:val="0039421C"/>
    <w:rsid w:val="00394BB5"/>
    <w:rsid w:val="00396760"/>
    <w:rsid w:val="003A4A1C"/>
    <w:rsid w:val="003A4F1C"/>
    <w:rsid w:val="003A5991"/>
    <w:rsid w:val="003B0DC3"/>
    <w:rsid w:val="003B2DA0"/>
    <w:rsid w:val="003B46AF"/>
    <w:rsid w:val="003C008D"/>
    <w:rsid w:val="003C607E"/>
    <w:rsid w:val="003D082B"/>
    <w:rsid w:val="003D0E76"/>
    <w:rsid w:val="003D3203"/>
    <w:rsid w:val="003D728B"/>
    <w:rsid w:val="003E088B"/>
    <w:rsid w:val="003E260F"/>
    <w:rsid w:val="003E2FC9"/>
    <w:rsid w:val="003E34C6"/>
    <w:rsid w:val="003E5860"/>
    <w:rsid w:val="003F0D47"/>
    <w:rsid w:val="003F2CF3"/>
    <w:rsid w:val="00401387"/>
    <w:rsid w:val="004013B9"/>
    <w:rsid w:val="00403365"/>
    <w:rsid w:val="00410DC8"/>
    <w:rsid w:val="00422CD4"/>
    <w:rsid w:val="00423490"/>
    <w:rsid w:val="00423F03"/>
    <w:rsid w:val="00425B84"/>
    <w:rsid w:val="00425ED6"/>
    <w:rsid w:val="004269B2"/>
    <w:rsid w:val="00427385"/>
    <w:rsid w:val="00427545"/>
    <w:rsid w:val="00427E3A"/>
    <w:rsid w:val="0043084E"/>
    <w:rsid w:val="00440107"/>
    <w:rsid w:val="00443C2B"/>
    <w:rsid w:val="00444D78"/>
    <w:rsid w:val="00446D65"/>
    <w:rsid w:val="00451E36"/>
    <w:rsid w:val="00453EF2"/>
    <w:rsid w:val="004540E8"/>
    <w:rsid w:val="004562E0"/>
    <w:rsid w:val="00456C8B"/>
    <w:rsid w:val="0046003C"/>
    <w:rsid w:val="004618BF"/>
    <w:rsid w:val="00462A9B"/>
    <w:rsid w:val="0046466F"/>
    <w:rsid w:val="0046653C"/>
    <w:rsid w:val="004670B1"/>
    <w:rsid w:val="00467492"/>
    <w:rsid w:val="00474663"/>
    <w:rsid w:val="00475991"/>
    <w:rsid w:val="0047612E"/>
    <w:rsid w:val="0049167D"/>
    <w:rsid w:val="0049394D"/>
    <w:rsid w:val="00493BBB"/>
    <w:rsid w:val="00493BF6"/>
    <w:rsid w:val="004944FB"/>
    <w:rsid w:val="004950CD"/>
    <w:rsid w:val="00495AD2"/>
    <w:rsid w:val="004A2BB9"/>
    <w:rsid w:val="004A3F8A"/>
    <w:rsid w:val="004A52F8"/>
    <w:rsid w:val="004A6083"/>
    <w:rsid w:val="004B181C"/>
    <w:rsid w:val="004B22AA"/>
    <w:rsid w:val="004B4BF1"/>
    <w:rsid w:val="004B5343"/>
    <w:rsid w:val="004B5636"/>
    <w:rsid w:val="004C10E2"/>
    <w:rsid w:val="004C32C5"/>
    <w:rsid w:val="004C4564"/>
    <w:rsid w:val="004C5463"/>
    <w:rsid w:val="004D358C"/>
    <w:rsid w:val="004D43E9"/>
    <w:rsid w:val="004D7239"/>
    <w:rsid w:val="004E1B5F"/>
    <w:rsid w:val="004E38CF"/>
    <w:rsid w:val="004E69DE"/>
    <w:rsid w:val="004F06D1"/>
    <w:rsid w:val="004F40C3"/>
    <w:rsid w:val="004F5EFD"/>
    <w:rsid w:val="004F7170"/>
    <w:rsid w:val="005026BF"/>
    <w:rsid w:val="0050355B"/>
    <w:rsid w:val="00503E29"/>
    <w:rsid w:val="005040AA"/>
    <w:rsid w:val="00504305"/>
    <w:rsid w:val="00510A16"/>
    <w:rsid w:val="00511E19"/>
    <w:rsid w:val="00512236"/>
    <w:rsid w:val="005144F9"/>
    <w:rsid w:val="005162C3"/>
    <w:rsid w:val="00521291"/>
    <w:rsid w:val="00523DA9"/>
    <w:rsid w:val="0052625D"/>
    <w:rsid w:val="005320B4"/>
    <w:rsid w:val="005322BF"/>
    <w:rsid w:val="00533328"/>
    <w:rsid w:val="0053335D"/>
    <w:rsid w:val="00534C90"/>
    <w:rsid w:val="005409F7"/>
    <w:rsid w:val="005421EF"/>
    <w:rsid w:val="005430BE"/>
    <w:rsid w:val="005439C4"/>
    <w:rsid w:val="005444BC"/>
    <w:rsid w:val="005461BD"/>
    <w:rsid w:val="005517A4"/>
    <w:rsid w:val="00551FF3"/>
    <w:rsid w:val="0055248E"/>
    <w:rsid w:val="005549A4"/>
    <w:rsid w:val="00555874"/>
    <w:rsid w:val="00555C88"/>
    <w:rsid w:val="00556972"/>
    <w:rsid w:val="005707EF"/>
    <w:rsid w:val="00574701"/>
    <w:rsid w:val="00580B6B"/>
    <w:rsid w:val="005854B2"/>
    <w:rsid w:val="00593AC3"/>
    <w:rsid w:val="00594361"/>
    <w:rsid w:val="00595563"/>
    <w:rsid w:val="005958A3"/>
    <w:rsid w:val="00596AB9"/>
    <w:rsid w:val="005A167A"/>
    <w:rsid w:val="005A1759"/>
    <w:rsid w:val="005A416F"/>
    <w:rsid w:val="005A4334"/>
    <w:rsid w:val="005A52DA"/>
    <w:rsid w:val="005B494D"/>
    <w:rsid w:val="005B575B"/>
    <w:rsid w:val="005B66ED"/>
    <w:rsid w:val="005C3666"/>
    <w:rsid w:val="005C67AE"/>
    <w:rsid w:val="005D1A3C"/>
    <w:rsid w:val="005D210A"/>
    <w:rsid w:val="005D2D8A"/>
    <w:rsid w:val="005D30FA"/>
    <w:rsid w:val="005D3F5C"/>
    <w:rsid w:val="005D58F1"/>
    <w:rsid w:val="005D73B1"/>
    <w:rsid w:val="005F2B8E"/>
    <w:rsid w:val="005F393A"/>
    <w:rsid w:val="005F4811"/>
    <w:rsid w:val="005F69C1"/>
    <w:rsid w:val="00600E4F"/>
    <w:rsid w:val="0060120A"/>
    <w:rsid w:val="00602298"/>
    <w:rsid w:val="00610195"/>
    <w:rsid w:val="00614BD5"/>
    <w:rsid w:val="006152F4"/>
    <w:rsid w:val="006168D1"/>
    <w:rsid w:val="00616AE4"/>
    <w:rsid w:val="00617D97"/>
    <w:rsid w:val="00621A92"/>
    <w:rsid w:val="006257DC"/>
    <w:rsid w:val="00626055"/>
    <w:rsid w:val="00631387"/>
    <w:rsid w:val="00632009"/>
    <w:rsid w:val="00633D43"/>
    <w:rsid w:val="00642ACE"/>
    <w:rsid w:val="00645835"/>
    <w:rsid w:val="00646920"/>
    <w:rsid w:val="00647EC3"/>
    <w:rsid w:val="00652337"/>
    <w:rsid w:val="0065416D"/>
    <w:rsid w:val="00654CE3"/>
    <w:rsid w:val="00655F04"/>
    <w:rsid w:val="00661F68"/>
    <w:rsid w:val="0067565C"/>
    <w:rsid w:val="00680493"/>
    <w:rsid w:val="0068483D"/>
    <w:rsid w:val="00686061"/>
    <w:rsid w:val="006863CA"/>
    <w:rsid w:val="006900CC"/>
    <w:rsid w:val="0069021F"/>
    <w:rsid w:val="00691F67"/>
    <w:rsid w:val="00695957"/>
    <w:rsid w:val="006A00CE"/>
    <w:rsid w:val="006A0A20"/>
    <w:rsid w:val="006A2316"/>
    <w:rsid w:val="006A25E5"/>
    <w:rsid w:val="006A2631"/>
    <w:rsid w:val="006A2A5C"/>
    <w:rsid w:val="006A5460"/>
    <w:rsid w:val="006A559D"/>
    <w:rsid w:val="006A7CD4"/>
    <w:rsid w:val="006B0F46"/>
    <w:rsid w:val="006C0C8F"/>
    <w:rsid w:val="006C5259"/>
    <w:rsid w:val="006C5324"/>
    <w:rsid w:val="006C63C9"/>
    <w:rsid w:val="006D05E6"/>
    <w:rsid w:val="006D2BB5"/>
    <w:rsid w:val="006D6801"/>
    <w:rsid w:val="006D74C5"/>
    <w:rsid w:val="006D77A2"/>
    <w:rsid w:val="006E1D3E"/>
    <w:rsid w:val="006E4BCA"/>
    <w:rsid w:val="006E4F35"/>
    <w:rsid w:val="006E5931"/>
    <w:rsid w:val="006E61AA"/>
    <w:rsid w:val="006F02BA"/>
    <w:rsid w:val="006F7FAD"/>
    <w:rsid w:val="007005D8"/>
    <w:rsid w:val="007018A8"/>
    <w:rsid w:val="0070213A"/>
    <w:rsid w:val="00703859"/>
    <w:rsid w:val="00707689"/>
    <w:rsid w:val="00707F27"/>
    <w:rsid w:val="00711599"/>
    <w:rsid w:val="00714EE2"/>
    <w:rsid w:val="00716027"/>
    <w:rsid w:val="00724BA0"/>
    <w:rsid w:val="00727498"/>
    <w:rsid w:val="00731337"/>
    <w:rsid w:val="007327E9"/>
    <w:rsid w:val="00733B41"/>
    <w:rsid w:val="00736B2D"/>
    <w:rsid w:val="00737DA7"/>
    <w:rsid w:val="007400E3"/>
    <w:rsid w:val="00740725"/>
    <w:rsid w:val="007407F1"/>
    <w:rsid w:val="00742E9F"/>
    <w:rsid w:val="00750443"/>
    <w:rsid w:val="00750856"/>
    <w:rsid w:val="00750D0E"/>
    <w:rsid w:val="00757E8E"/>
    <w:rsid w:val="0076160A"/>
    <w:rsid w:val="007616DA"/>
    <w:rsid w:val="00764097"/>
    <w:rsid w:val="00764625"/>
    <w:rsid w:val="007659AE"/>
    <w:rsid w:val="00765F00"/>
    <w:rsid w:val="00774C40"/>
    <w:rsid w:val="0077550A"/>
    <w:rsid w:val="00781475"/>
    <w:rsid w:val="00781BE7"/>
    <w:rsid w:val="0078792B"/>
    <w:rsid w:val="00796CBF"/>
    <w:rsid w:val="007A1006"/>
    <w:rsid w:val="007A101E"/>
    <w:rsid w:val="007A2A34"/>
    <w:rsid w:val="007A553F"/>
    <w:rsid w:val="007B0AE7"/>
    <w:rsid w:val="007B3C94"/>
    <w:rsid w:val="007B48DB"/>
    <w:rsid w:val="007B71BF"/>
    <w:rsid w:val="007C1481"/>
    <w:rsid w:val="007C1E1E"/>
    <w:rsid w:val="007C462E"/>
    <w:rsid w:val="007C4FBA"/>
    <w:rsid w:val="007C50C7"/>
    <w:rsid w:val="007C73F0"/>
    <w:rsid w:val="007D3E50"/>
    <w:rsid w:val="007E0E50"/>
    <w:rsid w:val="007E1095"/>
    <w:rsid w:val="007E2F7D"/>
    <w:rsid w:val="007E3A3D"/>
    <w:rsid w:val="007F0DD4"/>
    <w:rsid w:val="007F3166"/>
    <w:rsid w:val="007F535A"/>
    <w:rsid w:val="007F67A9"/>
    <w:rsid w:val="00802D75"/>
    <w:rsid w:val="00803B1D"/>
    <w:rsid w:val="00810062"/>
    <w:rsid w:val="00811635"/>
    <w:rsid w:val="008122B7"/>
    <w:rsid w:val="00816766"/>
    <w:rsid w:val="0081792A"/>
    <w:rsid w:val="00825883"/>
    <w:rsid w:val="00832C6C"/>
    <w:rsid w:val="0083600C"/>
    <w:rsid w:val="00836109"/>
    <w:rsid w:val="00840E1F"/>
    <w:rsid w:val="008414DA"/>
    <w:rsid w:val="0084215D"/>
    <w:rsid w:val="008425E0"/>
    <w:rsid w:val="00843442"/>
    <w:rsid w:val="0084378E"/>
    <w:rsid w:val="008450E1"/>
    <w:rsid w:val="008456DB"/>
    <w:rsid w:val="0084597F"/>
    <w:rsid w:val="00850A85"/>
    <w:rsid w:val="00856D15"/>
    <w:rsid w:val="00860ED0"/>
    <w:rsid w:val="00861387"/>
    <w:rsid w:val="0086290C"/>
    <w:rsid w:val="00863524"/>
    <w:rsid w:val="008666BF"/>
    <w:rsid w:val="00866D58"/>
    <w:rsid w:val="0087256E"/>
    <w:rsid w:val="008745F5"/>
    <w:rsid w:val="00875638"/>
    <w:rsid w:val="0087593C"/>
    <w:rsid w:val="00875D6C"/>
    <w:rsid w:val="0088036B"/>
    <w:rsid w:val="00881298"/>
    <w:rsid w:val="00881683"/>
    <w:rsid w:val="00882BAF"/>
    <w:rsid w:val="00883D6E"/>
    <w:rsid w:val="00884BE2"/>
    <w:rsid w:val="00885E17"/>
    <w:rsid w:val="008877B4"/>
    <w:rsid w:val="0089181B"/>
    <w:rsid w:val="00891BAC"/>
    <w:rsid w:val="0089417B"/>
    <w:rsid w:val="008952C5"/>
    <w:rsid w:val="008976CE"/>
    <w:rsid w:val="00897ECA"/>
    <w:rsid w:val="008A3C63"/>
    <w:rsid w:val="008A3C6B"/>
    <w:rsid w:val="008A446C"/>
    <w:rsid w:val="008A55FA"/>
    <w:rsid w:val="008A5B99"/>
    <w:rsid w:val="008A76B6"/>
    <w:rsid w:val="008B310A"/>
    <w:rsid w:val="008B69EA"/>
    <w:rsid w:val="008C1A88"/>
    <w:rsid w:val="008C3A7B"/>
    <w:rsid w:val="008D24F1"/>
    <w:rsid w:val="008D44C1"/>
    <w:rsid w:val="008D45B4"/>
    <w:rsid w:val="008D55ED"/>
    <w:rsid w:val="008D5C0A"/>
    <w:rsid w:val="008D6B50"/>
    <w:rsid w:val="008E0CB4"/>
    <w:rsid w:val="008E1CD6"/>
    <w:rsid w:val="008E2966"/>
    <w:rsid w:val="008E3AA1"/>
    <w:rsid w:val="008E4308"/>
    <w:rsid w:val="008E4A92"/>
    <w:rsid w:val="008F2A94"/>
    <w:rsid w:val="008F3187"/>
    <w:rsid w:val="008F3D8E"/>
    <w:rsid w:val="008F4B73"/>
    <w:rsid w:val="008F4BDD"/>
    <w:rsid w:val="009012C0"/>
    <w:rsid w:val="009059BA"/>
    <w:rsid w:val="00905A87"/>
    <w:rsid w:val="00910423"/>
    <w:rsid w:val="00916963"/>
    <w:rsid w:val="009228A7"/>
    <w:rsid w:val="009235D4"/>
    <w:rsid w:val="00925F3B"/>
    <w:rsid w:val="00934DD0"/>
    <w:rsid w:val="0094159A"/>
    <w:rsid w:val="00946383"/>
    <w:rsid w:val="00946E9F"/>
    <w:rsid w:val="00950744"/>
    <w:rsid w:val="00951461"/>
    <w:rsid w:val="00951E4A"/>
    <w:rsid w:val="009537CC"/>
    <w:rsid w:val="00955467"/>
    <w:rsid w:val="00955DD4"/>
    <w:rsid w:val="009575EB"/>
    <w:rsid w:val="00961F1F"/>
    <w:rsid w:val="009648C7"/>
    <w:rsid w:val="00974BDF"/>
    <w:rsid w:val="00980C59"/>
    <w:rsid w:val="00980C8D"/>
    <w:rsid w:val="00982980"/>
    <w:rsid w:val="009849C6"/>
    <w:rsid w:val="009851F4"/>
    <w:rsid w:val="00990EA8"/>
    <w:rsid w:val="00990F26"/>
    <w:rsid w:val="00992F28"/>
    <w:rsid w:val="0099319E"/>
    <w:rsid w:val="00995327"/>
    <w:rsid w:val="0099564D"/>
    <w:rsid w:val="00995D6D"/>
    <w:rsid w:val="009973CE"/>
    <w:rsid w:val="0099790F"/>
    <w:rsid w:val="009A3F65"/>
    <w:rsid w:val="009B0016"/>
    <w:rsid w:val="009B13C2"/>
    <w:rsid w:val="009B3E0D"/>
    <w:rsid w:val="009B490B"/>
    <w:rsid w:val="009B6D6D"/>
    <w:rsid w:val="009B723E"/>
    <w:rsid w:val="009C29C8"/>
    <w:rsid w:val="009C36E0"/>
    <w:rsid w:val="009C4ACE"/>
    <w:rsid w:val="009C4AF9"/>
    <w:rsid w:val="009C776E"/>
    <w:rsid w:val="009C7BE7"/>
    <w:rsid w:val="009D0784"/>
    <w:rsid w:val="009D0E98"/>
    <w:rsid w:val="009D32FF"/>
    <w:rsid w:val="009D5C3F"/>
    <w:rsid w:val="009D67E6"/>
    <w:rsid w:val="009E2FBA"/>
    <w:rsid w:val="009E467D"/>
    <w:rsid w:val="009E517F"/>
    <w:rsid w:val="009F21FF"/>
    <w:rsid w:val="009F5173"/>
    <w:rsid w:val="009F6992"/>
    <w:rsid w:val="009F6F81"/>
    <w:rsid w:val="009F79EC"/>
    <w:rsid w:val="00A01E28"/>
    <w:rsid w:val="00A02230"/>
    <w:rsid w:val="00A030F2"/>
    <w:rsid w:val="00A0359E"/>
    <w:rsid w:val="00A07E98"/>
    <w:rsid w:val="00A11585"/>
    <w:rsid w:val="00A12E49"/>
    <w:rsid w:val="00A1487E"/>
    <w:rsid w:val="00A20F13"/>
    <w:rsid w:val="00A2247A"/>
    <w:rsid w:val="00A228E0"/>
    <w:rsid w:val="00A239BB"/>
    <w:rsid w:val="00A2721A"/>
    <w:rsid w:val="00A278C1"/>
    <w:rsid w:val="00A34281"/>
    <w:rsid w:val="00A36475"/>
    <w:rsid w:val="00A417FF"/>
    <w:rsid w:val="00A41910"/>
    <w:rsid w:val="00A42E14"/>
    <w:rsid w:val="00A42FFE"/>
    <w:rsid w:val="00A44FFF"/>
    <w:rsid w:val="00A47823"/>
    <w:rsid w:val="00A504BA"/>
    <w:rsid w:val="00A533D2"/>
    <w:rsid w:val="00A54056"/>
    <w:rsid w:val="00A54236"/>
    <w:rsid w:val="00A5455A"/>
    <w:rsid w:val="00A54B1E"/>
    <w:rsid w:val="00A5731D"/>
    <w:rsid w:val="00A57630"/>
    <w:rsid w:val="00A577D9"/>
    <w:rsid w:val="00A61239"/>
    <w:rsid w:val="00A62B7B"/>
    <w:rsid w:val="00A641F3"/>
    <w:rsid w:val="00A70C94"/>
    <w:rsid w:val="00A716A9"/>
    <w:rsid w:val="00A72633"/>
    <w:rsid w:val="00A76238"/>
    <w:rsid w:val="00A77BA8"/>
    <w:rsid w:val="00A82D42"/>
    <w:rsid w:val="00A84441"/>
    <w:rsid w:val="00A859A0"/>
    <w:rsid w:val="00A8799B"/>
    <w:rsid w:val="00AA2639"/>
    <w:rsid w:val="00AA4A59"/>
    <w:rsid w:val="00AA526F"/>
    <w:rsid w:val="00AA56FE"/>
    <w:rsid w:val="00AA61F4"/>
    <w:rsid w:val="00AC0B29"/>
    <w:rsid w:val="00AC2942"/>
    <w:rsid w:val="00AC36C9"/>
    <w:rsid w:val="00AC5B37"/>
    <w:rsid w:val="00AC60E4"/>
    <w:rsid w:val="00AD6936"/>
    <w:rsid w:val="00AE4D3E"/>
    <w:rsid w:val="00AF0405"/>
    <w:rsid w:val="00AF5D2D"/>
    <w:rsid w:val="00AF62D4"/>
    <w:rsid w:val="00B00F7B"/>
    <w:rsid w:val="00B015FE"/>
    <w:rsid w:val="00B05966"/>
    <w:rsid w:val="00B06A2F"/>
    <w:rsid w:val="00B06E16"/>
    <w:rsid w:val="00B0706B"/>
    <w:rsid w:val="00B12901"/>
    <w:rsid w:val="00B138D0"/>
    <w:rsid w:val="00B138FE"/>
    <w:rsid w:val="00B13E41"/>
    <w:rsid w:val="00B141EB"/>
    <w:rsid w:val="00B14D54"/>
    <w:rsid w:val="00B20621"/>
    <w:rsid w:val="00B21509"/>
    <w:rsid w:val="00B2309F"/>
    <w:rsid w:val="00B233DC"/>
    <w:rsid w:val="00B23535"/>
    <w:rsid w:val="00B25790"/>
    <w:rsid w:val="00B25E2F"/>
    <w:rsid w:val="00B26849"/>
    <w:rsid w:val="00B41537"/>
    <w:rsid w:val="00B42EAE"/>
    <w:rsid w:val="00B446BA"/>
    <w:rsid w:val="00B4470C"/>
    <w:rsid w:val="00B456E5"/>
    <w:rsid w:val="00B47914"/>
    <w:rsid w:val="00B47D4B"/>
    <w:rsid w:val="00B47EDC"/>
    <w:rsid w:val="00B528C6"/>
    <w:rsid w:val="00B559E6"/>
    <w:rsid w:val="00B573E0"/>
    <w:rsid w:val="00B604FA"/>
    <w:rsid w:val="00B612EA"/>
    <w:rsid w:val="00B63C23"/>
    <w:rsid w:val="00B67562"/>
    <w:rsid w:val="00B70361"/>
    <w:rsid w:val="00B717B8"/>
    <w:rsid w:val="00B719E8"/>
    <w:rsid w:val="00B73387"/>
    <w:rsid w:val="00B73BD3"/>
    <w:rsid w:val="00B756A3"/>
    <w:rsid w:val="00B77242"/>
    <w:rsid w:val="00B81482"/>
    <w:rsid w:val="00BA5F6E"/>
    <w:rsid w:val="00BA6AAE"/>
    <w:rsid w:val="00BA7052"/>
    <w:rsid w:val="00BB49B3"/>
    <w:rsid w:val="00BB7672"/>
    <w:rsid w:val="00BB79A6"/>
    <w:rsid w:val="00BC373C"/>
    <w:rsid w:val="00BC4076"/>
    <w:rsid w:val="00BC41CF"/>
    <w:rsid w:val="00BC57DD"/>
    <w:rsid w:val="00BC5BB3"/>
    <w:rsid w:val="00BC5CE2"/>
    <w:rsid w:val="00BC643A"/>
    <w:rsid w:val="00BC6B1E"/>
    <w:rsid w:val="00BC7834"/>
    <w:rsid w:val="00BD053C"/>
    <w:rsid w:val="00BD42BC"/>
    <w:rsid w:val="00BD455C"/>
    <w:rsid w:val="00BD6814"/>
    <w:rsid w:val="00BD7B77"/>
    <w:rsid w:val="00BE1B49"/>
    <w:rsid w:val="00BE3F92"/>
    <w:rsid w:val="00BE5072"/>
    <w:rsid w:val="00BE5F1A"/>
    <w:rsid w:val="00BE6818"/>
    <w:rsid w:val="00BF1173"/>
    <w:rsid w:val="00BF1DAF"/>
    <w:rsid w:val="00BF4FC7"/>
    <w:rsid w:val="00BF6130"/>
    <w:rsid w:val="00C000A8"/>
    <w:rsid w:val="00C00BF0"/>
    <w:rsid w:val="00C02046"/>
    <w:rsid w:val="00C030E3"/>
    <w:rsid w:val="00C0648F"/>
    <w:rsid w:val="00C07B02"/>
    <w:rsid w:val="00C12744"/>
    <w:rsid w:val="00C13E42"/>
    <w:rsid w:val="00C20409"/>
    <w:rsid w:val="00C25FCE"/>
    <w:rsid w:val="00C26182"/>
    <w:rsid w:val="00C27135"/>
    <w:rsid w:val="00C30431"/>
    <w:rsid w:val="00C31195"/>
    <w:rsid w:val="00C35EC6"/>
    <w:rsid w:val="00C408BB"/>
    <w:rsid w:val="00C41D22"/>
    <w:rsid w:val="00C52F4C"/>
    <w:rsid w:val="00C539FF"/>
    <w:rsid w:val="00C56FE8"/>
    <w:rsid w:val="00C60236"/>
    <w:rsid w:val="00C628DE"/>
    <w:rsid w:val="00C6323F"/>
    <w:rsid w:val="00C63462"/>
    <w:rsid w:val="00C6554C"/>
    <w:rsid w:val="00C66948"/>
    <w:rsid w:val="00C67830"/>
    <w:rsid w:val="00C704E5"/>
    <w:rsid w:val="00C72F28"/>
    <w:rsid w:val="00C73380"/>
    <w:rsid w:val="00C82A26"/>
    <w:rsid w:val="00C82CF0"/>
    <w:rsid w:val="00C8608C"/>
    <w:rsid w:val="00C86B33"/>
    <w:rsid w:val="00C87922"/>
    <w:rsid w:val="00C909AA"/>
    <w:rsid w:val="00C90CC8"/>
    <w:rsid w:val="00C914C4"/>
    <w:rsid w:val="00C925B5"/>
    <w:rsid w:val="00C92D86"/>
    <w:rsid w:val="00C94DC6"/>
    <w:rsid w:val="00CA0155"/>
    <w:rsid w:val="00CA6EA8"/>
    <w:rsid w:val="00CB2212"/>
    <w:rsid w:val="00CB326F"/>
    <w:rsid w:val="00CB376E"/>
    <w:rsid w:val="00CB55FE"/>
    <w:rsid w:val="00CC036B"/>
    <w:rsid w:val="00CD21CD"/>
    <w:rsid w:val="00CD3B8E"/>
    <w:rsid w:val="00CD3D14"/>
    <w:rsid w:val="00CD5353"/>
    <w:rsid w:val="00CE1533"/>
    <w:rsid w:val="00CE1AB1"/>
    <w:rsid w:val="00CE1DBF"/>
    <w:rsid w:val="00CE1DEA"/>
    <w:rsid w:val="00CE7F22"/>
    <w:rsid w:val="00CF2F21"/>
    <w:rsid w:val="00CF4216"/>
    <w:rsid w:val="00CF4227"/>
    <w:rsid w:val="00CF4763"/>
    <w:rsid w:val="00D00172"/>
    <w:rsid w:val="00D01B03"/>
    <w:rsid w:val="00D053B0"/>
    <w:rsid w:val="00D07151"/>
    <w:rsid w:val="00D07B8D"/>
    <w:rsid w:val="00D10B39"/>
    <w:rsid w:val="00D116AB"/>
    <w:rsid w:val="00D16279"/>
    <w:rsid w:val="00D1677E"/>
    <w:rsid w:val="00D17D58"/>
    <w:rsid w:val="00D22A0B"/>
    <w:rsid w:val="00D3054B"/>
    <w:rsid w:val="00D330FD"/>
    <w:rsid w:val="00D33678"/>
    <w:rsid w:val="00D34BAE"/>
    <w:rsid w:val="00D36D91"/>
    <w:rsid w:val="00D42E7E"/>
    <w:rsid w:val="00D43754"/>
    <w:rsid w:val="00D448E5"/>
    <w:rsid w:val="00D45480"/>
    <w:rsid w:val="00D47524"/>
    <w:rsid w:val="00D51703"/>
    <w:rsid w:val="00D523A5"/>
    <w:rsid w:val="00D5244A"/>
    <w:rsid w:val="00D53163"/>
    <w:rsid w:val="00D5566D"/>
    <w:rsid w:val="00D5610F"/>
    <w:rsid w:val="00D56484"/>
    <w:rsid w:val="00D625EE"/>
    <w:rsid w:val="00D64E25"/>
    <w:rsid w:val="00D67BB5"/>
    <w:rsid w:val="00D71D0F"/>
    <w:rsid w:val="00D725CA"/>
    <w:rsid w:val="00D75C7E"/>
    <w:rsid w:val="00D771AE"/>
    <w:rsid w:val="00D87665"/>
    <w:rsid w:val="00D87A35"/>
    <w:rsid w:val="00D90D5D"/>
    <w:rsid w:val="00D912FF"/>
    <w:rsid w:val="00D92880"/>
    <w:rsid w:val="00D92887"/>
    <w:rsid w:val="00D952A7"/>
    <w:rsid w:val="00D95996"/>
    <w:rsid w:val="00D96FB9"/>
    <w:rsid w:val="00D9732B"/>
    <w:rsid w:val="00DA1AA0"/>
    <w:rsid w:val="00DA52E6"/>
    <w:rsid w:val="00DA5A83"/>
    <w:rsid w:val="00DB0C32"/>
    <w:rsid w:val="00DB1FAC"/>
    <w:rsid w:val="00DB30D9"/>
    <w:rsid w:val="00DB6F62"/>
    <w:rsid w:val="00DC22BC"/>
    <w:rsid w:val="00DC79AE"/>
    <w:rsid w:val="00DD28DE"/>
    <w:rsid w:val="00DD5AC2"/>
    <w:rsid w:val="00DE3025"/>
    <w:rsid w:val="00DE40D0"/>
    <w:rsid w:val="00DE46EF"/>
    <w:rsid w:val="00DE4793"/>
    <w:rsid w:val="00DE4885"/>
    <w:rsid w:val="00DE5BF4"/>
    <w:rsid w:val="00DF0553"/>
    <w:rsid w:val="00DF0A06"/>
    <w:rsid w:val="00DF0A67"/>
    <w:rsid w:val="00DF29A8"/>
    <w:rsid w:val="00DF34B9"/>
    <w:rsid w:val="00DF3D0B"/>
    <w:rsid w:val="00DF5010"/>
    <w:rsid w:val="00DF5399"/>
    <w:rsid w:val="00DF550A"/>
    <w:rsid w:val="00DF60DB"/>
    <w:rsid w:val="00E02C41"/>
    <w:rsid w:val="00E03748"/>
    <w:rsid w:val="00E03C4E"/>
    <w:rsid w:val="00E075B7"/>
    <w:rsid w:val="00E078E9"/>
    <w:rsid w:val="00E10E1E"/>
    <w:rsid w:val="00E118C7"/>
    <w:rsid w:val="00E1343A"/>
    <w:rsid w:val="00E22904"/>
    <w:rsid w:val="00E25003"/>
    <w:rsid w:val="00E2530E"/>
    <w:rsid w:val="00E33410"/>
    <w:rsid w:val="00E3385B"/>
    <w:rsid w:val="00E340C0"/>
    <w:rsid w:val="00E37E17"/>
    <w:rsid w:val="00E419D5"/>
    <w:rsid w:val="00E42DDB"/>
    <w:rsid w:val="00E53453"/>
    <w:rsid w:val="00E54E5A"/>
    <w:rsid w:val="00E54ECB"/>
    <w:rsid w:val="00E557BF"/>
    <w:rsid w:val="00E5746C"/>
    <w:rsid w:val="00E60B01"/>
    <w:rsid w:val="00E7556C"/>
    <w:rsid w:val="00E7668C"/>
    <w:rsid w:val="00E769D8"/>
    <w:rsid w:val="00E84B67"/>
    <w:rsid w:val="00E85A70"/>
    <w:rsid w:val="00E85D26"/>
    <w:rsid w:val="00E86492"/>
    <w:rsid w:val="00E91435"/>
    <w:rsid w:val="00E928EC"/>
    <w:rsid w:val="00E948B5"/>
    <w:rsid w:val="00E965D6"/>
    <w:rsid w:val="00E966FE"/>
    <w:rsid w:val="00EA007A"/>
    <w:rsid w:val="00EA4D87"/>
    <w:rsid w:val="00EB1B5D"/>
    <w:rsid w:val="00EB3A68"/>
    <w:rsid w:val="00EB5B64"/>
    <w:rsid w:val="00EB5C7C"/>
    <w:rsid w:val="00EB6773"/>
    <w:rsid w:val="00EB6EE2"/>
    <w:rsid w:val="00EC4D7B"/>
    <w:rsid w:val="00ED2E96"/>
    <w:rsid w:val="00ED5077"/>
    <w:rsid w:val="00ED79B2"/>
    <w:rsid w:val="00EE2116"/>
    <w:rsid w:val="00EE3657"/>
    <w:rsid w:val="00EE3F33"/>
    <w:rsid w:val="00EE51E8"/>
    <w:rsid w:val="00EF1FF3"/>
    <w:rsid w:val="00EF4B1F"/>
    <w:rsid w:val="00EF620C"/>
    <w:rsid w:val="00F016C6"/>
    <w:rsid w:val="00F026E0"/>
    <w:rsid w:val="00F045C1"/>
    <w:rsid w:val="00F06F63"/>
    <w:rsid w:val="00F073A3"/>
    <w:rsid w:val="00F11568"/>
    <w:rsid w:val="00F11991"/>
    <w:rsid w:val="00F15449"/>
    <w:rsid w:val="00F16B87"/>
    <w:rsid w:val="00F17DD8"/>
    <w:rsid w:val="00F20CD8"/>
    <w:rsid w:val="00F20EAC"/>
    <w:rsid w:val="00F21440"/>
    <w:rsid w:val="00F23A76"/>
    <w:rsid w:val="00F32F9E"/>
    <w:rsid w:val="00F33508"/>
    <w:rsid w:val="00F336D7"/>
    <w:rsid w:val="00F35862"/>
    <w:rsid w:val="00F371BE"/>
    <w:rsid w:val="00F37231"/>
    <w:rsid w:val="00F379C5"/>
    <w:rsid w:val="00F406CC"/>
    <w:rsid w:val="00F40B16"/>
    <w:rsid w:val="00F42409"/>
    <w:rsid w:val="00F465A8"/>
    <w:rsid w:val="00F510A7"/>
    <w:rsid w:val="00F52C5C"/>
    <w:rsid w:val="00F56B98"/>
    <w:rsid w:val="00F6293F"/>
    <w:rsid w:val="00F6383D"/>
    <w:rsid w:val="00F638CB"/>
    <w:rsid w:val="00F65104"/>
    <w:rsid w:val="00F77952"/>
    <w:rsid w:val="00F80215"/>
    <w:rsid w:val="00F84E37"/>
    <w:rsid w:val="00F85E9C"/>
    <w:rsid w:val="00F90447"/>
    <w:rsid w:val="00F91535"/>
    <w:rsid w:val="00F93DFE"/>
    <w:rsid w:val="00F949B5"/>
    <w:rsid w:val="00F95823"/>
    <w:rsid w:val="00FA1291"/>
    <w:rsid w:val="00FA5656"/>
    <w:rsid w:val="00FA59A7"/>
    <w:rsid w:val="00FB103A"/>
    <w:rsid w:val="00FB2A6D"/>
    <w:rsid w:val="00FB3C7E"/>
    <w:rsid w:val="00FB4823"/>
    <w:rsid w:val="00FB4B4E"/>
    <w:rsid w:val="00FB5A54"/>
    <w:rsid w:val="00FC0369"/>
    <w:rsid w:val="00FC0652"/>
    <w:rsid w:val="00FC0F08"/>
    <w:rsid w:val="00FC1D00"/>
    <w:rsid w:val="00FC2880"/>
    <w:rsid w:val="00FC2DA2"/>
    <w:rsid w:val="00FC621B"/>
    <w:rsid w:val="00FC6C01"/>
    <w:rsid w:val="00FC6E68"/>
    <w:rsid w:val="00FC7103"/>
    <w:rsid w:val="00FD1719"/>
    <w:rsid w:val="00FD52DD"/>
    <w:rsid w:val="00FE2E36"/>
    <w:rsid w:val="00FE562F"/>
    <w:rsid w:val="00FE56CB"/>
    <w:rsid w:val="00FE59B4"/>
    <w:rsid w:val="00FF288B"/>
    <w:rsid w:val="00FF4D5C"/>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1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BEE"/>
    <w:rPr>
      <w:rFonts w:ascii="Tahoma" w:hAnsi="Tahoma" w:cs="Tahoma"/>
      <w:sz w:val="16"/>
      <w:szCs w:val="16"/>
    </w:rPr>
  </w:style>
  <w:style w:type="paragraph" w:styleId="EndnoteText">
    <w:name w:val="endnote text"/>
    <w:basedOn w:val="Normal"/>
    <w:link w:val="EndnoteTextChar"/>
    <w:uiPriority w:val="99"/>
    <w:semiHidden/>
    <w:unhideWhenUsed/>
    <w:rsid w:val="000A3B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3BEE"/>
    <w:rPr>
      <w:sz w:val="20"/>
      <w:szCs w:val="20"/>
    </w:rPr>
  </w:style>
  <w:style w:type="character" w:styleId="EndnoteReference">
    <w:name w:val="endnote reference"/>
    <w:basedOn w:val="DefaultParagraphFont"/>
    <w:uiPriority w:val="99"/>
    <w:semiHidden/>
    <w:unhideWhenUsed/>
    <w:rsid w:val="000A3BEE"/>
    <w:rPr>
      <w:vertAlign w:val="superscript"/>
    </w:rPr>
  </w:style>
  <w:style w:type="paragraph" w:styleId="FootnoteText">
    <w:name w:val="footnote text"/>
    <w:basedOn w:val="Normal"/>
    <w:link w:val="FootnoteTextChar"/>
    <w:uiPriority w:val="99"/>
    <w:unhideWhenUsed/>
    <w:rsid w:val="000A3BEE"/>
    <w:pPr>
      <w:spacing w:after="0" w:line="240" w:lineRule="auto"/>
    </w:pPr>
    <w:rPr>
      <w:sz w:val="20"/>
      <w:szCs w:val="20"/>
    </w:rPr>
  </w:style>
  <w:style w:type="character" w:customStyle="1" w:styleId="FootnoteTextChar">
    <w:name w:val="Footnote Text Char"/>
    <w:basedOn w:val="DefaultParagraphFont"/>
    <w:link w:val="FootnoteText"/>
    <w:uiPriority w:val="99"/>
    <w:rsid w:val="000A3BEE"/>
    <w:rPr>
      <w:sz w:val="20"/>
      <w:szCs w:val="20"/>
    </w:rPr>
  </w:style>
  <w:style w:type="character" w:styleId="FootnoteReference">
    <w:name w:val="footnote reference"/>
    <w:basedOn w:val="DefaultParagraphFont"/>
    <w:uiPriority w:val="99"/>
    <w:semiHidden/>
    <w:unhideWhenUsed/>
    <w:rsid w:val="000A3BEE"/>
    <w:rPr>
      <w:vertAlign w:val="superscript"/>
    </w:rPr>
  </w:style>
  <w:style w:type="paragraph" w:styleId="Bibliography">
    <w:name w:val="Bibliography"/>
    <w:basedOn w:val="Normal"/>
    <w:next w:val="Normal"/>
    <w:uiPriority w:val="37"/>
    <w:unhideWhenUsed/>
    <w:rsid w:val="000A3BEE"/>
  </w:style>
  <w:style w:type="paragraph" w:customStyle="1" w:styleId="Default">
    <w:name w:val="Default"/>
    <w:rsid w:val="00CF4216"/>
    <w:pPr>
      <w:autoSpaceDE w:val="0"/>
      <w:autoSpaceDN w:val="0"/>
      <w:adjustRightInd w:val="0"/>
      <w:spacing w:after="0" w:line="240" w:lineRule="auto"/>
    </w:pPr>
    <w:rPr>
      <w:rFonts w:ascii="Meta Serif Pro Book" w:hAnsi="Meta Serif Pro Book" w:cs="Meta Serif Pro Book"/>
      <w:color w:val="000000"/>
      <w:sz w:val="24"/>
      <w:szCs w:val="24"/>
    </w:rPr>
  </w:style>
  <w:style w:type="paragraph" w:styleId="NoSpacing">
    <w:name w:val="No Spacing"/>
    <w:link w:val="NoSpacingChar"/>
    <w:uiPriority w:val="1"/>
    <w:qFormat/>
    <w:rsid w:val="00B559E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559E6"/>
    <w:rPr>
      <w:rFonts w:ascii="Calibri" w:eastAsia="Calibri" w:hAnsi="Calibri" w:cs="Times New Roman"/>
    </w:rPr>
  </w:style>
  <w:style w:type="table" w:styleId="TableGrid">
    <w:name w:val="Table Grid"/>
    <w:basedOn w:val="TableNormal"/>
    <w:uiPriority w:val="59"/>
    <w:rsid w:val="00F17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7DD8"/>
    <w:pPr>
      <w:ind w:left="720"/>
      <w:contextualSpacing/>
    </w:pPr>
  </w:style>
  <w:style w:type="character" w:styleId="Hyperlink">
    <w:name w:val="Hyperlink"/>
    <w:basedOn w:val="DefaultParagraphFont"/>
    <w:uiPriority w:val="99"/>
    <w:unhideWhenUsed/>
    <w:rsid w:val="00A34281"/>
    <w:rPr>
      <w:color w:val="0000FF" w:themeColor="hyperlink"/>
      <w:u w:val="single"/>
    </w:rPr>
  </w:style>
  <w:style w:type="character" w:styleId="FollowedHyperlink">
    <w:name w:val="FollowedHyperlink"/>
    <w:basedOn w:val="DefaultParagraphFont"/>
    <w:uiPriority w:val="99"/>
    <w:semiHidden/>
    <w:unhideWhenUsed/>
    <w:rsid w:val="00140263"/>
    <w:rPr>
      <w:color w:val="800080" w:themeColor="followedHyperlink"/>
      <w:u w:val="single"/>
    </w:rPr>
  </w:style>
  <w:style w:type="character" w:customStyle="1" w:styleId="Heading1Char">
    <w:name w:val="Heading 1 Char"/>
    <w:basedOn w:val="DefaultParagraphFont"/>
    <w:link w:val="Heading1"/>
    <w:uiPriority w:val="9"/>
    <w:rsid w:val="00021135"/>
    <w:rPr>
      <w:rFonts w:asciiTheme="majorHAnsi" w:eastAsiaTheme="majorEastAsia" w:hAnsiTheme="majorHAnsi" w:cstheme="majorBidi"/>
      <w:b/>
      <w:bCs/>
      <w:color w:val="365F91" w:themeColor="accent1" w:themeShade="BF"/>
      <w:sz w:val="28"/>
      <w:szCs w:val="28"/>
    </w:rPr>
  </w:style>
  <w:style w:type="paragraph" w:styleId="HTMLPreformatted">
    <w:name w:val="HTML Preformatted"/>
    <w:basedOn w:val="Normal"/>
    <w:link w:val="HTMLPreformattedChar"/>
    <w:uiPriority w:val="99"/>
    <w:semiHidden/>
    <w:unhideWhenUsed/>
    <w:rsid w:val="004F71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F7170"/>
    <w:rPr>
      <w:rFonts w:ascii="Consolas" w:hAnsi="Consolas" w:cs="Consolas"/>
      <w:sz w:val="20"/>
      <w:szCs w:val="20"/>
    </w:rPr>
  </w:style>
  <w:style w:type="character" w:styleId="CommentReference">
    <w:name w:val="annotation reference"/>
    <w:basedOn w:val="DefaultParagraphFont"/>
    <w:uiPriority w:val="99"/>
    <w:semiHidden/>
    <w:unhideWhenUsed/>
    <w:rsid w:val="00B77242"/>
    <w:rPr>
      <w:sz w:val="16"/>
      <w:szCs w:val="16"/>
    </w:rPr>
  </w:style>
  <w:style w:type="paragraph" w:styleId="CommentText">
    <w:name w:val="annotation text"/>
    <w:basedOn w:val="Normal"/>
    <w:link w:val="CommentTextChar"/>
    <w:uiPriority w:val="99"/>
    <w:semiHidden/>
    <w:unhideWhenUsed/>
    <w:rsid w:val="00B77242"/>
    <w:pPr>
      <w:spacing w:line="240" w:lineRule="auto"/>
    </w:pPr>
    <w:rPr>
      <w:sz w:val="20"/>
      <w:szCs w:val="20"/>
    </w:rPr>
  </w:style>
  <w:style w:type="character" w:customStyle="1" w:styleId="CommentTextChar">
    <w:name w:val="Comment Text Char"/>
    <w:basedOn w:val="DefaultParagraphFont"/>
    <w:link w:val="CommentText"/>
    <w:uiPriority w:val="99"/>
    <w:semiHidden/>
    <w:rsid w:val="00B77242"/>
    <w:rPr>
      <w:sz w:val="20"/>
      <w:szCs w:val="20"/>
    </w:rPr>
  </w:style>
  <w:style w:type="paragraph" w:styleId="CommentSubject">
    <w:name w:val="annotation subject"/>
    <w:basedOn w:val="CommentText"/>
    <w:next w:val="CommentText"/>
    <w:link w:val="CommentSubjectChar"/>
    <w:uiPriority w:val="99"/>
    <w:semiHidden/>
    <w:unhideWhenUsed/>
    <w:rsid w:val="00B77242"/>
    <w:rPr>
      <w:b/>
      <w:bCs/>
    </w:rPr>
  </w:style>
  <w:style w:type="character" w:customStyle="1" w:styleId="CommentSubjectChar">
    <w:name w:val="Comment Subject Char"/>
    <w:basedOn w:val="CommentTextChar"/>
    <w:link w:val="CommentSubject"/>
    <w:uiPriority w:val="99"/>
    <w:semiHidden/>
    <w:rsid w:val="00B77242"/>
    <w:rPr>
      <w:b/>
      <w:bCs/>
      <w:sz w:val="20"/>
      <w:szCs w:val="20"/>
    </w:rPr>
  </w:style>
  <w:style w:type="paragraph" w:styleId="Header">
    <w:name w:val="header"/>
    <w:basedOn w:val="Normal"/>
    <w:link w:val="HeaderChar"/>
    <w:uiPriority w:val="99"/>
    <w:unhideWhenUsed/>
    <w:rsid w:val="00204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7C6"/>
  </w:style>
  <w:style w:type="paragraph" w:styleId="Footer">
    <w:name w:val="footer"/>
    <w:basedOn w:val="Normal"/>
    <w:link w:val="FooterChar"/>
    <w:uiPriority w:val="99"/>
    <w:unhideWhenUsed/>
    <w:rsid w:val="002047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47C6"/>
  </w:style>
  <w:style w:type="character" w:customStyle="1" w:styleId="apple-converted-space">
    <w:name w:val="apple-converted-space"/>
    <w:basedOn w:val="DefaultParagraphFont"/>
    <w:rsid w:val="00A62B7B"/>
  </w:style>
  <w:style w:type="character" w:customStyle="1" w:styleId="highlight">
    <w:name w:val="highlight"/>
    <w:basedOn w:val="DefaultParagraphFont"/>
    <w:rsid w:val="007F67A9"/>
  </w:style>
  <w:style w:type="character" w:customStyle="1" w:styleId="cit">
    <w:name w:val="cit"/>
    <w:basedOn w:val="DefaultParagraphFont"/>
    <w:rsid w:val="009E2FBA"/>
  </w:style>
  <w:style w:type="character" w:customStyle="1" w:styleId="doi1">
    <w:name w:val="doi1"/>
    <w:basedOn w:val="DefaultParagraphFont"/>
    <w:rsid w:val="009E2FBA"/>
  </w:style>
  <w:style w:type="character" w:customStyle="1" w:styleId="fm-citation-ids-label">
    <w:name w:val="fm-citation-ids-label"/>
    <w:basedOn w:val="DefaultParagraphFont"/>
    <w:rsid w:val="009E2FBA"/>
  </w:style>
  <w:style w:type="character" w:customStyle="1" w:styleId="cit-auth1">
    <w:name w:val="cit-auth1"/>
    <w:basedOn w:val="DefaultParagraphFont"/>
    <w:rsid w:val="00F21440"/>
  </w:style>
  <w:style w:type="character" w:customStyle="1" w:styleId="cit-issue1">
    <w:name w:val="cit-issue1"/>
    <w:basedOn w:val="DefaultParagraphFont"/>
    <w:rsid w:val="00F21440"/>
    <w:rPr>
      <w:vanish/>
      <w:webHidden w:val="0"/>
      <w:specVanish w:val="0"/>
    </w:rPr>
  </w:style>
  <w:style w:type="character" w:customStyle="1" w:styleId="cit-sep2">
    <w:name w:val="cit-sep2"/>
    <w:basedOn w:val="DefaultParagraphFont"/>
    <w:rsid w:val="00F21440"/>
  </w:style>
  <w:style w:type="character" w:customStyle="1" w:styleId="cit-title5">
    <w:name w:val="cit-title5"/>
    <w:basedOn w:val="DefaultParagraphFont"/>
    <w:rsid w:val="00F21440"/>
  </w:style>
  <w:style w:type="character" w:customStyle="1" w:styleId="site-title">
    <w:name w:val="site-title"/>
    <w:basedOn w:val="DefaultParagraphFont"/>
    <w:rsid w:val="00F21440"/>
  </w:style>
  <w:style w:type="character" w:customStyle="1" w:styleId="cit-print-date2">
    <w:name w:val="cit-print-date2"/>
    <w:basedOn w:val="DefaultParagraphFont"/>
    <w:rsid w:val="00F21440"/>
  </w:style>
  <w:style w:type="character" w:customStyle="1" w:styleId="cit-vol4">
    <w:name w:val="cit-vol4"/>
    <w:basedOn w:val="DefaultParagraphFont"/>
    <w:rsid w:val="00F21440"/>
  </w:style>
  <w:style w:type="character" w:customStyle="1" w:styleId="cit-first-page">
    <w:name w:val="cit-first-page"/>
    <w:basedOn w:val="DefaultParagraphFont"/>
    <w:rsid w:val="00F21440"/>
  </w:style>
  <w:style w:type="character" w:customStyle="1" w:styleId="cit-last-page2">
    <w:name w:val="cit-last-page2"/>
    <w:basedOn w:val="DefaultParagraphFont"/>
    <w:rsid w:val="00F21440"/>
  </w:style>
  <w:style w:type="character" w:customStyle="1" w:styleId="cit-ahead-of-print-date">
    <w:name w:val="cit-ahead-of-print-date"/>
    <w:basedOn w:val="DefaultParagraphFont"/>
    <w:rsid w:val="00F21440"/>
  </w:style>
  <w:style w:type="character" w:customStyle="1" w:styleId="cit-doi3">
    <w:name w:val="cit-doi3"/>
    <w:basedOn w:val="DefaultParagraphFont"/>
    <w:rsid w:val="00F21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211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3B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3BEE"/>
    <w:rPr>
      <w:rFonts w:ascii="Tahoma" w:hAnsi="Tahoma" w:cs="Tahoma"/>
      <w:sz w:val="16"/>
      <w:szCs w:val="16"/>
    </w:rPr>
  </w:style>
  <w:style w:type="paragraph" w:styleId="EndnoteText">
    <w:name w:val="endnote text"/>
    <w:basedOn w:val="Normal"/>
    <w:link w:val="EndnoteTextChar"/>
    <w:uiPriority w:val="99"/>
    <w:semiHidden/>
    <w:unhideWhenUsed/>
    <w:rsid w:val="000A3B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3BEE"/>
    <w:rPr>
      <w:sz w:val="20"/>
      <w:szCs w:val="20"/>
    </w:rPr>
  </w:style>
  <w:style w:type="character" w:styleId="EndnoteReference">
    <w:name w:val="endnote reference"/>
    <w:basedOn w:val="DefaultParagraphFont"/>
    <w:uiPriority w:val="99"/>
    <w:semiHidden/>
    <w:unhideWhenUsed/>
    <w:rsid w:val="000A3BEE"/>
    <w:rPr>
      <w:vertAlign w:val="superscript"/>
    </w:rPr>
  </w:style>
  <w:style w:type="paragraph" w:styleId="FootnoteText">
    <w:name w:val="footnote text"/>
    <w:basedOn w:val="Normal"/>
    <w:link w:val="FootnoteTextChar"/>
    <w:uiPriority w:val="99"/>
    <w:unhideWhenUsed/>
    <w:rsid w:val="000A3BEE"/>
    <w:pPr>
      <w:spacing w:after="0" w:line="240" w:lineRule="auto"/>
    </w:pPr>
    <w:rPr>
      <w:sz w:val="20"/>
      <w:szCs w:val="20"/>
    </w:rPr>
  </w:style>
  <w:style w:type="character" w:customStyle="1" w:styleId="FootnoteTextChar">
    <w:name w:val="Footnote Text Char"/>
    <w:basedOn w:val="DefaultParagraphFont"/>
    <w:link w:val="FootnoteText"/>
    <w:uiPriority w:val="99"/>
    <w:rsid w:val="000A3BEE"/>
    <w:rPr>
      <w:sz w:val="20"/>
      <w:szCs w:val="20"/>
    </w:rPr>
  </w:style>
  <w:style w:type="character" w:styleId="FootnoteReference">
    <w:name w:val="footnote reference"/>
    <w:basedOn w:val="DefaultParagraphFont"/>
    <w:uiPriority w:val="99"/>
    <w:semiHidden/>
    <w:unhideWhenUsed/>
    <w:rsid w:val="000A3BEE"/>
    <w:rPr>
      <w:vertAlign w:val="superscript"/>
    </w:rPr>
  </w:style>
  <w:style w:type="paragraph" w:styleId="Bibliography">
    <w:name w:val="Bibliography"/>
    <w:basedOn w:val="Normal"/>
    <w:next w:val="Normal"/>
    <w:uiPriority w:val="37"/>
    <w:unhideWhenUsed/>
    <w:rsid w:val="000A3BEE"/>
  </w:style>
  <w:style w:type="paragraph" w:customStyle="1" w:styleId="Default">
    <w:name w:val="Default"/>
    <w:rsid w:val="00CF4216"/>
    <w:pPr>
      <w:autoSpaceDE w:val="0"/>
      <w:autoSpaceDN w:val="0"/>
      <w:adjustRightInd w:val="0"/>
      <w:spacing w:after="0" w:line="240" w:lineRule="auto"/>
    </w:pPr>
    <w:rPr>
      <w:rFonts w:ascii="Meta Serif Pro Book" w:hAnsi="Meta Serif Pro Book" w:cs="Meta Serif Pro Book"/>
      <w:color w:val="000000"/>
      <w:sz w:val="24"/>
      <w:szCs w:val="24"/>
    </w:rPr>
  </w:style>
  <w:style w:type="paragraph" w:styleId="NoSpacing">
    <w:name w:val="No Spacing"/>
    <w:link w:val="NoSpacingChar"/>
    <w:uiPriority w:val="1"/>
    <w:qFormat/>
    <w:rsid w:val="00B559E6"/>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B559E6"/>
    <w:rPr>
      <w:rFonts w:ascii="Calibri" w:eastAsia="Calibri" w:hAnsi="Calibri" w:cs="Times New Roman"/>
    </w:rPr>
  </w:style>
  <w:style w:type="table" w:styleId="TableGrid">
    <w:name w:val="Table Grid"/>
    <w:basedOn w:val="TableNormal"/>
    <w:uiPriority w:val="59"/>
    <w:rsid w:val="00F17D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7DD8"/>
    <w:pPr>
      <w:ind w:left="720"/>
      <w:contextualSpacing/>
    </w:pPr>
  </w:style>
  <w:style w:type="character" w:styleId="Hyperlink">
    <w:name w:val="Hyperlink"/>
    <w:basedOn w:val="DefaultParagraphFont"/>
    <w:uiPriority w:val="99"/>
    <w:unhideWhenUsed/>
    <w:rsid w:val="00A34281"/>
    <w:rPr>
      <w:color w:val="0000FF" w:themeColor="hyperlink"/>
      <w:u w:val="single"/>
    </w:rPr>
  </w:style>
  <w:style w:type="character" w:styleId="FollowedHyperlink">
    <w:name w:val="FollowedHyperlink"/>
    <w:basedOn w:val="DefaultParagraphFont"/>
    <w:uiPriority w:val="99"/>
    <w:semiHidden/>
    <w:unhideWhenUsed/>
    <w:rsid w:val="00140263"/>
    <w:rPr>
      <w:color w:val="800080" w:themeColor="followedHyperlink"/>
      <w:u w:val="single"/>
    </w:rPr>
  </w:style>
  <w:style w:type="character" w:customStyle="1" w:styleId="Heading1Char">
    <w:name w:val="Heading 1 Char"/>
    <w:basedOn w:val="DefaultParagraphFont"/>
    <w:link w:val="Heading1"/>
    <w:uiPriority w:val="9"/>
    <w:rsid w:val="00021135"/>
    <w:rPr>
      <w:rFonts w:asciiTheme="majorHAnsi" w:eastAsiaTheme="majorEastAsia" w:hAnsiTheme="majorHAnsi" w:cstheme="majorBidi"/>
      <w:b/>
      <w:bCs/>
      <w:color w:val="365F91" w:themeColor="accent1" w:themeShade="BF"/>
      <w:sz w:val="28"/>
      <w:szCs w:val="28"/>
    </w:rPr>
  </w:style>
  <w:style w:type="paragraph" w:styleId="HTMLPreformatted">
    <w:name w:val="HTML Preformatted"/>
    <w:basedOn w:val="Normal"/>
    <w:link w:val="HTMLPreformattedChar"/>
    <w:uiPriority w:val="99"/>
    <w:semiHidden/>
    <w:unhideWhenUsed/>
    <w:rsid w:val="004F71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F7170"/>
    <w:rPr>
      <w:rFonts w:ascii="Consolas" w:hAnsi="Consolas" w:cs="Consolas"/>
      <w:sz w:val="20"/>
      <w:szCs w:val="20"/>
    </w:rPr>
  </w:style>
  <w:style w:type="character" w:styleId="CommentReference">
    <w:name w:val="annotation reference"/>
    <w:basedOn w:val="DefaultParagraphFont"/>
    <w:uiPriority w:val="99"/>
    <w:semiHidden/>
    <w:unhideWhenUsed/>
    <w:rsid w:val="00B77242"/>
    <w:rPr>
      <w:sz w:val="16"/>
      <w:szCs w:val="16"/>
    </w:rPr>
  </w:style>
  <w:style w:type="paragraph" w:styleId="CommentText">
    <w:name w:val="annotation text"/>
    <w:basedOn w:val="Normal"/>
    <w:link w:val="CommentTextChar"/>
    <w:uiPriority w:val="99"/>
    <w:semiHidden/>
    <w:unhideWhenUsed/>
    <w:rsid w:val="00B77242"/>
    <w:pPr>
      <w:spacing w:line="240" w:lineRule="auto"/>
    </w:pPr>
    <w:rPr>
      <w:sz w:val="20"/>
      <w:szCs w:val="20"/>
    </w:rPr>
  </w:style>
  <w:style w:type="character" w:customStyle="1" w:styleId="CommentTextChar">
    <w:name w:val="Comment Text Char"/>
    <w:basedOn w:val="DefaultParagraphFont"/>
    <w:link w:val="CommentText"/>
    <w:uiPriority w:val="99"/>
    <w:semiHidden/>
    <w:rsid w:val="00B77242"/>
    <w:rPr>
      <w:sz w:val="20"/>
      <w:szCs w:val="20"/>
    </w:rPr>
  </w:style>
  <w:style w:type="paragraph" w:styleId="CommentSubject">
    <w:name w:val="annotation subject"/>
    <w:basedOn w:val="CommentText"/>
    <w:next w:val="CommentText"/>
    <w:link w:val="CommentSubjectChar"/>
    <w:uiPriority w:val="99"/>
    <w:semiHidden/>
    <w:unhideWhenUsed/>
    <w:rsid w:val="00B77242"/>
    <w:rPr>
      <w:b/>
      <w:bCs/>
    </w:rPr>
  </w:style>
  <w:style w:type="character" w:customStyle="1" w:styleId="CommentSubjectChar">
    <w:name w:val="Comment Subject Char"/>
    <w:basedOn w:val="CommentTextChar"/>
    <w:link w:val="CommentSubject"/>
    <w:uiPriority w:val="99"/>
    <w:semiHidden/>
    <w:rsid w:val="00B77242"/>
    <w:rPr>
      <w:b/>
      <w:bCs/>
      <w:sz w:val="20"/>
      <w:szCs w:val="20"/>
    </w:rPr>
  </w:style>
  <w:style w:type="paragraph" w:styleId="Header">
    <w:name w:val="header"/>
    <w:basedOn w:val="Normal"/>
    <w:link w:val="HeaderChar"/>
    <w:uiPriority w:val="99"/>
    <w:unhideWhenUsed/>
    <w:rsid w:val="002047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47C6"/>
  </w:style>
  <w:style w:type="paragraph" w:styleId="Footer">
    <w:name w:val="footer"/>
    <w:basedOn w:val="Normal"/>
    <w:link w:val="FooterChar"/>
    <w:uiPriority w:val="99"/>
    <w:unhideWhenUsed/>
    <w:rsid w:val="002047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47C6"/>
  </w:style>
  <w:style w:type="character" w:customStyle="1" w:styleId="apple-converted-space">
    <w:name w:val="apple-converted-space"/>
    <w:basedOn w:val="DefaultParagraphFont"/>
    <w:rsid w:val="00A62B7B"/>
  </w:style>
  <w:style w:type="character" w:customStyle="1" w:styleId="highlight">
    <w:name w:val="highlight"/>
    <w:basedOn w:val="DefaultParagraphFont"/>
    <w:rsid w:val="007F67A9"/>
  </w:style>
  <w:style w:type="character" w:customStyle="1" w:styleId="cit">
    <w:name w:val="cit"/>
    <w:basedOn w:val="DefaultParagraphFont"/>
    <w:rsid w:val="009E2FBA"/>
  </w:style>
  <w:style w:type="character" w:customStyle="1" w:styleId="doi1">
    <w:name w:val="doi1"/>
    <w:basedOn w:val="DefaultParagraphFont"/>
    <w:rsid w:val="009E2FBA"/>
  </w:style>
  <w:style w:type="character" w:customStyle="1" w:styleId="fm-citation-ids-label">
    <w:name w:val="fm-citation-ids-label"/>
    <w:basedOn w:val="DefaultParagraphFont"/>
    <w:rsid w:val="009E2FBA"/>
  </w:style>
  <w:style w:type="character" w:customStyle="1" w:styleId="cit-auth1">
    <w:name w:val="cit-auth1"/>
    <w:basedOn w:val="DefaultParagraphFont"/>
    <w:rsid w:val="00F21440"/>
  </w:style>
  <w:style w:type="character" w:customStyle="1" w:styleId="cit-issue1">
    <w:name w:val="cit-issue1"/>
    <w:basedOn w:val="DefaultParagraphFont"/>
    <w:rsid w:val="00F21440"/>
    <w:rPr>
      <w:vanish/>
      <w:webHidden w:val="0"/>
      <w:specVanish w:val="0"/>
    </w:rPr>
  </w:style>
  <w:style w:type="character" w:customStyle="1" w:styleId="cit-sep2">
    <w:name w:val="cit-sep2"/>
    <w:basedOn w:val="DefaultParagraphFont"/>
    <w:rsid w:val="00F21440"/>
  </w:style>
  <w:style w:type="character" w:customStyle="1" w:styleId="cit-title5">
    <w:name w:val="cit-title5"/>
    <w:basedOn w:val="DefaultParagraphFont"/>
    <w:rsid w:val="00F21440"/>
  </w:style>
  <w:style w:type="character" w:customStyle="1" w:styleId="site-title">
    <w:name w:val="site-title"/>
    <w:basedOn w:val="DefaultParagraphFont"/>
    <w:rsid w:val="00F21440"/>
  </w:style>
  <w:style w:type="character" w:customStyle="1" w:styleId="cit-print-date2">
    <w:name w:val="cit-print-date2"/>
    <w:basedOn w:val="DefaultParagraphFont"/>
    <w:rsid w:val="00F21440"/>
  </w:style>
  <w:style w:type="character" w:customStyle="1" w:styleId="cit-vol4">
    <w:name w:val="cit-vol4"/>
    <w:basedOn w:val="DefaultParagraphFont"/>
    <w:rsid w:val="00F21440"/>
  </w:style>
  <w:style w:type="character" w:customStyle="1" w:styleId="cit-first-page">
    <w:name w:val="cit-first-page"/>
    <w:basedOn w:val="DefaultParagraphFont"/>
    <w:rsid w:val="00F21440"/>
  </w:style>
  <w:style w:type="character" w:customStyle="1" w:styleId="cit-last-page2">
    <w:name w:val="cit-last-page2"/>
    <w:basedOn w:val="DefaultParagraphFont"/>
    <w:rsid w:val="00F21440"/>
  </w:style>
  <w:style w:type="character" w:customStyle="1" w:styleId="cit-ahead-of-print-date">
    <w:name w:val="cit-ahead-of-print-date"/>
    <w:basedOn w:val="DefaultParagraphFont"/>
    <w:rsid w:val="00F21440"/>
  </w:style>
  <w:style w:type="character" w:customStyle="1" w:styleId="cit-doi3">
    <w:name w:val="cit-doi3"/>
    <w:basedOn w:val="DefaultParagraphFont"/>
    <w:rsid w:val="00F21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8518">
      <w:bodyDiv w:val="1"/>
      <w:marLeft w:val="0"/>
      <w:marRight w:val="0"/>
      <w:marTop w:val="0"/>
      <w:marBottom w:val="0"/>
      <w:divBdr>
        <w:top w:val="none" w:sz="0" w:space="0" w:color="auto"/>
        <w:left w:val="none" w:sz="0" w:space="0" w:color="auto"/>
        <w:bottom w:val="none" w:sz="0" w:space="0" w:color="auto"/>
        <w:right w:val="none" w:sz="0" w:space="0" w:color="auto"/>
      </w:divBdr>
    </w:div>
    <w:div w:id="94642031">
      <w:bodyDiv w:val="1"/>
      <w:marLeft w:val="0"/>
      <w:marRight w:val="0"/>
      <w:marTop w:val="0"/>
      <w:marBottom w:val="0"/>
      <w:divBdr>
        <w:top w:val="none" w:sz="0" w:space="0" w:color="auto"/>
        <w:left w:val="none" w:sz="0" w:space="0" w:color="auto"/>
        <w:bottom w:val="none" w:sz="0" w:space="0" w:color="auto"/>
        <w:right w:val="none" w:sz="0" w:space="0" w:color="auto"/>
      </w:divBdr>
      <w:divsChild>
        <w:div w:id="966935633">
          <w:marLeft w:val="0"/>
          <w:marRight w:val="0"/>
          <w:marTop w:val="150"/>
          <w:marBottom w:val="0"/>
          <w:divBdr>
            <w:top w:val="none" w:sz="0" w:space="0" w:color="auto"/>
            <w:left w:val="none" w:sz="0" w:space="0" w:color="auto"/>
            <w:bottom w:val="none" w:sz="0" w:space="0" w:color="auto"/>
            <w:right w:val="none" w:sz="0" w:space="0" w:color="auto"/>
          </w:divBdr>
          <w:divsChild>
            <w:div w:id="47461391">
              <w:marLeft w:val="0"/>
              <w:marRight w:val="0"/>
              <w:marTop w:val="0"/>
              <w:marBottom w:val="0"/>
              <w:divBdr>
                <w:top w:val="none" w:sz="0" w:space="0" w:color="auto"/>
                <w:left w:val="none" w:sz="0" w:space="0" w:color="auto"/>
                <w:bottom w:val="none" w:sz="0" w:space="0" w:color="auto"/>
                <w:right w:val="none" w:sz="0" w:space="0" w:color="auto"/>
              </w:divBdr>
              <w:divsChild>
                <w:div w:id="27344100">
                  <w:marLeft w:val="0"/>
                  <w:marRight w:val="0"/>
                  <w:marTop w:val="0"/>
                  <w:marBottom w:val="0"/>
                  <w:divBdr>
                    <w:top w:val="none" w:sz="0" w:space="0" w:color="auto"/>
                    <w:left w:val="none" w:sz="0" w:space="0" w:color="auto"/>
                    <w:bottom w:val="none" w:sz="0" w:space="0" w:color="auto"/>
                    <w:right w:val="none" w:sz="0" w:space="0" w:color="auto"/>
                  </w:divBdr>
                  <w:divsChild>
                    <w:div w:id="871772400">
                      <w:marLeft w:val="0"/>
                      <w:marRight w:val="0"/>
                      <w:marTop w:val="168"/>
                      <w:marBottom w:val="0"/>
                      <w:divBdr>
                        <w:top w:val="none" w:sz="0" w:space="0" w:color="auto"/>
                        <w:left w:val="none" w:sz="0" w:space="0" w:color="auto"/>
                        <w:bottom w:val="none" w:sz="0" w:space="0" w:color="auto"/>
                        <w:right w:val="none" w:sz="0" w:space="0" w:color="auto"/>
                      </w:divBdr>
                      <w:divsChild>
                        <w:div w:id="14418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481960">
      <w:bodyDiv w:val="1"/>
      <w:marLeft w:val="0"/>
      <w:marRight w:val="0"/>
      <w:marTop w:val="0"/>
      <w:marBottom w:val="0"/>
      <w:divBdr>
        <w:top w:val="none" w:sz="0" w:space="0" w:color="auto"/>
        <w:left w:val="none" w:sz="0" w:space="0" w:color="auto"/>
        <w:bottom w:val="none" w:sz="0" w:space="0" w:color="auto"/>
        <w:right w:val="none" w:sz="0" w:space="0" w:color="auto"/>
      </w:divBdr>
    </w:div>
    <w:div w:id="126239006">
      <w:bodyDiv w:val="1"/>
      <w:marLeft w:val="0"/>
      <w:marRight w:val="0"/>
      <w:marTop w:val="0"/>
      <w:marBottom w:val="0"/>
      <w:divBdr>
        <w:top w:val="none" w:sz="0" w:space="0" w:color="auto"/>
        <w:left w:val="none" w:sz="0" w:space="0" w:color="auto"/>
        <w:bottom w:val="none" w:sz="0" w:space="0" w:color="auto"/>
        <w:right w:val="none" w:sz="0" w:space="0" w:color="auto"/>
      </w:divBdr>
    </w:div>
    <w:div w:id="199124423">
      <w:bodyDiv w:val="1"/>
      <w:marLeft w:val="0"/>
      <w:marRight w:val="0"/>
      <w:marTop w:val="0"/>
      <w:marBottom w:val="0"/>
      <w:divBdr>
        <w:top w:val="none" w:sz="0" w:space="0" w:color="auto"/>
        <w:left w:val="none" w:sz="0" w:space="0" w:color="auto"/>
        <w:bottom w:val="none" w:sz="0" w:space="0" w:color="auto"/>
        <w:right w:val="none" w:sz="0" w:space="0" w:color="auto"/>
      </w:divBdr>
    </w:div>
    <w:div w:id="276527311">
      <w:bodyDiv w:val="1"/>
      <w:marLeft w:val="0"/>
      <w:marRight w:val="0"/>
      <w:marTop w:val="0"/>
      <w:marBottom w:val="0"/>
      <w:divBdr>
        <w:top w:val="none" w:sz="0" w:space="0" w:color="auto"/>
        <w:left w:val="none" w:sz="0" w:space="0" w:color="auto"/>
        <w:bottom w:val="none" w:sz="0" w:space="0" w:color="auto"/>
        <w:right w:val="none" w:sz="0" w:space="0" w:color="auto"/>
      </w:divBdr>
      <w:divsChild>
        <w:div w:id="44186412">
          <w:marLeft w:val="0"/>
          <w:marRight w:val="0"/>
          <w:marTop w:val="0"/>
          <w:marBottom w:val="0"/>
          <w:divBdr>
            <w:top w:val="none" w:sz="0" w:space="0" w:color="auto"/>
            <w:left w:val="none" w:sz="0" w:space="0" w:color="auto"/>
            <w:bottom w:val="none" w:sz="0" w:space="0" w:color="auto"/>
            <w:right w:val="none" w:sz="0" w:space="0" w:color="auto"/>
          </w:divBdr>
          <w:divsChild>
            <w:div w:id="878200814">
              <w:marLeft w:val="0"/>
              <w:marRight w:val="0"/>
              <w:marTop w:val="0"/>
              <w:marBottom w:val="0"/>
              <w:divBdr>
                <w:top w:val="none" w:sz="0" w:space="0" w:color="auto"/>
                <w:left w:val="none" w:sz="0" w:space="0" w:color="auto"/>
                <w:bottom w:val="none" w:sz="0" w:space="0" w:color="auto"/>
                <w:right w:val="none" w:sz="0" w:space="0" w:color="auto"/>
              </w:divBdr>
              <w:divsChild>
                <w:div w:id="999311073">
                  <w:marLeft w:val="0"/>
                  <w:marRight w:val="0"/>
                  <w:marTop w:val="0"/>
                  <w:marBottom w:val="0"/>
                  <w:divBdr>
                    <w:top w:val="none" w:sz="0" w:space="0" w:color="auto"/>
                    <w:left w:val="none" w:sz="0" w:space="0" w:color="auto"/>
                    <w:bottom w:val="none" w:sz="0" w:space="0" w:color="auto"/>
                    <w:right w:val="none" w:sz="0" w:space="0" w:color="auto"/>
                  </w:divBdr>
                  <w:divsChild>
                    <w:div w:id="210729407">
                      <w:marLeft w:val="0"/>
                      <w:marRight w:val="0"/>
                      <w:marTop w:val="0"/>
                      <w:marBottom w:val="0"/>
                      <w:divBdr>
                        <w:top w:val="none" w:sz="0" w:space="0" w:color="auto"/>
                        <w:left w:val="none" w:sz="0" w:space="0" w:color="auto"/>
                        <w:bottom w:val="none" w:sz="0" w:space="0" w:color="auto"/>
                        <w:right w:val="none" w:sz="0" w:space="0" w:color="auto"/>
                      </w:divBdr>
                      <w:divsChild>
                        <w:div w:id="1036658658">
                          <w:marLeft w:val="0"/>
                          <w:marRight w:val="0"/>
                          <w:marTop w:val="0"/>
                          <w:marBottom w:val="0"/>
                          <w:divBdr>
                            <w:top w:val="none" w:sz="0" w:space="0" w:color="auto"/>
                            <w:left w:val="none" w:sz="0" w:space="0" w:color="auto"/>
                            <w:bottom w:val="none" w:sz="0" w:space="0" w:color="auto"/>
                            <w:right w:val="none" w:sz="0" w:space="0" w:color="auto"/>
                          </w:divBdr>
                          <w:divsChild>
                            <w:div w:id="2057465422">
                              <w:marLeft w:val="0"/>
                              <w:marRight w:val="0"/>
                              <w:marTop w:val="0"/>
                              <w:marBottom w:val="0"/>
                              <w:divBdr>
                                <w:top w:val="none" w:sz="0" w:space="0" w:color="auto"/>
                                <w:left w:val="none" w:sz="0" w:space="0" w:color="auto"/>
                                <w:bottom w:val="none" w:sz="0" w:space="0" w:color="auto"/>
                                <w:right w:val="none" w:sz="0" w:space="0" w:color="auto"/>
                              </w:divBdr>
                              <w:divsChild>
                                <w:div w:id="2032608705">
                                  <w:marLeft w:val="0"/>
                                  <w:marRight w:val="0"/>
                                  <w:marTop w:val="0"/>
                                  <w:marBottom w:val="0"/>
                                  <w:divBdr>
                                    <w:top w:val="none" w:sz="0" w:space="0" w:color="auto"/>
                                    <w:left w:val="none" w:sz="0" w:space="0" w:color="auto"/>
                                    <w:bottom w:val="none" w:sz="0" w:space="0" w:color="auto"/>
                                    <w:right w:val="none" w:sz="0" w:space="0" w:color="auto"/>
                                  </w:divBdr>
                                  <w:divsChild>
                                    <w:div w:id="1679574661">
                                      <w:marLeft w:val="0"/>
                                      <w:marRight w:val="0"/>
                                      <w:marTop w:val="0"/>
                                      <w:marBottom w:val="0"/>
                                      <w:divBdr>
                                        <w:top w:val="none" w:sz="0" w:space="0" w:color="auto"/>
                                        <w:left w:val="none" w:sz="0" w:space="0" w:color="auto"/>
                                        <w:bottom w:val="none" w:sz="0" w:space="0" w:color="auto"/>
                                        <w:right w:val="none" w:sz="0" w:space="0" w:color="auto"/>
                                      </w:divBdr>
                                      <w:divsChild>
                                        <w:div w:id="499396604">
                                          <w:marLeft w:val="0"/>
                                          <w:marRight w:val="0"/>
                                          <w:marTop w:val="0"/>
                                          <w:marBottom w:val="0"/>
                                          <w:divBdr>
                                            <w:top w:val="none" w:sz="0" w:space="0" w:color="auto"/>
                                            <w:left w:val="none" w:sz="0" w:space="0" w:color="auto"/>
                                            <w:bottom w:val="none" w:sz="0" w:space="0" w:color="auto"/>
                                            <w:right w:val="none" w:sz="0" w:space="0" w:color="auto"/>
                                          </w:divBdr>
                                          <w:divsChild>
                                            <w:div w:id="197207587">
                                              <w:marLeft w:val="0"/>
                                              <w:marRight w:val="0"/>
                                              <w:marTop w:val="0"/>
                                              <w:marBottom w:val="0"/>
                                              <w:divBdr>
                                                <w:top w:val="none" w:sz="0" w:space="0" w:color="auto"/>
                                                <w:left w:val="none" w:sz="0" w:space="0" w:color="auto"/>
                                                <w:bottom w:val="none" w:sz="0" w:space="0" w:color="auto"/>
                                                <w:right w:val="none" w:sz="0" w:space="0" w:color="auto"/>
                                              </w:divBdr>
                                              <w:divsChild>
                                                <w:div w:id="143863281">
                                                  <w:marLeft w:val="0"/>
                                                  <w:marRight w:val="0"/>
                                                  <w:marTop w:val="0"/>
                                                  <w:marBottom w:val="0"/>
                                                  <w:divBdr>
                                                    <w:top w:val="none" w:sz="0" w:space="0" w:color="auto"/>
                                                    <w:left w:val="none" w:sz="0" w:space="0" w:color="auto"/>
                                                    <w:bottom w:val="none" w:sz="0" w:space="0" w:color="auto"/>
                                                    <w:right w:val="none" w:sz="0" w:space="0" w:color="auto"/>
                                                  </w:divBdr>
                                                  <w:divsChild>
                                                    <w:div w:id="2062634002">
                                                      <w:marLeft w:val="0"/>
                                                      <w:marRight w:val="0"/>
                                                      <w:marTop w:val="0"/>
                                                      <w:marBottom w:val="0"/>
                                                      <w:divBdr>
                                                        <w:top w:val="none" w:sz="0" w:space="0" w:color="auto"/>
                                                        <w:left w:val="none" w:sz="0" w:space="0" w:color="auto"/>
                                                        <w:bottom w:val="none" w:sz="0" w:space="0" w:color="auto"/>
                                                        <w:right w:val="none" w:sz="0" w:space="0" w:color="auto"/>
                                                      </w:divBdr>
                                                      <w:divsChild>
                                                        <w:div w:id="1497309433">
                                                          <w:marLeft w:val="0"/>
                                                          <w:marRight w:val="0"/>
                                                          <w:marTop w:val="0"/>
                                                          <w:marBottom w:val="0"/>
                                                          <w:divBdr>
                                                            <w:top w:val="none" w:sz="0" w:space="0" w:color="auto"/>
                                                            <w:left w:val="none" w:sz="0" w:space="0" w:color="auto"/>
                                                            <w:bottom w:val="none" w:sz="0" w:space="0" w:color="auto"/>
                                                            <w:right w:val="none" w:sz="0" w:space="0" w:color="auto"/>
                                                          </w:divBdr>
                                                          <w:divsChild>
                                                            <w:div w:id="1968582310">
                                                              <w:marLeft w:val="0"/>
                                                              <w:marRight w:val="0"/>
                                                              <w:marTop w:val="0"/>
                                                              <w:marBottom w:val="0"/>
                                                              <w:divBdr>
                                                                <w:top w:val="none" w:sz="0" w:space="0" w:color="auto"/>
                                                                <w:left w:val="none" w:sz="0" w:space="0" w:color="auto"/>
                                                                <w:bottom w:val="none" w:sz="0" w:space="0" w:color="auto"/>
                                                                <w:right w:val="none" w:sz="0" w:space="0" w:color="auto"/>
                                                              </w:divBdr>
                                                              <w:divsChild>
                                                                <w:div w:id="429476208">
                                                                  <w:marLeft w:val="0"/>
                                                                  <w:marRight w:val="0"/>
                                                                  <w:marTop w:val="0"/>
                                                                  <w:marBottom w:val="0"/>
                                                                  <w:divBdr>
                                                                    <w:top w:val="none" w:sz="0" w:space="0" w:color="auto"/>
                                                                    <w:left w:val="none" w:sz="0" w:space="0" w:color="auto"/>
                                                                    <w:bottom w:val="none" w:sz="0" w:space="0" w:color="auto"/>
                                                                    <w:right w:val="none" w:sz="0" w:space="0" w:color="auto"/>
                                                                  </w:divBdr>
                                                                  <w:divsChild>
                                                                    <w:div w:id="1718583156">
                                                                      <w:marLeft w:val="0"/>
                                                                      <w:marRight w:val="0"/>
                                                                      <w:marTop w:val="0"/>
                                                                      <w:marBottom w:val="0"/>
                                                                      <w:divBdr>
                                                                        <w:top w:val="none" w:sz="0" w:space="0" w:color="auto"/>
                                                                        <w:left w:val="none" w:sz="0" w:space="0" w:color="auto"/>
                                                                        <w:bottom w:val="none" w:sz="0" w:space="0" w:color="auto"/>
                                                                        <w:right w:val="none" w:sz="0" w:space="0" w:color="auto"/>
                                                                      </w:divBdr>
                                                                    </w:div>
                                                                    <w:div w:id="66486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473">
                                                              <w:marLeft w:val="0"/>
                                                              <w:marRight w:val="0"/>
                                                              <w:marTop w:val="0"/>
                                                              <w:marBottom w:val="0"/>
                                                              <w:divBdr>
                                                                <w:top w:val="none" w:sz="0" w:space="0" w:color="auto"/>
                                                                <w:left w:val="none" w:sz="0" w:space="0" w:color="auto"/>
                                                                <w:bottom w:val="none" w:sz="0" w:space="0" w:color="auto"/>
                                                                <w:right w:val="none" w:sz="0" w:space="0" w:color="auto"/>
                                                              </w:divBdr>
                                                              <w:divsChild>
                                                                <w:div w:id="1503161785">
                                                                  <w:marLeft w:val="0"/>
                                                                  <w:marRight w:val="0"/>
                                                                  <w:marTop w:val="0"/>
                                                                  <w:marBottom w:val="0"/>
                                                                  <w:divBdr>
                                                                    <w:top w:val="none" w:sz="0" w:space="0" w:color="auto"/>
                                                                    <w:left w:val="none" w:sz="0" w:space="0" w:color="auto"/>
                                                                    <w:bottom w:val="none" w:sz="0" w:space="0" w:color="auto"/>
                                                                    <w:right w:val="none" w:sz="0" w:space="0" w:color="auto"/>
                                                                  </w:divBdr>
                                                                  <w:divsChild>
                                                                    <w:div w:id="10033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589431">
                                                      <w:marLeft w:val="0"/>
                                                      <w:marRight w:val="0"/>
                                                      <w:marTop w:val="0"/>
                                                      <w:marBottom w:val="0"/>
                                                      <w:divBdr>
                                                        <w:top w:val="none" w:sz="0" w:space="0" w:color="auto"/>
                                                        <w:left w:val="none" w:sz="0" w:space="0" w:color="auto"/>
                                                        <w:bottom w:val="none" w:sz="0" w:space="0" w:color="auto"/>
                                                        <w:right w:val="none" w:sz="0" w:space="0" w:color="auto"/>
                                                      </w:divBdr>
                                                      <w:divsChild>
                                                        <w:div w:id="20053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9727405">
      <w:bodyDiv w:val="1"/>
      <w:marLeft w:val="0"/>
      <w:marRight w:val="0"/>
      <w:marTop w:val="0"/>
      <w:marBottom w:val="0"/>
      <w:divBdr>
        <w:top w:val="none" w:sz="0" w:space="0" w:color="auto"/>
        <w:left w:val="none" w:sz="0" w:space="0" w:color="auto"/>
        <w:bottom w:val="none" w:sz="0" w:space="0" w:color="auto"/>
        <w:right w:val="none" w:sz="0" w:space="0" w:color="auto"/>
      </w:divBdr>
    </w:div>
    <w:div w:id="320158252">
      <w:bodyDiv w:val="1"/>
      <w:marLeft w:val="0"/>
      <w:marRight w:val="0"/>
      <w:marTop w:val="0"/>
      <w:marBottom w:val="0"/>
      <w:divBdr>
        <w:top w:val="none" w:sz="0" w:space="0" w:color="auto"/>
        <w:left w:val="none" w:sz="0" w:space="0" w:color="auto"/>
        <w:bottom w:val="none" w:sz="0" w:space="0" w:color="auto"/>
        <w:right w:val="none" w:sz="0" w:space="0" w:color="auto"/>
      </w:divBdr>
    </w:div>
    <w:div w:id="326635110">
      <w:bodyDiv w:val="1"/>
      <w:marLeft w:val="0"/>
      <w:marRight w:val="0"/>
      <w:marTop w:val="0"/>
      <w:marBottom w:val="0"/>
      <w:divBdr>
        <w:top w:val="none" w:sz="0" w:space="0" w:color="auto"/>
        <w:left w:val="none" w:sz="0" w:space="0" w:color="auto"/>
        <w:bottom w:val="none" w:sz="0" w:space="0" w:color="auto"/>
        <w:right w:val="none" w:sz="0" w:space="0" w:color="auto"/>
      </w:divBdr>
    </w:div>
    <w:div w:id="330455732">
      <w:bodyDiv w:val="1"/>
      <w:marLeft w:val="0"/>
      <w:marRight w:val="0"/>
      <w:marTop w:val="0"/>
      <w:marBottom w:val="0"/>
      <w:divBdr>
        <w:top w:val="none" w:sz="0" w:space="0" w:color="auto"/>
        <w:left w:val="none" w:sz="0" w:space="0" w:color="auto"/>
        <w:bottom w:val="none" w:sz="0" w:space="0" w:color="auto"/>
        <w:right w:val="none" w:sz="0" w:space="0" w:color="auto"/>
      </w:divBdr>
    </w:div>
    <w:div w:id="350960372">
      <w:bodyDiv w:val="1"/>
      <w:marLeft w:val="0"/>
      <w:marRight w:val="0"/>
      <w:marTop w:val="0"/>
      <w:marBottom w:val="0"/>
      <w:divBdr>
        <w:top w:val="none" w:sz="0" w:space="0" w:color="auto"/>
        <w:left w:val="none" w:sz="0" w:space="0" w:color="auto"/>
        <w:bottom w:val="none" w:sz="0" w:space="0" w:color="auto"/>
        <w:right w:val="none" w:sz="0" w:space="0" w:color="auto"/>
      </w:divBdr>
    </w:div>
    <w:div w:id="373425927">
      <w:bodyDiv w:val="1"/>
      <w:marLeft w:val="0"/>
      <w:marRight w:val="0"/>
      <w:marTop w:val="0"/>
      <w:marBottom w:val="0"/>
      <w:divBdr>
        <w:top w:val="none" w:sz="0" w:space="0" w:color="auto"/>
        <w:left w:val="none" w:sz="0" w:space="0" w:color="auto"/>
        <w:bottom w:val="none" w:sz="0" w:space="0" w:color="auto"/>
        <w:right w:val="none" w:sz="0" w:space="0" w:color="auto"/>
      </w:divBdr>
    </w:div>
    <w:div w:id="396904521">
      <w:bodyDiv w:val="1"/>
      <w:marLeft w:val="0"/>
      <w:marRight w:val="0"/>
      <w:marTop w:val="0"/>
      <w:marBottom w:val="0"/>
      <w:divBdr>
        <w:top w:val="none" w:sz="0" w:space="0" w:color="auto"/>
        <w:left w:val="none" w:sz="0" w:space="0" w:color="auto"/>
        <w:bottom w:val="none" w:sz="0" w:space="0" w:color="auto"/>
        <w:right w:val="none" w:sz="0" w:space="0" w:color="auto"/>
      </w:divBdr>
    </w:div>
    <w:div w:id="457532975">
      <w:bodyDiv w:val="1"/>
      <w:marLeft w:val="0"/>
      <w:marRight w:val="0"/>
      <w:marTop w:val="0"/>
      <w:marBottom w:val="0"/>
      <w:divBdr>
        <w:top w:val="none" w:sz="0" w:space="0" w:color="auto"/>
        <w:left w:val="none" w:sz="0" w:space="0" w:color="auto"/>
        <w:bottom w:val="none" w:sz="0" w:space="0" w:color="auto"/>
        <w:right w:val="none" w:sz="0" w:space="0" w:color="auto"/>
      </w:divBdr>
    </w:div>
    <w:div w:id="506600582">
      <w:bodyDiv w:val="1"/>
      <w:marLeft w:val="0"/>
      <w:marRight w:val="0"/>
      <w:marTop w:val="0"/>
      <w:marBottom w:val="0"/>
      <w:divBdr>
        <w:top w:val="none" w:sz="0" w:space="0" w:color="auto"/>
        <w:left w:val="none" w:sz="0" w:space="0" w:color="auto"/>
        <w:bottom w:val="none" w:sz="0" w:space="0" w:color="auto"/>
        <w:right w:val="none" w:sz="0" w:space="0" w:color="auto"/>
      </w:divBdr>
    </w:div>
    <w:div w:id="506988798">
      <w:bodyDiv w:val="1"/>
      <w:marLeft w:val="0"/>
      <w:marRight w:val="0"/>
      <w:marTop w:val="0"/>
      <w:marBottom w:val="0"/>
      <w:divBdr>
        <w:top w:val="none" w:sz="0" w:space="0" w:color="auto"/>
        <w:left w:val="none" w:sz="0" w:space="0" w:color="auto"/>
        <w:bottom w:val="none" w:sz="0" w:space="0" w:color="auto"/>
        <w:right w:val="none" w:sz="0" w:space="0" w:color="auto"/>
      </w:divBdr>
    </w:div>
    <w:div w:id="566039313">
      <w:bodyDiv w:val="1"/>
      <w:marLeft w:val="0"/>
      <w:marRight w:val="0"/>
      <w:marTop w:val="0"/>
      <w:marBottom w:val="0"/>
      <w:divBdr>
        <w:top w:val="none" w:sz="0" w:space="0" w:color="auto"/>
        <w:left w:val="none" w:sz="0" w:space="0" w:color="auto"/>
        <w:bottom w:val="none" w:sz="0" w:space="0" w:color="auto"/>
        <w:right w:val="none" w:sz="0" w:space="0" w:color="auto"/>
      </w:divBdr>
    </w:div>
    <w:div w:id="586233954">
      <w:bodyDiv w:val="1"/>
      <w:marLeft w:val="0"/>
      <w:marRight w:val="0"/>
      <w:marTop w:val="0"/>
      <w:marBottom w:val="0"/>
      <w:divBdr>
        <w:top w:val="none" w:sz="0" w:space="0" w:color="auto"/>
        <w:left w:val="none" w:sz="0" w:space="0" w:color="auto"/>
        <w:bottom w:val="none" w:sz="0" w:space="0" w:color="auto"/>
        <w:right w:val="none" w:sz="0" w:space="0" w:color="auto"/>
      </w:divBdr>
    </w:div>
    <w:div w:id="612371147">
      <w:bodyDiv w:val="1"/>
      <w:marLeft w:val="0"/>
      <w:marRight w:val="0"/>
      <w:marTop w:val="0"/>
      <w:marBottom w:val="0"/>
      <w:divBdr>
        <w:top w:val="none" w:sz="0" w:space="0" w:color="auto"/>
        <w:left w:val="none" w:sz="0" w:space="0" w:color="auto"/>
        <w:bottom w:val="none" w:sz="0" w:space="0" w:color="auto"/>
        <w:right w:val="none" w:sz="0" w:space="0" w:color="auto"/>
      </w:divBdr>
    </w:div>
    <w:div w:id="615403850">
      <w:bodyDiv w:val="1"/>
      <w:marLeft w:val="0"/>
      <w:marRight w:val="0"/>
      <w:marTop w:val="0"/>
      <w:marBottom w:val="0"/>
      <w:divBdr>
        <w:top w:val="none" w:sz="0" w:space="0" w:color="auto"/>
        <w:left w:val="none" w:sz="0" w:space="0" w:color="auto"/>
        <w:bottom w:val="none" w:sz="0" w:space="0" w:color="auto"/>
        <w:right w:val="none" w:sz="0" w:space="0" w:color="auto"/>
      </w:divBdr>
      <w:divsChild>
        <w:div w:id="1425951230">
          <w:marLeft w:val="0"/>
          <w:marRight w:val="0"/>
          <w:marTop w:val="100"/>
          <w:marBottom w:val="100"/>
          <w:divBdr>
            <w:top w:val="none" w:sz="0" w:space="0" w:color="auto"/>
            <w:left w:val="none" w:sz="0" w:space="0" w:color="auto"/>
            <w:bottom w:val="none" w:sz="0" w:space="0" w:color="auto"/>
            <w:right w:val="none" w:sz="0" w:space="0" w:color="auto"/>
          </w:divBdr>
          <w:divsChild>
            <w:div w:id="1989284624">
              <w:marLeft w:val="0"/>
              <w:marRight w:val="0"/>
              <w:marTop w:val="0"/>
              <w:marBottom w:val="0"/>
              <w:divBdr>
                <w:top w:val="none" w:sz="0" w:space="0" w:color="auto"/>
                <w:left w:val="none" w:sz="0" w:space="0" w:color="auto"/>
                <w:bottom w:val="none" w:sz="0" w:space="0" w:color="auto"/>
                <w:right w:val="none" w:sz="0" w:space="0" w:color="auto"/>
              </w:divBdr>
              <w:divsChild>
                <w:div w:id="1876384484">
                  <w:marLeft w:val="105"/>
                  <w:marRight w:val="105"/>
                  <w:marTop w:val="150"/>
                  <w:marBottom w:val="150"/>
                  <w:divBdr>
                    <w:top w:val="none" w:sz="0" w:space="0" w:color="auto"/>
                    <w:left w:val="none" w:sz="0" w:space="0" w:color="auto"/>
                    <w:bottom w:val="none" w:sz="0" w:space="0" w:color="auto"/>
                    <w:right w:val="none" w:sz="0" w:space="0" w:color="auto"/>
                  </w:divBdr>
                  <w:divsChild>
                    <w:div w:id="343016678">
                      <w:marLeft w:val="0"/>
                      <w:marRight w:val="0"/>
                      <w:marTop w:val="0"/>
                      <w:marBottom w:val="0"/>
                      <w:divBdr>
                        <w:top w:val="none" w:sz="0" w:space="0" w:color="auto"/>
                        <w:left w:val="none" w:sz="0" w:space="0" w:color="auto"/>
                        <w:bottom w:val="none" w:sz="0" w:space="0" w:color="auto"/>
                        <w:right w:val="none" w:sz="0" w:space="0" w:color="auto"/>
                      </w:divBdr>
                      <w:divsChild>
                        <w:div w:id="1394234234">
                          <w:marLeft w:val="0"/>
                          <w:marRight w:val="0"/>
                          <w:marTop w:val="0"/>
                          <w:marBottom w:val="0"/>
                          <w:divBdr>
                            <w:top w:val="none" w:sz="0" w:space="0" w:color="auto"/>
                            <w:left w:val="none" w:sz="0" w:space="0" w:color="auto"/>
                            <w:bottom w:val="none" w:sz="0" w:space="0" w:color="auto"/>
                            <w:right w:val="none" w:sz="0" w:space="0" w:color="auto"/>
                          </w:divBdr>
                          <w:divsChild>
                            <w:div w:id="651367451">
                              <w:marLeft w:val="0"/>
                              <w:marRight w:val="0"/>
                              <w:marTop w:val="0"/>
                              <w:marBottom w:val="0"/>
                              <w:divBdr>
                                <w:top w:val="none" w:sz="0" w:space="0" w:color="auto"/>
                                <w:left w:val="none" w:sz="0" w:space="0" w:color="auto"/>
                                <w:bottom w:val="none" w:sz="0" w:space="0" w:color="auto"/>
                                <w:right w:val="none" w:sz="0" w:space="0" w:color="auto"/>
                              </w:divBdr>
                              <w:divsChild>
                                <w:div w:id="1507593798">
                                  <w:marLeft w:val="105"/>
                                  <w:marRight w:val="105"/>
                                  <w:marTop w:val="150"/>
                                  <w:marBottom w:val="150"/>
                                  <w:divBdr>
                                    <w:top w:val="none" w:sz="0" w:space="0" w:color="auto"/>
                                    <w:left w:val="none" w:sz="0" w:space="0" w:color="auto"/>
                                    <w:bottom w:val="none" w:sz="0" w:space="0" w:color="auto"/>
                                    <w:right w:val="none" w:sz="0" w:space="0" w:color="auto"/>
                                  </w:divBdr>
                                  <w:divsChild>
                                    <w:div w:id="711270858">
                                      <w:marLeft w:val="0"/>
                                      <w:marRight w:val="0"/>
                                      <w:marTop w:val="0"/>
                                      <w:marBottom w:val="0"/>
                                      <w:divBdr>
                                        <w:top w:val="none" w:sz="0" w:space="0" w:color="auto"/>
                                        <w:left w:val="none" w:sz="0" w:space="0" w:color="auto"/>
                                        <w:bottom w:val="none" w:sz="0" w:space="0" w:color="auto"/>
                                        <w:right w:val="none" w:sz="0" w:space="0" w:color="auto"/>
                                      </w:divBdr>
                                      <w:divsChild>
                                        <w:div w:id="306013996">
                                          <w:marLeft w:val="0"/>
                                          <w:marRight w:val="0"/>
                                          <w:marTop w:val="0"/>
                                          <w:marBottom w:val="0"/>
                                          <w:divBdr>
                                            <w:top w:val="none" w:sz="0" w:space="0" w:color="auto"/>
                                            <w:left w:val="none" w:sz="0" w:space="0" w:color="auto"/>
                                            <w:bottom w:val="none" w:sz="0" w:space="0" w:color="auto"/>
                                            <w:right w:val="none" w:sz="0" w:space="0" w:color="auto"/>
                                          </w:divBdr>
                                          <w:divsChild>
                                            <w:div w:id="114033488">
                                              <w:marLeft w:val="0"/>
                                              <w:marRight w:val="0"/>
                                              <w:marTop w:val="0"/>
                                              <w:marBottom w:val="0"/>
                                              <w:divBdr>
                                                <w:top w:val="none" w:sz="0" w:space="0" w:color="auto"/>
                                                <w:left w:val="none" w:sz="0" w:space="0" w:color="auto"/>
                                                <w:bottom w:val="none" w:sz="0" w:space="0" w:color="auto"/>
                                                <w:right w:val="none" w:sz="0" w:space="0" w:color="auto"/>
                                              </w:divBdr>
                                              <w:divsChild>
                                                <w:div w:id="1603299495">
                                                  <w:marLeft w:val="0"/>
                                                  <w:marRight w:val="0"/>
                                                  <w:marTop w:val="0"/>
                                                  <w:marBottom w:val="0"/>
                                                  <w:divBdr>
                                                    <w:top w:val="none" w:sz="0" w:space="0" w:color="auto"/>
                                                    <w:left w:val="none" w:sz="0" w:space="0" w:color="auto"/>
                                                    <w:bottom w:val="none" w:sz="0" w:space="0" w:color="auto"/>
                                                    <w:right w:val="none" w:sz="0" w:space="0" w:color="auto"/>
                                                  </w:divBdr>
                                                  <w:divsChild>
                                                    <w:div w:id="1094594816">
                                                      <w:marLeft w:val="105"/>
                                                      <w:marRight w:val="105"/>
                                                      <w:marTop w:val="150"/>
                                                      <w:marBottom w:val="150"/>
                                                      <w:divBdr>
                                                        <w:top w:val="none" w:sz="0" w:space="0" w:color="auto"/>
                                                        <w:left w:val="none" w:sz="0" w:space="0" w:color="auto"/>
                                                        <w:bottom w:val="none" w:sz="0" w:space="0" w:color="auto"/>
                                                        <w:right w:val="none" w:sz="0" w:space="0" w:color="auto"/>
                                                      </w:divBdr>
                                                      <w:divsChild>
                                                        <w:div w:id="447168154">
                                                          <w:marLeft w:val="0"/>
                                                          <w:marRight w:val="0"/>
                                                          <w:marTop w:val="0"/>
                                                          <w:marBottom w:val="0"/>
                                                          <w:divBdr>
                                                            <w:top w:val="none" w:sz="0" w:space="0" w:color="auto"/>
                                                            <w:left w:val="none" w:sz="0" w:space="0" w:color="auto"/>
                                                            <w:bottom w:val="none" w:sz="0" w:space="0" w:color="auto"/>
                                                            <w:right w:val="none" w:sz="0" w:space="0" w:color="auto"/>
                                                          </w:divBdr>
                                                          <w:divsChild>
                                                            <w:div w:id="1953439713">
                                                              <w:marLeft w:val="0"/>
                                                              <w:marRight w:val="0"/>
                                                              <w:marTop w:val="0"/>
                                                              <w:marBottom w:val="0"/>
                                                              <w:divBdr>
                                                                <w:top w:val="none" w:sz="0" w:space="0" w:color="auto"/>
                                                                <w:left w:val="none" w:sz="0" w:space="0" w:color="auto"/>
                                                                <w:bottom w:val="none" w:sz="0" w:space="0" w:color="auto"/>
                                                                <w:right w:val="none" w:sz="0" w:space="0" w:color="auto"/>
                                                              </w:divBdr>
                                                              <w:divsChild>
                                                                <w:div w:id="1783500153">
                                                                  <w:marLeft w:val="0"/>
                                                                  <w:marRight w:val="0"/>
                                                                  <w:marTop w:val="0"/>
                                                                  <w:marBottom w:val="0"/>
                                                                  <w:divBdr>
                                                                    <w:top w:val="none" w:sz="0" w:space="0" w:color="auto"/>
                                                                    <w:left w:val="none" w:sz="0" w:space="0" w:color="auto"/>
                                                                    <w:bottom w:val="none" w:sz="0" w:space="0" w:color="auto"/>
                                                                    <w:right w:val="none" w:sz="0" w:space="0" w:color="auto"/>
                                                                  </w:divBdr>
                                                                  <w:divsChild>
                                                                    <w:div w:id="1965692405">
                                                                      <w:marLeft w:val="0"/>
                                                                      <w:marRight w:val="0"/>
                                                                      <w:marTop w:val="0"/>
                                                                      <w:marBottom w:val="0"/>
                                                                      <w:divBdr>
                                                                        <w:top w:val="none" w:sz="0" w:space="0" w:color="auto"/>
                                                                        <w:left w:val="none" w:sz="0" w:space="0" w:color="auto"/>
                                                                        <w:bottom w:val="none" w:sz="0" w:space="0" w:color="auto"/>
                                                                        <w:right w:val="none" w:sz="0" w:space="0" w:color="auto"/>
                                                                      </w:divBdr>
                                                                      <w:divsChild>
                                                                        <w:div w:id="808087366">
                                                                          <w:marLeft w:val="0"/>
                                                                          <w:marRight w:val="0"/>
                                                                          <w:marTop w:val="0"/>
                                                                          <w:marBottom w:val="0"/>
                                                                          <w:divBdr>
                                                                            <w:top w:val="none" w:sz="0" w:space="0" w:color="auto"/>
                                                                            <w:left w:val="none" w:sz="0" w:space="0" w:color="auto"/>
                                                                            <w:bottom w:val="none" w:sz="0" w:space="0" w:color="auto"/>
                                                                            <w:right w:val="none" w:sz="0" w:space="0" w:color="auto"/>
                                                                          </w:divBdr>
                                                                          <w:divsChild>
                                                                            <w:div w:id="987366959">
                                                                              <w:marLeft w:val="105"/>
                                                                              <w:marRight w:val="105"/>
                                                                              <w:marTop w:val="150"/>
                                                                              <w:marBottom w:val="150"/>
                                                                              <w:divBdr>
                                                                                <w:top w:val="none" w:sz="0" w:space="0" w:color="auto"/>
                                                                                <w:left w:val="none" w:sz="0" w:space="0" w:color="auto"/>
                                                                                <w:bottom w:val="none" w:sz="0" w:space="0" w:color="auto"/>
                                                                                <w:right w:val="none" w:sz="0" w:space="0" w:color="auto"/>
                                                                              </w:divBdr>
                                                                              <w:divsChild>
                                                                                <w:div w:id="1040856369">
                                                                                  <w:marLeft w:val="0"/>
                                                                                  <w:marRight w:val="0"/>
                                                                                  <w:marTop w:val="0"/>
                                                                                  <w:marBottom w:val="0"/>
                                                                                  <w:divBdr>
                                                                                    <w:top w:val="none" w:sz="0" w:space="0" w:color="auto"/>
                                                                                    <w:left w:val="none" w:sz="0" w:space="0" w:color="auto"/>
                                                                                    <w:bottom w:val="none" w:sz="0" w:space="0" w:color="auto"/>
                                                                                    <w:right w:val="none" w:sz="0" w:space="0" w:color="auto"/>
                                                                                  </w:divBdr>
                                                                                  <w:divsChild>
                                                                                    <w:div w:id="1149515531">
                                                                                      <w:marLeft w:val="0"/>
                                                                                      <w:marRight w:val="0"/>
                                                                                      <w:marTop w:val="0"/>
                                                                                      <w:marBottom w:val="0"/>
                                                                                      <w:divBdr>
                                                                                        <w:top w:val="none" w:sz="0" w:space="0" w:color="auto"/>
                                                                                        <w:left w:val="none" w:sz="0" w:space="0" w:color="auto"/>
                                                                                        <w:bottom w:val="none" w:sz="0" w:space="0" w:color="auto"/>
                                                                                        <w:right w:val="none" w:sz="0" w:space="0" w:color="auto"/>
                                                                                      </w:divBdr>
                                                                                      <w:divsChild>
                                                                                        <w:div w:id="2899150">
                                                                                          <w:marLeft w:val="0"/>
                                                                                          <w:marRight w:val="0"/>
                                                                                          <w:marTop w:val="0"/>
                                                                                          <w:marBottom w:val="0"/>
                                                                                          <w:divBdr>
                                                                                            <w:top w:val="none" w:sz="0" w:space="0" w:color="auto"/>
                                                                                            <w:left w:val="none" w:sz="0" w:space="0" w:color="auto"/>
                                                                                            <w:bottom w:val="none" w:sz="0" w:space="0" w:color="auto"/>
                                                                                            <w:right w:val="none" w:sz="0" w:space="0" w:color="auto"/>
                                                                                          </w:divBdr>
                                                                                          <w:divsChild>
                                                                                            <w:div w:id="1859658551">
                                                                                              <w:marLeft w:val="0"/>
                                                                                              <w:marRight w:val="0"/>
                                                                                              <w:marTop w:val="0"/>
                                                                                              <w:marBottom w:val="0"/>
                                                                                              <w:divBdr>
                                                                                                <w:top w:val="none" w:sz="0" w:space="0" w:color="auto"/>
                                                                                                <w:left w:val="none" w:sz="0" w:space="0" w:color="auto"/>
                                                                                                <w:bottom w:val="none" w:sz="0" w:space="0" w:color="auto"/>
                                                                                                <w:right w:val="none" w:sz="0" w:space="0" w:color="auto"/>
                                                                                              </w:divBdr>
                                                                                              <w:divsChild>
                                                                                                <w:div w:id="1839495339">
                                                                                                  <w:marLeft w:val="0"/>
                                                                                                  <w:marRight w:val="0"/>
                                                                                                  <w:marTop w:val="0"/>
                                                                                                  <w:marBottom w:val="0"/>
                                                                                                  <w:divBdr>
                                                                                                    <w:top w:val="none" w:sz="0" w:space="0" w:color="auto"/>
                                                                                                    <w:left w:val="none" w:sz="0" w:space="0" w:color="auto"/>
                                                                                                    <w:bottom w:val="none" w:sz="0" w:space="0" w:color="auto"/>
                                                                                                    <w:right w:val="none" w:sz="0" w:space="0" w:color="auto"/>
                                                                                                  </w:divBdr>
                                                                                                  <w:divsChild>
                                                                                                    <w:div w:id="1848786157">
                                                                                                      <w:marLeft w:val="0"/>
                                                                                                      <w:marRight w:val="0"/>
                                                                                                      <w:marTop w:val="0"/>
                                                                                                      <w:marBottom w:val="0"/>
                                                                                                      <w:divBdr>
                                                                                                        <w:top w:val="none" w:sz="0" w:space="0" w:color="auto"/>
                                                                                                        <w:left w:val="none" w:sz="0" w:space="0" w:color="auto"/>
                                                                                                        <w:bottom w:val="none" w:sz="0" w:space="0" w:color="auto"/>
                                                                                                        <w:right w:val="none" w:sz="0" w:space="0" w:color="auto"/>
                                                                                                      </w:divBdr>
                                                                                                      <w:divsChild>
                                                                                                        <w:div w:id="211867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2221461">
      <w:bodyDiv w:val="1"/>
      <w:marLeft w:val="0"/>
      <w:marRight w:val="0"/>
      <w:marTop w:val="0"/>
      <w:marBottom w:val="0"/>
      <w:divBdr>
        <w:top w:val="none" w:sz="0" w:space="0" w:color="auto"/>
        <w:left w:val="none" w:sz="0" w:space="0" w:color="auto"/>
        <w:bottom w:val="none" w:sz="0" w:space="0" w:color="auto"/>
        <w:right w:val="none" w:sz="0" w:space="0" w:color="auto"/>
      </w:divBdr>
    </w:div>
    <w:div w:id="731734135">
      <w:bodyDiv w:val="1"/>
      <w:marLeft w:val="0"/>
      <w:marRight w:val="0"/>
      <w:marTop w:val="0"/>
      <w:marBottom w:val="0"/>
      <w:divBdr>
        <w:top w:val="none" w:sz="0" w:space="0" w:color="auto"/>
        <w:left w:val="none" w:sz="0" w:space="0" w:color="auto"/>
        <w:bottom w:val="none" w:sz="0" w:space="0" w:color="auto"/>
        <w:right w:val="none" w:sz="0" w:space="0" w:color="auto"/>
      </w:divBdr>
    </w:div>
    <w:div w:id="736393973">
      <w:bodyDiv w:val="1"/>
      <w:marLeft w:val="0"/>
      <w:marRight w:val="0"/>
      <w:marTop w:val="0"/>
      <w:marBottom w:val="0"/>
      <w:divBdr>
        <w:top w:val="none" w:sz="0" w:space="0" w:color="auto"/>
        <w:left w:val="none" w:sz="0" w:space="0" w:color="auto"/>
        <w:bottom w:val="none" w:sz="0" w:space="0" w:color="auto"/>
        <w:right w:val="none" w:sz="0" w:space="0" w:color="auto"/>
      </w:divBdr>
    </w:div>
    <w:div w:id="738938210">
      <w:bodyDiv w:val="1"/>
      <w:marLeft w:val="0"/>
      <w:marRight w:val="0"/>
      <w:marTop w:val="0"/>
      <w:marBottom w:val="0"/>
      <w:divBdr>
        <w:top w:val="none" w:sz="0" w:space="0" w:color="auto"/>
        <w:left w:val="none" w:sz="0" w:space="0" w:color="auto"/>
        <w:bottom w:val="none" w:sz="0" w:space="0" w:color="auto"/>
        <w:right w:val="none" w:sz="0" w:space="0" w:color="auto"/>
      </w:divBdr>
    </w:div>
    <w:div w:id="750349507">
      <w:bodyDiv w:val="1"/>
      <w:marLeft w:val="0"/>
      <w:marRight w:val="0"/>
      <w:marTop w:val="0"/>
      <w:marBottom w:val="0"/>
      <w:divBdr>
        <w:top w:val="none" w:sz="0" w:space="0" w:color="auto"/>
        <w:left w:val="none" w:sz="0" w:space="0" w:color="auto"/>
        <w:bottom w:val="none" w:sz="0" w:space="0" w:color="auto"/>
        <w:right w:val="none" w:sz="0" w:space="0" w:color="auto"/>
      </w:divBdr>
    </w:div>
    <w:div w:id="753890690">
      <w:bodyDiv w:val="1"/>
      <w:marLeft w:val="0"/>
      <w:marRight w:val="0"/>
      <w:marTop w:val="0"/>
      <w:marBottom w:val="0"/>
      <w:divBdr>
        <w:top w:val="none" w:sz="0" w:space="0" w:color="auto"/>
        <w:left w:val="none" w:sz="0" w:space="0" w:color="auto"/>
        <w:bottom w:val="none" w:sz="0" w:space="0" w:color="auto"/>
        <w:right w:val="none" w:sz="0" w:space="0" w:color="auto"/>
      </w:divBdr>
      <w:divsChild>
        <w:div w:id="593171962">
          <w:marLeft w:val="0"/>
          <w:marRight w:val="0"/>
          <w:marTop w:val="100"/>
          <w:marBottom w:val="100"/>
          <w:divBdr>
            <w:top w:val="none" w:sz="0" w:space="0" w:color="auto"/>
            <w:left w:val="none" w:sz="0" w:space="0" w:color="auto"/>
            <w:bottom w:val="none" w:sz="0" w:space="0" w:color="auto"/>
            <w:right w:val="none" w:sz="0" w:space="0" w:color="auto"/>
          </w:divBdr>
          <w:divsChild>
            <w:div w:id="1058867565">
              <w:marLeft w:val="0"/>
              <w:marRight w:val="0"/>
              <w:marTop w:val="0"/>
              <w:marBottom w:val="0"/>
              <w:divBdr>
                <w:top w:val="none" w:sz="0" w:space="0" w:color="auto"/>
                <w:left w:val="none" w:sz="0" w:space="0" w:color="auto"/>
                <w:bottom w:val="none" w:sz="0" w:space="0" w:color="auto"/>
                <w:right w:val="none" w:sz="0" w:space="0" w:color="auto"/>
              </w:divBdr>
              <w:divsChild>
                <w:div w:id="1118377480">
                  <w:marLeft w:val="105"/>
                  <w:marRight w:val="105"/>
                  <w:marTop w:val="150"/>
                  <w:marBottom w:val="150"/>
                  <w:divBdr>
                    <w:top w:val="none" w:sz="0" w:space="0" w:color="auto"/>
                    <w:left w:val="none" w:sz="0" w:space="0" w:color="auto"/>
                    <w:bottom w:val="none" w:sz="0" w:space="0" w:color="auto"/>
                    <w:right w:val="none" w:sz="0" w:space="0" w:color="auto"/>
                  </w:divBdr>
                  <w:divsChild>
                    <w:div w:id="1109735446">
                      <w:marLeft w:val="0"/>
                      <w:marRight w:val="0"/>
                      <w:marTop w:val="0"/>
                      <w:marBottom w:val="0"/>
                      <w:divBdr>
                        <w:top w:val="none" w:sz="0" w:space="0" w:color="auto"/>
                        <w:left w:val="none" w:sz="0" w:space="0" w:color="auto"/>
                        <w:bottom w:val="none" w:sz="0" w:space="0" w:color="auto"/>
                        <w:right w:val="none" w:sz="0" w:space="0" w:color="auto"/>
                      </w:divBdr>
                      <w:divsChild>
                        <w:div w:id="1025864817">
                          <w:marLeft w:val="0"/>
                          <w:marRight w:val="0"/>
                          <w:marTop w:val="0"/>
                          <w:marBottom w:val="0"/>
                          <w:divBdr>
                            <w:top w:val="none" w:sz="0" w:space="0" w:color="auto"/>
                            <w:left w:val="none" w:sz="0" w:space="0" w:color="auto"/>
                            <w:bottom w:val="none" w:sz="0" w:space="0" w:color="auto"/>
                            <w:right w:val="none" w:sz="0" w:space="0" w:color="auto"/>
                          </w:divBdr>
                          <w:divsChild>
                            <w:div w:id="29889969">
                              <w:marLeft w:val="0"/>
                              <w:marRight w:val="0"/>
                              <w:marTop w:val="0"/>
                              <w:marBottom w:val="0"/>
                              <w:divBdr>
                                <w:top w:val="none" w:sz="0" w:space="0" w:color="auto"/>
                                <w:left w:val="none" w:sz="0" w:space="0" w:color="auto"/>
                                <w:bottom w:val="none" w:sz="0" w:space="0" w:color="auto"/>
                                <w:right w:val="none" w:sz="0" w:space="0" w:color="auto"/>
                              </w:divBdr>
                              <w:divsChild>
                                <w:div w:id="649986685">
                                  <w:marLeft w:val="105"/>
                                  <w:marRight w:val="105"/>
                                  <w:marTop w:val="150"/>
                                  <w:marBottom w:val="150"/>
                                  <w:divBdr>
                                    <w:top w:val="none" w:sz="0" w:space="0" w:color="auto"/>
                                    <w:left w:val="none" w:sz="0" w:space="0" w:color="auto"/>
                                    <w:bottom w:val="none" w:sz="0" w:space="0" w:color="auto"/>
                                    <w:right w:val="none" w:sz="0" w:space="0" w:color="auto"/>
                                  </w:divBdr>
                                  <w:divsChild>
                                    <w:div w:id="1680739223">
                                      <w:marLeft w:val="0"/>
                                      <w:marRight w:val="0"/>
                                      <w:marTop w:val="0"/>
                                      <w:marBottom w:val="0"/>
                                      <w:divBdr>
                                        <w:top w:val="none" w:sz="0" w:space="0" w:color="auto"/>
                                        <w:left w:val="none" w:sz="0" w:space="0" w:color="auto"/>
                                        <w:bottom w:val="none" w:sz="0" w:space="0" w:color="auto"/>
                                        <w:right w:val="none" w:sz="0" w:space="0" w:color="auto"/>
                                      </w:divBdr>
                                      <w:divsChild>
                                        <w:div w:id="1375158893">
                                          <w:marLeft w:val="0"/>
                                          <w:marRight w:val="0"/>
                                          <w:marTop w:val="0"/>
                                          <w:marBottom w:val="0"/>
                                          <w:divBdr>
                                            <w:top w:val="none" w:sz="0" w:space="0" w:color="auto"/>
                                            <w:left w:val="none" w:sz="0" w:space="0" w:color="auto"/>
                                            <w:bottom w:val="none" w:sz="0" w:space="0" w:color="auto"/>
                                            <w:right w:val="none" w:sz="0" w:space="0" w:color="auto"/>
                                          </w:divBdr>
                                          <w:divsChild>
                                            <w:div w:id="1117022995">
                                              <w:marLeft w:val="0"/>
                                              <w:marRight w:val="0"/>
                                              <w:marTop w:val="0"/>
                                              <w:marBottom w:val="0"/>
                                              <w:divBdr>
                                                <w:top w:val="none" w:sz="0" w:space="0" w:color="auto"/>
                                                <w:left w:val="none" w:sz="0" w:space="0" w:color="auto"/>
                                                <w:bottom w:val="none" w:sz="0" w:space="0" w:color="auto"/>
                                                <w:right w:val="none" w:sz="0" w:space="0" w:color="auto"/>
                                              </w:divBdr>
                                              <w:divsChild>
                                                <w:div w:id="137890625">
                                                  <w:marLeft w:val="0"/>
                                                  <w:marRight w:val="0"/>
                                                  <w:marTop w:val="0"/>
                                                  <w:marBottom w:val="0"/>
                                                  <w:divBdr>
                                                    <w:top w:val="none" w:sz="0" w:space="0" w:color="auto"/>
                                                    <w:left w:val="none" w:sz="0" w:space="0" w:color="auto"/>
                                                    <w:bottom w:val="none" w:sz="0" w:space="0" w:color="auto"/>
                                                    <w:right w:val="none" w:sz="0" w:space="0" w:color="auto"/>
                                                  </w:divBdr>
                                                  <w:divsChild>
                                                    <w:div w:id="1274168025">
                                                      <w:marLeft w:val="105"/>
                                                      <w:marRight w:val="105"/>
                                                      <w:marTop w:val="150"/>
                                                      <w:marBottom w:val="150"/>
                                                      <w:divBdr>
                                                        <w:top w:val="none" w:sz="0" w:space="0" w:color="auto"/>
                                                        <w:left w:val="none" w:sz="0" w:space="0" w:color="auto"/>
                                                        <w:bottom w:val="none" w:sz="0" w:space="0" w:color="auto"/>
                                                        <w:right w:val="none" w:sz="0" w:space="0" w:color="auto"/>
                                                      </w:divBdr>
                                                      <w:divsChild>
                                                        <w:div w:id="1419055210">
                                                          <w:marLeft w:val="0"/>
                                                          <w:marRight w:val="0"/>
                                                          <w:marTop w:val="0"/>
                                                          <w:marBottom w:val="0"/>
                                                          <w:divBdr>
                                                            <w:top w:val="none" w:sz="0" w:space="0" w:color="auto"/>
                                                            <w:left w:val="none" w:sz="0" w:space="0" w:color="auto"/>
                                                            <w:bottom w:val="none" w:sz="0" w:space="0" w:color="auto"/>
                                                            <w:right w:val="none" w:sz="0" w:space="0" w:color="auto"/>
                                                          </w:divBdr>
                                                          <w:divsChild>
                                                            <w:div w:id="667371537">
                                                              <w:marLeft w:val="0"/>
                                                              <w:marRight w:val="0"/>
                                                              <w:marTop w:val="0"/>
                                                              <w:marBottom w:val="0"/>
                                                              <w:divBdr>
                                                                <w:top w:val="none" w:sz="0" w:space="0" w:color="auto"/>
                                                                <w:left w:val="none" w:sz="0" w:space="0" w:color="auto"/>
                                                                <w:bottom w:val="none" w:sz="0" w:space="0" w:color="auto"/>
                                                                <w:right w:val="none" w:sz="0" w:space="0" w:color="auto"/>
                                                              </w:divBdr>
                                                              <w:divsChild>
                                                                <w:div w:id="1837302745">
                                                                  <w:marLeft w:val="0"/>
                                                                  <w:marRight w:val="0"/>
                                                                  <w:marTop w:val="0"/>
                                                                  <w:marBottom w:val="0"/>
                                                                  <w:divBdr>
                                                                    <w:top w:val="none" w:sz="0" w:space="0" w:color="auto"/>
                                                                    <w:left w:val="none" w:sz="0" w:space="0" w:color="auto"/>
                                                                    <w:bottom w:val="none" w:sz="0" w:space="0" w:color="auto"/>
                                                                    <w:right w:val="none" w:sz="0" w:space="0" w:color="auto"/>
                                                                  </w:divBdr>
                                                                  <w:divsChild>
                                                                    <w:div w:id="844393996">
                                                                      <w:marLeft w:val="0"/>
                                                                      <w:marRight w:val="0"/>
                                                                      <w:marTop w:val="0"/>
                                                                      <w:marBottom w:val="0"/>
                                                                      <w:divBdr>
                                                                        <w:top w:val="none" w:sz="0" w:space="0" w:color="auto"/>
                                                                        <w:left w:val="none" w:sz="0" w:space="0" w:color="auto"/>
                                                                        <w:bottom w:val="none" w:sz="0" w:space="0" w:color="auto"/>
                                                                        <w:right w:val="none" w:sz="0" w:space="0" w:color="auto"/>
                                                                      </w:divBdr>
                                                                      <w:divsChild>
                                                                        <w:div w:id="460462884">
                                                                          <w:marLeft w:val="0"/>
                                                                          <w:marRight w:val="0"/>
                                                                          <w:marTop w:val="0"/>
                                                                          <w:marBottom w:val="0"/>
                                                                          <w:divBdr>
                                                                            <w:top w:val="none" w:sz="0" w:space="0" w:color="auto"/>
                                                                            <w:left w:val="none" w:sz="0" w:space="0" w:color="auto"/>
                                                                            <w:bottom w:val="none" w:sz="0" w:space="0" w:color="auto"/>
                                                                            <w:right w:val="none" w:sz="0" w:space="0" w:color="auto"/>
                                                                          </w:divBdr>
                                                                          <w:divsChild>
                                                                            <w:div w:id="1918664507">
                                                                              <w:marLeft w:val="105"/>
                                                                              <w:marRight w:val="105"/>
                                                                              <w:marTop w:val="150"/>
                                                                              <w:marBottom w:val="150"/>
                                                                              <w:divBdr>
                                                                                <w:top w:val="none" w:sz="0" w:space="0" w:color="auto"/>
                                                                                <w:left w:val="none" w:sz="0" w:space="0" w:color="auto"/>
                                                                                <w:bottom w:val="none" w:sz="0" w:space="0" w:color="auto"/>
                                                                                <w:right w:val="none" w:sz="0" w:space="0" w:color="auto"/>
                                                                              </w:divBdr>
                                                                              <w:divsChild>
                                                                                <w:div w:id="1396007722">
                                                                                  <w:marLeft w:val="0"/>
                                                                                  <w:marRight w:val="0"/>
                                                                                  <w:marTop w:val="0"/>
                                                                                  <w:marBottom w:val="0"/>
                                                                                  <w:divBdr>
                                                                                    <w:top w:val="none" w:sz="0" w:space="0" w:color="auto"/>
                                                                                    <w:left w:val="none" w:sz="0" w:space="0" w:color="auto"/>
                                                                                    <w:bottom w:val="none" w:sz="0" w:space="0" w:color="auto"/>
                                                                                    <w:right w:val="none" w:sz="0" w:space="0" w:color="auto"/>
                                                                                  </w:divBdr>
                                                                                  <w:divsChild>
                                                                                    <w:div w:id="1967352898">
                                                                                      <w:marLeft w:val="0"/>
                                                                                      <w:marRight w:val="0"/>
                                                                                      <w:marTop w:val="0"/>
                                                                                      <w:marBottom w:val="0"/>
                                                                                      <w:divBdr>
                                                                                        <w:top w:val="none" w:sz="0" w:space="0" w:color="auto"/>
                                                                                        <w:left w:val="none" w:sz="0" w:space="0" w:color="auto"/>
                                                                                        <w:bottom w:val="none" w:sz="0" w:space="0" w:color="auto"/>
                                                                                        <w:right w:val="none" w:sz="0" w:space="0" w:color="auto"/>
                                                                                      </w:divBdr>
                                                                                      <w:divsChild>
                                                                                        <w:div w:id="514417654">
                                                                                          <w:marLeft w:val="0"/>
                                                                                          <w:marRight w:val="0"/>
                                                                                          <w:marTop w:val="0"/>
                                                                                          <w:marBottom w:val="0"/>
                                                                                          <w:divBdr>
                                                                                            <w:top w:val="none" w:sz="0" w:space="0" w:color="auto"/>
                                                                                            <w:left w:val="none" w:sz="0" w:space="0" w:color="auto"/>
                                                                                            <w:bottom w:val="none" w:sz="0" w:space="0" w:color="auto"/>
                                                                                            <w:right w:val="none" w:sz="0" w:space="0" w:color="auto"/>
                                                                                          </w:divBdr>
                                                                                          <w:divsChild>
                                                                                            <w:div w:id="2080251443">
                                                                                              <w:marLeft w:val="0"/>
                                                                                              <w:marRight w:val="0"/>
                                                                                              <w:marTop w:val="0"/>
                                                                                              <w:marBottom w:val="0"/>
                                                                                              <w:divBdr>
                                                                                                <w:top w:val="none" w:sz="0" w:space="0" w:color="auto"/>
                                                                                                <w:left w:val="none" w:sz="0" w:space="0" w:color="auto"/>
                                                                                                <w:bottom w:val="none" w:sz="0" w:space="0" w:color="auto"/>
                                                                                                <w:right w:val="none" w:sz="0" w:space="0" w:color="auto"/>
                                                                                              </w:divBdr>
                                                                                              <w:divsChild>
                                                                                                <w:div w:id="912810334">
                                                                                                  <w:marLeft w:val="0"/>
                                                                                                  <w:marRight w:val="0"/>
                                                                                                  <w:marTop w:val="0"/>
                                                                                                  <w:marBottom w:val="0"/>
                                                                                                  <w:divBdr>
                                                                                                    <w:top w:val="none" w:sz="0" w:space="0" w:color="auto"/>
                                                                                                    <w:left w:val="none" w:sz="0" w:space="0" w:color="auto"/>
                                                                                                    <w:bottom w:val="none" w:sz="0" w:space="0" w:color="auto"/>
                                                                                                    <w:right w:val="none" w:sz="0" w:space="0" w:color="auto"/>
                                                                                                  </w:divBdr>
                                                                                                  <w:divsChild>
                                                                                                    <w:div w:id="1509245474">
                                                                                                      <w:marLeft w:val="0"/>
                                                                                                      <w:marRight w:val="0"/>
                                                                                                      <w:marTop w:val="0"/>
                                                                                                      <w:marBottom w:val="0"/>
                                                                                                      <w:divBdr>
                                                                                                        <w:top w:val="none" w:sz="0" w:space="0" w:color="auto"/>
                                                                                                        <w:left w:val="none" w:sz="0" w:space="0" w:color="auto"/>
                                                                                                        <w:bottom w:val="none" w:sz="0" w:space="0" w:color="auto"/>
                                                                                                        <w:right w:val="none" w:sz="0" w:space="0" w:color="auto"/>
                                                                                                      </w:divBdr>
                                                                                                      <w:divsChild>
                                                                                                        <w:div w:id="136682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1368">
      <w:bodyDiv w:val="1"/>
      <w:marLeft w:val="0"/>
      <w:marRight w:val="0"/>
      <w:marTop w:val="0"/>
      <w:marBottom w:val="0"/>
      <w:divBdr>
        <w:top w:val="none" w:sz="0" w:space="0" w:color="auto"/>
        <w:left w:val="none" w:sz="0" w:space="0" w:color="auto"/>
        <w:bottom w:val="none" w:sz="0" w:space="0" w:color="auto"/>
        <w:right w:val="none" w:sz="0" w:space="0" w:color="auto"/>
      </w:divBdr>
    </w:div>
    <w:div w:id="765921577">
      <w:bodyDiv w:val="1"/>
      <w:marLeft w:val="0"/>
      <w:marRight w:val="0"/>
      <w:marTop w:val="0"/>
      <w:marBottom w:val="0"/>
      <w:divBdr>
        <w:top w:val="none" w:sz="0" w:space="0" w:color="auto"/>
        <w:left w:val="none" w:sz="0" w:space="0" w:color="auto"/>
        <w:bottom w:val="none" w:sz="0" w:space="0" w:color="auto"/>
        <w:right w:val="none" w:sz="0" w:space="0" w:color="auto"/>
      </w:divBdr>
      <w:divsChild>
        <w:div w:id="2009870677">
          <w:marLeft w:val="0"/>
          <w:marRight w:val="0"/>
          <w:marTop w:val="150"/>
          <w:marBottom w:val="0"/>
          <w:divBdr>
            <w:top w:val="none" w:sz="0" w:space="0" w:color="auto"/>
            <w:left w:val="none" w:sz="0" w:space="0" w:color="auto"/>
            <w:bottom w:val="none" w:sz="0" w:space="0" w:color="auto"/>
            <w:right w:val="none" w:sz="0" w:space="0" w:color="auto"/>
          </w:divBdr>
          <w:divsChild>
            <w:div w:id="831487815">
              <w:marLeft w:val="0"/>
              <w:marRight w:val="0"/>
              <w:marTop w:val="0"/>
              <w:marBottom w:val="0"/>
              <w:divBdr>
                <w:top w:val="none" w:sz="0" w:space="0" w:color="auto"/>
                <w:left w:val="none" w:sz="0" w:space="0" w:color="auto"/>
                <w:bottom w:val="none" w:sz="0" w:space="0" w:color="auto"/>
                <w:right w:val="none" w:sz="0" w:space="0" w:color="auto"/>
              </w:divBdr>
              <w:divsChild>
                <w:div w:id="1860197917">
                  <w:marLeft w:val="0"/>
                  <w:marRight w:val="0"/>
                  <w:marTop w:val="0"/>
                  <w:marBottom w:val="0"/>
                  <w:divBdr>
                    <w:top w:val="none" w:sz="0" w:space="0" w:color="auto"/>
                    <w:left w:val="none" w:sz="0" w:space="0" w:color="auto"/>
                    <w:bottom w:val="none" w:sz="0" w:space="0" w:color="auto"/>
                    <w:right w:val="none" w:sz="0" w:space="0" w:color="auto"/>
                  </w:divBdr>
                  <w:divsChild>
                    <w:div w:id="1196776013">
                      <w:marLeft w:val="0"/>
                      <w:marRight w:val="0"/>
                      <w:marTop w:val="168"/>
                      <w:marBottom w:val="0"/>
                      <w:divBdr>
                        <w:top w:val="none" w:sz="0" w:space="0" w:color="auto"/>
                        <w:left w:val="none" w:sz="0" w:space="0" w:color="auto"/>
                        <w:bottom w:val="none" w:sz="0" w:space="0" w:color="auto"/>
                        <w:right w:val="none" w:sz="0" w:space="0" w:color="auto"/>
                      </w:divBdr>
                      <w:divsChild>
                        <w:div w:id="2217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233114">
      <w:bodyDiv w:val="1"/>
      <w:marLeft w:val="0"/>
      <w:marRight w:val="0"/>
      <w:marTop w:val="0"/>
      <w:marBottom w:val="0"/>
      <w:divBdr>
        <w:top w:val="none" w:sz="0" w:space="0" w:color="auto"/>
        <w:left w:val="none" w:sz="0" w:space="0" w:color="auto"/>
        <w:bottom w:val="none" w:sz="0" w:space="0" w:color="auto"/>
        <w:right w:val="none" w:sz="0" w:space="0" w:color="auto"/>
      </w:divBdr>
    </w:div>
    <w:div w:id="898780656">
      <w:bodyDiv w:val="1"/>
      <w:marLeft w:val="0"/>
      <w:marRight w:val="0"/>
      <w:marTop w:val="0"/>
      <w:marBottom w:val="0"/>
      <w:divBdr>
        <w:top w:val="none" w:sz="0" w:space="0" w:color="auto"/>
        <w:left w:val="none" w:sz="0" w:space="0" w:color="auto"/>
        <w:bottom w:val="none" w:sz="0" w:space="0" w:color="auto"/>
        <w:right w:val="none" w:sz="0" w:space="0" w:color="auto"/>
      </w:divBdr>
    </w:div>
    <w:div w:id="941567936">
      <w:bodyDiv w:val="1"/>
      <w:marLeft w:val="0"/>
      <w:marRight w:val="0"/>
      <w:marTop w:val="0"/>
      <w:marBottom w:val="0"/>
      <w:divBdr>
        <w:top w:val="none" w:sz="0" w:space="0" w:color="auto"/>
        <w:left w:val="none" w:sz="0" w:space="0" w:color="auto"/>
        <w:bottom w:val="none" w:sz="0" w:space="0" w:color="auto"/>
        <w:right w:val="none" w:sz="0" w:space="0" w:color="auto"/>
      </w:divBdr>
    </w:div>
    <w:div w:id="952055386">
      <w:bodyDiv w:val="1"/>
      <w:marLeft w:val="0"/>
      <w:marRight w:val="0"/>
      <w:marTop w:val="0"/>
      <w:marBottom w:val="0"/>
      <w:divBdr>
        <w:top w:val="none" w:sz="0" w:space="0" w:color="auto"/>
        <w:left w:val="none" w:sz="0" w:space="0" w:color="auto"/>
        <w:bottom w:val="none" w:sz="0" w:space="0" w:color="auto"/>
        <w:right w:val="none" w:sz="0" w:space="0" w:color="auto"/>
      </w:divBdr>
    </w:div>
    <w:div w:id="957102441">
      <w:bodyDiv w:val="1"/>
      <w:marLeft w:val="0"/>
      <w:marRight w:val="0"/>
      <w:marTop w:val="0"/>
      <w:marBottom w:val="0"/>
      <w:divBdr>
        <w:top w:val="none" w:sz="0" w:space="0" w:color="auto"/>
        <w:left w:val="none" w:sz="0" w:space="0" w:color="auto"/>
        <w:bottom w:val="none" w:sz="0" w:space="0" w:color="auto"/>
        <w:right w:val="none" w:sz="0" w:space="0" w:color="auto"/>
      </w:divBdr>
    </w:div>
    <w:div w:id="959994967">
      <w:bodyDiv w:val="1"/>
      <w:marLeft w:val="0"/>
      <w:marRight w:val="0"/>
      <w:marTop w:val="0"/>
      <w:marBottom w:val="0"/>
      <w:divBdr>
        <w:top w:val="none" w:sz="0" w:space="0" w:color="auto"/>
        <w:left w:val="none" w:sz="0" w:space="0" w:color="auto"/>
        <w:bottom w:val="none" w:sz="0" w:space="0" w:color="auto"/>
        <w:right w:val="none" w:sz="0" w:space="0" w:color="auto"/>
      </w:divBdr>
    </w:div>
    <w:div w:id="1025404304">
      <w:bodyDiv w:val="1"/>
      <w:marLeft w:val="0"/>
      <w:marRight w:val="0"/>
      <w:marTop w:val="0"/>
      <w:marBottom w:val="0"/>
      <w:divBdr>
        <w:top w:val="none" w:sz="0" w:space="0" w:color="auto"/>
        <w:left w:val="none" w:sz="0" w:space="0" w:color="auto"/>
        <w:bottom w:val="none" w:sz="0" w:space="0" w:color="auto"/>
        <w:right w:val="none" w:sz="0" w:space="0" w:color="auto"/>
      </w:divBdr>
    </w:div>
    <w:div w:id="1025668790">
      <w:bodyDiv w:val="1"/>
      <w:marLeft w:val="0"/>
      <w:marRight w:val="0"/>
      <w:marTop w:val="0"/>
      <w:marBottom w:val="0"/>
      <w:divBdr>
        <w:top w:val="none" w:sz="0" w:space="0" w:color="auto"/>
        <w:left w:val="none" w:sz="0" w:space="0" w:color="auto"/>
        <w:bottom w:val="none" w:sz="0" w:space="0" w:color="auto"/>
        <w:right w:val="none" w:sz="0" w:space="0" w:color="auto"/>
      </w:divBdr>
    </w:div>
    <w:div w:id="1037393102">
      <w:bodyDiv w:val="1"/>
      <w:marLeft w:val="0"/>
      <w:marRight w:val="0"/>
      <w:marTop w:val="0"/>
      <w:marBottom w:val="0"/>
      <w:divBdr>
        <w:top w:val="none" w:sz="0" w:space="0" w:color="auto"/>
        <w:left w:val="none" w:sz="0" w:space="0" w:color="auto"/>
        <w:bottom w:val="none" w:sz="0" w:space="0" w:color="auto"/>
        <w:right w:val="none" w:sz="0" w:space="0" w:color="auto"/>
      </w:divBdr>
    </w:div>
    <w:div w:id="1055589577">
      <w:bodyDiv w:val="1"/>
      <w:marLeft w:val="0"/>
      <w:marRight w:val="0"/>
      <w:marTop w:val="0"/>
      <w:marBottom w:val="0"/>
      <w:divBdr>
        <w:top w:val="none" w:sz="0" w:space="0" w:color="auto"/>
        <w:left w:val="none" w:sz="0" w:space="0" w:color="auto"/>
        <w:bottom w:val="none" w:sz="0" w:space="0" w:color="auto"/>
        <w:right w:val="none" w:sz="0" w:space="0" w:color="auto"/>
      </w:divBdr>
    </w:div>
    <w:div w:id="1110782094">
      <w:bodyDiv w:val="1"/>
      <w:marLeft w:val="0"/>
      <w:marRight w:val="0"/>
      <w:marTop w:val="0"/>
      <w:marBottom w:val="0"/>
      <w:divBdr>
        <w:top w:val="none" w:sz="0" w:space="0" w:color="auto"/>
        <w:left w:val="none" w:sz="0" w:space="0" w:color="auto"/>
        <w:bottom w:val="none" w:sz="0" w:space="0" w:color="auto"/>
        <w:right w:val="none" w:sz="0" w:space="0" w:color="auto"/>
      </w:divBdr>
    </w:div>
    <w:div w:id="1155728579">
      <w:bodyDiv w:val="1"/>
      <w:marLeft w:val="0"/>
      <w:marRight w:val="0"/>
      <w:marTop w:val="0"/>
      <w:marBottom w:val="0"/>
      <w:divBdr>
        <w:top w:val="none" w:sz="0" w:space="0" w:color="auto"/>
        <w:left w:val="none" w:sz="0" w:space="0" w:color="auto"/>
        <w:bottom w:val="none" w:sz="0" w:space="0" w:color="auto"/>
        <w:right w:val="none" w:sz="0" w:space="0" w:color="auto"/>
      </w:divBdr>
    </w:div>
    <w:div w:id="1240096441">
      <w:bodyDiv w:val="1"/>
      <w:marLeft w:val="0"/>
      <w:marRight w:val="0"/>
      <w:marTop w:val="0"/>
      <w:marBottom w:val="0"/>
      <w:divBdr>
        <w:top w:val="none" w:sz="0" w:space="0" w:color="auto"/>
        <w:left w:val="none" w:sz="0" w:space="0" w:color="auto"/>
        <w:bottom w:val="none" w:sz="0" w:space="0" w:color="auto"/>
        <w:right w:val="none" w:sz="0" w:space="0" w:color="auto"/>
      </w:divBdr>
    </w:div>
    <w:div w:id="1310789698">
      <w:bodyDiv w:val="1"/>
      <w:marLeft w:val="0"/>
      <w:marRight w:val="0"/>
      <w:marTop w:val="0"/>
      <w:marBottom w:val="0"/>
      <w:divBdr>
        <w:top w:val="none" w:sz="0" w:space="0" w:color="auto"/>
        <w:left w:val="none" w:sz="0" w:space="0" w:color="auto"/>
        <w:bottom w:val="none" w:sz="0" w:space="0" w:color="auto"/>
        <w:right w:val="none" w:sz="0" w:space="0" w:color="auto"/>
      </w:divBdr>
    </w:div>
    <w:div w:id="1326325263">
      <w:bodyDiv w:val="1"/>
      <w:marLeft w:val="0"/>
      <w:marRight w:val="0"/>
      <w:marTop w:val="0"/>
      <w:marBottom w:val="0"/>
      <w:divBdr>
        <w:top w:val="none" w:sz="0" w:space="0" w:color="auto"/>
        <w:left w:val="none" w:sz="0" w:space="0" w:color="auto"/>
        <w:bottom w:val="none" w:sz="0" w:space="0" w:color="auto"/>
        <w:right w:val="none" w:sz="0" w:space="0" w:color="auto"/>
      </w:divBdr>
    </w:div>
    <w:div w:id="1347828778">
      <w:bodyDiv w:val="1"/>
      <w:marLeft w:val="0"/>
      <w:marRight w:val="0"/>
      <w:marTop w:val="0"/>
      <w:marBottom w:val="0"/>
      <w:divBdr>
        <w:top w:val="none" w:sz="0" w:space="0" w:color="auto"/>
        <w:left w:val="none" w:sz="0" w:space="0" w:color="auto"/>
        <w:bottom w:val="none" w:sz="0" w:space="0" w:color="auto"/>
        <w:right w:val="none" w:sz="0" w:space="0" w:color="auto"/>
      </w:divBdr>
    </w:div>
    <w:div w:id="1438598838">
      <w:bodyDiv w:val="1"/>
      <w:marLeft w:val="0"/>
      <w:marRight w:val="0"/>
      <w:marTop w:val="0"/>
      <w:marBottom w:val="0"/>
      <w:divBdr>
        <w:top w:val="none" w:sz="0" w:space="0" w:color="auto"/>
        <w:left w:val="none" w:sz="0" w:space="0" w:color="auto"/>
        <w:bottom w:val="none" w:sz="0" w:space="0" w:color="auto"/>
        <w:right w:val="none" w:sz="0" w:space="0" w:color="auto"/>
      </w:divBdr>
    </w:div>
    <w:div w:id="1506021002">
      <w:bodyDiv w:val="1"/>
      <w:marLeft w:val="0"/>
      <w:marRight w:val="0"/>
      <w:marTop w:val="0"/>
      <w:marBottom w:val="0"/>
      <w:divBdr>
        <w:top w:val="none" w:sz="0" w:space="0" w:color="auto"/>
        <w:left w:val="none" w:sz="0" w:space="0" w:color="auto"/>
        <w:bottom w:val="none" w:sz="0" w:space="0" w:color="auto"/>
        <w:right w:val="none" w:sz="0" w:space="0" w:color="auto"/>
      </w:divBdr>
    </w:div>
    <w:div w:id="1514101492">
      <w:bodyDiv w:val="1"/>
      <w:marLeft w:val="0"/>
      <w:marRight w:val="0"/>
      <w:marTop w:val="0"/>
      <w:marBottom w:val="0"/>
      <w:divBdr>
        <w:top w:val="none" w:sz="0" w:space="0" w:color="auto"/>
        <w:left w:val="none" w:sz="0" w:space="0" w:color="auto"/>
        <w:bottom w:val="none" w:sz="0" w:space="0" w:color="auto"/>
        <w:right w:val="none" w:sz="0" w:space="0" w:color="auto"/>
      </w:divBdr>
    </w:div>
    <w:div w:id="1595354749">
      <w:bodyDiv w:val="1"/>
      <w:marLeft w:val="0"/>
      <w:marRight w:val="0"/>
      <w:marTop w:val="0"/>
      <w:marBottom w:val="0"/>
      <w:divBdr>
        <w:top w:val="none" w:sz="0" w:space="0" w:color="auto"/>
        <w:left w:val="none" w:sz="0" w:space="0" w:color="auto"/>
        <w:bottom w:val="none" w:sz="0" w:space="0" w:color="auto"/>
        <w:right w:val="none" w:sz="0" w:space="0" w:color="auto"/>
      </w:divBdr>
    </w:div>
    <w:div w:id="1601178495">
      <w:bodyDiv w:val="1"/>
      <w:marLeft w:val="0"/>
      <w:marRight w:val="0"/>
      <w:marTop w:val="0"/>
      <w:marBottom w:val="0"/>
      <w:divBdr>
        <w:top w:val="none" w:sz="0" w:space="0" w:color="auto"/>
        <w:left w:val="none" w:sz="0" w:space="0" w:color="auto"/>
        <w:bottom w:val="none" w:sz="0" w:space="0" w:color="auto"/>
        <w:right w:val="none" w:sz="0" w:space="0" w:color="auto"/>
      </w:divBdr>
    </w:div>
    <w:div w:id="1604220700">
      <w:bodyDiv w:val="1"/>
      <w:marLeft w:val="0"/>
      <w:marRight w:val="0"/>
      <w:marTop w:val="0"/>
      <w:marBottom w:val="0"/>
      <w:divBdr>
        <w:top w:val="none" w:sz="0" w:space="0" w:color="auto"/>
        <w:left w:val="none" w:sz="0" w:space="0" w:color="auto"/>
        <w:bottom w:val="none" w:sz="0" w:space="0" w:color="auto"/>
        <w:right w:val="none" w:sz="0" w:space="0" w:color="auto"/>
      </w:divBdr>
    </w:div>
    <w:div w:id="1609389646">
      <w:bodyDiv w:val="1"/>
      <w:marLeft w:val="0"/>
      <w:marRight w:val="0"/>
      <w:marTop w:val="0"/>
      <w:marBottom w:val="0"/>
      <w:divBdr>
        <w:top w:val="none" w:sz="0" w:space="0" w:color="auto"/>
        <w:left w:val="none" w:sz="0" w:space="0" w:color="auto"/>
        <w:bottom w:val="none" w:sz="0" w:space="0" w:color="auto"/>
        <w:right w:val="none" w:sz="0" w:space="0" w:color="auto"/>
      </w:divBdr>
    </w:div>
    <w:div w:id="1614283644">
      <w:bodyDiv w:val="1"/>
      <w:marLeft w:val="0"/>
      <w:marRight w:val="0"/>
      <w:marTop w:val="0"/>
      <w:marBottom w:val="0"/>
      <w:divBdr>
        <w:top w:val="none" w:sz="0" w:space="0" w:color="auto"/>
        <w:left w:val="none" w:sz="0" w:space="0" w:color="auto"/>
        <w:bottom w:val="none" w:sz="0" w:space="0" w:color="auto"/>
        <w:right w:val="none" w:sz="0" w:space="0" w:color="auto"/>
      </w:divBdr>
    </w:div>
    <w:div w:id="1724214572">
      <w:bodyDiv w:val="1"/>
      <w:marLeft w:val="0"/>
      <w:marRight w:val="0"/>
      <w:marTop w:val="0"/>
      <w:marBottom w:val="0"/>
      <w:divBdr>
        <w:top w:val="none" w:sz="0" w:space="0" w:color="auto"/>
        <w:left w:val="none" w:sz="0" w:space="0" w:color="auto"/>
        <w:bottom w:val="none" w:sz="0" w:space="0" w:color="auto"/>
        <w:right w:val="none" w:sz="0" w:space="0" w:color="auto"/>
      </w:divBdr>
    </w:div>
    <w:div w:id="1737968028">
      <w:bodyDiv w:val="1"/>
      <w:marLeft w:val="0"/>
      <w:marRight w:val="0"/>
      <w:marTop w:val="0"/>
      <w:marBottom w:val="0"/>
      <w:divBdr>
        <w:top w:val="none" w:sz="0" w:space="0" w:color="auto"/>
        <w:left w:val="none" w:sz="0" w:space="0" w:color="auto"/>
        <w:bottom w:val="none" w:sz="0" w:space="0" w:color="auto"/>
        <w:right w:val="none" w:sz="0" w:space="0" w:color="auto"/>
      </w:divBdr>
    </w:div>
    <w:div w:id="1751346801">
      <w:bodyDiv w:val="1"/>
      <w:marLeft w:val="0"/>
      <w:marRight w:val="0"/>
      <w:marTop w:val="0"/>
      <w:marBottom w:val="0"/>
      <w:divBdr>
        <w:top w:val="none" w:sz="0" w:space="0" w:color="auto"/>
        <w:left w:val="none" w:sz="0" w:space="0" w:color="auto"/>
        <w:bottom w:val="none" w:sz="0" w:space="0" w:color="auto"/>
        <w:right w:val="none" w:sz="0" w:space="0" w:color="auto"/>
      </w:divBdr>
    </w:div>
    <w:div w:id="1764260955">
      <w:bodyDiv w:val="1"/>
      <w:marLeft w:val="0"/>
      <w:marRight w:val="0"/>
      <w:marTop w:val="0"/>
      <w:marBottom w:val="0"/>
      <w:divBdr>
        <w:top w:val="none" w:sz="0" w:space="0" w:color="auto"/>
        <w:left w:val="none" w:sz="0" w:space="0" w:color="auto"/>
        <w:bottom w:val="none" w:sz="0" w:space="0" w:color="auto"/>
        <w:right w:val="none" w:sz="0" w:space="0" w:color="auto"/>
      </w:divBdr>
    </w:div>
    <w:div w:id="1789397685">
      <w:bodyDiv w:val="1"/>
      <w:marLeft w:val="0"/>
      <w:marRight w:val="0"/>
      <w:marTop w:val="0"/>
      <w:marBottom w:val="0"/>
      <w:divBdr>
        <w:top w:val="none" w:sz="0" w:space="0" w:color="auto"/>
        <w:left w:val="none" w:sz="0" w:space="0" w:color="auto"/>
        <w:bottom w:val="none" w:sz="0" w:space="0" w:color="auto"/>
        <w:right w:val="none" w:sz="0" w:space="0" w:color="auto"/>
      </w:divBdr>
    </w:div>
    <w:div w:id="1815680382">
      <w:bodyDiv w:val="1"/>
      <w:marLeft w:val="0"/>
      <w:marRight w:val="0"/>
      <w:marTop w:val="0"/>
      <w:marBottom w:val="0"/>
      <w:divBdr>
        <w:top w:val="none" w:sz="0" w:space="0" w:color="auto"/>
        <w:left w:val="none" w:sz="0" w:space="0" w:color="auto"/>
        <w:bottom w:val="none" w:sz="0" w:space="0" w:color="auto"/>
        <w:right w:val="none" w:sz="0" w:space="0" w:color="auto"/>
      </w:divBdr>
    </w:div>
    <w:div w:id="1817642664">
      <w:bodyDiv w:val="1"/>
      <w:marLeft w:val="0"/>
      <w:marRight w:val="0"/>
      <w:marTop w:val="0"/>
      <w:marBottom w:val="0"/>
      <w:divBdr>
        <w:top w:val="none" w:sz="0" w:space="0" w:color="auto"/>
        <w:left w:val="none" w:sz="0" w:space="0" w:color="auto"/>
        <w:bottom w:val="none" w:sz="0" w:space="0" w:color="auto"/>
        <w:right w:val="none" w:sz="0" w:space="0" w:color="auto"/>
      </w:divBdr>
    </w:div>
    <w:div w:id="1863743404">
      <w:bodyDiv w:val="1"/>
      <w:marLeft w:val="0"/>
      <w:marRight w:val="0"/>
      <w:marTop w:val="0"/>
      <w:marBottom w:val="0"/>
      <w:divBdr>
        <w:top w:val="none" w:sz="0" w:space="0" w:color="auto"/>
        <w:left w:val="none" w:sz="0" w:space="0" w:color="auto"/>
        <w:bottom w:val="none" w:sz="0" w:space="0" w:color="auto"/>
        <w:right w:val="none" w:sz="0" w:space="0" w:color="auto"/>
      </w:divBdr>
    </w:div>
    <w:div w:id="1884948402">
      <w:bodyDiv w:val="1"/>
      <w:marLeft w:val="0"/>
      <w:marRight w:val="0"/>
      <w:marTop w:val="0"/>
      <w:marBottom w:val="0"/>
      <w:divBdr>
        <w:top w:val="none" w:sz="0" w:space="0" w:color="auto"/>
        <w:left w:val="none" w:sz="0" w:space="0" w:color="auto"/>
        <w:bottom w:val="none" w:sz="0" w:space="0" w:color="auto"/>
        <w:right w:val="none" w:sz="0" w:space="0" w:color="auto"/>
      </w:divBdr>
    </w:div>
    <w:div w:id="1889801936">
      <w:bodyDiv w:val="1"/>
      <w:marLeft w:val="0"/>
      <w:marRight w:val="0"/>
      <w:marTop w:val="0"/>
      <w:marBottom w:val="0"/>
      <w:divBdr>
        <w:top w:val="none" w:sz="0" w:space="0" w:color="auto"/>
        <w:left w:val="none" w:sz="0" w:space="0" w:color="auto"/>
        <w:bottom w:val="none" w:sz="0" w:space="0" w:color="auto"/>
        <w:right w:val="none" w:sz="0" w:space="0" w:color="auto"/>
      </w:divBdr>
    </w:div>
    <w:div w:id="1935550902">
      <w:bodyDiv w:val="1"/>
      <w:marLeft w:val="0"/>
      <w:marRight w:val="0"/>
      <w:marTop w:val="0"/>
      <w:marBottom w:val="0"/>
      <w:divBdr>
        <w:top w:val="none" w:sz="0" w:space="0" w:color="auto"/>
        <w:left w:val="none" w:sz="0" w:space="0" w:color="auto"/>
        <w:bottom w:val="none" w:sz="0" w:space="0" w:color="auto"/>
        <w:right w:val="none" w:sz="0" w:space="0" w:color="auto"/>
      </w:divBdr>
    </w:div>
    <w:div w:id="1956598989">
      <w:bodyDiv w:val="1"/>
      <w:marLeft w:val="0"/>
      <w:marRight w:val="0"/>
      <w:marTop w:val="0"/>
      <w:marBottom w:val="0"/>
      <w:divBdr>
        <w:top w:val="none" w:sz="0" w:space="0" w:color="auto"/>
        <w:left w:val="none" w:sz="0" w:space="0" w:color="auto"/>
        <w:bottom w:val="none" w:sz="0" w:space="0" w:color="auto"/>
        <w:right w:val="none" w:sz="0" w:space="0" w:color="auto"/>
      </w:divBdr>
    </w:div>
    <w:div w:id="1960607530">
      <w:bodyDiv w:val="1"/>
      <w:marLeft w:val="0"/>
      <w:marRight w:val="0"/>
      <w:marTop w:val="0"/>
      <w:marBottom w:val="0"/>
      <w:divBdr>
        <w:top w:val="none" w:sz="0" w:space="0" w:color="auto"/>
        <w:left w:val="none" w:sz="0" w:space="0" w:color="auto"/>
        <w:bottom w:val="none" w:sz="0" w:space="0" w:color="auto"/>
        <w:right w:val="none" w:sz="0" w:space="0" w:color="auto"/>
      </w:divBdr>
    </w:div>
    <w:div w:id="1982927582">
      <w:bodyDiv w:val="1"/>
      <w:marLeft w:val="0"/>
      <w:marRight w:val="0"/>
      <w:marTop w:val="0"/>
      <w:marBottom w:val="0"/>
      <w:divBdr>
        <w:top w:val="none" w:sz="0" w:space="0" w:color="auto"/>
        <w:left w:val="none" w:sz="0" w:space="0" w:color="auto"/>
        <w:bottom w:val="none" w:sz="0" w:space="0" w:color="auto"/>
        <w:right w:val="none" w:sz="0" w:space="0" w:color="auto"/>
      </w:divBdr>
    </w:div>
    <w:div w:id="2037659111">
      <w:bodyDiv w:val="1"/>
      <w:marLeft w:val="0"/>
      <w:marRight w:val="0"/>
      <w:marTop w:val="0"/>
      <w:marBottom w:val="0"/>
      <w:divBdr>
        <w:top w:val="none" w:sz="0" w:space="0" w:color="auto"/>
        <w:left w:val="none" w:sz="0" w:space="0" w:color="auto"/>
        <w:bottom w:val="none" w:sz="0" w:space="0" w:color="auto"/>
        <w:right w:val="none" w:sz="0" w:space="0" w:color="auto"/>
      </w:divBdr>
    </w:div>
    <w:div w:id="2053335033">
      <w:bodyDiv w:val="1"/>
      <w:marLeft w:val="0"/>
      <w:marRight w:val="0"/>
      <w:marTop w:val="0"/>
      <w:marBottom w:val="0"/>
      <w:divBdr>
        <w:top w:val="none" w:sz="0" w:space="0" w:color="auto"/>
        <w:left w:val="none" w:sz="0" w:space="0" w:color="auto"/>
        <w:bottom w:val="none" w:sz="0" w:space="0" w:color="auto"/>
        <w:right w:val="none" w:sz="0" w:space="0" w:color="auto"/>
      </w:divBdr>
    </w:div>
    <w:div w:id="2106881032">
      <w:bodyDiv w:val="1"/>
      <w:marLeft w:val="0"/>
      <w:marRight w:val="0"/>
      <w:marTop w:val="0"/>
      <w:marBottom w:val="0"/>
      <w:divBdr>
        <w:top w:val="none" w:sz="0" w:space="0" w:color="auto"/>
        <w:left w:val="none" w:sz="0" w:space="0" w:color="auto"/>
        <w:bottom w:val="none" w:sz="0" w:space="0" w:color="auto"/>
        <w:right w:val="none" w:sz="0" w:space="0" w:color="auto"/>
      </w:divBdr>
    </w:div>
    <w:div w:id="2118215999">
      <w:bodyDiv w:val="1"/>
      <w:marLeft w:val="0"/>
      <w:marRight w:val="0"/>
      <w:marTop w:val="0"/>
      <w:marBottom w:val="0"/>
      <w:divBdr>
        <w:top w:val="none" w:sz="0" w:space="0" w:color="auto"/>
        <w:left w:val="none" w:sz="0" w:space="0" w:color="auto"/>
        <w:bottom w:val="none" w:sz="0" w:space="0" w:color="auto"/>
        <w:right w:val="none" w:sz="0" w:space="0" w:color="auto"/>
      </w:divBdr>
    </w:div>
    <w:div w:id="2120686310">
      <w:bodyDiv w:val="1"/>
      <w:marLeft w:val="0"/>
      <w:marRight w:val="0"/>
      <w:marTop w:val="0"/>
      <w:marBottom w:val="0"/>
      <w:divBdr>
        <w:top w:val="none" w:sz="0" w:space="0" w:color="auto"/>
        <w:left w:val="none" w:sz="0" w:space="0" w:color="auto"/>
        <w:bottom w:val="none" w:sz="0" w:space="0" w:color="auto"/>
        <w:right w:val="none" w:sz="0" w:space="0" w:color="auto"/>
      </w:divBdr>
    </w:div>
    <w:div w:id="214292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cb.org.uk/wp-content/uploads/2014/06/Ramadan-and-diabetes-A-guide-for-patients-2013.pdf" TargetMode="External"/><Relationship Id="rId18" Type="http://schemas.openxmlformats.org/officeDocument/2006/relationships/hyperlink" Target="http://www.pewforum.org/2012/12/18/global-religious-landscape-exec/" TargetMode="External"/><Relationship Id="rId3" Type="http://schemas.openxmlformats.org/officeDocument/2006/relationships/styles" Target="styles.xml"/><Relationship Id="rId21" Type="http://schemas.openxmlformats.org/officeDocument/2006/relationships/hyperlink" Target="http://www.fda.gov/downloads/Drugs/DrugSafety/UCM446954.pdf" TargetMode="External"/><Relationship Id="rId7" Type="http://schemas.openxmlformats.org/officeDocument/2006/relationships/footnotes" Target="footnotes.xml"/><Relationship Id="rId12" Type="http://schemas.openxmlformats.org/officeDocument/2006/relationships/hyperlink" Target="http://www.mcb.org.uk/ramadan/ramadan-and-you/" TargetMode="External"/><Relationship Id="rId17" Type="http://schemas.openxmlformats.org/officeDocument/2006/relationships/hyperlink" Target="http://www.sahf.org.uk/" TargetMode="External"/><Relationship Id="rId2" Type="http://schemas.openxmlformats.org/officeDocument/2006/relationships/numbering" Target="numbering.xml"/><Relationship Id="rId16" Type="http://schemas.openxmlformats.org/officeDocument/2006/relationships/hyperlink" Target="http://www.factsaboutfasting.com/" TargetMode="External"/><Relationship Id="rId20" Type="http://schemas.openxmlformats.org/officeDocument/2006/relationships/hyperlink" Target="mailto:nhsspiritualcare@mcb.org.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cb.org.uk/wp-content/uploads/2014/07/Ramadan-and-Diabetes-MCB-DiabetesUK-leaflet.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esmond-project.org.uk/bmefoundationnewlydiagnosed-279.html" TargetMode="External"/><Relationship Id="rId23" Type="http://schemas.openxmlformats.org/officeDocument/2006/relationships/fontTable" Target="fontTable.xml"/><Relationship Id="rId10" Type="http://schemas.openxmlformats.org/officeDocument/2006/relationships/hyperlink" Target="https://www.diabetes.org.uk/ramadan" TargetMode="External"/><Relationship Id="rId19" Type="http://schemas.openxmlformats.org/officeDocument/2006/relationships/hyperlink" Target="http://www.guardian.co.uk/news/datablog/2011/jan/28/muslim-population-country-projection-2030"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apneesehat.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Qur</b:Tag>
    <b:SourceType>BookSection</b:SourceType>
    <b:Guid>{4C80E6BF-35A8-48D5-AC2B-9CFC73D08813}</b:Guid>
    <b:Title>Qur'an</b:Title>
    <b:BookTitle>Surat Al-Baqarah</b:BookTitle>
    <b:Pages>2:183-5</b:Pages>
    <b:RefOrder>1</b:RefOrder>
  </b:Source>
</b:Sources>
</file>

<file path=customXml/itemProps1.xml><?xml version="1.0" encoding="utf-8"?>
<ds:datastoreItem xmlns:ds="http://schemas.openxmlformats.org/officeDocument/2006/customXml" ds:itemID="{1E9B986A-6007-4693-B687-7C4097E49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99FF2770.dotm</Template>
  <TotalTime>0</TotalTime>
  <Pages>26</Pages>
  <Words>9280</Words>
  <Characters>52902</Characters>
  <Application>Microsoft Office Word</Application>
  <DocSecurity>4</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Whoever</dc:creator>
  <cp:lastModifiedBy>lg48</cp:lastModifiedBy>
  <cp:revision>2</cp:revision>
  <cp:lastPrinted>2015-11-03T11:42:00Z</cp:lastPrinted>
  <dcterms:created xsi:type="dcterms:W3CDTF">2015-12-09T10:21:00Z</dcterms:created>
  <dcterms:modified xsi:type="dcterms:W3CDTF">2015-12-09T10:21:00Z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8f7a0fb1-5ed1-4583-806b-a58f3fce9aa3</vt:lpwstr>
  </property>
</Properties>
</file>