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0699DB" w14:textId="391141D5" w:rsidR="00300967" w:rsidRPr="00492782" w:rsidRDefault="000B3963" w:rsidP="000B3963">
      <w:pPr>
        <w:spacing w:line="360" w:lineRule="auto"/>
        <w:rPr>
          <w:b/>
        </w:rPr>
      </w:pPr>
      <w:r>
        <w:rPr>
          <w:b/>
        </w:rPr>
        <w:t xml:space="preserve">Title: </w:t>
      </w:r>
      <w:r w:rsidR="0030014C">
        <w:rPr>
          <w:b/>
        </w:rPr>
        <w:t xml:space="preserve">Tranexamic Acid - </w:t>
      </w:r>
      <w:r w:rsidR="00492782" w:rsidRPr="00492782">
        <w:rPr>
          <w:b/>
        </w:rPr>
        <w:t>there’s new life in the old drug</w:t>
      </w:r>
    </w:p>
    <w:p w14:paraId="46490774" w14:textId="77777777" w:rsidR="00492782" w:rsidRDefault="00492782" w:rsidP="005A02C7">
      <w:pPr>
        <w:spacing w:line="360" w:lineRule="auto"/>
      </w:pPr>
    </w:p>
    <w:p w14:paraId="4717930C" w14:textId="5EF31ED4" w:rsidR="0030014C" w:rsidRPr="0030014C" w:rsidRDefault="0030014C" w:rsidP="005A02C7">
      <w:pPr>
        <w:spacing w:line="360" w:lineRule="auto"/>
        <w:rPr>
          <w:b/>
        </w:rPr>
      </w:pPr>
      <w:r w:rsidRPr="0030014C">
        <w:rPr>
          <w:b/>
        </w:rPr>
        <w:t>Corresponding author</w:t>
      </w:r>
    </w:p>
    <w:p w14:paraId="2002F56A" w14:textId="6E711C55" w:rsidR="000B3963" w:rsidRDefault="0030014C" w:rsidP="005A02C7">
      <w:pPr>
        <w:spacing w:line="360" w:lineRule="auto"/>
      </w:pPr>
      <w:r>
        <w:t>Timothy J Co</w:t>
      </w:r>
      <w:r w:rsidR="000B3963">
        <w:t>ats</w:t>
      </w:r>
    </w:p>
    <w:p w14:paraId="2FF29E8E" w14:textId="0896C9C3" w:rsidR="0030014C" w:rsidRDefault="0030014C" w:rsidP="005A02C7">
      <w:pPr>
        <w:spacing w:line="360" w:lineRule="auto"/>
      </w:pPr>
      <w:r>
        <w:t>University of Leicester,</w:t>
      </w:r>
    </w:p>
    <w:p w14:paraId="40D87095" w14:textId="77777777" w:rsidR="0030014C" w:rsidRDefault="0030014C" w:rsidP="005A02C7">
      <w:pPr>
        <w:spacing w:line="360" w:lineRule="auto"/>
      </w:pPr>
      <w:r>
        <w:t>University Rd,</w:t>
      </w:r>
    </w:p>
    <w:p w14:paraId="4B27720E" w14:textId="1BC6E0E9" w:rsidR="0030014C" w:rsidRDefault="0030014C" w:rsidP="005A02C7">
      <w:pPr>
        <w:spacing w:line="360" w:lineRule="auto"/>
      </w:pPr>
      <w:proofErr w:type="gramStart"/>
      <w:r w:rsidRPr="0030014C">
        <w:t>Leicester LE1 7RH</w:t>
      </w:r>
      <w:r>
        <w:t>.</w:t>
      </w:r>
      <w:proofErr w:type="gramEnd"/>
      <w:r>
        <w:t xml:space="preserve"> UK.</w:t>
      </w:r>
    </w:p>
    <w:p w14:paraId="434F6CCF" w14:textId="22F2BE6E" w:rsidR="0030014C" w:rsidRDefault="0030014C" w:rsidP="005A02C7">
      <w:pPr>
        <w:spacing w:line="360" w:lineRule="auto"/>
      </w:pPr>
      <w:r>
        <w:t>Email: tc61@le.ac.uk</w:t>
      </w:r>
    </w:p>
    <w:p w14:paraId="37AEFE6C" w14:textId="4A28ABE0" w:rsidR="0030014C" w:rsidRDefault="0030014C" w:rsidP="005A02C7">
      <w:pPr>
        <w:spacing w:line="360" w:lineRule="auto"/>
      </w:pPr>
      <w:r>
        <w:t>Phone: +44(0) 116 258 5965</w:t>
      </w:r>
    </w:p>
    <w:p w14:paraId="4F633C6A" w14:textId="77777777" w:rsidR="0030014C" w:rsidRDefault="0030014C" w:rsidP="005A02C7">
      <w:pPr>
        <w:spacing w:line="360" w:lineRule="auto"/>
      </w:pPr>
    </w:p>
    <w:p w14:paraId="2D119DC7" w14:textId="35EF9B69" w:rsidR="0030014C" w:rsidRPr="0030014C" w:rsidRDefault="0030014C" w:rsidP="005A02C7">
      <w:pPr>
        <w:spacing w:line="360" w:lineRule="auto"/>
        <w:rPr>
          <w:b/>
        </w:rPr>
      </w:pPr>
      <w:r w:rsidRPr="0030014C">
        <w:rPr>
          <w:b/>
        </w:rPr>
        <w:t>Keywords</w:t>
      </w:r>
    </w:p>
    <w:p w14:paraId="4429D240" w14:textId="1373C98E" w:rsidR="0030014C" w:rsidRDefault="0030014C" w:rsidP="005A02C7">
      <w:pPr>
        <w:spacing w:line="360" w:lineRule="auto"/>
      </w:pPr>
      <w:r>
        <w:t xml:space="preserve">Trauma, Tranexamic Acid, </w:t>
      </w:r>
    </w:p>
    <w:p w14:paraId="17DEAB05" w14:textId="77777777" w:rsidR="0030014C" w:rsidRDefault="0030014C" w:rsidP="005A02C7">
      <w:pPr>
        <w:spacing w:line="360" w:lineRule="auto"/>
      </w:pPr>
    </w:p>
    <w:p w14:paraId="01BCD4B1" w14:textId="26145D1E" w:rsidR="00BA7A7B" w:rsidRDefault="00BA7A7B" w:rsidP="005A02C7">
      <w:pPr>
        <w:spacing w:line="360" w:lineRule="auto"/>
      </w:pPr>
      <w:r>
        <w:t xml:space="preserve">Word count = </w:t>
      </w:r>
      <w:r w:rsidR="0090513E">
        <w:t>8</w:t>
      </w:r>
      <w:r w:rsidR="00F12E66">
        <w:t>44</w:t>
      </w:r>
    </w:p>
    <w:p w14:paraId="5BBE8F21" w14:textId="77777777" w:rsidR="000B3963" w:rsidRDefault="000B3963">
      <w:r>
        <w:br w:type="page"/>
      </w:r>
    </w:p>
    <w:p w14:paraId="08B5DA59" w14:textId="552D0B65" w:rsidR="002B4B5F" w:rsidRDefault="005B6F9C" w:rsidP="005A02C7">
      <w:pPr>
        <w:spacing w:line="360" w:lineRule="auto"/>
      </w:pPr>
      <w:r>
        <w:lastRenderedPageBreak/>
        <w:t>Over the last 15 years there has been an explosion in the use of tranexamic acid (TXA) in emergency and surgical care (with publications about TXA increasing from about 50 a year before 2010 to 340 in 2015).</w:t>
      </w:r>
      <w:r w:rsidR="002B4B5F">
        <w:t xml:space="preserve"> With rapidly changing evidence it can difficult for emergency physicians to judge </w:t>
      </w:r>
      <w:r w:rsidR="0090513E">
        <w:t xml:space="preserve">both </w:t>
      </w:r>
      <w:r w:rsidR="00674F14">
        <w:t>‘</w:t>
      </w:r>
      <w:r w:rsidR="002B4B5F">
        <w:t>who</w:t>
      </w:r>
      <w:r w:rsidR="00674F14">
        <w:t>’</w:t>
      </w:r>
      <w:r w:rsidR="002B4B5F">
        <w:t xml:space="preserve"> </w:t>
      </w:r>
      <w:r w:rsidR="00674F14">
        <w:t xml:space="preserve">and ‘when’ </w:t>
      </w:r>
      <w:r w:rsidR="00F12E66">
        <w:t>to treat, but current use of TXA may be too late to be effective.</w:t>
      </w:r>
    </w:p>
    <w:p w14:paraId="1074BD15" w14:textId="77777777" w:rsidR="002B4B5F" w:rsidRDefault="002B4B5F" w:rsidP="005A02C7">
      <w:pPr>
        <w:spacing w:line="360" w:lineRule="auto"/>
      </w:pPr>
    </w:p>
    <w:p w14:paraId="7AAFBD03" w14:textId="76450A5B" w:rsidR="00492782" w:rsidRDefault="004E559E" w:rsidP="005A02C7">
      <w:pPr>
        <w:spacing w:line="360" w:lineRule="auto"/>
      </w:pPr>
      <w:r>
        <w:t xml:space="preserve">Tranexamic acid (TXA) is </w:t>
      </w:r>
      <w:r w:rsidR="00492782">
        <w:t>a rather weak anti-</w:t>
      </w:r>
      <w:proofErr w:type="spellStart"/>
      <w:r w:rsidR="00492782">
        <w:t>fibrinolytic</w:t>
      </w:r>
      <w:proofErr w:type="spellEnd"/>
      <w:r w:rsidR="00492782">
        <w:t xml:space="preserve"> which prev</w:t>
      </w:r>
      <w:r w:rsidR="00270BF4">
        <w:t>ents the breakdown of clot. It</w:t>
      </w:r>
      <w:r w:rsidR="00492782">
        <w:t xml:space="preserve"> was discovered in the 1950s by the remarkable Japanese </w:t>
      </w:r>
      <w:r w:rsidR="00BC5FD6" w:rsidRPr="00BC5FD6">
        <w:t>husband and wife t</w:t>
      </w:r>
      <w:r w:rsidR="00BC5FD6">
        <w:t xml:space="preserve">eam of </w:t>
      </w:r>
      <w:proofErr w:type="spellStart"/>
      <w:r w:rsidR="00BC5FD6">
        <w:t>Shosuke</w:t>
      </w:r>
      <w:proofErr w:type="spellEnd"/>
      <w:r w:rsidR="00BC5FD6">
        <w:t xml:space="preserve"> and </w:t>
      </w:r>
      <w:proofErr w:type="spellStart"/>
      <w:r w:rsidR="00BC5FD6">
        <w:t>Utako</w:t>
      </w:r>
      <w:proofErr w:type="spellEnd"/>
      <w:r w:rsidR="00BC5FD6">
        <w:t xml:space="preserve"> </w:t>
      </w:r>
      <w:r>
        <w:t>Okamoto</w:t>
      </w:r>
      <w:r>
        <w:fldChar w:fldCharType="begin"/>
      </w:r>
      <w:r w:rsidR="00F23849">
        <w:instrText xml:space="preserve"> ADDIN EN.CITE &lt;EndNote&gt;&lt;Cite&gt;&lt;Author&gt;The&lt;/Author&gt;&lt;RecNum&gt;1626&lt;/RecNum&gt;&lt;DisplayText&gt;[1]&lt;/DisplayText&gt;&lt;record&gt;&lt;rec-number&gt;1626&lt;/rec-number&gt;&lt;foreign-keys&gt;&lt;key app="EN" db-id="ts50zfet0as0rbe0tzkvaee8rs0v2prpaa00" timestamp="1444636584"&gt;1626&lt;/key&gt;&lt;/foreign-keys&gt;&lt;ref-type name="Journal Article"&gt;17&lt;/ref-type&gt;&lt;contributors&gt;&lt;authors&gt;&lt;author&gt;The Lancet&lt;/author&gt;&lt;/authors&gt;&lt;/contributors&gt;&lt;titles&gt;&lt;title&gt;Bringing women to the forefront of science and medicine&lt;/title&gt;&lt;secondary-title&gt;The Lancet&lt;/secondary-title&gt;&lt;/titles&gt;&lt;periodical&gt;&lt;full-title&gt;The Lancet&lt;/full-title&gt;&lt;/periodical&gt;&lt;pages&gt;867&lt;/pages&gt;&lt;volume&gt;379&lt;/volume&gt;&lt;number&gt;9819&lt;/number&gt;&lt;dates&gt;&lt;year&gt;2012&lt;/year&gt;&lt;/dates&gt;&lt;publisher&gt;Elsevier&lt;/publisher&gt;&lt;urls&gt;&lt;related-urls&gt;&lt;url&gt;http://dx.doi.org/10.1016/S0140-6736(12)60286-4&lt;/url&gt;&lt;/related-urls&gt;&lt;/urls&gt;&lt;electronic-resource-num&gt;10.1016/S0140-6736(12)60286-4&lt;/electronic-resource-num&gt;&lt;access-date&gt;2015/10/12&lt;/access-date&gt;&lt;/record&gt;&lt;/Cite&gt;&lt;/EndNote&gt;</w:instrText>
      </w:r>
      <w:r>
        <w:fldChar w:fldCharType="separate"/>
      </w:r>
      <w:r>
        <w:rPr>
          <w:noProof/>
        </w:rPr>
        <w:t>[1]</w:t>
      </w:r>
      <w:r>
        <w:fldChar w:fldCharType="end"/>
      </w:r>
      <w:r w:rsidR="00270BF4">
        <w:t>, h</w:t>
      </w:r>
      <w:r>
        <w:t>owever by</w:t>
      </w:r>
      <w:r w:rsidR="00492782">
        <w:t xml:space="preserve"> the late 1990’s </w:t>
      </w:r>
      <w:r w:rsidR="00775E2C">
        <w:t>intravenous TXA</w:t>
      </w:r>
      <w:r w:rsidR="00492782">
        <w:t xml:space="preserve"> was only occasionally used </w:t>
      </w:r>
      <w:r>
        <w:t>and</w:t>
      </w:r>
      <w:r w:rsidR="00492782">
        <w:t xml:space="preserve"> there was just one manufacturer</w:t>
      </w:r>
      <w:r w:rsidR="00775E2C">
        <w:t xml:space="preserve"> (</w:t>
      </w:r>
      <w:r w:rsidR="00492782">
        <w:t xml:space="preserve">forced to continued production under </w:t>
      </w:r>
      <w:r w:rsidR="004705A0">
        <w:t>an “orphan drugs” law</w:t>
      </w:r>
      <w:r w:rsidR="00775E2C">
        <w:t>)</w:t>
      </w:r>
      <w:r w:rsidR="00B907BD">
        <w:t xml:space="preserve">. </w:t>
      </w:r>
    </w:p>
    <w:p w14:paraId="42F30E0E" w14:textId="77777777" w:rsidR="00492782" w:rsidRDefault="00492782" w:rsidP="005A02C7">
      <w:pPr>
        <w:spacing w:line="360" w:lineRule="auto"/>
      </w:pPr>
    </w:p>
    <w:p w14:paraId="016F1392" w14:textId="7451EAD4" w:rsidR="00492782" w:rsidRDefault="00720224" w:rsidP="005A02C7">
      <w:pPr>
        <w:spacing w:line="360" w:lineRule="auto"/>
      </w:pPr>
      <w:proofErr w:type="spellStart"/>
      <w:r>
        <w:t>Antifibrinolytics</w:t>
      </w:r>
      <w:proofErr w:type="spellEnd"/>
      <w:r>
        <w:t xml:space="preserve"> have</w:t>
      </w:r>
      <w:r w:rsidR="00492782">
        <w:t xml:space="preserve"> long been used in cardiac surgery</w:t>
      </w:r>
      <w:r w:rsidR="00EE2E05">
        <w:fldChar w:fldCharType="begin"/>
      </w:r>
      <w:r w:rsidR="00F23849">
        <w:instrText xml:space="preserve"> ADDIN EN.CITE &lt;EndNote&gt;&lt;Cite&gt;&lt;Author&gt;Ortmann&lt;/Author&gt;&lt;Year&gt;2013&lt;/Year&gt;&lt;RecNum&gt;1629&lt;/RecNum&gt;&lt;DisplayText&gt;[2]&lt;/DisplayText&gt;&lt;record&gt;&lt;rec-number&gt;1629&lt;/rec-number&gt;&lt;foreign-keys&gt;&lt;key app="EN" db-id="ts50zfet0as0rbe0tzkvaee8rs0v2prpaa00" timestamp="1444664870"&gt;1629&lt;/key&gt;&lt;/foreign-keys&gt;&lt;ref-type name="Journal Article"&gt;17&lt;/ref-type&gt;&lt;contributors&gt;&lt;authors&gt;&lt;author&gt;Ortmann, E.&lt;/author&gt;&lt;author&gt;Besser, MW&lt;/author&gt;&lt;author&gt;Klein, AA&lt;/author&gt;&lt;/authors&gt;&lt;/contributors&gt;&lt;titles&gt;&lt;title&gt;Antifibrinolytic agents in current anaesthetic practice&lt;/title&gt;&lt;secondary-title&gt;British Journal of Anaesthesia&lt;/secondary-title&gt;&lt;/titles&gt;&lt;periodical&gt;&lt;full-title&gt;British Journal of Anaesthesia&lt;/full-title&gt;&lt;/periodical&gt;&lt;pages&gt;549-63&lt;/pages&gt;&lt;volume&gt;111&lt;/volume&gt;&lt;number&gt;4&lt;/number&gt;&lt;dates&gt;&lt;year&gt;2013&lt;/year&gt;&lt;/dates&gt;&lt;urls&gt;&lt;related-urls&gt;&lt;url&gt;http://bja.oxfordjournals.org/content/early/2013/05/08/bja.aet154.abstract&lt;/url&gt;&lt;/related-urls&gt;&lt;/urls&gt;&lt;/record&gt;&lt;/Cite&gt;&lt;/EndNote&gt;</w:instrText>
      </w:r>
      <w:r w:rsidR="00EE2E05">
        <w:fldChar w:fldCharType="separate"/>
      </w:r>
      <w:r w:rsidR="00EE2E05">
        <w:rPr>
          <w:noProof/>
        </w:rPr>
        <w:t>[2]</w:t>
      </w:r>
      <w:r w:rsidR="00EE2E05">
        <w:fldChar w:fldCharType="end"/>
      </w:r>
      <w:r w:rsidR="005A02C7">
        <w:t>. A</w:t>
      </w:r>
      <w:r w:rsidR="00492782">
        <w:t xml:space="preserve"> ‘coffee time’ conversation </w:t>
      </w:r>
      <w:r w:rsidR="00150A74">
        <w:t xml:space="preserve">between an emergency physician and an </w:t>
      </w:r>
      <w:proofErr w:type="spellStart"/>
      <w:r w:rsidR="00150A74">
        <w:t>anaesthetist</w:t>
      </w:r>
      <w:proofErr w:type="spellEnd"/>
      <w:r>
        <w:t>,</w:t>
      </w:r>
      <w:r w:rsidR="00150A74">
        <w:t xml:space="preserve"> </w:t>
      </w:r>
      <w:r w:rsidR="00BC7D79">
        <w:t>who</w:t>
      </w:r>
      <w:r w:rsidR="00150A74">
        <w:t xml:space="preserve"> </w:t>
      </w:r>
      <w:r w:rsidR="005A02C7">
        <w:t xml:space="preserve">had </w:t>
      </w:r>
      <w:r w:rsidR="00150A74">
        <w:t>both recently b</w:t>
      </w:r>
      <w:r w:rsidR="005A02C7">
        <w:t>een working in cardiac surgery</w:t>
      </w:r>
      <w:r>
        <w:t>,</w:t>
      </w:r>
      <w:r w:rsidR="005A02C7">
        <w:t xml:space="preserve"> led to the </w:t>
      </w:r>
      <w:r>
        <w:t>question about the</w:t>
      </w:r>
      <w:r w:rsidR="005A02C7">
        <w:t xml:space="preserve"> use </w:t>
      </w:r>
      <w:r>
        <w:t xml:space="preserve">of </w:t>
      </w:r>
      <w:r w:rsidR="005A02C7">
        <w:t>an antifibrinolytic in trauma</w:t>
      </w:r>
      <w:r w:rsidR="00150A74">
        <w:t xml:space="preserve">. </w:t>
      </w:r>
      <w:r w:rsidR="00BB7562">
        <w:t>With</w:t>
      </w:r>
      <w:r w:rsidR="00150A74">
        <w:t xml:space="preserve"> the involvement of a much larger group of researchers </w:t>
      </w:r>
      <w:r w:rsidR="00EE2E05">
        <w:t>this resulted in the CRASH2 trial,</w:t>
      </w:r>
      <w:r w:rsidR="00150A74">
        <w:t xml:space="preserve"> </w:t>
      </w:r>
      <w:r w:rsidR="00EE2E05">
        <w:t>giving</w:t>
      </w:r>
      <w:r w:rsidR="00150A74">
        <w:t xml:space="preserve"> definitive evidence </w:t>
      </w:r>
      <w:r w:rsidR="0090513E">
        <w:t xml:space="preserve">in 2010 </w:t>
      </w:r>
      <w:r w:rsidR="00150A74">
        <w:t>that trauma patients with</w:t>
      </w:r>
      <w:r w:rsidR="00D9355E">
        <w:t>,</w:t>
      </w:r>
      <w:r w:rsidR="00150A74">
        <w:t xml:space="preserve"> or at risk of</w:t>
      </w:r>
      <w:r w:rsidR="00D9355E">
        <w:t>,</w:t>
      </w:r>
      <w:r w:rsidR="00150A74">
        <w:t xml:space="preserve"> significant bleeding should be given TXA</w:t>
      </w:r>
      <w:r w:rsidR="00BC7D79">
        <w:fldChar w:fldCharType="begin"/>
      </w:r>
      <w:r w:rsidR="00EE2E05">
        <w:instrText xml:space="preserve"> ADDIN EN.CITE &lt;EndNote&gt;&lt;Cite&gt;&lt;Author&gt;CRASH-2 Trial Collaborators&lt;/Author&gt;&lt;Year&gt;2010&lt;/Year&gt;&lt;RecNum&gt;892&lt;/RecNum&gt;&lt;DisplayText&gt;[3]&lt;/DisplayText&gt;&lt;record&gt;&lt;rec-number&gt;892&lt;/rec-number&gt;&lt;foreign-keys&gt;&lt;key app="EN" db-id="ts50zfet0as0rbe0tzkvaee8rs0v2prpaa00" timestamp="1306760696"&gt;892&lt;/key&gt;&lt;/foreign-keys&gt;&lt;ref-type name="Journal Article"&gt;17&lt;/ref-type&gt;&lt;contributors&gt;&lt;authors&gt;&lt;author&gt;CRASH-2 Trial Collaborators&lt;/author&gt;&lt;/authors&gt;&lt;/contributors&gt;&lt;titles&gt;&lt;title&gt;Effects of tranexamic acid on death, vascular occlusive events, and blood transfusion in trauma patients with significant haemorrhage (CRASH2)&lt;/title&gt;&lt;secondary-title&gt;Lancet&lt;/secondary-title&gt;&lt;/titles&gt;&lt;periodical&gt;&lt;full-title&gt;Lancet&lt;/full-title&gt;&lt;/periodical&gt;&lt;pages&gt;23-32&lt;/pages&gt;&lt;volume&gt;376&lt;/volume&gt;&lt;dates&gt;&lt;year&gt;2010&lt;/year&gt;&lt;/dates&gt;&lt;urls&gt;&lt;/urls&gt;&lt;/record&gt;&lt;/Cite&gt;&lt;/EndNote&gt;</w:instrText>
      </w:r>
      <w:r w:rsidR="00BC7D79">
        <w:fldChar w:fldCharType="separate"/>
      </w:r>
      <w:r w:rsidR="00EE2E05">
        <w:rPr>
          <w:noProof/>
        </w:rPr>
        <w:t>[3]</w:t>
      </w:r>
      <w:r w:rsidR="00BC7D79">
        <w:fldChar w:fldCharType="end"/>
      </w:r>
      <w:r w:rsidR="00150A74">
        <w:t>.</w:t>
      </w:r>
      <w:r w:rsidR="0090513E">
        <w:t xml:space="preserve"> A large number of trials in other bleeding conditions have subsequently been performed.</w:t>
      </w:r>
    </w:p>
    <w:p w14:paraId="67FD1885" w14:textId="77777777" w:rsidR="003C0314" w:rsidRDefault="003C0314" w:rsidP="005A02C7">
      <w:pPr>
        <w:spacing w:line="360" w:lineRule="auto"/>
      </w:pPr>
    </w:p>
    <w:p w14:paraId="4EADEF94" w14:textId="15FE3DA8" w:rsidR="006F4B64" w:rsidRDefault="006F4B64" w:rsidP="005A02C7">
      <w:pPr>
        <w:spacing w:line="360" w:lineRule="auto"/>
      </w:pPr>
      <w:r>
        <w:t xml:space="preserve">There is </w:t>
      </w:r>
      <w:r w:rsidR="003C0314">
        <w:t>always</w:t>
      </w:r>
      <w:r>
        <w:t xml:space="preserve"> difficulty with k</w:t>
      </w:r>
      <w:r w:rsidR="000A08F1">
        <w:t>nowing how far to extrapolate f</w:t>
      </w:r>
      <w:r>
        <w:t>r</w:t>
      </w:r>
      <w:r w:rsidR="000A08F1">
        <w:t>o</w:t>
      </w:r>
      <w:r>
        <w:t xml:space="preserve">m the </w:t>
      </w:r>
      <w:r w:rsidR="003C0314">
        <w:t>clinical trial</w:t>
      </w:r>
      <w:r>
        <w:t xml:space="preserve"> evidence. </w:t>
      </w:r>
      <w:r w:rsidR="00BC7D79">
        <w:t>Most</w:t>
      </w:r>
      <w:r>
        <w:t xml:space="preserve"> new </w:t>
      </w:r>
      <w:r w:rsidR="002B4B5F">
        <w:t xml:space="preserve">drugs </w:t>
      </w:r>
      <w:r>
        <w:t xml:space="preserve">go through a cycle of being ‘the best thing ever’ when first introduced, which is often followed by </w:t>
      </w:r>
      <w:proofErr w:type="gramStart"/>
      <w:r>
        <w:t>a</w:t>
      </w:r>
      <w:proofErr w:type="gramEnd"/>
      <w:r>
        <w:t xml:space="preserve"> ‘</w:t>
      </w:r>
      <w:r w:rsidR="002B4B5F">
        <w:t>i</w:t>
      </w:r>
      <w:r w:rsidR="005B6F9C">
        <w:t xml:space="preserve">t is a terrible drug’ </w:t>
      </w:r>
      <w:r>
        <w:t xml:space="preserve">phase, which is then followed by the matured opinion ‘in the right patients at the right time this is a useful treatment’. This cycle is probably </w:t>
      </w:r>
      <w:r w:rsidR="00161475">
        <w:t>caused by</w:t>
      </w:r>
      <w:r>
        <w:t xml:space="preserve"> clinicians </w:t>
      </w:r>
      <w:r w:rsidR="00161475">
        <w:t>being poor</w:t>
      </w:r>
      <w:r>
        <w:t xml:space="preserve"> at assessing the ‘</w:t>
      </w:r>
      <w:proofErr w:type="spellStart"/>
      <w:r>
        <w:t>gene</w:t>
      </w:r>
      <w:r w:rsidR="000A08F1">
        <w:t>ralisability</w:t>
      </w:r>
      <w:proofErr w:type="spellEnd"/>
      <w:r w:rsidR="000A08F1">
        <w:t>’ of evidence, as o</w:t>
      </w:r>
      <w:r>
        <w:t>u</w:t>
      </w:r>
      <w:r w:rsidR="000A08F1">
        <w:t>r</w:t>
      </w:r>
      <w:r>
        <w:t xml:space="preserve"> critical appraisal training is focused on assessing the quality of the evidence rather than </w:t>
      </w:r>
      <w:r w:rsidR="000A08F1">
        <w:t xml:space="preserve">the skills involved in deciding how this evidence should affect our practice. There is </w:t>
      </w:r>
      <w:r w:rsidR="007C5E69">
        <w:t xml:space="preserve">also </w:t>
      </w:r>
      <w:r w:rsidR="000A08F1">
        <w:t xml:space="preserve">a tendency for clinicians to think in black and white terms of a treatment as “good” or “bad” (and to talk to our patients in this language) rather than to accept </w:t>
      </w:r>
      <w:r w:rsidR="00B907BD">
        <w:t xml:space="preserve">the </w:t>
      </w:r>
      <w:r w:rsidR="000A08F1">
        <w:t>psychological discomfort brought on by the uncertainty of the shades of grey which surround the generalizability of evidence to practice.</w:t>
      </w:r>
    </w:p>
    <w:p w14:paraId="01CCD1D8" w14:textId="77777777" w:rsidR="000A08F1" w:rsidRDefault="000A08F1" w:rsidP="005A02C7">
      <w:pPr>
        <w:spacing w:line="360" w:lineRule="auto"/>
      </w:pPr>
    </w:p>
    <w:p w14:paraId="299AED1D" w14:textId="06A2E3AE" w:rsidR="000A08F1" w:rsidRDefault="000A08F1" w:rsidP="005A02C7">
      <w:pPr>
        <w:spacing w:line="360" w:lineRule="auto"/>
      </w:pPr>
      <w:r>
        <w:t xml:space="preserve">There is certainly an enthusiasm for TXA at present – a straw poll in the </w:t>
      </w:r>
      <w:r w:rsidR="003C0701">
        <w:t xml:space="preserve">2015 </w:t>
      </w:r>
      <w:r>
        <w:t xml:space="preserve">RCEM Conference showed that about 30% of UK hospitals had TXA included as a routine part of their massive transfusion protocols – </w:t>
      </w:r>
      <w:r w:rsidR="007C5E69">
        <w:t xml:space="preserve">therefore </w:t>
      </w:r>
      <w:r>
        <w:t xml:space="preserve">recommending its use in all patients with massive </w:t>
      </w:r>
      <w:proofErr w:type="spellStart"/>
      <w:r>
        <w:t>haemorrhage</w:t>
      </w:r>
      <w:proofErr w:type="spellEnd"/>
      <w:r>
        <w:t xml:space="preserve"> whatever the </w:t>
      </w:r>
      <w:r w:rsidR="007C5E69">
        <w:t>cause of the bleeding</w:t>
      </w:r>
      <w:r w:rsidR="005B6F9C">
        <w:t>.</w:t>
      </w:r>
      <w:r>
        <w:t xml:space="preserve"> This </w:t>
      </w:r>
      <w:r w:rsidR="005B6F9C">
        <w:t xml:space="preserve">indication </w:t>
      </w:r>
      <w:r>
        <w:t xml:space="preserve">has </w:t>
      </w:r>
      <w:r w:rsidR="0090513E">
        <w:t xml:space="preserve">never </w:t>
      </w:r>
      <w:r>
        <w:t>been the subj</w:t>
      </w:r>
      <w:r w:rsidR="00BC7D79">
        <w:t xml:space="preserve">ect of </w:t>
      </w:r>
      <w:r>
        <w:t xml:space="preserve">a clinical trial, and is in fact very different from those that have been </w:t>
      </w:r>
      <w:r w:rsidR="00D00108">
        <w:t xml:space="preserve">tested. The trials in both surgery and trauma have administered TXA </w:t>
      </w:r>
      <w:r w:rsidR="007C5E69">
        <w:t xml:space="preserve">at a much earlier stage, </w:t>
      </w:r>
      <w:r w:rsidR="00D00108">
        <w:t xml:space="preserve">before massive </w:t>
      </w:r>
      <w:proofErr w:type="spellStart"/>
      <w:r w:rsidR="00D00108">
        <w:t>haem</w:t>
      </w:r>
      <w:r w:rsidR="007C5E69">
        <w:t>orrhage</w:t>
      </w:r>
      <w:proofErr w:type="spellEnd"/>
      <w:r w:rsidR="007C5E69">
        <w:t xml:space="preserve"> has become established. I</w:t>
      </w:r>
      <w:r w:rsidR="00D00108">
        <w:t xml:space="preserve">n </w:t>
      </w:r>
      <w:proofErr w:type="spellStart"/>
      <w:r w:rsidR="00D00108">
        <w:t>coagulopathic</w:t>
      </w:r>
      <w:proofErr w:type="spellEnd"/>
      <w:r w:rsidR="00D00108">
        <w:t xml:space="preserve"> </w:t>
      </w:r>
      <w:r w:rsidR="007C5E69">
        <w:t xml:space="preserve">massive </w:t>
      </w:r>
      <w:proofErr w:type="spellStart"/>
      <w:r w:rsidR="007C5E69">
        <w:t>haemorrhage</w:t>
      </w:r>
      <w:proofErr w:type="spellEnd"/>
      <w:r w:rsidR="007C5E69">
        <w:t xml:space="preserve"> a drug that prevents clot breakdown is unlikely to have much effect if the patient is no longer forming clot</w:t>
      </w:r>
      <w:r w:rsidR="00D00108">
        <w:t>.</w:t>
      </w:r>
      <w:r w:rsidR="00E32D15">
        <w:t xml:space="preserve"> Linking TXA to a massive </w:t>
      </w:r>
      <w:proofErr w:type="spellStart"/>
      <w:r w:rsidR="00E32D15">
        <w:t>haemorrhage</w:t>
      </w:r>
      <w:proofErr w:type="spellEnd"/>
      <w:r w:rsidR="00E32D15">
        <w:t xml:space="preserve"> protocol creates the wrong mindset in clinicians - i</w:t>
      </w:r>
      <w:r w:rsidR="003F46E1">
        <w:t xml:space="preserve">f </w:t>
      </w:r>
      <w:r w:rsidR="00E32D15">
        <w:t xml:space="preserve">you are not giving </w:t>
      </w:r>
      <w:r w:rsidR="003F46E1">
        <w:t xml:space="preserve">TXA </w:t>
      </w:r>
      <w:r w:rsidR="00E32D15">
        <w:t xml:space="preserve">until the patient fulfills the criteria for </w:t>
      </w:r>
      <w:r w:rsidR="003F46E1">
        <w:t xml:space="preserve">massive </w:t>
      </w:r>
      <w:proofErr w:type="spellStart"/>
      <w:r w:rsidR="003F46E1">
        <w:t>haemorrhage</w:t>
      </w:r>
      <w:proofErr w:type="spellEnd"/>
      <w:r w:rsidR="003F46E1">
        <w:t xml:space="preserve"> </w:t>
      </w:r>
      <w:r w:rsidR="00E32D15">
        <w:t>you will be giving it too late</w:t>
      </w:r>
      <w:r w:rsidR="003F46E1">
        <w:t>.</w:t>
      </w:r>
      <w:r w:rsidR="0090513E">
        <w:t xml:space="preserve"> Universal use of TXA in massive hemorrhage also makes </w:t>
      </w:r>
      <w:r w:rsidR="004713CE">
        <w:t>research impossible, as there is no longer equipoise.</w:t>
      </w:r>
    </w:p>
    <w:p w14:paraId="37873A5E" w14:textId="77777777" w:rsidR="00D00108" w:rsidRDefault="00D00108" w:rsidP="005A02C7">
      <w:pPr>
        <w:spacing w:line="360" w:lineRule="auto"/>
      </w:pPr>
    </w:p>
    <w:p w14:paraId="1AC4AD41" w14:textId="4C001880" w:rsidR="00381C06" w:rsidRDefault="001502F8" w:rsidP="005A02C7">
      <w:pPr>
        <w:spacing w:line="360" w:lineRule="auto"/>
      </w:pPr>
      <w:r>
        <w:t xml:space="preserve">The </w:t>
      </w:r>
      <w:r w:rsidR="00161475">
        <w:t xml:space="preserve">strength of </w:t>
      </w:r>
      <w:r>
        <w:t xml:space="preserve">current evidence </w:t>
      </w:r>
      <w:r w:rsidR="00143701">
        <w:t xml:space="preserve">for TXA use </w:t>
      </w:r>
      <w:r>
        <w:t>varies between conditions.</w:t>
      </w:r>
      <w:r w:rsidR="003F46E1">
        <w:t xml:space="preserve"> </w:t>
      </w:r>
      <w:r w:rsidR="00381C06">
        <w:t>In some countries the CRASH2 result has been extrapolated to support routine use in the prehospital phase, and many military protocols now recommend TXA for field use. A large enough trial to give definitive evidence for use in prehospital care is unlikely ever to be performed, however the current PATCH (</w:t>
      </w:r>
      <w:r w:rsidR="00381C06" w:rsidRPr="00381C06">
        <w:t>NCT02187120</w:t>
      </w:r>
      <w:r w:rsidR="00381C06">
        <w:t>) trial may give some information. A large number of tria</w:t>
      </w:r>
      <w:r w:rsidR="004705A0">
        <w:t>ls in surgery have</w:t>
      </w:r>
      <w:r w:rsidR="00381C06">
        <w:t xml:space="preserve"> shown better outcomes in hip, prostatic, vascular, liver and other operations involving large amounts of bleeding</w:t>
      </w:r>
      <w:r w:rsidR="00381C06">
        <w:fldChar w:fldCharType="begin"/>
      </w:r>
      <w:r w:rsidR="00381C06">
        <w:instrText xml:space="preserve"> ADDIN EN.CITE &lt;EndNote&gt;&lt;Cite&gt;&lt;Author&gt;Henry&lt;/Author&gt;&lt;Year&gt;2011&lt;/Year&gt;&lt;RecNum&gt;1627&lt;/RecNum&gt;&lt;DisplayText&gt;[4]&lt;/DisplayText&gt;&lt;record&gt;&lt;rec-number&gt;1627&lt;/rec-number&gt;&lt;foreign-keys&gt;&lt;key app="EN" db-id="ts50zfet0as0rbe0tzkvaee8rs0v2prpaa00" timestamp="1444637426"&gt;1627&lt;/key&gt;&lt;/foreign-keys&gt;&lt;ref-type name="Journal Article"&gt;17&lt;/ref-type&gt;&lt;contributors&gt;&lt;authors&gt;&lt;author&gt;Henry, David A&lt;/author&gt;&lt;author&gt;Carless, Paul A&lt;/author&gt;&lt;author&gt;Moxey Annette J&lt;/author&gt;&lt;author&gt;O&amp;apos;Connell, Dianne&lt;/author&gt;&lt;author&gt;Stokes, Barrie J&lt;/author&gt;&lt;author&gt;Fergusson, Dean A&lt;/author&gt;&lt;author&gt;Ker, Katharine&lt;/author&gt;&lt;/authors&gt;&lt;/contributors&gt;&lt;titles&gt;&lt;title&gt;Anti-fibrinolytic use for minimising perioperative allogeneic blood transfusion&lt;/title&gt;&lt;secondary-title&gt;Cochrane Database of Systematic Reviews&lt;/secondary-title&gt;&lt;/titles&gt;&lt;periodical&gt;&lt;full-title&gt;Cochrane Database of Systematic Reviews&lt;/full-title&gt;&lt;/periodical&gt;&lt;number&gt;3&lt;/number&gt;&lt;dates&gt;&lt;year&gt;2011&lt;/year&gt;&lt;/dates&gt;&lt;urls&gt;&lt;related-urls&gt;&lt;url&gt;http://onlinelibrary.wiley.com/doi/10.1002/14651858.CD001886.pub4/abstract&lt;/url&gt;&lt;/related-urls&gt;&lt;/urls&gt;&lt;electronic-resource-num&gt;10.1002/14651858.CD001886.pub4&lt;/electronic-resource-num&gt;&lt;/record&gt;&lt;/Cite&gt;&lt;/EndNote&gt;</w:instrText>
      </w:r>
      <w:r w:rsidR="00381C06">
        <w:fldChar w:fldCharType="separate"/>
      </w:r>
      <w:r w:rsidR="00381C06">
        <w:rPr>
          <w:noProof/>
        </w:rPr>
        <w:t>[4]</w:t>
      </w:r>
      <w:r w:rsidR="00381C06">
        <w:fldChar w:fldCharType="end"/>
      </w:r>
      <w:r w:rsidR="00381C06">
        <w:t>, but there is not sufficient evidence to recommend it for all types of emergency surgery</w:t>
      </w:r>
      <w:r w:rsidR="00381C06">
        <w:fldChar w:fldCharType="begin"/>
      </w:r>
      <w:r w:rsidR="00381C06">
        <w:instrText xml:space="preserve"> ADDIN EN.CITE &lt;EndNote&gt;&lt;Cite&gt;&lt;Author&gt;P&lt;/Author&gt;&lt;Year&gt;2013&lt;/Year&gt;&lt;RecNum&gt;1628&lt;/RecNum&gt;&lt;DisplayText&gt;[5]&lt;/DisplayText&gt;&lt;record&gt;&lt;rec-number&gt;1628&lt;/rec-number&gt;&lt;foreign-keys&gt;&lt;key app="EN" db-id="ts50zfet0as0rbe0tzkvaee8rs0v2prpaa00" timestamp="1444638741"&gt;1628&lt;/key&gt;&lt;/foreign-keys&gt;&lt;ref-type name="Journal Article"&gt;17&lt;/ref-type&gt;&lt;contributors&gt;&lt;authors&gt;&lt;author&gt;Perel, P&lt;/author&gt;&lt;author&gt;Ker, K&lt;/author&gt;&lt;author&gt;Morales, Uribe CH&lt;/author&gt;&lt;author&gt;Roberts, I&lt;/author&gt;&lt;/authors&gt;&lt;/contributors&gt;&lt;titles&gt;&lt;title&gt;Tranexamic acid for reducing mortality in emergency and urgent surgery. &lt;/title&gt;&lt;secondary-title&gt;Cochrane Database of Systematic Reviews&lt;/secondary-title&gt;&lt;/titles&gt;&lt;periodical&gt;&lt;full-title&gt;Cochrane Database of Systematic Reviews&lt;/full-title&gt;&lt;/periodical&gt;&lt;number&gt;1&lt;/number&gt;&lt;dates&gt;&lt;year&gt;2013&lt;/year&gt;&lt;/dates&gt;&lt;urls&gt;&lt;/urls&gt;&lt;electronic-resource-num&gt;10.1002/14651858.CD010245.pub2&lt;/electronic-resource-num&gt;&lt;/record&gt;&lt;/Cite&gt;&lt;/EndNote&gt;</w:instrText>
      </w:r>
      <w:r w:rsidR="00381C06">
        <w:fldChar w:fldCharType="separate"/>
      </w:r>
      <w:r w:rsidR="00381C06">
        <w:rPr>
          <w:noProof/>
        </w:rPr>
        <w:t>[5]</w:t>
      </w:r>
      <w:r w:rsidR="00381C06">
        <w:fldChar w:fldCharType="end"/>
      </w:r>
      <w:r w:rsidR="00381C06">
        <w:t xml:space="preserve">. </w:t>
      </w:r>
      <w:r w:rsidR="00927A9D">
        <w:t xml:space="preserve">In acute </w:t>
      </w:r>
      <w:proofErr w:type="spellStart"/>
      <w:r w:rsidR="00927A9D">
        <w:t>subarchnoid</w:t>
      </w:r>
      <w:proofErr w:type="spellEnd"/>
      <w:r w:rsidR="00927A9D">
        <w:t xml:space="preserve"> </w:t>
      </w:r>
      <w:proofErr w:type="spellStart"/>
      <w:r w:rsidR="00927A9D">
        <w:t>haemorrhage</w:t>
      </w:r>
      <w:proofErr w:type="spellEnd"/>
      <w:r w:rsidR="00927A9D">
        <w:t xml:space="preserve"> there is evidence that there is no benefit from an antifibrinolytic (decreased bleeding, but an increase in cerebral infarcts)</w:t>
      </w:r>
      <w:r w:rsidR="00143701">
        <w:fldChar w:fldCharType="begin"/>
      </w:r>
      <w:r w:rsidR="00381C06">
        <w:instrText xml:space="preserve"> ADDIN EN.CITE &lt;EndNote&gt;&lt;Cite&gt;&lt;Author&gt;Baharoglu&lt;/Author&gt;&lt;Year&gt;2013&lt;/Year&gt;&lt;RecNum&gt;1630&lt;/RecNum&gt;&lt;DisplayText&gt;[6]&lt;/DisplayText&gt;&lt;record&gt;&lt;rec-number&gt;1630&lt;/rec-number&gt;&lt;foreign-keys&gt;&lt;key app="EN" db-id="ts50zfet0as0rbe0tzkvaee8rs0v2prpaa00" timestamp="1444665701"&gt;1630&lt;/key&gt;&lt;/foreign-keys&gt;&lt;ref-type name="Journal Article"&gt;17&lt;/ref-type&gt;&lt;contributors&gt;&lt;authors&gt;&lt;author&gt;Baharoglu, Merih I&lt;/author&gt;&lt;author&gt;Germans, Menno R&lt;/author&gt;&lt;author&gt;Rinkel, Gabriel JE&lt;/author&gt;&lt;author&gt;Algra, Ale&lt;/author&gt;&lt;author&gt;Vermeulen, Marinus&lt;/author&gt;&lt;author&gt;van Gijn, Jan&lt;/author&gt;&lt;author&gt;Roos, Yvo BWEM&lt;/author&gt;&lt;/authors&gt;&lt;/contributors&gt;&lt;titles&gt;&lt;title&gt;Antifibrinolytic therapy for aneurysmal subarachnoid haemorrhage&lt;/title&gt;&lt;secondary-title&gt;Cochrane Database of Systematic Reviews&lt;/secondary-title&gt;&lt;/titles&gt;&lt;periodical&gt;&lt;full-title&gt;Cochrane Database of Systematic Reviews&lt;/full-title&gt;&lt;/periodical&gt;&lt;number&gt;8&lt;/number&gt;&lt;dates&gt;&lt;year&gt;2013&lt;/year&gt;&lt;/dates&gt;&lt;urls&gt;&lt;/urls&gt;&lt;electronic-resource-num&gt;10.1002/14651858.CD001245.pub2&lt;/electronic-resource-num&gt;&lt;/record&gt;&lt;/Cite&gt;&lt;/EndNote&gt;</w:instrText>
      </w:r>
      <w:r w:rsidR="00143701">
        <w:fldChar w:fldCharType="separate"/>
      </w:r>
      <w:r w:rsidR="00381C06">
        <w:rPr>
          <w:noProof/>
        </w:rPr>
        <w:t>[6]</w:t>
      </w:r>
      <w:r w:rsidR="00143701">
        <w:fldChar w:fldCharType="end"/>
      </w:r>
      <w:r w:rsidR="00927A9D">
        <w:t xml:space="preserve">. </w:t>
      </w:r>
      <w:r w:rsidR="00F045B2">
        <w:t>For other types of acute ble</w:t>
      </w:r>
      <w:r w:rsidR="00E32130">
        <w:t>eding</w:t>
      </w:r>
      <w:r w:rsidR="00F045B2">
        <w:t xml:space="preserve"> there is equipoise (we do not know whether there is benefit or not) </w:t>
      </w:r>
      <w:r w:rsidR="00E32130">
        <w:t>and t</w:t>
      </w:r>
      <w:r w:rsidR="00381C06">
        <w:t>here are large ongoing trials</w:t>
      </w:r>
      <w:r w:rsidR="00E32130">
        <w:t>;</w:t>
      </w:r>
      <w:r w:rsidR="00381C06">
        <w:t xml:space="preserve"> </w:t>
      </w:r>
      <w:r w:rsidR="00E32130">
        <w:t>HALT-IT</w:t>
      </w:r>
      <w:r w:rsidR="00F264B3">
        <w:t xml:space="preserve"> (</w:t>
      </w:r>
      <w:r w:rsidR="00F264B3" w:rsidRPr="00F264B3">
        <w:t>NCT01658124</w:t>
      </w:r>
      <w:r w:rsidR="00F264B3">
        <w:t>)</w:t>
      </w:r>
      <w:r w:rsidR="00E32130">
        <w:t xml:space="preserve"> </w:t>
      </w:r>
      <w:r w:rsidR="00381C06">
        <w:t xml:space="preserve">in </w:t>
      </w:r>
      <w:r w:rsidR="00E32130">
        <w:t>gastro-intestinal bleeding</w:t>
      </w:r>
      <w:r w:rsidR="00381C06">
        <w:t>,</w:t>
      </w:r>
      <w:r w:rsidR="00E32130">
        <w:t xml:space="preserve"> CRASH3 </w:t>
      </w:r>
      <w:r w:rsidR="000B499A">
        <w:t>(</w:t>
      </w:r>
      <w:r w:rsidR="000B499A" w:rsidRPr="000B499A">
        <w:t>NCT01402882</w:t>
      </w:r>
      <w:r w:rsidR="000B499A">
        <w:t xml:space="preserve">) </w:t>
      </w:r>
      <w:r w:rsidR="00E32130">
        <w:t>in head injury</w:t>
      </w:r>
      <w:r w:rsidR="00674F14">
        <w:t>,</w:t>
      </w:r>
      <w:r w:rsidR="00E32130">
        <w:t xml:space="preserve"> WOMAN </w:t>
      </w:r>
      <w:r w:rsidR="000B499A">
        <w:t>(</w:t>
      </w:r>
      <w:r w:rsidR="000B499A" w:rsidRPr="000B499A">
        <w:t>NCT00872469</w:t>
      </w:r>
      <w:r w:rsidR="000B499A">
        <w:t xml:space="preserve">) </w:t>
      </w:r>
      <w:r w:rsidR="00E32130">
        <w:t xml:space="preserve">in post-partum </w:t>
      </w:r>
      <w:proofErr w:type="spellStart"/>
      <w:r w:rsidR="00E32130">
        <w:t>haemorrhage</w:t>
      </w:r>
      <w:proofErr w:type="spellEnd"/>
      <w:r w:rsidR="00674F14">
        <w:t xml:space="preserve"> and a trial in epistaxis is also in </w:t>
      </w:r>
      <w:bookmarkStart w:id="0" w:name="_GoBack"/>
      <w:r w:rsidR="00674F14">
        <w:t>preparation</w:t>
      </w:r>
      <w:r w:rsidR="00857164">
        <w:t xml:space="preserve"> (NO-PAC)</w:t>
      </w:r>
      <w:r w:rsidR="00381C06">
        <w:t>.</w:t>
      </w:r>
      <w:bookmarkEnd w:id="0"/>
    </w:p>
    <w:p w14:paraId="29572E5E" w14:textId="77777777" w:rsidR="00D00108" w:rsidRDefault="00D00108" w:rsidP="005A02C7">
      <w:pPr>
        <w:spacing w:line="360" w:lineRule="auto"/>
      </w:pPr>
    </w:p>
    <w:p w14:paraId="109A92E2" w14:textId="407C5A67" w:rsidR="00D00108" w:rsidRDefault="00CA511A" w:rsidP="005A02C7">
      <w:pPr>
        <w:spacing w:line="360" w:lineRule="auto"/>
      </w:pPr>
      <w:r>
        <w:t xml:space="preserve">In summary, </w:t>
      </w:r>
      <w:r w:rsidR="00631BE3">
        <w:t>it</w:t>
      </w:r>
      <w:r>
        <w:t xml:space="preserve"> seems reasonable to generalize the evidence from major trauma to the prehospital and military situations, and to generalize the evidence from </w:t>
      </w:r>
      <w:r w:rsidR="002E4754">
        <w:t xml:space="preserve">several </w:t>
      </w:r>
      <w:r>
        <w:t xml:space="preserve">specific surgical conditions to all surgery </w:t>
      </w:r>
      <w:r w:rsidR="00720224">
        <w:t>where</w:t>
      </w:r>
      <w:r>
        <w:t xml:space="preserve"> significant bleeding</w:t>
      </w:r>
      <w:r w:rsidR="00720224">
        <w:t xml:space="preserve"> is anticipated</w:t>
      </w:r>
      <w:r>
        <w:t>. It also seems reasonable to be in equipoise about other acute bleeding conditions – and so fulfill the key ethical requirement for randomisation of these pati</w:t>
      </w:r>
      <w:r w:rsidR="00720224">
        <w:t>ents into clinical trials. T</w:t>
      </w:r>
      <w:r w:rsidR="003C0314">
        <w:t>he</w:t>
      </w:r>
      <w:r w:rsidR="002E4754">
        <w:t xml:space="preserve"> blanket use of TXA </w:t>
      </w:r>
      <w:r w:rsidR="00720224">
        <w:t xml:space="preserve">in </w:t>
      </w:r>
      <w:r>
        <w:t xml:space="preserve">massive </w:t>
      </w:r>
      <w:proofErr w:type="spellStart"/>
      <w:r>
        <w:t>haemorrhage</w:t>
      </w:r>
      <w:proofErr w:type="spellEnd"/>
      <w:r>
        <w:t xml:space="preserve"> </w:t>
      </w:r>
      <w:r w:rsidR="002E4754">
        <w:t xml:space="preserve">protocols </w:t>
      </w:r>
      <w:r>
        <w:t xml:space="preserve">does not seem to be </w:t>
      </w:r>
      <w:r w:rsidR="003C0314">
        <w:t>supported</w:t>
      </w:r>
      <w:r w:rsidR="00720224">
        <w:t xml:space="preserve"> by the current evidence</w:t>
      </w:r>
      <w:r w:rsidR="0090513E">
        <w:t xml:space="preserve"> as it is too late</w:t>
      </w:r>
      <w:r w:rsidR="003C0314">
        <w:t xml:space="preserve"> </w:t>
      </w:r>
      <w:r w:rsidR="002E4754">
        <w:t xml:space="preserve">– in conditions where there is good evidence it should be given earlier, and in conditions where there is equipoise the patients should be </w:t>
      </w:r>
      <w:proofErr w:type="spellStart"/>
      <w:r w:rsidR="002E4754">
        <w:t>randomised</w:t>
      </w:r>
      <w:proofErr w:type="spellEnd"/>
      <w:r w:rsidR="002E4754">
        <w:t xml:space="preserve"> into a clinical trial</w:t>
      </w:r>
      <w:r w:rsidR="003C0314">
        <w:t>.</w:t>
      </w:r>
    </w:p>
    <w:p w14:paraId="1501AD90" w14:textId="77777777" w:rsidR="004E559E" w:rsidRDefault="004E559E" w:rsidP="005A02C7">
      <w:pPr>
        <w:spacing w:line="360" w:lineRule="auto"/>
      </w:pPr>
    </w:p>
    <w:p w14:paraId="7C6C2F65" w14:textId="52DFFA08" w:rsidR="00C01737" w:rsidRDefault="00C01737">
      <w:r>
        <w:br w:type="page"/>
      </w:r>
    </w:p>
    <w:p w14:paraId="7587F1B3" w14:textId="540D1A40" w:rsidR="004E559E" w:rsidRPr="00C01737" w:rsidRDefault="00C01737" w:rsidP="005A02C7">
      <w:pPr>
        <w:spacing w:line="360" w:lineRule="auto"/>
        <w:rPr>
          <w:b/>
        </w:rPr>
      </w:pPr>
      <w:r w:rsidRPr="00C01737">
        <w:rPr>
          <w:b/>
        </w:rPr>
        <w:t>References</w:t>
      </w:r>
    </w:p>
    <w:p w14:paraId="14EE4281" w14:textId="77777777" w:rsidR="00381C06" w:rsidRPr="00381C06" w:rsidRDefault="004E559E" w:rsidP="005A02C7">
      <w:pPr>
        <w:pStyle w:val="EndNoteBibliography"/>
        <w:spacing w:line="360" w:lineRule="auto"/>
        <w:ind w:left="720" w:hanging="720"/>
        <w:rPr>
          <w:noProof/>
        </w:rPr>
      </w:pPr>
      <w:r>
        <w:fldChar w:fldCharType="begin"/>
      </w:r>
      <w:r>
        <w:instrText xml:space="preserve"> ADDIN EN.REFLIST </w:instrText>
      </w:r>
      <w:r>
        <w:fldChar w:fldCharType="separate"/>
      </w:r>
      <w:r w:rsidR="00381C06" w:rsidRPr="00381C06">
        <w:rPr>
          <w:noProof/>
        </w:rPr>
        <w:t>1. Lancet T. Bringing women to the forefront of science and medicine. The Lancet 2012;</w:t>
      </w:r>
      <w:r w:rsidR="00381C06" w:rsidRPr="00381C06">
        <w:rPr>
          <w:b/>
          <w:noProof/>
        </w:rPr>
        <w:t>379</w:t>
      </w:r>
      <w:r w:rsidR="00381C06" w:rsidRPr="00381C06">
        <w:rPr>
          <w:noProof/>
        </w:rPr>
        <w:t>(9819):867 doi: 10.1016/S0140-6736(12)60286-4[published Online First: Epub Date]|.</w:t>
      </w:r>
    </w:p>
    <w:p w14:paraId="6B04D857" w14:textId="77777777" w:rsidR="00381C06" w:rsidRPr="00381C06" w:rsidRDefault="00381C06" w:rsidP="005A02C7">
      <w:pPr>
        <w:pStyle w:val="EndNoteBibliography"/>
        <w:spacing w:line="360" w:lineRule="auto"/>
        <w:ind w:left="720" w:hanging="720"/>
        <w:rPr>
          <w:noProof/>
        </w:rPr>
      </w:pPr>
      <w:r w:rsidRPr="00381C06">
        <w:rPr>
          <w:noProof/>
        </w:rPr>
        <w:t>2. Ortmann E, Besser M, Klein A. Antifibrinolytic agents in current anaesthetic practice. British Journal of Anaesthesia 2013;</w:t>
      </w:r>
      <w:r w:rsidRPr="00381C06">
        <w:rPr>
          <w:b/>
          <w:noProof/>
        </w:rPr>
        <w:t>111</w:t>
      </w:r>
      <w:r w:rsidRPr="00381C06">
        <w:rPr>
          <w:noProof/>
        </w:rPr>
        <w:t xml:space="preserve">(4):549-63 </w:t>
      </w:r>
    </w:p>
    <w:p w14:paraId="212348DF" w14:textId="77777777" w:rsidR="00381C06" w:rsidRPr="00381C06" w:rsidRDefault="00381C06" w:rsidP="005A02C7">
      <w:pPr>
        <w:pStyle w:val="EndNoteBibliography"/>
        <w:spacing w:line="360" w:lineRule="auto"/>
        <w:ind w:left="720" w:hanging="720"/>
        <w:rPr>
          <w:noProof/>
        </w:rPr>
      </w:pPr>
      <w:r w:rsidRPr="00381C06">
        <w:rPr>
          <w:noProof/>
        </w:rPr>
        <w:t>3. CRASH-2 Trial Collaborators. Effects of tranexamic acid on death, vascular occlusive events, and blood transfusion in trauma patients with significant haemorrhage (CRASH2). Lancet 2010;</w:t>
      </w:r>
      <w:r w:rsidRPr="00381C06">
        <w:rPr>
          <w:b/>
          <w:noProof/>
        </w:rPr>
        <w:t>376</w:t>
      </w:r>
      <w:r w:rsidRPr="00381C06">
        <w:rPr>
          <w:noProof/>
        </w:rPr>
        <w:t xml:space="preserve">:23-32 </w:t>
      </w:r>
    </w:p>
    <w:p w14:paraId="1E46A308" w14:textId="15B4F094" w:rsidR="00381C06" w:rsidRPr="00381C06" w:rsidRDefault="00381C06" w:rsidP="005A02C7">
      <w:pPr>
        <w:pStyle w:val="EndNoteBibliography"/>
        <w:spacing w:line="360" w:lineRule="auto"/>
        <w:ind w:left="720" w:hanging="720"/>
        <w:rPr>
          <w:noProof/>
        </w:rPr>
      </w:pPr>
      <w:r w:rsidRPr="00381C06">
        <w:rPr>
          <w:noProof/>
        </w:rPr>
        <w:t>4. Henry DA, Carless PA, J MA, et al. Anti-fibrinolytic use for minimising perioperative allogeneic blood transfusion. Cochrane Database of Systematic Reviews 2011(3) doi: 10.1002/14651858.CD001886.pub4</w:t>
      </w:r>
      <w:r w:rsidR="00C01737">
        <w:rPr>
          <w:noProof/>
        </w:rPr>
        <w:t xml:space="preserve"> </w:t>
      </w:r>
      <w:r w:rsidRPr="00381C06">
        <w:rPr>
          <w:noProof/>
        </w:rPr>
        <w:t>[published Online First: Epub Date]|.</w:t>
      </w:r>
    </w:p>
    <w:p w14:paraId="7CC5A061" w14:textId="597E23BF" w:rsidR="00381C06" w:rsidRPr="00381C06" w:rsidRDefault="00381C06" w:rsidP="005A02C7">
      <w:pPr>
        <w:pStyle w:val="EndNoteBibliography"/>
        <w:spacing w:line="360" w:lineRule="auto"/>
        <w:ind w:left="720" w:hanging="720"/>
        <w:rPr>
          <w:noProof/>
        </w:rPr>
      </w:pPr>
      <w:r w:rsidRPr="00381C06">
        <w:rPr>
          <w:noProof/>
        </w:rPr>
        <w:t>5. Perel P, Ker K, Morales UC, Roberts I. Tranexamic acid for reducing mortality in emergency and urgent surgery. . Cochrane Database of Systematic Reviews 2013(1) doi: 10.1002/14651858.CD010245.pub2</w:t>
      </w:r>
      <w:r w:rsidR="00C01737">
        <w:rPr>
          <w:noProof/>
        </w:rPr>
        <w:t xml:space="preserve"> </w:t>
      </w:r>
      <w:r w:rsidRPr="00381C06">
        <w:rPr>
          <w:noProof/>
        </w:rPr>
        <w:t>[published Online First: Epub Date]|.</w:t>
      </w:r>
    </w:p>
    <w:p w14:paraId="40F52C5B" w14:textId="572E4940" w:rsidR="00381C06" w:rsidRPr="00381C06" w:rsidRDefault="00381C06" w:rsidP="005A02C7">
      <w:pPr>
        <w:pStyle w:val="EndNoteBibliography"/>
        <w:spacing w:line="360" w:lineRule="auto"/>
        <w:ind w:left="720" w:hanging="720"/>
        <w:rPr>
          <w:noProof/>
        </w:rPr>
      </w:pPr>
      <w:r w:rsidRPr="00381C06">
        <w:rPr>
          <w:noProof/>
        </w:rPr>
        <w:t>6. Baharoglu MI, Germans MR, Rinkel GJ, et al. Antifibrinolytic therapy for aneurysmal subarachnoid haemorrhage. Cochrane Database of Systematic Reviews 2013(8) doi: 10.1002/14651858.CD001245.pub2</w:t>
      </w:r>
      <w:r w:rsidR="00C01737">
        <w:rPr>
          <w:noProof/>
        </w:rPr>
        <w:t xml:space="preserve"> </w:t>
      </w:r>
      <w:r w:rsidRPr="00381C06">
        <w:rPr>
          <w:noProof/>
        </w:rPr>
        <w:t>[published Online First: Epub Date]|.</w:t>
      </w:r>
    </w:p>
    <w:p w14:paraId="75679175" w14:textId="5AF8B85F" w:rsidR="008A1200" w:rsidRDefault="004E559E" w:rsidP="005A02C7">
      <w:pPr>
        <w:spacing w:line="360" w:lineRule="auto"/>
      </w:pPr>
      <w:r>
        <w:fldChar w:fldCharType="end"/>
      </w:r>
    </w:p>
    <w:p w14:paraId="12C60967" w14:textId="77777777" w:rsidR="008A1200" w:rsidRDefault="008A1200">
      <w:r>
        <w:br w:type="page"/>
      </w:r>
    </w:p>
    <w:p w14:paraId="0D040F8E" w14:textId="2F8DD1CD" w:rsidR="008A1200" w:rsidRDefault="008A1200" w:rsidP="005A02C7">
      <w:pPr>
        <w:spacing w:line="360" w:lineRule="auto"/>
      </w:pPr>
      <w:r>
        <w:t>Acknowledgments: None</w:t>
      </w:r>
    </w:p>
    <w:p w14:paraId="68D55A07" w14:textId="77777777" w:rsidR="008A1200" w:rsidRDefault="008A1200" w:rsidP="005A02C7">
      <w:pPr>
        <w:spacing w:line="360" w:lineRule="auto"/>
      </w:pPr>
    </w:p>
    <w:p w14:paraId="7A9D5E1D" w14:textId="412562FA" w:rsidR="008A1200" w:rsidRDefault="008A1200" w:rsidP="005A02C7">
      <w:pPr>
        <w:spacing w:line="360" w:lineRule="auto"/>
      </w:pPr>
      <w:r>
        <w:t>Competing Interests: None</w:t>
      </w:r>
    </w:p>
    <w:p w14:paraId="1633902C" w14:textId="77777777" w:rsidR="008A1200" w:rsidRDefault="008A1200" w:rsidP="005A02C7">
      <w:pPr>
        <w:spacing w:line="360" w:lineRule="auto"/>
      </w:pPr>
    </w:p>
    <w:p w14:paraId="085FB6E9" w14:textId="1400D387" w:rsidR="00D00108" w:rsidRDefault="008A1200" w:rsidP="005A02C7">
      <w:pPr>
        <w:spacing w:line="360" w:lineRule="auto"/>
      </w:pPr>
      <w:r w:rsidRPr="008A1200">
        <w:t>Funding</w:t>
      </w:r>
      <w:r>
        <w:t>: None</w:t>
      </w:r>
    </w:p>
    <w:sectPr w:rsidR="00D00108" w:rsidSect="00736683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0"/>
  <w:embedSystemFonts/>
  <w:proofState w:spelling="clean" w:grammar="clean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BMJEndNote-3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s50zfet0as0rbe0tzkvaee8rs0v2prpaa00&quot;&gt;Top Endnote Library&lt;record-ids&gt;&lt;item&gt;892&lt;/item&gt;&lt;item&gt;1626&lt;/item&gt;&lt;item&gt;1627&lt;/item&gt;&lt;item&gt;1628&lt;/item&gt;&lt;item&gt;1629&lt;/item&gt;&lt;item&gt;1630&lt;/item&gt;&lt;/record-ids&gt;&lt;/item&gt;&lt;/Libraries&gt;"/>
  </w:docVars>
  <w:rsids>
    <w:rsidRoot w:val="00492782"/>
    <w:rsid w:val="000A08F1"/>
    <w:rsid w:val="000B3963"/>
    <w:rsid w:val="000B499A"/>
    <w:rsid w:val="00143701"/>
    <w:rsid w:val="001502F8"/>
    <w:rsid w:val="00150A74"/>
    <w:rsid w:val="00161475"/>
    <w:rsid w:val="001F79DF"/>
    <w:rsid w:val="00270BF4"/>
    <w:rsid w:val="002B4B5F"/>
    <w:rsid w:val="002E4754"/>
    <w:rsid w:val="0030014C"/>
    <w:rsid w:val="00300967"/>
    <w:rsid w:val="00381C06"/>
    <w:rsid w:val="003C0314"/>
    <w:rsid w:val="003C0701"/>
    <w:rsid w:val="003C46FB"/>
    <w:rsid w:val="003F46E1"/>
    <w:rsid w:val="004559EF"/>
    <w:rsid w:val="004705A0"/>
    <w:rsid w:val="004713CE"/>
    <w:rsid w:val="00492782"/>
    <w:rsid w:val="00493ADB"/>
    <w:rsid w:val="004E559E"/>
    <w:rsid w:val="00557775"/>
    <w:rsid w:val="00565507"/>
    <w:rsid w:val="005A02C7"/>
    <w:rsid w:val="005B6F9C"/>
    <w:rsid w:val="00600EA9"/>
    <w:rsid w:val="00631BE3"/>
    <w:rsid w:val="00674F14"/>
    <w:rsid w:val="006F4B64"/>
    <w:rsid w:val="00720224"/>
    <w:rsid w:val="00736683"/>
    <w:rsid w:val="00750C34"/>
    <w:rsid w:val="00775E2C"/>
    <w:rsid w:val="007C5E69"/>
    <w:rsid w:val="00850C11"/>
    <w:rsid w:val="00857164"/>
    <w:rsid w:val="008A1200"/>
    <w:rsid w:val="009048FD"/>
    <w:rsid w:val="0090513E"/>
    <w:rsid w:val="00927A9D"/>
    <w:rsid w:val="009A0FB7"/>
    <w:rsid w:val="009F712F"/>
    <w:rsid w:val="00B907BD"/>
    <w:rsid w:val="00BA7A7B"/>
    <w:rsid w:val="00BB7562"/>
    <w:rsid w:val="00BC5FD6"/>
    <w:rsid w:val="00BC7D79"/>
    <w:rsid w:val="00BF34F7"/>
    <w:rsid w:val="00C01737"/>
    <w:rsid w:val="00C438EB"/>
    <w:rsid w:val="00C66450"/>
    <w:rsid w:val="00CA511A"/>
    <w:rsid w:val="00D00108"/>
    <w:rsid w:val="00D9355E"/>
    <w:rsid w:val="00E32130"/>
    <w:rsid w:val="00E32D15"/>
    <w:rsid w:val="00EE2E05"/>
    <w:rsid w:val="00F045B2"/>
    <w:rsid w:val="00F12E66"/>
    <w:rsid w:val="00F23849"/>
    <w:rsid w:val="00F264B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FC79E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rsid w:val="004E559E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4E559E"/>
    <w:rPr>
      <w:rFonts w:ascii="Cambria" w:hAnsi="Cambr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6F9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6F9C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rsid w:val="004E559E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4E559E"/>
    <w:rPr>
      <w:rFonts w:ascii="Cambria" w:hAnsi="Cambr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6F9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6F9C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1887</Words>
  <Characters>10761</Characters>
  <Application>Microsoft Macintosh Word</Application>
  <DocSecurity>0</DocSecurity>
  <Lines>89</Lines>
  <Paragraphs>25</Paragraphs>
  <ScaleCrop>false</ScaleCrop>
  <Company>University of Leicester</Company>
  <LinksUpToDate>false</LinksUpToDate>
  <CharactersWithSpaces>12623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Timothy Coats</dc:creator>
  <cp:keywords/>
  <dc:description/>
  <cp:lastModifiedBy>Timothy Coats</cp:lastModifiedBy>
  <cp:revision>4</cp:revision>
  <dcterms:created xsi:type="dcterms:W3CDTF">2016-03-13T19:15:00Z</dcterms:created>
  <dcterms:modified xsi:type="dcterms:W3CDTF">2016-03-13T19:23:00Z</dcterms:modified>
</cp:coreProperties>
</file>