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4BF" w:rsidRDefault="00E364BF" w:rsidP="00E364BF">
      <w:pPr>
        <w:pStyle w:val="Heading1"/>
      </w:pPr>
    </w:p>
    <w:p w:rsidR="00E364BF" w:rsidRDefault="00E364BF" w:rsidP="00E364BF">
      <w:pPr>
        <w:pStyle w:val="Heading1"/>
      </w:pPr>
    </w:p>
    <w:p w:rsidR="00E364BF" w:rsidRDefault="00E364BF" w:rsidP="00E364BF">
      <w:pPr>
        <w:pStyle w:val="Heading1"/>
      </w:pPr>
    </w:p>
    <w:p w:rsidR="00E364BF" w:rsidRDefault="00E364BF" w:rsidP="00E364BF">
      <w:pPr>
        <w:pStyle w:val="Heading1"/>
      </w:pPr>
    </w:p>
    <w:p w:rsidR="00E364BF" w:rsidRPr="0066637D" w:rsidRDefault="00E364BF" w:rsidP="00E364BF">
      <w:pPr>
        <w:pStyle w:val="Heading1"/>
      </w:pPr>
      <w:r w:rsidRPr="0066637D">
        <w:t xml:space="preserve">Security Sector Reform, </w:t>
      </w:r>
      <w:proofErr w:type="spellStart"/>
      <w:r w:rsidRPr="0066637D">
        <w:t>Statebuilding</w:t>
      </w:r>
      <w:proofErr w:type="spellEnd"/>
      <w:r w:rsidRPr="0066637D">
        <w:t xml:space="preserve"> and Local Ownership: Securing the State or its People?</w:t>
      </w:r>
    </w:p>
    <w:p w:rsidR="00E364BF" w:rsidRPr="0066637D" w:rsidRDefault="00E364BF" w:rsidP="00E364BF"/>
    <w:p w:rsidR="00E364BF" w:rsidRPr="0066637D" w:rsidRDefault="00E364BF" w:rsidP="00E364BF">
      <w:pPr>
        <w:pStyle w:val="NoSpacing"/>
        <w:rPr>
          <w:lang w:eastAsia="en-GB"/>
        </w:rPr>
      </w:pPr>
    </w:p>
    <w:p w:rsidR="00E364BF" w:rsidRPr="0066637D" w:rsidRDefault="00E364BF" w:rsidP="00E364BF">
      <w:pPr>
        <w:pStyle w:val="NoSpacing"/>
        <w:rPr>
          <w:lang w:eastAsia="en-GB"/>
        </w:rPr>
      </w:pPr>
    </w:p>
    <w:p w:rsidR="00E364BF" w:rsidRPr="0066637D" w:rsidRDefault="00E364BF" w:rsidP="00E364BF">
      <w:pPr>
        <w:pStyle w:val="NoSpacing"/>
        <w:rPr>
          <w:lang w:eastAsia="en-GB"/>
        </w:rPr>
      </w:pPr>
    </w:p>
    <w:p w:rsidR="00E364BF" w:rsidRPr="0066637D" w:rsidRDefault="00E364BF" w:rsidP="00E364BF">
      <w:pPr>
        <w:pStyle w:val="NoSpacing"/>
        <w:jc w:val="right"/>
        <w:rPr>
          <w:lang w:eastAsia="en-GB"/>
        </w:rPr>
      </w:pPr>
      <w:r w:rsidRPr="0066637D">
        <w:rPr>
          <w:lang w:eastAsia="en-GB"/>
        </w:rPr>
        <w:t>Dr Eleanor Gordon</w:t>
      </w:r>
    </w:p>
    <w:p w:rsidR="00E364BF" w:rsidRPr="0066637D" w:rsidRDefault="00E364BF" w:rsidP="00E364BF">
      <w:pPr>
        <w:pStyle w:val="NoSpacing"/>
        <w:jc w:val="right"/>
        <w:rPr>
          <w:color w:val="000000"/>
          <w:sz w:val="22"/>
          <w:lang w:val="en-US"/>
        </w:rPr>
      </w:pPr>
    </w:p>
    <w:p w:rsidR="00E364BF" w:rsidRPr="0066637D" w:rsidRDefault="00E364BF" w:rsidP="00E364BF">
      <w:pPr>
        <w:pStyle w:val="NoSpacing"/>
        <w:jc w:val="right"/>
        <w:rPr>
          <w:color w:val="000000"/>
          <w:sz w:val="22"/>
          <w:lang w:val="en-US"/>
        </w:rPr>
      </w:pPr>
      <w:r w:rsidRPr="0066637D">
        <w:rPr>
          <w:color w:val="000000"/>
          <w:sz w:val="22"/>
          <w:lang w:val="en-US"/>
        </w:rPr>
        <w:t>University of Leicester</w:t>
      </w:r>
    </w:p>
    <w:p w:rsidR="00E364BF" w:rsidRPr="0066637D" w:rsidRDefault="00E364BF" w:rsidP="00E364BF">
      <w:pPr>
        <w:pStyle w:val="NoSpacing"/>
        <w:jc w:val="right"/>
        <w:rPr>
          <w:color w:val="000000"/>
          <w:sz w:val="22"/>
          <w:lang w:val="en-US"/>
        </w:rPr>
      </w:pPr>
      <w:r w:rsidRPr="0066637D">
        <w:rPr>
          <w:color w:val="000000"/>
          <w:sz w:val="22"/>
          <w:lang w:val="en-US"/>
        </w:rPr>
        <w:t>Department of Criminology</w:t>
      </w:r>
    </w:p>
    <w:p w:rsidR="00E364BF" w:rsidRPr="0066637D" w:rsidRDefault="00E364BF" w:rsidP="00E364BF">
      <w:pPr>
        <w:pStyle w:val="NoSpacing"/>
        <w:jc w:val="right"/>
        <w:rPr>
          <w:color w:val="000000"/>
          <w:sz w:val="22"/>
          <w:lang w:val="en-US"/>
        </w:rPr>
      </w:pPr>
      <w:r w:rsidRPr="0066637D">
        <w:rPr>
          <w:color w:val="000000"/>
          <w:sz w:val="22"/>
          <w:lang w:val="en-US"/>
        </w:rPr>
        <w:t>The Friars</w:t>
      </w:r>
    </w:p>
    <w:p w:rsidR="00E364BF" w:rsidRPr="0066637D" w:rsidRDefault="00E364BF" w:rsidP="00E364BF">
      <w:pPr>
        <w:pStyle w:val="NoSpacing"/>
        <w:jc w:val="right"/>
        <w:rPr>
          <w:color w:val="000000"/>
          <w:sz w:val="22"/>
          <w:lang w:val="en-US"/>
        </w:rPr>
      </w:pPr>
      <w:r w:rsidRPr="0066637D">
        <w:rPr>
          <w:color w:val="000000"/>
          <w:sz w:val="22"/>
          <w:lang w:val="en-US"/>
        </w:rPr>
        <w:t>154 Upper New Walk</w:t>
      </w:r>
    </w:p>
    <w:p w:rsidR="00E364BF" w:rsidRPr="0066637D" w:rsidRDefault="00E364BF" w:rsidP="00E364BF">
      <w:pPr>
        <w:pStyle w:val="NoSpacing"/>
        <w:jc w:val="right"/>
        <w:rPr>
          <w:color w:val="000000"/>
          <w:sz w:val="22"/>
          <w:lang w:val="en-US"/>
        </w:rPr>
      </w:pPr>
      <w:r w:rsidRPr="0066637D">
        <w:rPr>
          <w:color w:val="000000"/>
          <w:sz w:val="22"/>
          <w:lang w:val="en-US"/>
        </w:rPr>
        <w:t>Leicester</w:t>
      </w:r>
    </w:p>
    <w:p w:rsidR="00E364BF" w:rsidRPr="0066637D" w:rsidRDefault="00E364BF" w:rsidP="00E364BF">
      <w:pPr>
        <w:pStyle w:val="NoSpacing"/>
        <w:jc w:val="right"/>
        <w:rPr>
          <w:color w:val="000000"/>
          <w:sz w:val="22"/>
          <w:lang w:val="en-US"/>
        </w:rPr>
      </w:pPr>
      <w:r w:rsidRPr="0066637D">
        <w:rPr>
          <w:color w:val="000000"/>
          <w:sz w:val="22"/>
          <w:lang w:val="en-US"/>
        </w:rPr>
        <w:t>LE1 7QA</w:t>
      </w:r>
    </w:p>
    <w:p w:rsidR="00E364BF" w:rsidRPr="0066637D" w:rsidRDefault="00E364BF" w:rsidP="00E364BF">
      <w:pPr>
        <w:pStyle w:val="NoSpacing"/>
        <w:jc w:val="right"/>
        <w:rPr>
          <w:color w:val="000000"/>
          <w:sz w:val="22"/>
          <w:lang w:val="en-US"/>
        </w:rPr>
      </w:pPr>
    </w:p>
    <w:p w:rsidR="00E364BF" w:rsidRPr="0066637D" w:rsidRDefault="00E364BF" w:rsidP="00E364BF">
      <w:pPr>
        <w:pStyle w:val="NoSpacing"/>
        <w:jc w:val="right"/>
        <w:rPr>
          <w:color w:val="000000"/>
          <w:sz w:val="22"/>
          <w:lang w:val="en-US"/>
        </w:rPr>
      </w:pPr>
      <w:r w:rsidRPr="0066637D">
        <w:rPr>
          <w:color w:val="000000"/>
          <w:sz w:val="22"/>
          <w:lang w:val="en-US"/>
        </w:rPr>
        <w:t>Tel: +44(0)116 252 3946</w:t>
      </w:r>
    </w:p>
    <w:p w:rsidR="00E364BF" w:rsidRPr="0066637D" w:rsidRDefault="00E364BF" w:rsidP="00E364BF">
      <w:pPr>
        <w:pStyle w:val="NoSpacing"/>
        <w:jc w:val="right"/>
        <w:rPr>
          <w:color w:val="000000"/>
          <w:sz w:val="22"/>
          <w:lang w:val="en-US"/>
        </w:rPr>
      </w:pPr>
      <w:r w:rsidRPr="0066637D">
        <w:rPr>
          <w:color w:val="000000"/>
          <w:sz w:val="22"/>
          <w:lang w:val="en-US"/>
        </w:rPr>
        <w:t xml:space="preserve">Email: </w:t>
      </w:r>
      <w:hyperlink r:id="rId8" w:history="1">
        <w:r w:rsidRPr="0066637D">
          <w:rPr>
            <w:rStyle w:val="Hyperlink"/>
            <w:sz w:val="22"/>
            <w:lang w:val="en-US"/>
          </w:rPr>
          <w:t>eg132@le.ac.uk</w:t>
        </w:r>
      </w:hyperlink>
    </w:p>
    <w:p w:rsidR="00E364BF" w:rsidRPr="0066637D" w:rsidRDefault="00E364BF" w:rsidP="00E364BF"/>
    <w:p w:rsidR="00E364BF" w:rsidRPr="0066637D" w:rsidRDefault="00E364BF" w:rsidP="00E364BF"/>
    <w:p w:rsidR="00E364BF" w:rsidRPr="0066637D" w:rsidRDefault="00E364BF" w:rsidP="00E364BF"/>
    <w:p w:rsidR="00E364BF" w:rsidRPr="0066637D" w:rsidRDefault="00E364BF" w:rsidP="00E364BF"/>
    <w:p w:rsidR="00E364BF" w:rsidRPr="0066637D" w:rsidRDefault="00E364BF" w:rsidP="00E364BF"/>
    <w:p w:rsidR="00E364BF" w:rsidRPr="0066637D" w:rsidRDefault="00E364BF" w:rsidP="00E364BF">
      <w:pPr>
        <w:rPr>
          <w:b/>
        </w:rPr>
      </w:pPr>
      <w:r w:rsidRPr="0066637D">
        <w:rPr>
          <w:b/>
        </w:rPr>
        <w:t xml:space="preserve">Biographical Note: </w:t>
      </w:r>
    </w:p>
    <w:p w:rsidR="00E364BF" w:rsidRPr="0066637D" w:rsidRDefault="00E364BF" w:rsidP="00E364BF">
      <w:r w:rsidRPr="0066637D">
        <w:t>Dr Eleanor Gordon has 15 years of professional experience in the field of conflict, security and justice, including 10 years working in post-conflict environments with the UN and other organisations. She is currently working at the University of Leicester where she has recently developed and is delivering a distance-learning MSc course in Security, Conflict and International Development (SCID).</w:t>
      </w:r>
    </w:p>
    <w:p w:rsidR="00E364BF" w:rsidRPr="0066637D" w:rsidRDefault="00E364BF" w:rsidP="001C3FA4">
      <w:pPr>
        <w:pStyle w:val="Heading3"/>
        <w:rPr>
          <w:rFonts w:eastAsia="Times New Roman"/>
          <w:sz w:val="22"/>
          <w:szCs w:val="22"/>
        </w:rPr>
      </w:pPr>
      <w:r w:rsidRPr="0066637D">
        <w:br w:type="page"/>
      </w:r>
      <w:r w:rsidRPr="0066637D">
        <w:lastRenderedPageBreak/>
        <w:t>Abstract</w:t>
      </w:r>
    </w:p>
    <w:p w:rsidR="00E364BF" w:rsidRPr="0066637D" w:rsidRDefault="00E364BF" w:rsidP="00E364BF">
      <w:pPr>
        <w:ind w:left="720"/>
        <w:rPr>
          <w:b/>
          <w:i/>
        </w:rPr>
      </w:pPr>
      <w:r w:rsidRPr="0066637D">
        <w:rPr>
          <w:i/>
        </w:rPr>
        <w:t xml:space="preserve">It is widely acknowledged that while local ownership is one of the core principles of successful Security Sector Reform (SSR) programmes, the concept is narrowly interpreted in terms of who owns what. Moreover, the focus of SSR is often on building state institutions, rather than building the relationship between people and the state, which further limits the extent to which people, particularly at the community level, are engaged in SSR processes. It is argued that without ensuring meaningful and inclusive local ownership of SSR programmes, public trust and confidence in state security and justice sector institutions will be limited. Crucially, this will leave the state vulnerable to renewed outbreaks of conflict. </w:t>
      </w:r>
      <w:r w:rsidR="00896D5D" w:rsidRPr="0066637D">
        <w:rPr>
          <w:i/>
        </w:rPr>
        <w:t>To rectify this i</w:t>
      </w:r>
      <w:r w:rsidRPr="0066637D">
        <w:rPr>
          <w:i/>
        </w:rPr>
        <w:t xml:space="preserve">t </w:t>
      </w:r>
      <w:r w:rsidR="00896D5D" w:rsidRPr="0066637D">
        <w:rPr>
          <w:i/>
        </w:rPr>
        <w:t xml:space="preserve">is proposed that </w:t>
      </w:r>
      <w:r w:rsidR="00177982" w:rsidRPr="0066637D">
        <w:rPr>
          <w:i/>
        </w:rPr>
        <w:t xml:space="preserve">a hybrid SSR approach be promoted by incorporating </w:t>
      </w:r>
      <w:r w:rsidR="00896D5D" w:rsidRPr="0066637D">
        <w:rPr>
          <w:i/>
        </w:rPr>
        <w:t>community safety structures into SSR programmes.</w:t>
      </w:r>
    </w:p>
    <w:p w:rsidR="00E364BF" w:rsidRPr="0066637D" w:rsidRDefault="00E364BF" w:rsidP="001C3FA4">
      <w:pPr>
        <w:pStyle w:val="Heading3"/>
      </w:pPr>
    </w:p>
    <w:p w:rsidR="00E364BF" w:rsidRPr="0066637D" w:rsidRDefault="00E364BF" w:rsidP="001C3FA4">
      <w:pPr>
        <w:pStyle w:val="Heading3"/>
      </w:pPr>
      <w:r w:rsidRPr="0066637D">
        <w:t>Keywords</w:t>
      </w:r>
    </w:p>
    <w:p w:rsidR="00E364BF" w:rsidRPr="0066637D" w:rsidRDefault="00E364BF" w:rsidP="00E364BF">
      <w:r w:rsidRPr="0066637D">
        <w:t xml:space="preserve">Security Sector Reform (SSR); local ownership; </w:t>
      </w:r>
      <w:proofErr w:type="spellStart"/>
      <w:r w:rsidRPr="0066637D">
        <w:t>statebuilding</w:t>
      </w:r>
      <w:proofErr w:type="spellEnd"/>
      <w:r w:rsidRPr="0066637D">
        <w:t>; peacebuilding; community safety structures</w:t>
      </w:r>
    </w:p>
    <w:p w:rsidR="00E364BF" w:rsidRPr="0066637D" w:rsidRDefault="00E364BF" w:rsidP="00E364BF"/>
    <w:p w:rsidR="00E364BF" w:rsidRPr="0066637D" w:rsidRDefault="00E364BF" w:rsidP="001C3FA4">
      <w:pPr>
        <w:pStyle w:val="Heading3"/>
      </w:pPr>
      <w:r w:rsidRPr="0066637D">
        <w:t>Introduction</w:t>
      </w:r>
    </w:p>
    <w:p w:rsidR="001A37F5" w:rsidRPr="0066637D" w:rsidRDefault="00E364BF" w:rsidP="00E364BF">
      <w:r w:rsidRPr="0066637D">
        <w:t xml:space="preserve">There is broad agreement that local ownership is one of the core principles that Security Sector Reform (SSR) programmes should adhere to, if the outcomes are to be locally accepted and responsive to local needs and, thus, sustainable (Baker 2010; </w:t>
      </w:r>
      <w:proofErr w:type="spellStart"/>
      <w:r w:rsidRPr="0066637D">
        <w:t>Caparini</w:t>
      </w:r>
      <w:proofErr w:type="spellEnd"/>
      <w:r w:rsidRPr="0066637D">
        <w:t xml:space="preserve"> 2010; </w:t>
      </w:r>
      <w:proofErr w:type="spellStart"/>
      <w:r w:rsidRPr="0066637D">
        <w:t>Donais</w:t>
      </w:r>
      <w:proofErr w:type="spellEnd"/>
      <w:r w:rsidRPr="0066637D">
        <w:t xml:space="preserve"> 2008, 2009; </w:t>
      </w:r>
      <w:proofErr w:type="spellStart"/>
      <w:r w:rsidRPr="0066637D">
        <w:t>Mobekk</w:t>
      </w:r>
      <w:proofErr w:type="spellEnd"/>
      <w:r w:rsidRPr="0066637D">
        <w:t xml:space="preserve"> 2010; Nathan 2007; OECD 2007; </w:t>
      </w:r>
      <w:proofErr w:type="spellStart"/>
      <w:r w:rsidRPr="0066637D">
        <w:t>Oosterveld</w:t>
      </w:r>
      <w:proofErr w:type="spellEnd"/>
      <w:r w:rsidRPr="0066637D">
        <w:t xml:space="preserve"> and </w:t>
      </w:r>
      <w:proofErr w:type="spellStart"/>
      <w:r w:rsidRPr="0066637D">
        <w:t>Galand</w:t>
      </w:r>
      <w:proofErr w:type="spellEnd"/>
      <w:r w:rsidRPr="0066637D">
        <w:t xml:space="preserve"> 2012; </w:t>
      </w:r>
      <w:proofErr w:type="spellStart"/>
      <w:r w:rsidRPr="0066637D">
        <w:t>Sedra</w:t>
      </w:r>
      <w:proofErr w:type="spellEnd"/>
      <w:r w:rsidRPr="0066637D">
        <w:t xml:space="preserve"> 2010a; UN 2008). However, there remains a gap between policy and practice. </w:t>
      </w:r>
      <w:r w:rsidR="001A37F5" w:rsidRPr="0066637D">
        <w:t>Moreover, as this article will discuss, the term ‘local ownership’ is often narrowly interpreted, both in terms of who the locals are and what ownership constitutes, despite policy advice to the contrary (UN 2008).</w:t>
      </w:r>
    </w:p>
    <w:p w:rsidR="00E364BF" w:rsidRPr="0066637D" w:rsidRDefault="00E364BF" w:rsidP="00E364BF">
      <w:r w:rsidRPr="0066637D">
        <w:t>The article underscores the importance of ensuring that civil society and the broader public constitute the ‘local’ that should ‘own’ SSR</w:t>
      </w:r>
      <w:r w:rsidR="00C81824" w:rsidRPr="0066637D">
        <w:t xml:space="preserve"> processes</w:t>
      </w:r>
      <w:r w:rsidRPr="0066637D">
        <w:t xml:space="preserve">. Efforts focussing on building state institutions and structures, without sufficient attention being paid to developing relations between the state and its people, will not, it is argued, benefit peacebuilding efforts in the long term. In the context of SSR, the article will also analyse possible tension between </w:t>
      </w:r>
      <w:proofErr w:type="spellStart"/>
      <w:r w:rsidRPr="0066637D">
        <w:t>statebuilding</w:t>
      </w:r>
      <w:proofErr w:type="spellEnd"/>
      <w:r w:rsidRPr="0066637D">
        <w:t xml:space="preserve"> in post-conflict environments and more inclusive approaches to building security and justice. It is held that building state institutions, particularly in the security and justice sector, is instrumental to building state resilience and, thus, to the peacebuilding process. However, it is maintained that without ensuring </w:t>
      </w:r>
      <w:r w:rsidR="00766282" w:rsidRPr="0066637D">
        <w:t>substantive</w:t>
      </w:r>
      <w:r w:rsidRPr="0066637D">
        <w:t xml:space="preserve"> and inclusive local ownership of SSR programmes, </w:t>
      </w:r>
      <w:r w:rsidR="00573320" w:rsidRPr="0066637D">
        <w:t xml:space="preserve">security and justice sector institutions will not be accountable or responsive to the needs of the people and will, therefore, lack </w:t>
      </w:r>
      <w:r w:rsidRPr="0066637D">
        <w:t>public trust and confidence</w:t>
      </w:r>
      <w:r w:rsidR="00573320" w:rsidRPr="0066637D">
        <w:t xml:space="preserve">. </w:t>
      </w:r>
      <w:r w:rsidRPr="0066637D">
        <w:t xml:space="preserve"> </w:t>
      </w:r>
      <w:r w:rsidR="00573320" w:rsidRPr="0066637D">
        <w:t>This</w:t>
      </w:r>
      <w:r w:rsidRPr="0066637D">
        <w:t xml:space="preserve"> would leave the state vulnerable to renewed outbreaks of conflict. It will be suggested that public trust and confidence in state security and justice sector institutions, and </w:t>
      </w:r>
      <w:proofErr w:type="gramStart"/>
      <w:r w:rsidRPr="0066637D">
        <w:lastRenderedPageBreak/>
        <w:t>ultimately</w:t>
      </w:r>
      <w:proofErr w:type="gramEnd"/>
      <w:r w:rsidRPr="0066637D">
        <w:t xml:space="preserve">, the state itself, can be promoted in many ways, </w:t>
      </w:r>
      <w:r w:rsidR="0066584D" w:rsidRPr="0066637D">
        <w:t xml:space="preserve">including </w:t>
      </w:r>
      <w:r w:rsidRPr="0066637D">
        <w:t>through incorporating community safety structures into the framework of SSR programmes</w:t>
      </w:r>
      <w:r w:rsidR="0066584D" w:rsidRPr="0066637D">
        <w:t>.</w:t>
      </w:r>
    </w:p>
    <w:p w:rsidR="00E364BF" w:rsidRPr="0066637D" w:rsidRDefault="00E364BF" w:rsidP="00E364BF">
      <w:r w:rsidRPr="0066637D">
        <w:t xml:space="preserve">Focussing upon SSR programmes in post-conflict environments, this article engages with literature concerning local ownership and community engagement in SSR and broader peacebuilding efforts. </w:t>
      </w:r>
      <w:r w:rsidR="0067016C" w:rsidRPr="0066637D">
        <w:t>In order to dig further into the apparent gap between policy and practice, t</w:t>
      </w:r>
      <w:r w:rsidRPr="0066637D">
        <w:t xml:space="preserve">he </w:t>
      </w:r>
      <w:r w:rsidR="0067016C" w:rsidRPr="0066637D">
        <w:t xml:space="preserve">article also draws from the </w:t>
      </w:r>
      <w:r w:rsidRPr="0066637D">
        <w:t xml:space="preserve">author’s experience in building security and justice in post-conflict environments, </w:t>
      </w:r>
      <w:r w:rsidR="0067016C" w:rsidRPr="0066637D">
        <w:t xml:space="preserve">while working with the UN and other </w:t>
      </w:r>
      <w:r w:rsidR="004C4F00" w:rsidRPr="0066637D">
        <w:t xml:space="preserve">international </w:t>
      </w:r>
      <w:r w:rsidR="0067016C" w:rsidRPr="0066637D">
        <w:t>organisa</w:t>
      </w:r>
      <w:r w:rsidR="004C4F00" w:rsidRPr="0066637D">
        <w:t xml:space="preserve">tions </w:t>
      </w:r>
      <w:r w:rsidRPr="0066637D">
        <w:t>in Kosovo, Bosnia and Herzegovina an</w:t>
      </w:r>
      <w:r w:rsidR="0067016C" w:rsidRPr="0066637D">
        <w:t>d Nepal</w:t>
      </w:r>
      <w:r w:rsidRPr="0066637D">
        <w:t xml:space="preserve">. </w:t>
      </w:r>
      <w:r w:rsidR="0067016C" w:rsidRPr="0066637D">
        <w:t xml:space="preserve">The article is also informed by the author’s more recent </w:t>
      </w:r>
      <w:r w:rsidRPr="0066637D">
        <w:t>engagement in evaluating community safety structures and analysing public perceptions of security and security provider</w:t>
      </w:r>
      <w:r w:rsidR="000C3CDB" w:rsidRPr="0066637D">
        <w:t>s</w:t>
      </w:r>
      <w:r w:rsidRPr="0066637D">
        <w:t xml:space="preserve">, </w:t>
      </w:r>
      <w:r w:rsidR="004C4F00" w:rsidRPr="0066637D">
        <w:t xml:space="preserve">particularly </w:t>
      </w:r>
      <w:r w:rsidRPr="0066637D">
        <w:t xml:space="preserve">while working for </w:t>
      </w:r>
      <w:proofErr w:type="spellStart"/>
      <w:r w:rsidRPr="0066637D">
        <w:t>Saferworld</w:t>
      </w:r>
      <w:proofErr w:type="spellEnd"/>
      <w:r w:rsidR="0067016C" w:rsidRPr="0066637D">
        <w:t>.</w:t>
      </w:r>
    </w:p>
    <w:p w:rsidR="00E364BF" w:rsidRPr="0066637D" w:rsidRDefault="00E364BF" w:rsidP="00E364BF"/>
    <w:p w:rsidR="00E364BF" w:rsidRPr="0066637D" w:rsidRDefault="00E364BF" w:rsidP="001C3FA4">
      <w:pPr>
        <w:pStyle w:val="Heading3"/>
      </w:pPr>
      <w:r w:rsidRPr="0066637D">
        <w:t>Local Ownership and Security Sector Reform</w:t>
      </w:r>
    </w:p>
    <w:p w:rsidR="00E364BF" w:rsidRPr="0066637D" w:rsidRDefault="00E364BF" w:rsidP="00E364BF">
      <w:r w:rsidRPr="0066637D">
        <w:t>Security Sector Reform (SSR) is an increasingly significant feature of peacebuilding and recovery efforts in places recovering from conflict (</w:t>
      </w:r>
      <w:proofErr w:type="spellStart"/>
      <w:r w:rsidRPr="0066637D">
        <w:t>Sedra</w:t>
      </w:r>
      <w:proofErr w:type="spellEnd"/>
      <w:r w:rsidRPr="0066637D">
        <w:t xml:space="preserve"> 2010b; UN 2013, 2008). This is not least because it is widely agreed that security is a prerequisite of sustainable peace, development and human rights protection (OECD 2007, 2009; UN 2008). There are a number of principles inherent to SSR, not least of which is local ownership, which is widely regarded as the bedrock and main precondition for successful SSR  (Baker 2010; </w:t>
      </w:r>
      <w:proofErr w:type="spellStart"/>
      <w:r w:rsidRPr="0066637D">
        <w:t>Caparini</w:t>
      </w:r>
      <w:proofErr w:type="spellEnd"/>
      <w:r w:rsidRPr="0066637D">
        <w:t xml:space="preserve"> 2010; </w:t>
      </w:r>
      <w:proofErr w:type="spellStart"/>
      <w:r w:rsidRPr="0066637D">
        <w:t>Donais</w:t>
      </w:r>
      <w:proofErr w:type="spellEnd"/>
      <w:r w:rsidRPr="0066637D">
        <w:t xml:space="preserve"> 2008, 2009; </w:t>
      </w:r>
      <w:proofErr w:type="spellStart"/>
      <w:r w:rsidRPr="0066637D">
        <w:t>Mobekk</w:t>
      </w:r>
      <w:proofErr w:type="spellEnd"/>
      <w:r w:rsidRPr="0066637D">
        <w:t xml:space="preserve"> 2010; Nathan 2007; OECD 2007; </w:t>
      </w:r>
      <w:proofErr w:type="spellStart"/>
      <w:r w:rsidRPr="0066637D">
        <w:t>Oosterveld</w:t>
      </w:r>
      <w:proofErr w:type="spellEnd"/>
      <w:r w:rsidRPr="0066637D">
        <w:t xml:space="preserve"> and </w:t>
      </w:r>
      <w:proofErr w:type="spellStart"/>
      <w:r w:rsidRPr="0066637D">
        <w:t>Galand</w:t>
      </w:r>
      <w:proofErr w:type="spellEnd"/>
      <w:r w:rsidRPr="0066637D">
        <w:t xml:space="preserve"> 2012; </w:t>
      </w:r>
      <w:proofErr w:type="spellStart"/>
      <w:r w:rsidRPr="0066637D">
        <w:t>Sedra</w:t>
      </w:r>
      <w:proofErr w:type="spellEnd"/>
      <w:r w:rsidRPr="0066637D">
        <w:t xml:space="preserve"> 2010a; UN 2008).  If SSR programmes are not locally owned, it is likely that security sector institutions, processes and policy will be less able to respond to local needs. If they do not respond to local needs, efforts to increase security and the rule of law will be compromised, public trust and confidence in the state and its security institutions will be limited (see, for example, </w:t>
      </w:r>
      <w:proofErr w:type="spellStart"/>
      <w:r w:rsidRPr="0066637D">
        <w:t>Jaye</w:t>
      </w:r>
      <w:proofErr w:type="spellEnd"/>
      <w:r w:rsidRPr="0066637D">
        <w:t xml:space="preserve"> 2006; UN 2013; Gordon, Sharma, Forbes and Cave 2011), and institutions and other outputs may be rejected (see Smith-</w:t>
      </w:r>
      <w:proofErr w:type="spellStart"/>
      <w:r w:rsidRPr="0066637D">
        <w:t>Höhn</w:t>
      </w:r>
      <w:proofErr w:type="spellEnd"/>
      <w:r w:rsidRPr="0066637D">
        <w:t xml:space="preserve"> 2010, for example). This occurred with the formal court system in Timor-Leste (</w:t>
      </w:r>
      <w:proofErr w:type="spellStart"/>
      <w:r w:rsidRPr="0066637D">
        <w:t>Oosterveld</w:t>
      </w:r>
      <w:proofErr w:type="spellEnd"/>
      <w:r w:rsidRPr="0066637D">
        <w:t xml:space="preserve"> and </w:t>
      </w:r>
      <w:proofErr w:type="spellStart"/>
      <w:r w:rsidRPr="0066637D">
        <w:t>Galand</w:t>
      </w:r>
      <w:proofErr w:type="spellEnd"/>
      <w:r w:rsidRPr="0066637D">
        <w:t xml:space="preserve"> 2012; </w:t>
      </w:r>
      <w:proofErr w:type="spellStart"/>
      <w:r w:rsidRPr="0066637D">
        <w:t>Stromseth</w:t>
      </w:r>
      <w:proofErr w:type="spellEnd"/>
      <w:r w:rsidRPr="0066637D">
        <w:t xml:space="preserve">, </w:t>
      </w:r>
      <w:proofErr w:type="spellStart"/>
      <w:r w:rsidRPr="0066637D">
        <w:t>Wippman</w:t>
      </w:r>
      <w:proofErr w:type="spellEnd"/>
      <w:r w:rsidRPr="0066637D">
        <w:t xml:space="preserve"> and Brooke 2006) and the National Security Strategy in Kosovo (</w:t>
      </w:r>
      <w:proofErr w:type="spellStart"/>
      <w:r w:rsidRPr="0066637D">
        <w:t>Blease</w:t>
      </w:r>
      <w:proofErr w:type="spellEnd"/>
      <w:r w:rsidRPr="0066637D">
        <w:t xml:space="preserve"> and </w:t>
      </w:r>
      <w:proofErr w:type="spellStart"/>
      <w:r w:rsidRPr="0066637D">
        <w:t>Qehaja</w:t>
      </w:r>
      <w:proofErr w:type="spellEnd"/>
      <w:r w:rsidRPr="0066637D">
        <w:t xml:space="preserve"> 2013), for example. An approach that limits the engagement of local actors can also result in their ‘resentment, resistance and inertia’ (Nathan 2007, 3). This is likely to further challenge the peacebuilding process</w:t>
      </w:r>
      <w:r w:rsidR="002A111C" w:rsidRPr="0066637D">
        <w:t xml:space="preserve">, and </w:t>
      </w:r>
      <w:r w:rsidRPr="0066637D">
        <w:t>can lead to increased dependency on external assistance</w:t>
      </w:r>
      <w:r w:rsidR="00510D4F" w:rsidRPr="0066637D">
        <w:t xml:space="preserve"> </w:t>
      </w:r>
      <w:r w:rsidR="002A111C" w:rsidRPr="0066637D">
        <w:t xml:space="preserve">and increased spoiler activity </w:t>
      </w:r>
      <w:r w:rsidR="00510D4F" w:rsidRPr="0066637D">
        <w:t>(</w:t>
      </w:r>
      <w:proofErr w:type="spellStart"/>
      <w:r w:rsidR="00510D4F" w:rsidRPr="0066637D">
        <w:t>Narten</w:t>
      </w:r>
      <w:proofErr w:type="spellEnd"/>
      <w:r w:rsidR="00510D4F" w:rsidRPr="0066637D">
        <w:t xml:space="preserve"> </w:t>
      </w:r>
      <w:r w:rsidRPr="0066637D">
        <w:t xml:space="preserve">2009). The result of which can be a vicious circle in which external actors become increasingly resistant to promoting local ownership due to increased dependency and spoiler activity or, rather, perceptions about capacity and legitimacy. </w:t>
      </w:r>
    </w:p>
    <w:p w:rsidR="00E364BF" w:rsidRPr="0066637D" w:rsidRDefault="00E364BF" w:rsidP="00E364BF">
      <w:r w:rsidRPr="0066637D">
        <w:t xml:space="preserve">However, while local ownership is part of the ‘contemporary </w:t>
      </w:r>
      <w:proofErr w:type="spellStart"/>
      <w:r w:rsidRPr="0066637D">
        <w:t>commonsense</w:t>
      </w:r>
      <w:proofErr w:type="spellEnd"/>
      <w:r w:rsidRPr="0066637D">
        <w:t>’ of SSR (</w:t>
      </w:r>
      <w:proofErr w:type="spellStart"/>
      <w:r w:rsidRPr="0066637D">
        <w:t>Donais</w:t>
      </w:r>
      <w:proofErr w:type="spellEnd"/>
      <w:r w:rsidRPr="0066637D">
        <w:t xml:space="preserve"> 2009, 119), it remains unclear specifically who the locals are (</w:t>
      </w:r>
      <w:proofErr w:type="spellStart"/>
      <w:r w:rsidRPr="0066637D">
        <w:t>Mobekk</w:t>
      </w:r>
      <w:proofErr w:type="spellEnd"/>
      <w:r w:rsidRPr="0066637D">
        <w:t xml:space="preserve"> 2010; </w:t>
      </w:r>
      <w:proofErr w:type="spellStart"/>
      <w:r w:rsidRPr="0066637D">
        <w:t>Scheye</w:t>
      </w:r>
      <w:proofErr w:type="spellEnd"/>
      <w:r w:rsidRPr="0066637D">
        <w:t xml:space="preserve"> and </w:t>
      </w:r>
      <w:proofErr w:type="spellStart"/>
      <w:r w:rsidRPr="0066637D">
        <w:t>Peake</w:t>
      </w:r>
      <w:proofErr w:type="spellEnd"/>
      <w:r w:rsidRPr="0066637D">
        <w:t xml:space="preserve"> 2005; </w:t>
      </w:r>
      <w:proofErr w:type="spellStart"/>
      <w:r w:rsidRPr="0066637D">
        <w:t>Donais</w:t>
      </w:r>
      <w:proofErr w:type="spellEnd"/>
      <w:r w:rsidRPr="0066637D">
        <w:t xml:space="preserve"> 2009; </w:t>
      </w:r>
      <w:proofErr w:type="spellStart"/>
      <w:r w:rsidRPr="0066637D">
        <w:t>Krogstad</w:t>
      </w:r>
      <w:proofErr w:type="spellEnd"/>
      <w:r w:rsidRPr="0066637D">
        <w:t>, 2013) and what constitutes ownership (</w:t>
      </w:r>
      <w:proofErr w:type="spellStart"/>
      <w:r w:rsidRPr="0066637D">
        <w:t>Mobekk</w:t>
      </w:r>
      <w:proofErr w:type="spellEnd"/>
      <w:r w:rsidRPr="0066637D">
        <w:t xml:space="preserve"> 2010; Martin and Wilson 2008). Nonetheless, it is generally considered that local ownership should entail a ‘nationally led and inclusive process in which national and local authorities, parliaments and civil society, including traditional leaders, women’s groups and others, are </w:t>
      </w:r>
      <w:r w:rsidRPr="0066637D">
        <w:lastRenderedPageBreak/>
        <w:t>actively engaged’ (UN 2008, 11) and are able to inform decision-making throughout the SSR process. However, it is widely recognised that there is a significant gap between policy and practice (</w:t>
      </w:r>
      <w:proofErr w:type="spellStart"/>
      <w:r w:rsidRPr="0066637D">
        <w:t>Donais</w:t>
      </w:r>
      <w:proofErr w:type="spellEnd"/>
      <w:r w:rsidRPr="0066637D">
        <w:t xml:space="preserve"> 2009; </w:t>
      </w:r>
      <w:proofErr w:type="spellStart"/>
      <w:r w:rsidRPr="0066637D">
        <w:t>Mobekk</w:t>
      </w:r>
      <w:proofErr w:type="spellEnd"/>
      <w:r w:rsidRPr="0066637D">
        <w:t xml:space="preserve"> 2010; Nathan 2007; </w:t>
      </w:r>
      <w:proofErr w:type="spellStart"/>
      <w:r w:rsidRPr="0066637D">
        <w:t>Oosterveld</w:t>
      </w:r>
      <w:proofErr w:type="spellEnd"/>
      <w:r w:rsidRPr="0066637D">
        <w:t xml:space="preserve"> and </w:t>
      </w:r>
      <w:proofErr w:type="spellStart"/>
      <w:r w:rsidRPr="0066637D">
        <w:t>Galand</w:t>
      </w:r>
      <w:proofErr w:type="spellEnd"/>
      <w:r w:rsidRPr="0066637D">
        <w:t xml:space="preserve"> 2012; </w:t>
      </w:r>
      <w:proofErr w:type="spellStart"/>
      <w:r w:rsidRPr="0066637D">
        <w:t>Scheye</w:t>
      </w:r>
      <w:proofErr w:type="spellEnd"/>
      <w:r w:rsidRPr="0066637D">
        <w:t xml:space="preserve"> 2008; </w:t>
      </w:r>
      <w:proofErr w:type="spellStart"/>
      <w:r w:rsidRPr="0066637D">
        <w:t>Sedra</w:t>
      </w:r>
      <w:proofErr w:type="spellEnd"/>
      <w:r w:rsidRPr="0066637D">
        <w:t xml:space="preserve"> 2010b), with external actors often imposing ‘their models and programmes on local actors’ (Nathan 2007, 7). </w:t>
      </w:r>
    </w:p>
    <w:p w:rsidR="00E364BF" w:rsidRPr="0066637D" w:rsidRDefault="00E364BF" w:rsidP="00E364BF">
      <w:r w:rsidRPr="0066637D">
        <w:t xml:space="preserve">There are many reasons for this, including perceived and actual limitations in terms of institutional and human capacity, including lack of expertise, or lack of credibility or authority on the part of governments in post-conflict environments (see DCAF 2009; </w:t>
      </w:r>
      <w:proofErr w:type="spellStart"/>
      <w:r w:rsidRPr="0066637D">
        <w:t>Sedra</w:t>
      </w:r>
      <w:proofErr w:type="spellEnd"/>
      <w:r w:rsidRPr="0066637D">
        <w:t xml:space="preserve"> 2010a). It is also to be expected that where SSR programmes are externally funded and developed, there will be an inclination for external actors to promote their own models (</w:t>
      </w:r>
      <w:proofErr w:type="spellStart"/>
      <w:r w:rsidRPr="0066637D">
        <w:t>Hänggi</w:t>
      </w:r>
      <w:proofErr w:type="spellEnd"/>
      <w:r w:rsidRPr="0066637D">
        <w:t xml:space="preserve"> 2009; Nathan 2007). There are also time and cost constraints. This is particularly due to donor funding cycles</w:t>
      </w:r>
      <w:r w:rsidR="004D1552" w:rsidRPr="0066637D">
        <w:t>,</w:t>
      </w:r>
      <w:r w:rsidRPr="0066637D">
        <w:t xml:space="preserve"> which demand outputs within short timeframes (Nathan 2007; OECD 2009; </w:t>
      </w:r>
      <w:proofErr w:type="spellStart"/>
      <w:r w:rsidRPr="0066637D">
        <w:t>Oosterveld</w:t>
      </w:r>
      <w:proofErr w:type="spellEnd"/>
      <w:r w:rsidRPr="0066637D">
        <w:t xml:space="preserve"> and </w:t>
      </w:r>
      <w:proofErr w:type="spellStart"/>
      <w:r w:rsidRPr="0066637D">
        <w:t>Galand</w:t>
      </w:r>
      <w:proofErr w:type="spellEnd"/>
      <w:r w:rsidRPr="0066637D">
        <w:t xml:space="preserve"> 2012). These constraints lend themselves to utilising other models, rather than creating models borne of the specifics of the context after widespread consultation and compromise, which take time, money and considerable effort (DCAF 2009; </w:t>
      </w:r>
      <w:proofErr w:type="spellStart"/>
      <w:r w:rsidRPr="0066637D">
        <w:t>Heupel</w:t>
      </w:r>
      <w:proofErr w:type="spellEnd"/>
      <w:r w:rsidRPr="0066637D">
        <w:t xml:space="preserve"> 2012).</w:t>
      </w:r>
    </w:p>
    <w:p w:rsidR="00E364BF" w:rsidRPr="0066637D" w:rsidRDefault="00E364BF" w:rsidP="00E364BF">
      <w:r w:rsidRPr="0066637D">
        <w:t xml:space="preserve">Local actors may also lack the political will to engage in or support reform efforts. This is particularly the case with SSR, which can substantially limit the power of elites in society (see Berg 2012; Gordon 2011; </w:t>
      </w:r>
      <w:proofErr w:type="spellStart"/>
      <w:r w:rsidRPr="0066637D">
        <w:t>Heupel</w:t>
      </w:r>
      <w:proofErr w:type="spellEnd"/>
      <w:r w:rsidRPr="0066637D">
        <w:t xml:space="preserve"> 2012). Local actors may also </w:t>
      </w:r>
      <w:r w:rsidR="00783D5E" w:rsidRPr="0066637D">
        <w:t>not accept</w:t>
      </w:r>
      <w:r w:rsidRPr="0066637D">
        <w:t xml:space="preserve"> some of the fundamental principles </w:t>
      </w:r>
      <w:r w:rsidR="00783D5E" w:rsidRPr="0066637D">
        <w:t>of</w:t>
      </w:r>
      <w:r w:rsidRPr="0066637D">
        <w:t xml:space="preserve"> SSR, outside local ownership, such as the need for security structures to be affordable, responsive to the needs of the people, and representative of them. It can take time to build awareness of some of the principles inherent to SSR, outside local ownership, which often delays or limits the level of local engagement in SSR programmes.</w:t>
      </w:r>
    </w:p>
    <w:p w:rsidR="00E364BF" w:rsidRPr="0066637D" w:rsidRDefault="00E364BF" w:rsidP="00A93BDB">
      <w:r w:rsidRPr="0066637D">
        <w:t>It is argued, however, that while effective interventions and sustainable peace may not be predicated upon immediate and full local ownership, the risks of delaying full ownership by local actors need to be attended to (</w:t>
      </w:r>
      <w:proofErr w:type="spellStart"/>
      <w:r w:rsidRPr="0066637D">
        <w:t>Donais</w:t>
      </w:r>
      <w:proofErr w:type="spellEnd"/>
      <w:r w:rsidRPr="0066637D">
        <w:t xml:space="preserve"> 2009; </w:t>
      </w:r>
      <w:proofErr w:type="spellStart"/>
      <w:r w:rsidRPr="0066637D">
        <w:t>Narten</w:t>
      </w:r>
      <w:proofErr w:type="spellEnd"/>
      <w:r w:rsidRPr="0066637D">
        <w:t xml:space="preserve"> 2009). It is also important to </w:t>
      </w:r>
      <w:r w:rsidR="000C3CDB" w:rsidRPr="0066637D">
        <w:t>accept</w:t>
      </w:r>
      <w:r w:rsidRPr="0066637D">
        <w:t xml:space="preserve"> that the West does not have exclusive understanding of how </w:t>
      </w:r>
      <w:r w:rsidR="000C3CDB" w:rsidRPr="0066637D">
        <w:t xml:space="preserve">to build </w:t>
      </w:r>
      <w:r w:rsidRPr="0066637D">
        <w:t xml:space="preserve">peace (see </w:t>
      </w:r>
      <w:proofErr w:type="spellStart"/>
      <w:r w:rsidRPr="0066637D">
        <w:t>Cubitt</w:t>
      </w:r>
      <w:proofErr w:type="spellEnd"/>
      <w:r w:rsidRPr="0066637D">
        <w:t xml:space="preserve"> 2013; </w:t>
      </w:r>
      <w:proofErr w:type="spellStart"/>
      <w:r w:rsidR="0082248E" w:rsidRPr="0066637D">
        <w:t>Lidén</w:t>
      </w:r>
      <w:proofErr w:type="spellEnd"/>
      <w:r w:rsidRPr="0066637D">
        <w:t xml:space="preserve">, Mac </w:t>
      </w:r>
      <w:proofErr w:type="spellStart"/>
      <w:r w:rsidRPr="0066637D">
        <w:t>Ginty</w:t>
      </w:r>
      <w:proofErr w:type="spellEnd"/>
      <w:r w:rsidRPr="0066637D">
        <w:t xml:space="preserve"> and Richmond 2009). So, while issues </w:t>
      </w:r>
      <w:r w:rsidR="00373BF0" w:rsidRPr="0066637D">
        <w:t>such as</w:t>
      </w:r>
      <w:r w:rsidRPr="0066637D">
        <w:t xml:space="preserve"> affordability,</w:t>
      </w:r>
      <w:r w:rsidR="00A93BDB" w:rsidRPr="0066637D">
        <w:t xml:space="preserve"> accountability and the equal treatment of all people by security sector institutions </w:t>
      </w:r>
      <w:r w:rsidRPr="0066637D">
        <w:t xml:space="preserve">may be </w:t>
      </w:r>
      <w:r w:rsidR="0076016B" w:rsidRPr="0066637D">
        <w:t>instrumental</w:t>
      </w:r>
      <w:r w:rsidRPr="0066637D">
        <w:t xml:space="preserve"> to the development of a democratic security sector, issues </w:t>
      </w:r>
      <w:r w:rsidR="0076016B" w:rsidRPr="0066637D">
        <w:t xml:space="preserve">that are </w:t>
      </w:r>
      <w:r w:rsidRPr="0066637D">
        <w:t xml:space="preserve">of less strategic importance should not delay the transfer of decision-making authority to local actors. </w:t>
      </w:r>
    </w:p>
    <w:p w:rsidR="00E364BF" w:rsidRPr="0066637D" w:rsidRDefault="00E364BF" w:rsidP="001C3FA4">
      <w:pPr>
        <w:pStyle w:val="Heading3"/>
      </w:pPr>
    </w:p>
    <w:p w:rsidR="00E364BF" w:rsidRPr="0066637D" w:rsidRDefault="00E364BF" w:rsidP="001C3FA4">
      <w:pPr>
        <w:pStyle w:val="Heading3"/>
      </w:pPr>
      <w:r w:rsidRPr="0066637D">
        <w:t>Inclusive and Meaningful Local Ownership</w:t>
      </w:r>
    </w:p>
    <w:p w:rsidR="00E364BF" w:rsidRPr="0066637D" w:rsidRDefault="00E364BF" w:rsidP="00E364BF">
      <w:r w:rsidRPr="0066637D">
        <w:t xml:space="preserve">It is also important not to limit the level of local ownership that is promoted by external actors in terms of the type of activities local actors are engaged in, the point at which local actors become involved, and the type of local actors engaged. Too often local ownership is reduced to consultation, engagement after key decisions have been made, and involvement of only a few like-minded, state-level members of the security and political elite who accept the decisions reached previously by external actors (Baker 2010; </w:t>
      </w:r>
      <w:proofErr w:type="spellStart"/>
      <w:r w:rsidRPr="0066637D">
        <w:t>Benedix</w:t>
      </w:r>
      <w:proofErr w:type="spellEnd"/>
      <w:r w:rsidRPr="0066637D">
        <w:t xml:space="preserve"> and Stanley 2008; </w:t>
      </w:r>
      <w:proofErr w:type="spellStart"/>
      <w:r w:rsidRPr="0066637D">
        <w:t>Caparini</w:t>
      </w:r>
      <w:proofErr w:type="spellEnd"/>
      <w:r w:rsidRPr="0066637D">
        <w:t xml:space="preserve"> 2010; </w:t>
      </w:r>
      <w:proofErr w:type="spellStart"/>
      <w:r w:rsidRPr="0066637D">
        <w:t>Heupel</w:t>
      </w:r>
      <w:proofErr w:type="spellEnd"/>
      <w:r w:rsidRPr="0066637D">
        <w:t xml:space="preserve"> 2012; </w:t>
      </w:r>
      <w:proofErr w:type="spellStart"/>
      <w:r w:rsidRPr="0066637D">
        <w:t>Krogstad</w:t>
      </w:r>
      <w:proofErr w:type="spellEnd"/>
      <w:r w:rsidRPr="0066637D">
        <w:t xml:space="preserve"> 2013;  </w:t>
      </w:r>
      <w:proofErr w:type="spellStart"/>
      <w:r w:rsidRPr="0066637D">
        <w:t>Mobekk</w:t>
      </w:r>
      <w:proofErr w:type="spellEnd"/>
      <w:r w:rsidRPr="0066637D">
        <w:t xml:space="preserve"> 2010; </w:t>
      </w:r>
      <w:proofErr w:type="spellStart"/>
      <w:r w:rsidRPr="0066637D">
        <w:t>Sedra</w:t>
      </w:r>
      <w:proofErr w:type="spellEnd"/>
      <w:r w:rsidR="00584E5C" w:rsidRPr="0066637D">
        <w:t xml:space="preserve"> 2010a).</w:t>
      </w:r>
      <w:r w:rsidRPr="0066637D">
        <w:t xml:space="preserve"> This is despite a </w:t>
      </w:r>
      <w:r w:rsidRPr="0066637D">
        <w:lastRenderedPageBreak/>
        <w:t>widespread understanding that SSR processes should be inclusive if they are to be effective UN 2008; OECD 2007).</w:t>
      </w:r>
    </w:p>
    <w:p w:rsidR="00E364BF" w:rsidRPr="0066637D" w:rsidRDefault="00E364BF" w:rsidP="00E364BF">
      <w:r w:rsidRPr="0066637D">
        <w:t>The engagement of civil society representatives tends to be limited and sporadic, often little more than initial consultation and infrequent dialogue (</w:t>
      </w:r>
      <w:proofErr w:type="spellStart"/>
      <w:r w:rsidRPr="0066637D">
        <w:t>Caparini</w:t>
      </w:r>
      <w:proofErr w:type="spellEnd"/>
      <w:r w:rsidRPr="0066637D">
        <w:t xml:space="preserve"> 2010), as was seen in Kosovo, Timor-Leste, Iraq and Somalia, for example (Jackson 2011, 2010; </w:t>
      </w:r>
      <w:proofErr w:type="spellStart"/>
      <w:r w:rsidRPr="0066637D">
        <w:t>Saferworld</w:t>
      </w:r>
      <w:proofErr w:type="spellEnd"/>
      <w:r w:rsidRPr="0066637D">
        <w:t xml:space="preserve"> and Forum for Civic Initiatives 2007). Recognising ‘locals’ do</w:t>
      </w:r>
      <w:r w:rsidR="00584E5C" w:rsidRPr="0066637D">
        <w:t xml:space="preserve"> not</w:t>
      </w:r>
      <w:r w:rsidRPr="0066637D">
        <w:t xml:space="preserve"> constitute a homogenous whole who share security interests and concerns (</w:t>
      </w:r>
      <w:proofErr w:type="spellStart"/>
      <w:r w:rsidRPr="0066637D">
        <w:rPr>
          <w:rStyle w:val="A2"/>
          <w:b w:val="0"/>
          <w:sz w:val="24"/>
          <w:szCs w:val="24"/>
        </w:rPr>
        <w:t>Ebo</w:t>
      </w:r>
      <w:proofErr w:type="spellEnd"/>
      <w:r w:rsidRPr="0066637D">
        <w:rPr>
          <w:rStyle w:val="A2"/>
          <w:b w:val="0"/>
          <w:sz w:val="24"/>
          <w:szCs w:val="24"/>
        </w:rPr>
        <w:t xml:space="preserve"> 2007; </w:t>
      </w:r>
      <w:proofErr w:type="spellStart"/>
      <w:r w:rsidRPr="0066637D">
        <w:rPr>
          <w:rStyle w:val="A2"/>
          <w:b w:val="0"/>
          <w:sz w:val="24"/>
          <w:szCs w:val="24"/>
        </w:rPr>
        <w:t>Mobekk</w:t>
      </w:r>
      <w:proofErr w:type="spellEnd"/>
      <w:r w:rsidRPr="0066637D">
        <w:rPr>
          <w:rStyle w:val="A2"/>
          <w:b w:val="0"/>
          <w:sz w:val="24"/>
          <w:szCs w:val="24"/>
        </w:rPr>
        <w:t xml:space="preserve"> 2010; UN 2008)</w:t>
      </w:r>
      <w:r w:rsidRPr="0066637D">
        <w:t xml:space="preserve"> demands engaging a wide cross-section of society in SSR processes, which is costly and time-consuming and can </w:t>
      </w:r>
      <w:r w:rsidR="00277203" w:rsidRPr="0066637D">
        <w:t xml:space="preserve">hinder </w:t>
      </w:r>
      <w:r w:rsidRPr="0066637D">
        <w:t>efforts to reach consensus and co-ordinate. There can also be the assumption that only ‘experts’</w:t>
      </w:r>
      <w:r w:rsidR="001E2B9F" w:rsidRPr="0066637D">
        <w:t xml:space="preserve">, such as security sector professionals, </w:t>
      </w:r>
      <w:r w:rsidRPr="0066637D">
        <w:t>have the requisite knowledge</w:t>
      </w:r>
      <w:r w:rsidR="001E2B9F" w:rsidRPr="0066637D">
        <w:t xml:space="preserve"> to engage in discussions about the security sector</w:t>
      </w:r>
      <w:r w:rsidRPr="0066637D">
        <w:t>. In contrast, non-state actors are widely considered to be only ‘marginally relevant to the core concerns of SSR’ (</w:t>
      </w:r>
      <w:proofErr w:type="spellStart"/>
      <w:r w:rsidRPr="0066637D">
        <w:t>Donais</w:t>
      </w:r>
      <w:proofErr w:type="spellEnd"/>
      <w:r w:rsidRPr="0066637D">
        <w:t xml:space="preserve"> 2009, 123). It should be considered that experts may not be </w:t>
      </w:r>
      <w:r w:rsidRPr="0066637D">
        <w:rPr>
          <w:rFonts w:cs="Palatino LT Std"/>
          <w:color w:val="000000"/>
        </w:rPr>
        <w:t xml:space="preserve">those in the business of peacebuilding (nor those with a vested interest in securing their positions of power), but those who have suffered the effects of conflict and insecurity (have contextual knowledge), and whose commitment to the peace process will determine whether it will be sustainable (see Darby 2009). </w:t>
      </w:r>
      <w:r w:rsidRPr="0066637D">
        <w:t>Moreover, it is often considered that wider engagement of the general public will not only jeopardise efforts to create a professional security sector, because the general public lack</w:t>
      </w:r>
      <w:r w:rsidR="00584E5C" w:rsidRPr="0066637D">
        <w:t>s</w:t>
      </w:r>
      <w:r w:rsidRPr="0066637D">
        <w:t xml:space="preserve"> the requisite knowledge to reach sensible decisions, but can also compromise operational security. A</w:t>
      </w:r>
      <w:r w:rsidRPr="0066637D">
        <w:rPr>
          <w:rFonts w:cs="Calibri"/>
        </w:rPr>
        <w:t xml:space="preserve">s </w:t>
      </w:r>
      <w:proofErr w:type="spellStart"/>
      <w:r w:rsidRPr="0066637D">
        <w:rPr>
          <w:rFonts w:cs="Calibri"/>
        </w:rPr>
        <w:t>Donais</w:t>
      </w:r>
      <w:proofErr w:type="spellEnd"/>
      <w:r w:rsidRPr="0066637D">
        <w:rPr>
          <w:rFonts w:cs="Calibri"/>
        </w:rPr>
        <w:t xml:space="preserve"> has said</w:t>
      </w:r>
      <w:r w:rsidR="00584E5C" w:rsidRPr="0066637D">
        <w:rPr>
          <w:rFonts w:cs="Calibri"/>
        </w:rPr>
        <w:t>,</w:t>
      </w:r>
      <w:r w:rsidRPr="0066637D">
        <w:rPr>
          <w:rFonts w:cs="Calibri"/>
        </w:rPr>
        <w:t xml:space="preserve"> ‘</w:t>
      </w:r>
      <w:r w:rsidRPr="0066637D">
        <w:t>labelling an issue as a “national security concern” has long served as a convenient excuse for keeping it out of the public domain’ (</w:t>
      </w:r>
      <w:proofErr w:type="spellStart"/>
      <w:r w:rsidRPr="0066637D">
        <w:t>Donais</w:t>
      </w:r>
      <w:proofErr w:type="spellEnd"/>
      <w:r w:rsidRPr="0066637D">
        <w:t xml:space="preserve"> 2008, 284). </w:t>
      </w:r>
    </w:p>
    <w:p w:rsidR="00E364BF" w:rsidRPr="0066637D" w:rsidRDefault="00E364BF" w:rsidP="00E364BF">
      <w:r w:rsidRPr="0066637D">
        <w:t xml:space="preserve">However, limiting the engagement in </w:t>
      </w:r>
      <w:r w:rsidR="005F386B" w:rsidRPr="0066637D">
        <w:t xml:space="preserve">SSR </w:t>
      </w:r>
      <w:r w:rsidRPr="0066637D">
        <w:t>decisions to external actors and amenable, local security and political elites can have serious consequences for the capability, responsiveness, legitimacy and accountability of security sector institutions, and undermines the principle of democratic governance that underpins SSR</w:t>
      </w:r>
      <w:r w:rsidRPr="0066637D">
        <w:rPr>
          <w:color w:val="000000"/>
        </w:rPr>
        <w:t xml:space="preserve"> (</w:t>
      </w:r>
      <w:proofErr w:type="spellStart"/>
      <w:r w:rsidRPr="0066637D">
        <w:rPr>
          <w:color w:val="000000"/>
        </w:rPr>
        <w:t>Caparini</w:t>
      </w:r>
      <w:proofErr w:type="spellEnd"/>
      <w:r w:rsidRPr="0066637D">
        <w:rPr>
          <w:color w:val="000000"/>
        </w:rPr>
        <w:t xml:space="preserve"> 2010). </w:t>
      </w:r>
      <w:r w:rsidRPr="0066637D">
        <w:t>Exclusive focus on political elites and state-level authorities can undermine the extent to which SSR processes are broadly locally owned (</w:t>
      </w:r>
      <w:r w:rsidR="00911492" w:rsidRPr="0066637D">
        <w:t xml:space="preserve">assuming </w:t>
      </w:r>
      <w:r w:rsidRPr="0066637D">
        <w:t>power is rarely willingly relinquished). It can, thus, hinder improvement of security and justice at the community level, public support and confidence in state security institutions and, consequently, whether or not SSR programmes and broader peacebuilding efforts are ultima</w:t>
      </w:r>
      <w:r w:rsidR="00F10AE4" w:rsidRPr="0066637D">
        <w:t>tely successful (</w:t>
      </w:r>
      <w:proofErr w:type="spellStart"/>
      <w:r w:rsidR="00F10AE4" w:rsidRPr="0066637D">
        <w:t>Cubitt</w:t>
      </w:r>
      <w:proofErr w:type="spellEnd"/>
      <w:r w:rsidR="00F10AE4" w:rsidRPr="0066637D">
        <w:t xml:space="preserve"> 2013; </w:t>
      </w:r>
      <w:proofErr w:type="spellStart"/>
      <w:r w:rsidRPr="0066637D">
        <w:t>Donais</w:t>
      </w:r>
      <w:proofErr w:type="spellEnd"/>
      <w:r w:rsidRPr="0066637D">
        <w:t xml:space="preserve"> 2009; Hendrickson 2010; </w:t>
      </w:r>
      <w:proofErr w:type="spellStart"/>
      <w:r w:rsidRPr="0066637D">
        <w:t>Oosterveld</w:t>
      </w:r>
      <w:proofErr w:type="spellEnd"/>
      <w:r w:rsidRPr="0066637D">
        <w:t xml:space="preserve"> and </w:t>
      </w:r>
      <w:proofErr w:type="spellStart"/>
      <w:r w:rsidRPr="0066637D">
        <w:t>Galand</w:t>
      </w:r>
      <w:proofErr w:type="spellEnd"/>
      <w:r w:rsidRPr="0066637D">
        <w:t xml:space="preserve"> 2012; Samuels 2010; </w:t>
      </w:r>
      <w:proofErr w:type="spellStart"/>
      <w:r w:rsidRPr="0066637D">
        <w:t>Scheye</w:t>
      </w:r>
      <w:proofErr w:type="spellEnd"/>
      <w:r w:rsidRPr="0066637D">
        <w:t xml:space="preserve"> 2008). This is particularly the case in places where SSR programmes </w:t>
      </w:r>
      <w:r w:rsidR="00373BF0" w:rsidRPr="0066637D">
        <w:t xml:space="preserve">are being </w:t>
      </w:r>
      <w:proofErr w:type="gramStart"/>
      <w:r w:rsidR="00373BF0" w:rsidRPr="0066637D">
        <w:t>implemented,</w:t>
      </w:r>
      <w:proofErr w:type="gramEnd"/>
      <w:r w:rsidR="00373BF0" w:rsidRPr="0066637D">
        <w:t xml:space="preserve"> </w:t>
      </w:r>
      <w:r w:rsidRPr="0066637D">
        <w:t>where governments may not be broadly representative of the people they represent (Martin and Wilson 2008). Prioritising local ownership at the level of the state can disadvantage people at the community level, particularly the vulnerable and marginalised. State-level actors may, for instance, support SSR programmes ‘not out of a commitment to improved security governance, but rather as a means of enhancing their capacity to suppress dissent or to undermine political opponents’ (</w:t>
      </w:r>
      <w:proofErr w:type="spellStart"/>
      <w:r w:rsidRPr="0066637D">
        <w:t>Donais</w:t>
      </w:r>
      <w:proofErr w:type="spellEnd"/>
      <w:r w:rsidRPr="0066637D">
        <w:t xml:space="preserve"> 2009, 120-121). </w:t>
      </w:r>
    </w:p>
    <w:p w:rsidR="00E364BF" w:rsidRPr="0066637D" w:rsidRDefault="00E364BF" w:rsidP="00E364BF">
      <w:pPr>
        <w:rPr>
          <w:rStyle w:val="A2"/>
          <w:rFonts w:cs="Times New Roman"/>
          <w:b w:val="0"/>
          <w:bCs w:val="0"/>
          <w:color w:val="auto"/>
          <w:sz w:val="24"/>
          <w:szCs w:val="24"/>
        </w:rPr>
      </w:pPr>
      <w:r w:rsidRPr="0066637D">
        <w:t xml:space="preserve">Having a broad scope of who might constitute local owners can also help identify more committed and more effective drivers of the reform process. This is particularly the case in post-conflict environments where political elites or authorities may be discredited or lack </w:t>
      </w:r>
      <w:r w:rsidRPr="0066637D">
        <w:lastRenderedPageBreak/>
        <w:t xml:space="preserve">genuine commitment to promote reform and governance of the security sector, not least because SSR can limit the power of elites in society (see </w:t>
      </w:r>
      <w:proofErr w:type="spellStart"/>
      <w:r w:rsidRPr="0066637D">
        <w:t>Donais</w:t>
      </w:r>
      <w:proofErr w:type="spellEnd"/>
      <w:r w:rsidRPr="0066637D">
        <w:t xml:space="preserve"> 2009; </w:t>
      </w:r>
      <w:proofErr w:type="spellStart"/>
      <w:r w:rsidRPr="0066637D">
        <w:t>Heupel</w:t>
      </w:r>
      <w:proofErr w:type="spellEnd"/>
      <w:r w:rsidRPr="0066637D">
        <w:t xml:space="preserve"> 2012; </w:t>
      </w:r>
      <w:proofErr w:type="spellStart"/>
      <w:r w:rsidRPr="0066637D">
        <w:t>Krogstad</w:t>
      </w:r>
      <w:proofErr w:type="spellEnd"/>
      <w:r w:rsidRPr="0066637D">
        <w:t xml:space="preserve"> 2013; </w:t>
      </w:r>
      <w:proofErr w:type="spellStart"/>
      <w:r w:rsidRPr="0066637D">
        <w:t>Narten</w:t>
      </w:r>
      <w:proofErr w:type="spellEnd"/>
      <w:r w:rsidRPr="0066637D">
        <w:t xml:space="preserve"> 2009; </w:t>
      </w:r>
      <w:proofErr w:type="spellStart"/>
      <w:r w:rsidRPr="0066637D">
        <w:t>Oosterveld</w:t>
      </w:r>
      <w:proofErr w:type="spellEnd"/>
      <w:r w:rsidRPr="0066637D">
        <w:t xml:space="preserve"> and </w:t>
      </w:r>
      <w:proofErr w:type="spellStart"/>
      <w:r w:rsidRPr="0066637D">
        <w:t>Galand</w:t>
      </w:r>
      <w:proofErr w:type="spellEnd"/>
      <w:r w:rsidRPr="0066637D">
        <w:t xml:space="preserve"> 2012, for instance). </w:t>
      </w:r>
      <w:r w:rsidR="00095BB5" w:rsidRPr="0066637D">
        <w:t>Broadening the scope of who is actively engaged in SSR to civil society a</w:t>
      </w:r>
      <w:r w:rsidR="008D12E9" w:rsidRPr="0066637D">
        <w:t xml:space="preserve">nd those at the community level </w:t>
      </w:r>
      <w:r w:rsidRPr="0066637D">
        <w:rPr>
          <w:rFonts w:cs="Palatino LT Std"/>
          <w:color w:val="000000"/>
        </w:rPr>
        <w:t xml:space="preserve">can also </w:t>
      </w:r>
      <w:r w:rsidR="00043804" w:rsidRPr="0066637D">
        <w:rPr>
          <w:rFonts w:cs="Palatino LT Std"/>
          <w:color w:val="000000"/>
        </w:rPr>
        <w:t xml:space="preserve">help </w:t>
      </w:r>
      <w:r w:rsidRPr="0066637D">
        <w:rPr>
          <w:rFonts w:cs="Palatino LT Std"/>
          <w:color w:val="000000"/>
        </w:rPr>
        <w:t xml:space="preserve">alleviate concerns regarding the threat of spoilers. </w:t>
      </w:r>
      <w:r w:rsidRPr="0066637D">
        <w:rPr>
          <w:rStyle w:val="A2"/>
          <w:b w:val="0"/>
          <w:sz w:val="24"/>
          <w:szCs w:val="24"/>
        </w:rPr>
        <w:t xml:space="preserve">Spoilers that threaten a fragile peace are less likely to be successful where people feel </w:t>
      </w:r>
      <w:r w:rsidR="00043804" w:rsidRPr="0066637D">
        <w:rPr>
          <w:rStyle w:val="A2"/>
          <w:b w:val="0"/>
          <w:sz w:val="24"/>
          <w:szCs w:val="24"/>
        </w:rPr>
        <w:t xml:space="preserve">that they are </w:t>
      </w:r>
      <w:r w:rsidR="00911492" w:rsidRPr="0066637D">
        <w:rPr>
          <w:rStyle w:val="A2"/>
          <w:b w:val="0"/>
          <w:sz w:val="24"/>
          <w:szCs w:val="24"/>
        </w:rPr>
        <w:t xml:space="preserve">involved </w:t>
      </w:r>
      <w:r w:rsidR="00584E5C" w:rsidRPr="0066637D">
        <w:rPr>
          <w:rStyle w:val="A2"/>
          <w:b w:val="0"/>
          <w:sz w:val="24"/>
          <w:szCs w:val="24"/>
        </w:rPr>
        <w:t>in</w:t>
      </w:r>
      <w:r w:rsidR="00043804" w:rsidRPr="0066637D">
        <w:rPr>
          <w:rStyle w:val="A2"/>
          <w:b w:val="0"/>
          <w:sz w:val="24"/>
          <w:szCs w:val="24"/>
        </w:rPr>
        <w:t xml:space="preserve"> </w:t>
      </w:r>
      <w:r w:rsidRPr="0066637D">
        <w:rPr>
          <w:rStyle w:val="A2"/>
          <w:b w:val="0"/>
          <w:sz w:val="24"/>
          <w:szCs w:val="24"/>
        </w:rPr>
        <w:t>decisions about their future</w:t>
      </w:r>
      <w:r w:rsidR="00043804" w:rsidRPr="0066637D">
        <w:rPr>
          <w:rStyle w:val="A2"/>
          <w:b w:val="0"/>
          <w:sz w:val="24"/>
          <w:szCs w:val="24"/>
        </w:rPr>
        <w:t xml:space="preserve"> and where civil society is robust</w:t>
      </w:r>
      <w:r w:rsidRPr="0066637D">
        <w:rPr>
          <w:rStyle w:val="A2"/>
          <w:b w:val="0"/>
          <w:sz w:val="24"/>
          <w:szCs w:val="24"/>
        </w:rPr>
        <w:t>. Where there is dialogue</w:t>
      </w:r>
      <w:r w:rsidR="00584E5C" w:rsidRPr="0066637D">
        <w:rPr>
          <w:rStyle w:val="A2"/>
          <w:b w:val="0"/>
          <w:sz w:val="24"/>
          <w:szCs w:val="24"/>
        </w:rPr>
        <w:t>,</w:t>
      </w:r>
      <w:r w:rsidRPr="0066637D">
        <w:rPr>
          <w:rStyle w:val="A2"/>
          <w:b w:val="0"/>
          <w:sz w:val="24"/>
          <w:szCs w:val="24"/>
        </w:rPr>
        <w:t xml:space="preserve"> there </w:t>
      </w:r>
      <w:r w:rsidR="00043804" w:rsidRPr="0066637D">
        <w:rPr>
          <w:rStyle w:val="A2"/>
          <w:b w:val="0"/>
          <w:sz w:val="24"/>
          <w:szCs w:val="24"/>
        </w:rPr>
        <w:t>is likely to</w:t>
      </w:r>
      <w:r w:rsidRPr="0066637D">
        <w:rPr>
          <w:rStyle w:val="A2"/>
          <w:b w:val="0"/>
          <w:sz w:val="24"/>
          <w:szCs w:val="24"/>
        </w:rPr>
        <w:t xml:space="preserve"> be less frustration and less alienation and</w:t>
      </w:r>
      <w:r w:rsidR="004A3697" w:rsidRPr="0066637D">
        <w:rPr>
          <w:rStyle w:val="A2"/>
          <w:b w:val="0"/>
          <w:sz w:val="24"/>
          <w:szCs w:val="24"/>
        </w:rPr>
        <w:t>,</w:t>
      </w:r>
      <w:r w:rsidRPr="0066637D">
        <w:rPr>
          <w:rStyle w:val="A2"/>
          <w:b w:val="0"/>
          <w:sz w:val="24"/>
          <w:szCs w:val="24"/>
        </w:rPr>
        <w:t xml:space="preserve"> </w:t>
      </w:r>
      <w:r w:rsidR="00043804" w:rsidRPr="0066637D">
        <w:rPr>
          <w:rStyle w:val="A2"/>
          <w:b w:val="0"/>
          <w:sz w:val="24"/>
          <w:szCs w:val="24"/>
        </w:rPr>
        <w:t>consequently</w:t>
      </w:r>
      <w:r w:rsidR="004A3697" w:rsidRPr="0066637D">
        <w:rPr>
          <w:rStyle w:val="A2"/>
          <w:b w:val="0"/>
          <w:sz w:val="24"/>
          <w:szCs w:val="24"/>
        </w:rPr>
        <w:t>,</w:t>
      </w:r>
      <w:r w:rsidRPr="0066637D">
        <w:rPr>
          <w:rStyle w:val="A2"/>
          <w:b w:val="0"/>
          <w:sz w:val="24"/>
          <w:szCs w:val="24"/>
        </w:rPr>
        <w:t xml:space="preserve"> less potential for spoilers to exploit (see </w:t>
      </w:r>
      <w:proofErr w:type="spellStart"/>
      <w:r w:rsidRPr="0066637D">
        <w:rPr>
          <w:rStyle w:val="A2"/>
          <w:b w:val="0"/>
          <w:sz w:val="24"/>
          <w:szCs w:val="24"/>
        </w:rPr>
        <w:t>Narten</w:t>
      </w:r>
      <w:proofErr w:type="spellEnd"/>
      <w:r w:rsidRPr="0066637D">
        <w:rPr>
          <w:rStyle w:val="A2"/>
          <w:b w:val="0"/>
          <w:sz w:val="24"/>
          <w:szCs w:val="24"/>
        </w:rPr>
        <w:t xml:space="preserve"> 2009). </w:t>
      </w:r>
    </w:p>
    <w:p w:rsidR="00E364BF" w:rsidRPr="0066637D" w:rsidRDefault="009C0A3E" w:rsidP="00E364BF">
      <w:r w:rsidRPr="0066637D">
        <w:t>Empowering</w:t>
      </w:r>
      <w:r w:rsidR="00E364BF" w:rsidRPr="0066637D">
        <w:t xml:space="preserve"> civil society to potentially challenge the state and its institutions</w:t>
      </w:r>
      <w:r w:rsidRPr="0066637D">
        <w:t xml:space="preserve"> is not destabilising, despite fears to the contrary</w:t>
      </w:r>
      <w:r w:rsidR="00E364BF" w:rsidRPr="0066637D">
        <w:t xml:space="preserve">: as </w:t>
      </w:r>
      <w:proofErr w:type="spellStart"/>
      <w:r w:rsidR="00E364BF" w:rsidRPr="0066637D">
        <w:t>Cubitt</w:t>
      </w:r>
      <w:proofErr w:type="spellEnd"/>
      <w:r w:rsidR="00E364BF" w:rsidRPr="0066637D">
        <w:t xml:space="preserve"> </w:t>
      </w:r>
      <w:r w:rsidRPr="0066637D">
        <w:t>maintains</w:t>
      </w:r>
      <w:r w:rsidR="00E364BF" w:rsidRPr="0066637D">
        <w:t>, it can constitute a ‘counterbalance to government excess [which] is a central tenet of democracy, and democracy is considered fundamental for the sustainability of peaceful societies’ (</w:t>
      </w:r>
      <w:proofErr w:type="spellStart"/>
      <w:r w:rsidR="00E364BF" w:rsidRPr="0066637D">
        <w:t>Cubitt</w:t>
      </w:r>
      <w:proofErr w:type="spellEnd"/>
      <w:r w:rsidR="00E364BF" w:rsidRPr="0066637D">
        <w:t xml:space="preserve"> 2013, 91). </w:t>
      </w:r>
      <w:r w:rsidR="00095BB5" w:rsidRPr="0066637D">
        <w:t>It may be more difficult to co-ordinate and</w:t>
      </w:r>
      <w:r w:rsidR="00E364BF" w:rsidRPr="0066637D">
        <w:t xml:space="preserve"> reach consensus </w:t>
      </w:r>
      <w:r w:rsidR="00095BB5" w:rsidRPr="0066637D">
        <w:t xml:space="preserve">if the number </w:t>
      </w:r>
      <w:r w:rsidRPr="0066637D">
        <w:t xml:space="preserve">and range </w:t>
      </w:r>
      <w:r w:rsidR="00095BB5" w:rsidRPr="0066637D">
        <w:t xml:space="preserve">of actors engaged in SSR is significantly </w:t>
      </w:r>
      <w:r w:rsidRPr="0066637D">
        <w:t>increased</w:t>
      </w:r>
      <w:r w:rsidR="00AE414F" w:rsidRPr="0066637D">
        <w:t xml:space="preserve">, not least because locals are not </w:t>
      </w:r>
      <w:r w:rsidR="00E364BF" w:rsidRPr="0066637D">
        <w:t xml:space="preserve">homogenous </w:t>
      </w:r>
      <w:r w:rsidR="00AE414F" w:rsidRPr="0066637D">
        <w:t xml:space="preserve">and may not </w:t>
      </w:r>
      <w:r w:rsidR="00E364BF" w:rsidRPr="0066637D">
        <w:t xml:space="preserve">share the same security </w:t>
      </w:r>
      <w:r w:rsidR="00AE414F" w:rsidRPr="0066637D">
        <w:t>concerns and needs</w:t>
      </w:r>
      <w:r w:rsidR="00E364BF" w:rsidRPr="0066637D">
        <w:t xml:space="preserve"> (</w:t>
      </w:r>
      <w:proofErr w:type="spellStart"/>
      <w:r w:rsidR="00E364BF" w:rsidRPr="0066637D">
        <w:t>Donais</w:t>
      </w:r>
      <w:proofErr w:type="spellEnd"/>
      <w:r w:rsidR="00E364BF" w:rsidRPr="0066637D">
        <w:t xml:space="preserve"> 2009). </w:t>
      </w:r>
      <w:r w:rsidR="00095BB5" w:rsidRPr="0066637D">
        <w:t>Nonetheless</w:t>
      </w:r>
      <w:r w:rsidR="00E364BF" w:rsidRPr="0066637D">
        <w:t>, building democratic institutions is exactly about constructing systems and processes that enable dispar</w:t>
      </w:r>
      <w:r w:rsidRPr="0066637D">
        <w:t xml:space="preserve">ate, and sometimes conflicting, </w:t>
      </w:r>
      <w:r w:rsidR="00E364BF" w:rsidRPr="0066637D">
        <w:t xml:space="preserve">voices to be heard rather than </w:t>
      </w:r>
      <w:r w:rsidR="00095BB5" w:rsidRPr="0066637D">
        <w:t>side-lining or silencing</w:t>
      </w:r>
      <w:r w:rsidR="00E364BF" w:rsidRPr="0066637D">
        <w:t xml:space="preserve"> them (see </w:t>
      </w:r>
      <w:proofErr w:type="spellStart"/>
      <w:r w:rsidR="00E364BF" w:rsidRPr="0066637D">
        <w:t>Cubitt</w:t>
      </w:r>
      <w:proofErr w:type="spellEnd"/>
      <w:r w:rsidR="00E364BF" w:rsidRPr="0066637D">
        <w:t xml:space="preserve"> 2013; Nathan 2007). It is precisely because society is heterogeneous that </w:t>
      </w:r>
      <w:r w:rsidRPr="0066637D">
        <w:t xml:space="preserve">the </w:t>
      </w:r>
      <w:r w:rsidR="00E364BF" w:rsidRPr="0066637D">
        <w:t xml:space="preserve">voices </w:t>
      </w:r>
      <w:r w:rsidRPr="0066637D">
        <w:t xml:space="preserve">of different societal groups </w:t>
      </w:r>
      <w:r w:rsidR="00E364BF" w:rsidRPr="0066637D">
        <w:t xml:space="preserve">need to be heard in any peacebuilding process if it is to </w:t>
      </w:r>
      <w:r w:rsidRPr="0066637D">
        <w:t>be</w:t>
      </w:r>
      <w:r w:rsidR="00E364BF" w:rsidRPr="0066637D">
        <w:t xml:space="preserve"> success</w:t>
      </w:r>
      <w:r w:rsidRPr="0066637D">
        <w:t>ful</w:t>
      </w:r>
      <w:r w:rsidR="00E364BF" w:rsidRPr="0066637D">
        <w:t xml:space="preserve">. </w:t>
      </w:r>
      <w:r w:rsidR="00F23CF5" w:rsidRPr="0066637D">
        <w:t xml:space="preserve">Ignoring disparate voices in SSR programmes does not decrease </w:t>
      </w:r>
      <w:r w:rsidR="00A74B34" w:rsidRPr="0066637D">
        <w:t xml:space="preserve">the complexity of SSR and chances of failure; it merely disguises the complexity and fails to address aspects that might otherwise lead to success. The success of SSR depends upon recognising the complexity of the reform process and ensuring there are mechanisms </w:t>
      </w:r>
      <w:r w:rsidR="00C10D0D" w:rsidRPr="0066637D">
        <w:t xml:space="preserve">in place </w:t>
      </w:r>
      <w:r w:rsidR="00A74B34" w:rsidRPr="0066637D">
        <w:t>that enable the voices of different actors across society to inform the process</w:t>
      </w:r>
      <w:r w:rsidR="00E364BF" w:rsidRPr="0066637D">
        <w:t xml:space="preserve"> (see </w:t>
      </w:r>
      <w:proofErr w:type="spellStart"/>
      <w:r w:rsidR="00E364BF" w:rsidRPr="0066637D">
        <w:t>Benedix</w:t>
      </w:r>
      <w:proofErr w:type="spellEnd"/>
      <w:r w:rsidR="00E364BF" w:rsidRPr="0066637D">
        <w:t xml:space="preserve"> and Stanley 2008; Nathan 2007). Compromising sustainability and the democratic process in favour of quick-wins is </w:t>
      </w:r>
      <w:r w:rsidR="00C10D0D" w:rsidRPr="0066637D">
        <w:t xml:space="preserve">therefore </w:t>
      </w:r>
      <w:r w:rsidR="00E364BF" w:rsidRPr="0066637D">
        <w:t xml:space="preserve">either short-sighted or </w:t>
      </w:r>
      <w:r w:rsidR="00C10D0D" w:rsidRPr="0066637D">
        <w:t>imperialist</w:t>
      </w:r>
      <w:r w:rsidR="00D13655" w:rsidRPr="0066637D">
        <w:t>ically motivated</w:t>
      </w:r>
      <w:r w:rsidR="00E364BF" w:rsidRPr="0066637D">
        <w:t xml:space="preserve">, and likely to paradoxically </w:t>
      </w:r>
      <w:r w:rsidR="00F23CF5" w:rsidRPr="0066637D">
        <w:t>prolong</w:t>
      </w:r>
      <w:r w:rsidR="00E364BF" w:rsidRPr="0066637D">
        <w:t xml:space="preserve"> the presence of external actors (see </w:t>
      </w:r>
      <w:proofErr w:type="spellStart"/>
      <w:r w:rsidR="00E364BF" w:rsidRPr="0066637D">
        <w:t>Cubitt</w:t>
      </w:r>
      <w:proofErr w:type="spellEnd"/>
      <w:r w:rsidR="00E364BF" w:rsidRPr="0066637D">
        <w:t xml:space="preserve"> 2013; </w:t>
      </w:r>
      <w:proofErr w:type="spellStart"/>
      <w:r w:rsidR="00E364BF" w:rsidRPr="0066637D">
        <w:t>Narten</w:t>
      </w:r>
      <w:proofErr w:type="spellEnd"/>
      <w:r w:rsidR="00E364BF" w:rsidRPr="0066637D">
        <w:t xml:space="preserve"> 2009; Nathan 2007).</w:t>
      </w:r>
    </w:p>
    <w:p w:rsidR="00E364BF" w:rsidRPr="0066637D" w:rsidRDefault="00E364BF" w:rsidP="00E364BF">
      <w:r w:rsidRPr="0066637D">
        <w:rPr>
          <w:rStyle w:val="A2"/>
          <w:b w:val="0"/>
          <w:sz w:val="24"/>
          <w:szCs w:val="24"/>
        </w:rPr>
        <w:t xml:space="preserve">As well as having a broad understanding of who the locals are and what they should own, it is equally important not to limit the timeframe within which ‘locals’ ‘own’. It is important to engage civil society and representatives at the community level throughout the SSR process. Security needs and concerns will change over time and the impact of various decisions at various points in the design and implementation stages can have an instrumental and long-lasting impact upon the future security of communities and individuals within those communities. </w:t>
      </w:r>
      <w:r w:rsidRPr="0066637D">
        <w:t xml:space="preserve">The nature of the involvement will, to </w:t>
      </w:r>
      <w:r w:rsidR="00F05057" w:rsidRPr="0066637D">
        <w:t>an</w:t>
      </w:r>
      <w:r w:rsidRPr="0066637D">
        <w:t xml:space="preserve"> extent, depend upon the nature of the stakeholder and, of course, the specific context (see </w:t>
      </w:r>
      <w:proofErr w:type="spellStart"/>
      <w:r w:rsidRPr="0066637D">
        <w:t>Mobekk</w:t>
      </w:r>
      <w:proofErr w:type="spellEnd"/>
      <w:r w:rsidRPr="0066637D">
        <w:t xml:space="preserve"> 2010). However, the needs and concerns of all stakeholders should be </w:t>
      </w:r>
      <w:r w:rsidR="00FE4E2B" w:rsidRPr="0066637D">
        <w:t>considered</w:t>
      </w:r>
      <w:r w:rsidRPr="0066637D">
        <w:t xml:space="preserve"> in the process and inform reform decisions, with the result that SSR outcomes </w:t>
      </w:r>
      <w:r w:rsidR="00766282" w:rsidRPr="0066637D">
        <w:t>can be said to be</w:t>
      </w:r>
      <w:r w:rsidRPr="0066637D">
        <w:t xml:space="preserve"> broadly owned by local actors across society (see </w:t>
      </w:r>
      <w:proofErr w:type="spellStart"/>
      <w:r w:rsidRPr="0066637D">
        <w:t>Narten</w:t>
      </w:r>
      <w:proofErr w:type="spellEnd"/>
      <w:r w:rsidRPr="0066637D">
        <w:t xml:space="preserve"> 2009). </w:t>
      </w:r>
    </w:p>
    <w:p w:rsidR="00E364BF" w:rsidRPr="0066637D" w:rsidRDefault="00E364BF" w:rsidP="00E364BF">
      <w:r w:rsidRPr="0066637D">
        <w:t>Engaging more people for longer durations in SSR processes increases the time as well as complexity and cost of SSR programmes. However, SSR should be approached as a long-</w:t>
      </w:r>
      <w:r w:rsidRPr="0066637D">
        <w:lastRenderedPageBreak/>
        <w:t xml:space="preserve">term endeavour, prioritising inclusive and bottom-up approaches to building peace and security and acknowledging that the process of SSR is instrumental to its outcome and sustainability (see Keane and </w:t>
      </w:r>
      <w:proofErr w:type="spellStart"/>
      <w:r w:rsidRPr="0066637D">
        <w:t>Downes</w:t>
      </w:r>
      <w:proofErr w:type="spellEnd"/>
      <w:r w:rsidRPr="0066637D">
        <w:t xml:space="preserve"> 2012; Nathan 2007; </w:t>
      </w:r>
      <w:proofErr w:type="spellStart"/>
      <w:r w:rsidRPr="0066637D">
        <w:t>Sedra</w:t>
      </w:r>
      <w:proofErr w:type="spellEnd"/>
      <w:r w:rsidRPr="0066637D">
        <w:t xml:space="preserve"> 2010a). Indeed, if SSR is to be effective it is argued that the way in which it is done (the process), including the extent to which local actors across society drive the process, should be considered as important as the structures </w:t>
      </w:r>
      <w:r w:rsidR="0064143B" w:rsidRPr="0066637D">
        <w:t>that are built</w:t>
      </w:r>
      <w:r w:rsidRPr="0066637D">
        <w:t xml:space="preserve"> (Nathan 2007; </w:t>
      </w:r>
      <w:proofErr w:type="spellStart"/>
      <w:r w:rsidRPr="0066637D">
        <w:t>Panarelli</w:t>
      </w:r>
      <w:proofErr w:type="spellEnd"/>
      <w:r w:rsidRPr="0066637D">
        <w:t xml:space="preserve"> 2010). This is the case no matter how much longer the process takes and irrespective of whether decisions reached aren’t fully favoured by the donor agency or wider international community: for results, if unsustainable, are irrelevant (Nathan 2007; OECD 2009). </w:t>
      </w:r>
    </w:p>
    <w:p w:rsidR="00E364BF" w:rsidRPr="0066637D" w:rsidRDefault="00E364BF" w:rsidP="00E364BF"/>
    <w:p w:rsidR="00E159FF" w:rsidRPr="0066637D" w:rsidRDefault="00E364BF" w:rsidP="001C3FA4">
      <w:pPr>
        <w:pStyle w:val="Heading3"/>
      </w:pPr>
      <w:proofErr w:type="spellStart"/>
      <w:r w:rsidRPr="0066637D">
        <w:t>Statebuilding</w:t>
      </w:r>
      <w:proofErr w:type="spellEnd"/>
      <w:r w:rsidRPr="0066637D">
        <w:t>, SSR</w:t>
      </w:r>
      <w:r w:rsidR="00406C27" w:rsidRPr="0066637D">
        <w:t xml:space="preserve"> and </w:t>
      </w:r>
      <w:r w:rsidR="005B1008" w:rsidRPr="0066637D">
        <w:t>Resilience</w:t>
      </w:r>
    </w:p>
    <w:p w:rsidR="00E364BF" w:rsidRPr="0066637D" w:rsidRDefault="00E364BF" w:rsidP="00E364BF">
      <w:r w:rsidRPr="0066637D">
        <w:t xml:space="preserve">In order to operationalise substantive, inclusive local ownership of SSR programmes, it is argued that a bottom-up approach to SSR be implemented alongside the </w:t>
      </w:r>
      <w:r w:rsidR="00DF5654" w:rsidRPr="0066637D">
        <w:t>largely</w:t>
      </w:r>
      <w:r w:rsidRPr="0066637D">
        <w:t xml:space="preserve"> top-down, state-centric approach that has dominated SSR to date (Baker and </w:t>
      </w:r>
      <w:proofErr w:type="spellStart"/>
      <w:r w:rsidRPr="0066637D">
        <w:t>Scheye</w:t>
      </w:r>
      <w:proofErr w:type="spellEnd"/>
      <w:r w:rsidRPr="0066637D">
        <w:t xml:space="preserve"> 2007; </w:t>
      </w:r>
      <w:proofErr w:type="spellStart"/>
      <w:r w:rsidRPr="0066637D">
        <w:t>Caparini</w:t>
      </w:r>
      <w:proofErr w:type="spellEnd"/>
      <w:r w:rsidRPr="0066637D">
        <w:t xml:space="preserve"> 2010; Jackson 2011). The security sector is often perceived as representing ‘the defining element of modern statehood’ (</w:t>
      </w:r>
      <w:proofErr w:type="spellStart"/>
      <w:r w:rsidRPr="0066637D">
        <w:t>Benedix</w:t>
      </w:r>
      <w:proofErr w:type="spellEnd"/>
      <w:r w:rsidRPr="0066637D">
        <w:t xml:space="preserve"> and Stanley 2008, 97) and SSR is often central to </w:t>
      </w:r>
      <w:proofErr w:type="spellStart"/>
      <w:r w:rsidRPr="0066637D">
        <w:t>statebuilding</w:t>
      </w:r>
      <w:proofErr w:type="spellEnd"/>
      <w:r w:rsidRPr="0066637D">
        <w:t xml:space="preserve"> efforts, as has been seen in Afghanistan, Iraq and Sierra Leone, for instance (Jackson 2011). However, as with </w:t>
      </w:r>
      <w:proofErr w:type="spellStart"/>
      <w:r w:rsidRPr="0066637D">
        <w:t>statebuilding</w:t>
      </w:r>
      <w:proofErr w:type="spellEnd"/>
      <w:r w:rsidRPr="0066637D">
        <w:t>, the focus of SSR is often on building state institutions with less regard for building relationship</w:t>
      </w:r>
      <w:r w:rsidR="00D768BE" w:rsidRPr="0066637D">
        <w:t>s</w:t>
      </w:r>
      <w:r w:rsidRPr="0066637D">
        <w:t xml:space="preserve"> between the people and the state (Andersen 2012;</w:t>
      </w:r>
      <w:r w:rsidR="00060919" w:rsidRPr="0066637D">
        <w:t xml:space="preserve"> </w:t>
      </w:r>
      <w:proofErr w:type="spellStart"/>
      <w:r w:rsidR="00060919" w:rsidRPr="0066637D">
        <w:t>Donais</w:t>
      </w:r>
      <w:proofErr w:type="spellEnd"/>
      <w:r w:rsidR="00060919" w:rsidRPr="0066637D">
        <w:t xml:space="preserve"> and Knorr 2013;</w:t>
      </w:r>
      <w:r w:rsidRPr="0066637D">
        <w:t xml:space="preserve"> Jackson 2010, 2011). In Iraq, for instance, the US helped construct state institutions </w:t>
      </w:r>
      <w:r w:rsidR="00D768BE" w:rsidRPr="0066637D">
        <w:t xml:space="preserve">that were </w:t>
      </w:r>
      <w:r w:rsidRPr="0066637D">
        <w:t>alien to the local population and at odds with the political, cultural and historical context, contributing little to the development of an organic relationship between the state and its people, and little public support for the state (Jackson 2010). The time and cost constraints inherent to many SSR programmes, as mentioned earlier, can also lend themselves to an almost exclusive focus on technical assistance, and training and equipping security institutions, and so by-pass efforts to ensure comprehensive local engagement and ownership.</w:t>
      </w:r>
    </w:p>
    <w:p w:rsidR="00E364BF" w:rsidRPr="0066637D" w:rsidRDefault="00E364BF" w:rsidP="00E364BF">
      <w:r w:rsidRPr="0066637D">
        <w:t>Particularly post 9/11, weak states are regarded as potentially greater threats to international peace and security than more powerful states. To counter some of these threats, much effort has been focussed on building the capacity of post-conflict states in an effort to build state resilience in the face of potential armed conflict and other risks (Duffield 2007; Patrick 2011). This has coincided with increased suspicion of non-state groups, which, combined with other factors such as perceived weakness of civil society in conflict-affected and conflict-vulnerable states, reinforces state-centric, top-down approaches to SSR (</w:t>
      </w:r>
      <w:proofErr w:type="spellStart"/>
      <w:r w:rsidRPr="0066637D">
        <w:t>Caparini</w:t>
      </w:r>
      <w:proofErr w:type="spellEnd"/>
      <w:r w:rsidRPr="0066637D">
        <w:t xml:space="preserve"> 2010). This could be seen, for example, with the marginalisation of civil society in SSR processes in Afghanistan, which came across as international community disregard for the security concerns and needs of Afghan citizens. This, in turn, undermined the legitimacy and public support for the International Security Assistance Force (ISAF) and contributed to its failure to control the growing insurgency</w:t>
      </w:r>
      <w:r w:rsidRPr="0066637D">
        <w:rPr>
          <w:rFonts w:cs="Palatino LT Std"/>
          <w:color w:val="000000"/>
          <w:sz w:val="20"/>
          <w:szCs w:val="20"/>
        </w:rPr>
        <w:t xml:space="preserve"> </w:t>
      </w:r>
      <w:r w:rsidRPr="0066637D">
        <w:t>(</w:t>
      </w:r>
      <w:proofErr w:type="spellStart"/>
      <w:r w:rsidRPr="0066637D">
        <w:t>Caparini</w:t>
      </w:r>
      <w:proofErr w:type="spellEnd"/>
      <w:r w:rsidRPr="0066637D">
        <w:t xml:space="preserve"> 2010). As has been referred to earlier, occasional consultation, information delivery and limited engagement in oversight of SSR </w:t>
      </w:r>
      <w:r w:rsidRPr="0066637D">
        <w:lastRenderedPageBreak/>
        <w:t>outcomes (rather than the process itself) at best tend to characterise the involvement of people at the community level in SSR.</w:t>
      </w:r>
    </w:p>
    <w:p w:rsidR="00E364BF" w:rsidRPr="0066637D" w:rsidRDefault="00E364BF" w:rsidP="00E364BF">
      <w:pPr>
        <w:rPr>
          <w:rFonts w:cs="Calibri"/>
        </w:rPr>
      </w:pPr>
      <w:r w:rsidRPr="0066637D">
        <w:t xml:space="preserve">The focus, therefore, is on the </w:t>
      </w:r>
      <w:r w:rsidR="00BA2306" w:rsidRPr="0066637D">
        <w:t>state</w:t>
      </w:r>
      <w:r w:rsidRPr="0066637D">
        <w:t>, its institutions and leaders and less on people</w:t>
      </w:r>
      <w:r w:rsidR="00BA2306" w:rsidRPr="0066637D">
        <w:t>,</w:t>
      </w:r>
      <w:r w:rsidRPr="0066637D">
        <w:t xml:space="preserve"> the community or the relationship between the state and its people. However, as</w:t>
      </w:r>
      <w:r w:rsidRPr="0066637D">
        <w:rPr>
          <w:rFonts w:cs="Calibri"/>
        </w:rPr>
        <w:t xml:space="preserve"> Jackson (2010) emphasises, the state requires legitimacy and, in order to </w:t>
      </w:r>
      <w:r w:rsidR="00F53761" w:rsidRPr="0066637D">
        <w:rPr>
          <w:rFonts w:cs="Calibri"/>
        </w:rPr>
        <w:t>gain it</w:t>
      </w:r>
      <w:r w:rsidRPr="0066637D">
        <w:rPr>
          <w:rFonts w:cs="Calibri"/>
        </w:rPr>
        <w:t xml:space="preserve">, public support. In order to solicit that support, civil society and the wider public must be involved in the </w:t>
      </w:r>
      <w:proofErr w:type="spellStart"/>
      <w:r w:rsidRPr="0066637D">
        <w:rPr>
          <w:rFonts w:cs="Calibri"/>
        </w:rPr>
        <w:t>statebuilding</w:t>
      </w:r>
      <w:proofErr w:type="spellEnd"/>
      <w:r w:rsidRPr="0066637D">
        <w:rPr>
          <w:rFonts w:cs="Calibri"/>
        </w:rPr>
        <w:t xml:space="preserve"> project for it to be meaningful and to resonate with cultural values. As </w:t>
      </w:r>
      <w:proofErr w:type="spellStart"/>
      <w:r w:rsidRPr="0066637D">
        <w:rPr>
          <w:rFonts w:cs="Calibri"/>
        </w:rPr>
        <w:t>Kostovicova</w:t>
      </w:r>
      <w:proofErr w:type="spellEnd"/>
      <w:r w:rsidRPr="0066637D">
        <w:rPr>
          <w:rFonts w:cs="Calibri"/>
        </w:rPr>
        <w:t xml:space="preserve"> suggests in respec</w:t>
      </w:r>
      <w:r w:rsidR="00A26418" w:rsidRPr="0066637D">
        <w:rPr>
          <w:rFonts w:cs="Calibri"/>
        </w:rPr>
        <w:t xml:space="preserve">t of governance, </w:t>
      </w:r>
      <w:proofErr w:type="spellStart"/>
      <w:r w:rsidR="00A26418" w:rsidRPr="0066637D">
        <w:rPr>
          <w:rFonts w:cs="Calibri"/>
        </w:rPr>
        <w:t>statebuilding</w:t>
      </w:r>
      <w:proofErr w:type="spellEnd"/>
      <w:r w:rsidR="00A26418" w:rsidRPr="0066637D">
        <w:rPr>
          <w:rFonts w:cs="Calibri"/>
        </w:rPr>
        <w:t xml:space="preserve"> </w:t>
      </w:r>
      <w:r w:rsidRPr="0066637D">
        <w:rPr>
          <w:rFonts w:cs="Calibri"/>
        </w:rPr>
        <w:t>is more than just a technocratic exercise; it is about building relationships between the governed and the governors and, as such, ‘it relies on the governed having a stake in the process by having a ‘say’ in it’ (</w:t>
      </w:r>
      <w:proofErr w:type="spellStart"/>
      <w:r w:rsidRPr="0066637D">
        <w:rPr>
          <w:rFonts w:cs="Calibri"/>
        </w:rPr>
        <w:t>Kostovicova</w:t>
      </w:r>
      <w:proofErr w:type="spellEnd"/>
      <w:r w:rsidRPr="0066637D">
        <w:rPr>
          <w:rFonts w:cs="Calibri"/>
        </w:rPr>
        <w:t xml:space="preserve"> 2008, 643). As the primary conceptual framework in which we understand the relationship between the state and the citizen, Knight (2009) argues that </w:t>
      </w:r>
      <w:r w:rsidR="007459B0" w:rsidRPr="0066637D">
        <w:rPr>
          <w:rFonts w:cs="Calibri"/>
        </w:rPr>
        <w:t xml:space="preserve">SSR should incorporate </w:t>
      </w:r>
      <w:r w:rsidRPr="0066637D">
        <w:rPr>
          <w:rFonts w:cs="Calibri"/>
        </w:rPr>
        <w:t>a social contract perspective</w:t>
      </w:r>
      <w:r w:rsidR="007459B0" w:rsidRPr="0066637D">
        <w:rPr>
          <w:rFonts w:cs="Calibri"/>
        </w:rPr>
        <w:t>,</w:t>
      </w:r>
      <w:r w:rsidRPr="0066637D">
        <w:rPr>
          <w:rFonts w:cs="Calibri"/>
        </w:rPr>
        <w:t xml:space="preserve"> </w:t>
      </w:r>
      <w:r w:rsidR="007459B0" w:rsidRPr="0066637D">
        <w:rPr>
          <w:rFonts w:cs="Calibri"/>
        </w:rPr>
        <w:t xml:space="preserve">through which citizens </w:t>
      </w:r>
      <w:r w:rsidR="00A26418" w:rsidRPr="0066637D">
        <w:rPr>
          <w:rFonts w:cs="Calibri"/>
        </w:rPr>
        <w:t xml:space="preserve">are seen to </w:t>
      </w:r>
      <w:r w:rsidR="007459B0" w:rsidRPr="0066637D">
        <w:rPr>
          <w:rFonts w:cs="Calibri"/>
        </w:rPr>
        <w:t>bestow legitimacy upon the state</w:t>
      </w:r>
      <w:r w:rsidRPr="0066637D">
        <w:rPr>
          <w:rFonts w:cs="Calibri"/>
        </w:rPr>
        <w:t xml:space="preserve">. This would shift the focus of attention from state structures (as well as formal civil society and community-level structures) to the relationship between the state and its citizens, and, thus, more likely result in successful SSR and broader </w:t>
      </w:r>
      <w:proofErr w:type="spellStart"/>
      <w:r w:rsidRPr="0066637D">
        <w:rPr>
          <w:rFonts w:cs="Calibri"/>
        </w:rPr>
        <w:t>statebuilding</w:t>
      </w:r>
      <w:proofErr w:type="spellEnd"/>
      <w:r w:rsidRPr="0066637D">
        <w:rPr>
          <w:rFonts w:cs="Calibri"/>
        </w:rPr>
        <w:t xml:space="preserve">. </w:t>
      </w:r>
    </w:p>
    <w:p w:rsidR="00582DEE" w:rsidRPr="0066637D" w:rsidRDefault="00DF5654" w:rsidP="00C21B04">
      <w:r w:rsidRPr="0066637D">
        <w:t xml:space="preserve">The focus of SSR, however, remains on </w:t>
      </w:r>
      <w:r w:rsidR="00E364BF" w:rsidRPr="0066637D">
        <w:t>building or reforming state security a</w:t>
      </w:r>
      <w:r w:rsidR="00373619" w:rsidRPr="0066637D">
        <w:t xml:space="preserve">nd justice sector institutions. </w:t>
      </w:r>
      <w:r w:rsidRPr="0066637D">
        <w:t xml:space="preserve">Building state institutions is instrumental to building state resilience and, thus, to the peacebuilding process. </w:t>
      </w:r>
      <w:r w:rsidR="00DD64F0" w:rsidRPr="0066637D">
        <w:t xml:space="preserve">However, without ensuring substantive and inclusive local ownership of SSR programmes, security and justice sector institutions will not be accountable or responsive to the needs of the people and will, therefore, lack public trust and confidence.  This would leave the state vulnerable to renewed outbreaks of conflict. </w:t>
      </w:r>
      <w:r w:rsidR="00582DEE" w:rsidRPr="0066637D">
        <w:t>Where SSR programmes are imposed by external actors or driven by the self-interest of elite groups</w:t>
      </w:r>
      <w:r w:rsidR="00373619" w:rsidRPr="0066637D">
        <w:t xml:space="preserve">, they are </w:t>
      </w:r>
      <w:r w:rsidR="00582DEE" w:rsidRPr="0066637D">
        <w:t xml:space="preserve">likely to have little resonance with the everyday experience of people at the community level (see de Coning 2013; OECD 2005; </w:t>
      </w:r>
      <w:proofErr w:type="spellStart"/>
      <w:r w:rsidR="00582DEE" w:rsidRPr="0066637D">
        <w:t>Scheye</w:t>
      </w:r>
      <w:proofErr w:type="spellEnd"/>
      <w:r w:rsidR="00582DEE" w:rsidRPr="0066637D">
        <w:t xml:space="preserve"> 2008). As Samuels has argued, the focus on building </w:t>
      </w:r>
      <w:r w:rsidR="00373619" w:rsidRPr="0066637D">
        <w:t xml:space="preserve">predominantly </w:t>
      </w:r>
      <w:r w:rsidR="00582DEE" w:rsidRPr="0066637D">
        <w:t xml:space="preserve">Western-inspired institutions and structures ‘has largely resulted in shell-like institutions, un-enforced and poorly understood legislation, and judges and police with little commitment to the rights and values sought to be entrenched through the reform’ (Samuels 2006, 18). In short, </w:t>
      </w:r>
      <w:r w:rsidR="00C21B04" w:rsidRPr="0066637D">
        <w:t xml:space="preserve">SSR programmes that are not informed by the needs and concerns of people across society, </w:t>
      </w:r>
      <w:r w:rsidR="00582DEE" w:rsidRPr="0066637D">
        <w:t>weaken state resilience and encourage depende</w:t>
      </w:r>
      <w:r w:rsidR="00373619" w:rsidRPr="0066637D">
        <w:t xml:space="preserve">ncy, </w:t>
      </w:r>
      <w:r w:rsidR="00582DEE" w:rsidRPr="0066637D">
        <w:t xml:space="preserve">instability </w:t>
      </w:r>
      <w:r w:rsidR="00373619" w:rsidRPr="0066637D">
        <w:t xml:space="preserve">and insecurity </w:t>
      </w:r>
      <w:r w:rsidR="00582DEE" w:rsidRPr="0066637D">
        <w:t>(</w:t>
      </w:r>
      <w:r w:rsidR="00373619" w:rsidRPr="0066637D">
        <w:t xml:space="preserve">see </w:t>
      </w:r>
      <w:r w:rsidR="00582DEE" w:rsidRPr="0066637D">
        <w:t>de Coning 2013</w:t>
      </w:r>
      <w:r w:rsidR="00F10AE4" w:rsidRPr="0066637D">
        <w:t xml:space="preserve">; </w:t>
      </w:r>
      <w:r w:rsidR="00373619" w:rsidRPr="0066637D">
        <w:t>Jackson 2012</w:t>
      </w:r>
      <w:r w:rsidR="00F10AE4" w:rsidRPr="0066637D">
        <w:t xml:space="preserve">; </w:t>
      </w:r>
      <w:proofErr w:type="spellStart"/>
      <w:r w:rsidR="00F10AE4" w:rsidRPr="0066637D">
        <w:t>Narten</w:t>
      </w:r>
      <w:proofErr w:type="spellEnd"/>
      <w:r w:rsidR="00F10AE4" w:rsidRPr="0066637D">
        <w:t xml:space="preserve"> 2009</w:t>
      </w:r>
      <w:r w:rsidR="00582DEE" w:rsidRPr="0066637D">
        <w:t>), as has been seen in Afghanistan (</w:t>
      </w:r>
      <w:proofErr w:type="spellStart"/>
      <w:r w:rsidR="00582DEE" w:rsidRPr="0066637D">
        <w:t>Caparini</w:t>
      </w:r>
      <w:proofErr w:type="spellEnd"/>
      <w:r w:rsidR="00582DEE" w:rsidRPr="0066637D">
        <w:t xml:space="preserve"> 2010), Kosovo (Jackson 2012) and Liberia (</w:t>
      </w:r>
      <w:proofErr w:type="spellStart"/>
      <w:r w:rsidR="00582DEE" w:rsidRPr="0066637D">
        <w:t>Podder</w:t>
      </w:r>
      <w:proofErr w:type="spellEnd"/>
      <w:r w:rsidR="00582DEE" w:rsidRPr="0066637D">
        <w:t xml:space="preserve"> 2013), for instance.</w:t>
      </w:r>
    </w:p>
    <w:p w:rsidR="00E364BF" w:rsidRPr="0066637D" w:rsidRDefault="00E364BF" w:rsidP="00C21B04">
      <w:r w:rsidRPr="0066637D">
        <w:t>Darby (2009) recommends privileging the everyday as an alternative to</w:t>
      </w:r>
      <w:r w:rsidR="00582DEE" w:rsidRPr="0066637D">
        <w:t>, what he considers to be,</w:t>
      </w:r>
      <w:r w:rsidRPr="0066637D">
        <w:t xml:space="preserve"> the </w:t>
      </w:r>
      <w:proofErr w:type="spellStart"/>
      <w:r w:rsidRPr="0066637D">
        <w:t>colonialising</w:t>
      </w:r>
      <w:proofErr w:type="spellEnd"/>
      <w:r w:rsidRPr="0066637D">
        <w:t xml:space="preserve"> impulse of peacebuilding, and argues that listening to those who might otherwise be excluded or marginalised in peacebuilding endeavours can help secure a lasting peace:</w:t>
      </w:r>
    </w:p>
    <w:p w:rsidR="00E364BF" w:rsidRPr="0066637D" w:rsidRDefault="00E364BF" w:rsidP="00E364BF">
      <w:pPr>
        <w:pStyle w:val="Quote"/>
      </w:pPr>
      <w:r w:rsidRPr="0066637D">
        <w:t>In many situations, whether a peace can be made or maintained may depend more on these grounded, personalized understandings – experiential knowledge – than on the geopolitical calculations and theoretical postulates of those skilled in state-building and diplomatic negotiation (Darby 2009, 712).</w:t>
      </w:r>
    </w:p>
    <w:p w:rsidR="00E364BF" w:rsidRPr="0066637D" w:rsidRDefault="005B1008" w:rsidP="00E364BF">
      <w:r w:rsidRPr="0066637D">
        <w:lastRenderedPageBreak/>
        <w:t>To reiterate</w:t>
      </w:r>
      <w:r w:rsidR="00E364BF" w:rsidRPr="0066637D">
        <w:t xml:space="preserve">, there can be serious consequences for the legitimacy and success of </w:t>
      </w:r>
      <w:r w:rsidRPr="0066637D">
        <w:t>SSR and wider peacebuilding</w:t>
      </w:r>
      <w:r w:rsidR="00E364BF" w:rsidRPr="0066637D">
        <w:t xml:space="preserve"> processes without actively and meaningfully engaging people at the community level. </w:t>
      </w:r>
      <w:r w:rsidRPr="0066637D">
        <w:t xml:space="preserve">As </w:t>
      </w:r>
      <w:proofErr w:type="spellStart"/>
      <w:r w:rsidRPr="0066637D">
        <w:t>Cubitt</w:t>
      </w:r>
      <w:proofErr w:type="spellEnd"/>
      <w:r w:rsidRPr="0066637D">
        <w:t xml:space="preserve"> (2013) argues, this is particularly </w:t>
      </w:r>
      <w:r w:rsidR="00E364BF" w:rsidRPr="0066637D">
        <w:t xml:space="preserve">because those outside communities (and states) that have suffered conflict are likely to be less able to identify peace and security in those places, especially how they are interpreted </w:t>
      </w:r>
      <w:r w:rsidRPr="0066637D">
        <w:t>by people living there</w:t>
      </w:r>
      <w:r w:rsidR="00E364BF" w:rsidRPr="0066637D">
        <w:t>.</w:t>
      </w:r>
    </w:p>
    <w:p w:rsidR="00E364BF" w:rsidRPr="0066637D" w:rsidRDefault="005B1008" w:rsidP="00E364BF">
      <w:r w:rsidRPr="0066637D">
        <w:t>It is argued, therefore, that t</w:t>
      </w:r>
      <w:r w:rsidR="00E364BF" w:rsidRPr="0066637D">
        <w:t xml:space="preserve">op-down approaches to building security and justice need to be complemented by attention paid to how security and justice are experienced and understood at the community-level. Such an approach would, as </w:t>
      </w:r>
      <w:proofErr w:type="spellStart"/>
      <w:r w:rsidR="00E364BF" w:rsidRPr="0066637D">
        <w:t>Scheye</w:t>
      </w:r>
      <w:proofErr w:type="spellEnd"/>
      <w:r w:rsidR="00E364BF" w:rsidRPr="0066637D">
        <w:t xml:space="preserve"> (2008) suggests, help to avoid prejudicing SSR outcomes and pre-determining who the local owners should be. Empowering and engaging civil society and those at the community-level can also accelerate the reform process, particularly where there is a lack of will among the political and security elites to engage in reform, and ultimately promote broad-based security and justice (see Berg 2012).</w:t>
      </w:r>
      <w:r w:rsidRPr="0066637D">
        <w:t xml:space="preserve"> </w:t>
      </w:r>
      <w:r w:rsidR="00060919" w:rsidRPr="0066637D">
        <w:t xml:space="preserve">A hybrid SSR approach, which incorporates top-down and bottom-up approaches to building security and justice after conflict, would tick ‘many of the boxes of “local ownership”, “participation” and “sustainability” that external </w:t>
      </w:r>
      <w:proofErr w:type="spellStart"/>
      <w:r w:rsidR="00060919" w:rsidRPr="0066637D">
        <w:t>statebuilders</w:t>
      </w:r>
      <w:proofErr w:type="spellEnd"/>
      <w:r w:rsidR="00060919" w:rsidRPr="0066637D">
        <w:t xml:space="preserve"> crave’ (Mac </w:t>
      </w:r>
      <w:proofErr w:type="spellStart"/>
      <w:r w:rsidR="00060919" w:rsidRPr="0066637D">
        <w:t>Ginty</w:t>
      </w:r>
      <w:proofErr w:type="spellEnd"/>
      <w:r w:rsidR="00060919" w:rsidRPr="0066637D">
        <w:t xml:space="preserve"> 2011, 1). It would also ‘bring back the local voices which are supposed to be a part of the social contract upon which the liberal state is built’ (Richmond 2009, 333) without which the state is not legitimate.</w:t>
      </w:r>
      <w:r w:rsidR="00C37D3E" w:rsidRPr="0066637D">
        <w:t xml:space="preserve"> It would also resonate with the fact that peace and security are not made (or unmade) by a narrow set of actors: they are made and constantly remade by people across society (</w:t>
      </w:r>
      <w:proofErr w:type="spellStart"/>
      <w:r w:rsidR="00C37D3E" w:rsidRPr="0066637D">
        <w:t>MacGinty</w:t>
      </w:r>
      <w:proofErr w:type="spellEnd"/>
      <w:r w:rsidR="00C37D3E" w:rsidRPr="0066637D">
        <w:t xml:space="preserve"> 2011; Richmond 2009).</w:t>
      </w:r>
    </w:p>
    <w:p w:rsidR="00C37D3E" w:rsidRPr="0066637D" w:rsidRDefault="00C37D3E" w:rsidP="00E364BF"/>
    <w:p w:rsidR="00E364BF" w:rsidRPr="0066637D" w:rsidRDefault="00E364BF" w:rsidP="001C3FA4">
      <w:pPr>
        <w:pStyle w:val="Heading3"/>
      </w:pPr>
      <w:r w:rsidRPr="0066637D">
        <w:t>Incorporating Community Safety Structures into SSR Programmes</w:t>
      </w:r>
    </w:p>
    <w:p w:rsidR="007449CB" w:rsidRPr="0066637D" w:rsidRDefault="00E364BF" w:rsidP="00E364BF">
      <w:pPr>
        <w:rPr>
          <w:rFonts w:ascii="Helvetica" w:hAnsi="Helvetica" w:cs="Helvetica"/>
          <w:sz w:val="22"/>
        </w:rPr>
      </w:pPr>
      <w:r w:rsidRPr="0066637D">
        <w:t xml:space="preserve">It is suggested that community-level engagement and, thus, public trust and confidence in state security and justice sector institutions, and ultimately, the state itself, can be promoted in many ways, including through incorporating community safety structures into the framework of SSR programmes. </w:t>
      </w:r>
      <w:r w:rsidR="00E128C7" w:rsidRPr="0066637D">
        <w:t xml:space="preserve">Such structures </w:t>
      </w:r>
      <w:r w:rsidRPr="0066637D">
        <w:t xml:space="preserve">could constitute the mechanisms that </w:t>
      </w:r>
      <w:proofErr w:type="spellStart"/>
      <w:r w:rsidRPr="0066637D">
        <w:t>Benedix</w:t>
      </w:r>
      <w:proofErr w:type="spellEnd"/>
      <w:r w:rsidRPr="0066637D">
        <w:t xml:space="preserve"> and Stanley (2008) suggest are required in order to ensure the multiplicity of security concerns</w:t>
      </w:r>
      <w:r w:rsidR="00E128C7" w:rsidRPr="0066637D">
        <w:t xml:space="preserve"> and</w:t>
      </w:r>
      <w:r w:rsidRPr="0066637D">
        <w:t xml:space="preserve"> needs inform the reform process.</w:t>
      </w:r>
      <w:r w:rsidRPr="0066637D">
        <w:rPr>
          <w:rFonts w:ascii="Helvetica" w:hAnsi="Helvetica" w:cs="Helvetica"/>
          <w:sz w:val="22"/>
        </w:rPr>
        <w:t xml:space="preserve"> </w:t>
      </w:r>
    </w:p>
    <w:p w:rsidR="00E364BF" w:rsidRPr="0066637D" w:rsidRDefault="00E364BF" w:rsidP="00E364BF">
      <w:r w:rsidRPr="0066637D">
        <w:t>Structures or mechanisms at the community level which exist to exchange information about security, address community-level safety and security concerns, and build relationships between communities, police and local government officials, for instance, exist in many countries (</w:t>
      </w:r>
      <w:proofErr w:type="spellStart"/>
      <w:r w:rsidRPr="0066637D">
        <w:t>Bastick</w:t>
      </w:r>
      <w:proofErr w:type="spellEnd"/>
      <w:r w:rsidRPr="0066637D">
        <w:t xml:space="preserve"> and Whitman 2013</w:t>
      </w:r>
      <w:r w:rsidR="00302F03" w:rsidRPr="0066637D">
        <w:t xml:space="preserve">; van </w:t>
      </w:r>
      <w:proofErr w:type="spellStart"/>
      <w:r w:rsidR="00302F03" w:rsidRPr="0066637D">
        <w:t>Tongeren</w:t>
      </w:r>
      <w:proofErr w:type="spellEnd"/>
      <w:r w:rsidR="00302F03" w:rsidRPr="0066637D">
        <w:t xml:space="preserve"> 2013</w:t>
      </w:r>
      <w:r w:rsidRPr="0066637D">
        <w:t>). They can also be referred to as community safety councils, local security forums, district or provincial security committees, citizen security councils, police liaison boards</w:t>
      </w:r>
      <w:r w:rsidR="00E4681C" w:rsidRPr="0066637D">
        <w:t>, police community relations committees, and community policing forums</w:t>
      </w:r>
      <w:r w:rsidRPr="0066637D">
        <w:t xml:space="preserve"> (</w:t>
      </w:r>
      <w:proofErr w:type="spellStart"/>
      <w:r w:rsidRPr="0066637D">
        <w:t>Bastick</w:t>
      </w:r>
      <w:proofErr w:type="spellEnd"/>
      <w:r w:rsidRPr="0066637D">
        <w:t xml:space="preserve"> and Whitman 2013</w:t>
      </w:r>
      <w:r w:rsidR="00E4681C" w:rsidRPr="0066637D">
        <w:t xml:space="preserve">; </w:t>
      </w:r>
      <w:proofErr w:type="spellStart"/>
      <w:r w:rsidR="00E4681C" w:rsidRPr="0066637D">
        <w:t>Saferworld</w:t>
      </w:r>
      <w:proofErr w:type="spellEnd"/>
      <w:r w:rsidR="00E4681C" w:rsidRPr="0066637D">
        <w:t xml:space="preserve"> 2014; Stabilisation Unit 2014</w:t>
      </w:r>
      <w:r w:rsidRPr="0066637D">
        <w:t xml:space="preserve">). Examples of promoting direct engagement in security-related matters at the community level in environments affected by armed conflict can be found with the community </w:t>
      </w:r>
      <w:r w:rsidR="00F14945" w:rsidRPr="0066637D">
        <w:t xml:space="preserve">safety </w:t>
      </w:r>
      <w:r w:rsidR="00A26418" w:rsidRPr="0066637D">
        <w:t xml:space="preserve">(now referred to as community security) </w:t>
      </w:r>
      <w:r w:rsidRPr="0066637D">
        <w:t xml:space="preserve">approach developed in the Balkans by the international NGO </w:t>
      </w:r>
      <w:proofErr w:type="spellStart"/>
      <w:r w:rsidRPr="0066637D">
        <w:t>Saferworld</w:t>
      </w:r>
      <w:proofErr w:type="spellEnd"/>
      <w:r w:rsidRPr="0066637D">
        <w:t xml:space="preserve"> and its partners the Balkan Youth Institute (BUY), the Centre for Security Studies – Bosnia-Herzegovina (CSS), CIVIL and the Forum </w:t>
      </w:r>
      <w:r w:rsidRPr="0066637D">
        <w:lastRenderedPageBreak/>
        <w:t>for Civic Initiatives (FIQ) (</w:t>
      </w:r>
      <w:proofErr w:type="spellStart"/>
      <w:r w:rsidRPr="0066637D">
        <w:t>Sokolová</w:t>
      </w:r>
      <w:proofErr w:type="spellEnd"/>
      <w:r w:rsidRPr="0066637D">
        <w:t xml:space="preserve"> and Smith 2006)</w:t>
      </w:r>
      <w:r w:rsidR="00815F9F" w:rsidRPr="0066637D">
        <w:t xml:space="preserve">. Now referred to as community security, </w:t>
      </w:r>
      <w:proofErr w:type="spellStart"/>
      <w:r w:rsidR="00815F9F" w:rsidRPr="0066637D">
        <w:t>Saferworld’s</w:t>
      </w:r>
      <w:proofErr w:type="spellEnd"/>
      <w:r w:rsidR="00815F9F" w:rsidRPr="0066637D">
        <w:t xml:space="preserve"> approach has</w:t>
      </w:r>
      <w:r w:rsidRPr="0066637D">
        <w:t xml:space="preserve"> since expanded to other conflict-affected environments including South Sudan, Kenya and Nepal (</w:t>
      </w:r>
      <w:r w:rsidR="00277203" w:rsidRPr="0066637D">
        <w:t xml:space="preserve">Donnelly, </w:t>
      </w:r>
      <w:proofErr w:type="spellStart"/>
      <w:r w:rsidR="00277203" w:rsidRPr="0066637D">
        <w:t>Nikolla</w:t>
      </w:r>
      <w:proofErr w:type="spellEnd"/>
      <w:r w:rsidR="00277203" w:rsidRPr="0066637D">
        <w:t xml:space="preserve">, </w:t>
      </w:r>
      <w:proofErr w:type="spellStart"/>
      <w:r w:rsidR="00277203" w:rsidRPr="0066637D">
        <w:t>Poudel</w:t>
      </w:r>
      <w:proofErr w:type="spellEnd"/>
      <w:r w:rsidR="00277203" w:rsidRPr="0066637D">
        <w:t xml:space="preserve"> and Chakraborty 2013</w:t>
      </w:r>
      <w:r w:rsidRPr="0066637D">
        <w:t>).</w:t>
      </w:r>
      <w:r w:rsidR="00A26418" w:rsidRPr="0066637D">
        <w:t xml:space="preserve"> </w:t>
      </w:r>
      <w:r w:rsidRPr="0066637D">
        <w:t>Other examples include local security committees established in Haiti by women’s community support organisations (</w:t>
      </w:r>
      <w:proofErr w:type="spellStart"/>
      <w:r w:rsidRPr="0066637D">
        <w:t>Bastick</w:t>
      </w:r>
      <w:proofErr w:type="spellEnd"/>
      <w:r w:rsidRPr="0066637D">
        <w:t xml:space="preserve"> and Whitman 2013)</w:t>
      </w:r>
      <w:r w:rsidR="00E4681C" w:rsidRPr="0066637D">
        <w:t xml:space="preserve">, </w:t>
      </w:r>
      <w:r w:rsidRPr="0066637D">
        <w:t>Local Security Councils in Columbia and Guatemala (Barnes and Albrecht 2008)</w:t>
      </w:r>
      <w:r w:rsidR="00510D4F" w:rsidRPr="0066637D">
        <w:t xml:space="preserve">, </w:t>
      </w:r>
      <w:r w:rsidR="00510D4F" w:rsidRPr="0066637D">
        <w:rPr>
          <w:rFonts w:ascii="TimesNewRomanPSMT" w:hAnsi="TimesNewRomanPSMT" w:cs="TimesNewRomanPSMT"/>
        </w:rPr>
        <w:t xml:space="preserve">provincial and district-level security committees in Sierra Leone (Kunz and </w:t>
      </w:r>
      <w:proofErr w:type="spellStart"/>
      <w:r w:rsidR="00510D4F" w:rsidRPr="0066637D">
        <w:rPr>
          <w:rFonts w:ascii="TimesNewRomanPSMT" w:hAnsi="TimesNewRomanPSMT" w:cs="TimesNewRomanPSMT"/>
        </w:rPr>
        <w:t>Valasek</w:t>
      </w:r>
      <w:proofErr w:type="spellEnd"/>
      <w:r w:rsidR="00510D4F" w:rsidRPr="0066637D">
        <w:rPr>
          <w:rFonts w:ascii="TimesNewRomanPSMT" w:hAnsi="TimesNewRomanPSMT" w:cs="TimesNewRomanPSMT"/>
        </w:rPr>
        <w:t xml:space="preserve"> 2012),</w:t>
      </w:r>
      <w:r w:rsidR="00E4681C" w:rsidRPr="0066637D">
        <w:t xml:space="preserve"> and </w:t>
      </w:r>
      <w:r w:rsidR="00AE3D84" w:rsidRPr="0066637D">
        <w:t xml:space="preserve">security and justice sub-committees in several District Community Councils in Afghanistan </w:t>
      </w:r>
      <w:r w:rsidR="00195DD1" w:rsidRPr="0066637D">
        <w:t>(Stabilis</w:t>
      </w:r>
      <w:r w:rsidR="00E4681C" w:rsidRPr="0066637D">
        <w:t>ation Unit 2014)</w:t>
      </w:r>
      <w:r w:rsidRPr="0066637D">
        <w:t>.</w:t>
      </w:r>
    </w:p>
    <w:p w:rsidR="00E364BF" w:rsidRPr="0066637D" w:rsidRDefault="00E364BF" w:rsidP="00E364BF">
      <w:r w:rsidRPr="0066637D">
        <w:t xml:space="preserve">In Kosovo, </w:t>
      </w:r>
      <w:r w:rsidRPr="0066637D">
        <w:rPr>
          <w:rStyle w:val="A2"/>
          <w:b w:val="0"/>
          <w:sz w:val="24"/>
          <w:szCs w:val="24"/>
        </w:rPr>
        <w:t xml:space="preserve">Municipal Community Safety Councils (MCSCs), and the </w:t>
      </w:r>
      <w:r w:rsidRPr="0066637D">
        <w:t xml:space="preserve">Local Public Safety Councils (LPSCs) and Community Safety Action Teams (CSATs) which feed into the MCSCs, </w:t>
      </w:r>
      <w:r w:rsidRPr="0066637D">
        <w:rPr>
          <w:rStyle w:val="A2"/>
          <w:b w:val="0"/>
          <w:sz w:val="24"/>
          <w:szCs w:val="24"/>
        </w:rPr>
        <w:t xml:space="preserve">are forums in which representatives of local administrations, the police and communities meet regularly to discuss security needs and concerns and propose solutions. These structures have increased trust and confidence between members of the public and local police and administrative authorities; enhanced co-operation between local, municipal and central-level authorities; helped increase transparency and accountability of state institutions; empowered people at the local level; and also brought communities together and, thus, helped contribute to reconciliation and peacebuilding (Gordon 2010). </w:t>
      </w:r>
      <w:r w:rsidRPr="0066637D">
        <w:t>Ultimately the strengths of community safety approaches lie in the potential to create more effective, efficient, transparent, accountable, inclusive and responsive security institutions and administrative authorities; enable people to influence the decisions that affect their lives and engage in the process of improving their own safety and security; and improve the safety and security of those most at risk who may otherwise be overlooked (Gordon 2010</w:t>
      </w:r>
      <w:r w:rsidR="00F10AE4" w:rsidRPr="0066637D">
        <w:t xml:space="preserve">; </w:t>
      </w:r>
      <w:proofErr w:type="spellStart"/>
      <w:r w:rsidR="00F10AE4" w:rsidRPr="0066637D">
        <w:t>Saferworld</w:t>
      </w:r>
      <w:proofErr w:type="spellEnd"/>
      <w:r w:rsidR="00F10AE4" w:rsidRPr="0066637D">
        <w:t xml:space="preserve"> 2014</w:t>
      </w:r>
      <w:r w:rsidRPr="0066637D">
        <w:t xml:space="preserve">). </w:t>
      </w:r>
    </w:p>
    <w:p w:rsidR="00715F93" w:rsidRPr="0066637D" w:rsidRDefault="00D70A8E" w:rsidP="00715F93">
      <w:pPr>
        <w:rPr>
          <w:lang w:val="en"/>
        </w:rPr>
      </w:pPr>
      <w:r w:rsidRPr="0066637D">
        <w:t>While there are examples of community safety structures that engage local communities in decisions about their own security, frequently these structures are not integrated into SSR processes. Notable exceptions include the establishment of district and provincial security committees in Sierra Leone, which facilitated consultation and participation at the community-level with reform processes (</w:t>
      </w:r>
      <w:proofErr w:type="spellStart"/>
      <w:r w:rsidRPr="0066637D">
        <w:t>Conteh</w:t>
      </w:r>
      <w:proofErr w:type="spellEnd"/>
      <w:r w:rsidRPr="0066637D">
        <w:t xml:space="preserve"> 2007). Also of</w:t>
      </w:r>
      <w:r w:rsidR="008138ED" w:rsidRPr="0066637D">
        <w:t xml:space="preserve"> note is </w:t>
      </w:r>
      <w:proofErr w:type="spellStart"/>
      <w:r w:rsidR="008138ED" w:rsidRPr="0066637D">
        <w:t>Saferworld</w:t>
      </w:r>
      <w:r w:rsidR="000808AC" w:rsidRPr="0066637D">
        <w:t>’s</w:t>
      </w:r>
      <w:proofErr w:type="spellEnd"/>
      <w:r w:rsidR="000808AC" w:rsidRPr="0066637D">
        <w:t xml:space="preserve"> community </w:t>
      </w:r>
      <w:r w:rsidR="009C6629" w:rsidRPr="0066637D">
        <w:t xml:space="preserve">safety </w:t>
      </w:r>
      <w:r w:rsidR="00174EFA" w:rsidRPr="0066637D">
        <w:t>approach and principles</w:t>
      </w:r>
      <w:r w:rsidR="00F10AE4" w:rsidRPr="0066637D">
        <w:t>, which have informed</w:t>
      </w:r>
      <w:r w:rsidR="00174EFA" w:rsidRPr="0066637D">
        <w:t xml:space="preserve"> national security policy, strategies and reform programmes </w:t>
      </w:r>
      <w:r w:rsidR="00F10AE4" w:rsidRPr="0066637D">
        <w:t xml:space="preserve">in </w:t>
      </w:r>
      <w:r w:rsidR="009B5803" w:rsidRPr="0066637D">
        <w:t xml:space="preserve">conflict-affected </w:t>
      </w:r>
      <w:r w:rsidR="00F10AE4" w:rsidRPr="0066637D">
        <w:t xml:space="preserve">places such as Kosovo and Nepal </w:t>
      </w:r>
      <w:r w:rsidR="00174EFA" w:rsidRPr="0066637D">
        <w:t>(</w:t>
      </w:r>
      <w:proofErr w:type="spellStart"/>
      <w:r w:rsidR="00174EFA" w:rsidRPr="0066637D">
        <w:t>Saferworld</w:t>
      </w:r>
      <w:proofErr w:type="spellEnd"/>
      <w:r w:rsidR="00174EFA" w:rsidRPr="0066637D">
        <w:t xml:space="preserve"> 2014). </w:t>
      </w:r>
      <w:proofErr w:type="spellStart"/>
      <w:r w:rsidR="00715F93" w:rsidRPr="0066637D">
        <w:t>Saferworld’s</w:t>
      </w:r>
      <w:proofErr w:type="spellEnd"/>
      <w:r w:rsidR="00BE5010" w:rsidRPr="0066637D">
        <w:t xml:space="preserve"> work in supporting the development of </w:t>
      </w:r>
      <w:r w:rsidR="008138ED" w:rsidRPr="0066637D">
        <w:t>community safety structures</w:t>
      </w:r>
      <w:r w:rsidR="009C6629" w:rsidRPr="0066637D">
        <w:t>,</w:t>
      </w:r>
      <w:r w:rsidR="008138ED" w:rsidRPr="0066637D">
        <w:t xml:space="preserve"> and otherwise engaging those at the community level in decisions about their security</w:t>
      </w:r>
      <w:r w:rsidR="009C6629" w:rsidRPr="0066637D">
        <w:t xml:space="preserve">, has also </w:t>
      </w:r>
      <w:r w:rsidR="00715F93" w:rsidRPr="0066637D">
        <w:t xml:space="preserve">influenced reform processes and contributed to </w:t>
      </w:r>
      <w:r w:rsidR="00540EC1" w:rsidRPr="0066637D">
        <w:t xml:space="preserve">other </w:t>
      </w:r>
      <w:r w:rsidR="00715F93" w:rsidRPr="0066637D">
        <w:t xml:space="preserve">peacebuilding processes. </w:t>
      </w:r>
      <w:r w:rsidR="008138ED" w:rsidRPr="0066637D">
        <w:t xml:space="preserve">For instance, much of their work in Kosovo and Nepal has been to establish dialogue between the community-level and central government structures, particularly in order that state security policy is informed by the concerns of people </w:t>
      </w:r>
      <w:r w:rsidR="001C3FA4" w:rsidRPr="0066637D">
        <w:t xml:space="preserve">(see Donnelly, </w:t>
      </w:r>
      <w:proofErr w:type="spellStart"/>
      <w:r w:rsidR="001C3FA4" w:rsidRPr="0066637D">
        <w:t>Nikolla</w:t>
      </w:r>
      <w:proofErr w:type="spellEnd"/>
      <w:r w:rsidR="001C3FA4" w:rsidRPr="0066637D">
        <w:t xml:space="preserve">, </w:t>
      </w:r>
      <w:proofErr w:type="spellStart"/>
      <w:r w:rsidR="001C3FA4" w:rsidRPr="0066637D">
        <w:t>Poudel</w:t>
      </w:r>
      <w:proofErr w:type="spellEnd"/>
      <w:r w:rsidR="001C3FA4" w:rsidRPr="0066637D">
        <w:t xml:space="preserve"> and Chakraborty 2013). </w:t>
      </w:r>
      <w:r w:rsidR="00596518" w:rsidRPr="0066637D">
        <w:t xml:space="preserve">In Kenya, </w:t>
      </w:r>
      <w:proofErr w:type="spellStart"/>
      <w:r w:rsidR="00596518" w:rsidRPr="0066637D">
        <w:t>Saferworld’s</w:t>
      </w:r>
      <w:proofErr w:type="spellEnd"/>
      <w:r w:rsidR="00596518" w:rsidRPr="0066637D">
        <w:t xml:space="preserve"> work on engaging communities in decisions about security was instrumental to the development of</w:t>
      </w:r>
      <w:r w:rsidR="004C362A" w:rsidRPr="0066637D">
        <w:t xml:space="preserve"> community-based policing and </w:t>
      </w:r>
      <w:r w:rsidR="00596518" w:rsidRPr="0066637D">
        <w:t>broader police reform</w:t>
      </w:r>
      <w:r w:rsidR="00EB666B" w:rsidRPr="0066637D">
        <w:t xml:space="preserve">. This </w:t>
      </w:r>
      <w:r w:rsidR="00952D3C" w:rsidRPr="0066637D">
        <w:t xml:space="preserve">work </w:t>
      </w:r>
      <w:r w:rsidR="001166C2" w:rsidRPr="0066637D">
        <w:t xml:space="preserve">began to result in some improvements in </w:t>
      </w:r>
      <w:r w:rsidR="00EB666B" w:rsidRPr="0066637D">
        <w:t>relations between the police and communities and increased public trust and confidence in the police (</w:t>
      </w:r>
      <w:proofErr w:type="spellStart"/>
      <w:r w:rsidR="00952D3C" w:rsidRPr="0066637D">
        <w:t>Saferworld</w:t>
      </w:r>
      <w:proofErr w:type="spellEnd"/>
      <w:r w:rsidR="00952D3C" w:rsidRPr="0066637D">
        <w:t xml:space="preserve"> 2008).</w:t>
      </w:r>
      <w:r w:rsidR="004B3331" w:rsidRPr="0066637D">
        <w:t xml:space="preserve"> More recently, </w:t>
      </w:r>
      <w:proofErr w:type="spellStart"/>
      <w:r w:rsidR="004B3331" w:rsidRPr="0066637D">
        <w:t>Saferworld</w:t>
      </w:r>
      <w:proofErr w:type="spellEnd"/>
      <w:r w:rsidR="004B3331" w:rsidRPr="0066637D">
        <w:t xml:space="preserve"> received a Bond International Development Award for its work in Kenya </w:t>
      </w:r>
      <w:r w:rsidR="009A0F52" w:rsidRPr="0066637D">
        <w:t>in bringing together</w:t>
      </w:r>
      <w:r w:rsidR="004B3331" w:rsidRPr="0066637D">
        <w:t xml:space="preserve"> </w:t>
      </w:r>
      <w:r w:rsidR="004B3331" w:rsidRPr="0066637D">
        <w:rPr>
          <w:lang w:val="en"/>
        </w:rPr>
        <w:t xml:space="preserve">communities, local authorities and security </w:t>
      </w:r>
      <w:r w:rsidR="004B3331" w:rsidRPr="0066637D">
        <w:rPr>
          <w:lang w:val="en"/>
        </w:rPr>
        <w:lastRenderedPageBreak/>
        <w:t>providers</w:t>
      </w:r>
      <w:r w:rsidR="009A0F52" w:rsidRPr="0066637D">
        <w:rPr>
          <w:lang w:val="en"/>
        </w:rPr>
        <w:t xml:space="preserve"> </w:t>
      </w:r>
      <w:r w:rsidR="000808AC" w:rsidRPr="0066637D">
        <w:rPr>
          <w:lang w:val="en"/>
        </w:rPr>
        <w:t xml:space="preserve">in order </w:t>
      </w:r>
      <w:r w:rsidR="009A0F52" w:rsidRPr="0066637D">
        <w:rPr>
          <w:lang w:val="en"/>
        </w:rPr>
        <w:t>to help build trust, diffuse tension, and identify potential hotspots (Jackson, 2014)</w:t>
      </w:r>
      <w:r w:rsidR="004B3331" w:rsidRPr="0066637D">
        <w:rPr>
          <w:lang w:val="en"/>
        </w:rPr>
        <w:t>, which ‘helped maintain peace and save lives during the 2013 elections in Kenya’ (Bond 2014, n.p</w:t>
      </w:r>
      <w:r w:rsidR="00715F93" w:rsidRPr="0066637D">
        <w:rPr>
          <w:lang w:val="en"/>
        </w:rPr>
        <w:t xml:space="preserve">.). </w:t>
      </w:r>
    </w:p>
    <w:p w:rsidR="007017D1" w:rsidRPr="0066637D" w:rsidRDefault="00715F93" w:rsidP="00715F93">
      <w:r w:rsidRPr="0066637D">
        <w:rPr>
          <w:lang w:val="en"/>
        </w:rPr>
        <w:t xml:space="preserve">In South Sudan, </w:t>
      </w:r>
      <w:proofErr w:type="spellStart"/>
      <w:r w:rsidRPr="0066637D">
        <w:rPr>
          <w:lang w:val="en"/>
        </w:rPr>
        <w:t>Saferworld’s</w:t>
      </w:r>
      <w:proofErr w:type="spellEnd"/>
      <w:r w:rsidRPr="0066637D">
        <w:rPr>
          <w:lang w:val="en"/>
        </w:rPr>
        <w:t xml:space="preserve"> work includes supporting </w:t>
      </w:r>
      <w:r w:rsidR="007017D1" w:rsidRPr="0066637D">
        <w:t xml:space="preserve">Police Community Relations Committees in </w:t>
      </w:r>
      <w:proofErr w:type="spellStart"/>
      <w:r w:rsidR="007017D1" w:rsidRPr="0066637D">
        <w:t>Warrap</w:t>
      </w:r>
      <w:proofErr w:type="spellEnd"/>
      <w:r w:rsidR="007017D1" w:rsidRPr="0066637D">
        <w:t xml:space="preserve"> and Western Bahr el Ghazal States with local partners the </w:t>
      </w:r>
      <w:proofErr w:type="spellStart"/>
      <w:r w:rsidR="007017D1" w:rsidRPr="0066637D">
        <w:t>Kuac</w:t>
      </w:r>
      <w:proofErr w:type="spellEnd"/>
      <w:r w:rsidR="007017D1" w:rsidRPr="0066637D">
        <w:t xml:space="preserve"> Area Development Agency (KUADA) and The Organisation for Children Harmony (TOCH). In these </w:t>
      </w:r>
      <w:r w:rsidR="00540EC1" w:rsidRPr="0066637D">
        <w:t>committees</w:t>
      </w:r>
      <w:r w:rsidR="007017D1" w:rsidRPr="0066637D">
        <w:t xml:space="preserve">, the police and community representatives meet on a monthly basis to raise security concerns, build mutual trust and understanding and, as a result, enhance the security of communities. In addition, these </w:t>
      </w:r>
      <w:r w:rsidR="00540EC1" w:rsidRPr="0066637D">
        <w:t xml:space="preserve">committees </w:t>
      </w:r>
      <w:r w:rsidR="007017D1" w:rsidRPr="0066637D">
        <w:t>have helped promote and inform the national police reform process (</w:t>
      </w:r>
      <w:proofErr w:type="spellStart"/>
      <w:r w:rsidR="007017D1" w:rsidRPr="0066637D">
        <w:t>Saferworld</w:t>
      </w:r>
      <w:proofErr w:type="spellEnd"/>
      <w:r w:rsidR="007017D1" w:rsidRPr="0066637D">
        <w:t xml:space="preserve"> 2013). </w:t>
      </w:r>
    </w:p>
    <w:p w:rsidR="00E364BF" w:rsidRPr="0066637D" w:rsidRDefault="00FF23D1" w:rsidP="00E364BF">
      <w:r w:rsidRPr="0066637D">
        <w:t>These examples highlight the impact that a community safety approach can have on efforts to reform the security sector and enhance security after conflict.</w:t>
      </w:r>
      <w:r w:rsidR="003456D6" w:rsidRPr="0066637D">
        <w:t xml:space="preserve"> However, there are few examples where community safety approaches have been formally or directly integrated into SSR processes.</w:t>
      </w:r>
      <w:r w:rsidR="00174EFA" w:rsidRPr="0066637D">
        <w:t xml:space="preserve"> </w:t>
      </w:r>
      <w:r w:rsidR="00E364BF" w:rsidRPr="0066637D">
        <w:t xml:space="preserve">Similarly, while there may be </w:t>
      </w:r>
      <w:r w:rsidR="003C122F" w:rsidRPr="0066637D">
        <w:t xml:space="preserve">other </w:t>
      </w:r>
      <w:r w:rsidR="00E364BF" w:rsidRPr="0066637D">
        <w:t xml:space="preserve">examples of external donors supporting the empowerment of civil society to be able to articulate views about their security concerns (Martin and Wilson 2008), these efforts are infrequently integrated into SSR processes. Moreover, these initiatives </w:t>
      </w:r>
      <w:r w:rsidR="00540EC1" w:rsidRPr="0066637D">
        <w:t xml:space="preserve">do not </w:t>
      </w:r>
      <w:r w:rsidR="00E364BF" w:rsidRPr="0066637D">
        <w:t xml:space="preserve">tend to be prioritised </w:t>
      </w:r>
      <w:r w:rsidR="00503D06" w:rsidRPr="0066637D">
        <w:t xml:space="preserve">by </w:t>
      </w:r>
      <w:r w:rsidR="00E364BF" w:rsidRPr="0066637D">
        <w:t xml:space="preserve">either the host governments or </w:t>
      </w:r>
      <w:r w:rsidR="00503D06" w:rsidRPr="0066637D">
        <w:t>donor agencies</w:t>
      </w:r>
      <w:r w:rsidR="007C03CE" w:rsidRPr="0066637D">
        <w:t>, which often</w:t>
      </w:r>
      <w:r w:rsidR="00E364BF" w:rsidRPr="0066637D">
        <w:t xml:space="preserve"> </w:t>
      </w:r>
      <w:r w:rsidR="007C03CE" w:rsidRPr="0066637D">
        <w:t>regard</w:t>
      </w:r>
      <w:r w:rsidR="00E364BF" w:rsidRPr="0066637D">
        <w:t xml:space="preserve"> security issues as a matter for discussion by </w:t>
      </w:r>
      <w:r w:rsidR="00503D06" w:rsidRPr="0066637D">
        <w:t xml:space="preserve">state-level </w:t>
      </w:r>
      <w:r w:rsidR="00E364BF" w:rsidRPr="0066637D">
        <w:t>security</w:t>
      </w:r>
      <w:r w:rsidR="00503D06" w:rsidRPr="0066637D">
        <w:t xml:space="preserve"> experts and elites</w:t>
      </w:r>
      <w:r w:rsidR="00E364BF" w:rsidRPr="0066637D">
        <w:t xml:space="preserve">. As mentioned, efforts to solicit </w:t>
      </w:r>
      <w:r w:rsidR="007C03CE" w:rsidRPr="0066637D">
        <w:t xml:space="preserve">views on security from people at the </w:t>
      </w:r>
      <w:r w:rsidR="00E364BF" w:rsidRPr="0066637D">
        <w:t>community level tend to be infrequent</w:t>
      </w:r>
      <w:r w:rsidR="007C03CE" w:rsidRPr="0066637D">
        <w:t>, piecemeal</w:t>
      </w:r>
      <w:r w:rsidR="00E364BF" w:rsidRPr="0066637D">
        <w:t xml:space="preserve"> and sporadic. Moreover, they are rarely developed into the type of structures and processes which can put people at the community level at the heart of SSR, ensuring they can be actively engaged in SSR processes and inform decisions about their own security (see Nathan 2007). For reasons </w:t>
      </w:r>
      <w:r w:rsidR="00540EC1" w:rsidRPr="0066637D">
        <w:t>such as</w:t>
      </w:r>
      <w:r w:rsidR="00E364BF" w:rsidRPr="0066637D">
        <w:t xml:space="preserve"> additional time, cost and effort it takes to engage those at the community level in SSR </w:t>
      </w:r>
      <w:proofErr w:type="gramStart"/>
      <w:r w:rsidR="00E364BF" w:rsidRPr="0066637D">
        <w:t>processes,</w:t>
      </w:r>
      <w:proofErr w:type="gramEnd"/>
      <w:r w:rsidR="00E364BF" w:rsidRPr="0066637D">
        <w:t xml:space="preserve"> and for reasons of retaining control and, ultimately, power, SSR processes are rarely inclusive of those whose security is ostensibly being addressed.</w:t>
      </w:r>
    </w:p>
    <w:p w:rsidR="00452B37" w:rsidRPr="0066637D" w:rsidRDefault="00E364BF" w:rsidP="00D27983">
      <w:r w:rsidRPr="0066637D">
        <w:t>It is argued</w:t>
      </w:r>
      <w:r w:rsidRPr="0066637D" w:rsidDel="00FF72D8">
        <w:t xml:space="preserve"> </w:t>
      </w:r>
      <w:r w:rsidRPr="0066637D">
        <w:t>that where community safety structures or similar do not exist in post-conflict environments – or</w:t>
      </w:r>
      <w:r w:rsidR="00D27983" w:rsidRPr="0066637D">
        <w:t xml:space="preserve"> exist in embryonic </w:t>
      </w:r>
      <w:r w:rsidRPr="0066637D">
        <w:t>or piecemeal form – their development and engagement in SSR processes should be supported</w:t>
      </w:r>
      <w:r w:rsidR="00950E91" w:rsidRPr="0066637D">
        <w:t xml:space="preserve"> </w:t>
      </w:r>
      <w:r w:rsidR="00510D4F" w:rsidRPr="0066637D">
        <w:t xml:space="preserve">(see </w:t>
      </w:r>
      <w:proofErr w:type="spellStart"/>
      <w:r w:rsidR="00510D4F" w:rsidRPr="0066637D">
        <w:t>Saferworld</w:t>
      </w:r>
      <w:proofErr w:type="spellEnd"/>
      <w:r w:rsidR="00950E91" w:rsidRPr="0066637D">
        <w:t xml:space="preserve"> 2014)</w:t>
      </w:r>
      <w:r w:rsidR="00471EF8" w:rsidRPr="0066637D">
        <w:t>.</w:t>
      </w:r>
      <w:r w:rsidRPr="0066637D">
        <w:t xml:space="preserve"> </w:t>
      </w:r>
      <w:r w:rsidRPr="0066637D">
        <w:rPr>
          <w:rStyle w:val="A2"/>
          <w:b w:val="0"/>
          <w:sz w:val="24"/>
          <w:szCs w:val="24"/>
        </w:rPr>
        <w:t>It is also argued that such co</w:t>
      </w:r>
      <w:r w:rsidRPr="0066637D">
        <w:t>mmunity safety structures should be incorporated into SSR programmes from the SSR inception and design stages, in order that decisions about security structures, mandates and policies are informed by the security needs of people at the community level. In Kosovo, efforts to establish such structures began after the SSR process began, partly in recognition of the limited local ownership and engagement of people at the commun</w:t>
      </w:r>
      <w:r w:rsidR="00471EF8" w:rsidRPr="0066637D">
        <w:t xml:space="preserve">ity level (see ISSR 2006; KCSS </w:t>
      </w:r>
      <w:r w:rsidRPr="0066637D">
        <w:t xml:space="preserve">2010). </w:t>
      </w:r>
      <w:r w:rsidR="00E91FB7" w:rsidRPr="0066637D">
        <w:t>E</w:t>
      </w:r>
      <w:r w:rsidRPr="0066637D">
        <w:t>ven after the gradual establishment of these mechanisms, their capacity remained limited and decisions about the development of the broader security sector remained internationally led, often with little regard for the local context and needs (</w:t>
      </w:r>
      <w:proofErr w:type="spellStart"/>
      <w:r w:rsidRPr="0066637D">
        <w:t>Blease</w:t>
      </w:r>
      <w:proofErr w:type="spellEnd"/>
      <w:r w:rsidRPr="0066637D">
        <w:t xml:space="preserve"> and </w:t>
      </w:r>
      <w:proofErr w:type="spellStart"/>
      <w:r w:rsidRPr="0066637D">
        <w:t>Qehaja</w:t>
      </w:r>
      <w:proofErr w:type="spellEnd"/>
      <w:r w:rsidRPr="0066637D">
        <w:t xml:space="preserve"> 2013).</w:t>
      </w:r>
      <w:r w:rsidR="008138ED" w:rsidRPr="0066637D">
        <w:t xml:space="preserve"> </w:t>
      </w:r>
      <w:r w:rsidR="00F820F2" w:rsidRPr="0066637D">
        <w:t xml:space="preserve">More recently, as noted above, </w:t>
      </w:r>
      <w:r w:rsidR="00E91FB7" w:rsidRPr="0066637D">
        <w:t xml:space="preserve">the work of </w:t>
      </w:r>
      <w:proofErr w:type="spellStart"/>
      <w:r w:rsidR="00E91FB7" w:rsidRPr="0066637D">
        <w:t>Saferworld</w:t>
      </w:r>
      <w:proofErr w:type="spellEnd"/>
      <w:r w:rsidR="00F820F2" w:rsidRPr="0066637D">
        <w:t xml:space="preserve">, </w:t>
      </w:r>
      <w:r w:rsidR="00E91FB7" w:rsidRPr="0066637D">
        <w:t>FIQ</w:t>
      </w:r>
      <w:r w:rsidR="00F820F2" w:rsidRPr="0066637D">
        <w:t xml:space="preserve"> and others</w:t>
      </w:r>
      <w:r w:rsidR="00E91FB7" w:rsidRPr="0066637D">
        <w:t xml:space="preserve"> </w:t>
      </w:r>
      <w:r w:rsidR="00F820F2" w:rsidRPr="0066637D">
        <w:t xml:space="preserve">has </w:t>
      </w:r>
      <w:r w:rsidR="001C7190" w:rsidRPr="0066637D">
        <w:t>helped promote</w:t>
      </w:r>
      <w:r w:rsidR="00E91FB7" w:rsidRPr="0066637D">
        <w:t xml:space="preserve"> dialogue between community-level and state-level security and administrative </w:t>
      </w:r>
      <w:r w:rsidR="00F820F2" w:rsidRPr="0066637D">
        <w:t>structures</w:t>
      </w:r>
      <w:r w:rsidR="001C7190" w:rsidRPr="0066637D">
        <w:t xml:space="preserve"> </w:t>
      </w:r>
      <w:r w:rsidR="00452B37" w:rsidRPr="0066637D">
        <w:t xml:space="preserve">(see Donnelly, </w:t>
      </w:r>
      <w:proofErr w:type="spellStart"/>
      <w:r w:rsidR="00452B37" w:rsidRPr="0066637D">
        <w:t>Nikolla</w:t>
      </w:r>
      <w:proofErr w:type="spellEnd"/>
      <w:r w:rsidR="00452B37" w:rsidRPr="0066637D">
        <w:t xml:space="preserve">, </w:t>
      </w:r>
      <w:proofErr w:type="spellStart"/>
      <w:r w:rsidR="00452B37" w:rsidRPr="0066637D">
        <w:t>Poudel</w:t>
      </w:r>
      <w:proofErr w:type="spellEnd"/>
      <w:r w:rsidR="00452B37" w:rsidRPr="0066637D">
        <w:t xml:space="preserve"> and Chakraborty 2013).</w:t>
      </w:r>
    </w:p>
    <w:p w:rsidR="00E364BF" w:rsidRPr="0066637D" w:rsidRDefault="00E364BF" w:rsidP="00E364BF">
      <w:r w:rsidRPr="0066637D">
        <w:lastRenderedPageBreak/>
        <w:t>Parallels</w:t>
      </w:r>
      <w:r w:rsidR="0097078F" w:rsidRPr="0066637D">
        <w:t xml:space="preserve"> can be drawn between</w:t>
      </w:r>
      <w:r w:rsidRPr="0066637D">
        <w:t xml:space="preserve"> community safety structures </w:t>
      </w:r>
      <w:r w:rsidR="0097078F" w:rsidRPr="0066637D">
        <w:t>and</w:t>
      </w:r>
      <w:r w:rsidRPr="0066637D">
        <w:t xml:space="preserve"> local peace comm</w:t>
      </w:r>
      <w:r w:rsidR="0097078F" w:rsidRPr="0066637D">
        <w:t>ittees (LPCs) and the value the latter</w:t>
      </w:r>
      <w:r w:rsidRPr="0066637D">
        <w:t xml:space="preserve"> can </w:t>
      </w:r>
      <w:r w:rsidR="004A3697" w:rsidRPr="0066637D">
        <w:t>have</w:t>
      </w:r>
      <w:r w:rsidRPr="0066637D">
        <w:t xml:space="preserve"> in peacebuilding efforts, particularly if they are tied into so-called infrastructures for peace (see</w:t>
      </w:r>
      <w:r w:rsidR="00302F03" w:rsidRPr="0066637D">
        <w:t xml:space="preserve"> van </w:t>
      </w:r>
      <w:proofErr w:type="spellStart"/>
      <w:r w:rsidR="00302F03" w:rsidRPr="0066637D">
        <w:t>Tongeren</w:t>
      </w:r>
      <w:proofErr w:type="spellEnd"/>
      <w:r w:rsidR="00302F03" w:rsidRPr="0066637D">
        <w:t xml:space="preserve"> 2013</w:t>
      </w:r>
      <w:r w:rsidRPr="0066637D">
        <w:t xml:space="preserve">). LPCs are structures or initiatives that exist in different forms in a number of countries, such as Sudan and Afghanistan, at the sub-state level (village or district, for instance). Their aim is to facilitate an inclusive peacebuilding process and they can be (and sometimes are) integrated into broader, national peacebuilding efforts or, rather, infrastructures for peace (see </w:t>
      </w:r>
      <w:proofErr w:type="spellStart"/>
      <w:r w:rsidRPr="0066637D">
        <w:t>Odendaal</w:t>
      </w:r>
      <w:proofErr w:type="spellEnd"/>
      <w:r w:rsidRPr="0066637D">
        <w:t xml:space="preserve"> and Olivier 2008;</w:t>
      </w:r>
      <w:r w:rsidR="00302F03" w:rsidRPr="0066637D">
        <w:t xml:space="preserve"> van </w:t>
      </w:r>
      <w:proofErr w:type="spellStart"/>
      <w:r w:rsidR="00302F03" w:rsidRPr="0066637D">
        <w:t>Tongeren</w:t>
      </w:r>
      <w:proofErr w:type="spellEnd"/>
      <w:r w:rsidR="00302F03" w:rsidRPr="0066637D">
        <w:t xml:space="preserve"> 2013</w:t>
      </w:r>
      <w:r w:rsidRPr="0066637D">
        <w:t xml:space="preserve">). It must be emphasised, however, that attention should be paid towards the specificities of each context (structures that exist at the community level in one country, for example, may not be suitable for another) and power relations between external </w:t>
      </w:r>
      <w:proofErr w:type="spellStart"/>
      <w:r w:rsidRPr="0066637D">
        <w:t>actors</w:t>
      </w:r>
      <w:proofErr w:type="spellEnd"/>
      <w:r w:rsidRPr="0066637D">
        <w:t xml:space="preserve"> supporting community safety structures and those at the community level (and how this can skew the focus and nature of such structures and, ultimately, their value and success). It is also important not to focus only on building, refining or supporting structures and processes, but ultimately on the aim of </w:t>
      </w:r>
      <w:r w:rsidR="00471EF8" w:rsidRPr="0066637D">
        <w:t>such</w:t>
      </w:r>
      <w:r w:rsidRPr="0066637D">
        <w:t xml:space="preserve"> structures and processes: enhanced security and stability. </w:t>
      </w:r>
    </w:p>
    <w:p w:rsidR="00E364BF" w:rsidRPr="0066637D" w:rsidRDefault="00E364BF" w:rsidP="00E364BF">
      <w:r w:rsidRPr="0066637D">
        <w:t xml:space="preserve">When new institutions and processes are being built, there can be a tendency to focus on the outputs rather than outcomes, and judge success on whether these new institutions and processes have been established rather than whether people’s security has improved – as with broader SSR processes. For example, in Kosovo at a roundtable on community safety initiatives hosted by </w:t>
      </w:r>
      <w:proofErr w:type="spellStart"/>
      <w:r w:rsidRPr="0066637D">
        <w:t>Saferworld</w:t>
      </w:r>
      <w:proofErr w:type="spellEnd"/>
      <w:r w:rsidRPr="0066637D">
        <w:t xml:space="preserve"> in 2010, there were lengthy discussions about structural, procedural, legislative and administrative progress. This was until participants were reminded by a school </w:t>
      </w:r>
      <w:r w:rsidR="003C65B1" w:rsidRPr="0066637D">
        <w:t xml:space="preserve">principal </w:t>
      </w:r>
      <w:r w:rsidRPr="0066637D">
        <w:t xml:space="preserve">that the focus of discussion should be on the security concerns of the people in Kosovo, giving the example of serious road safety concerns near his school. These concerns, he said, had remained unaddressed despite efforts over the previous four years to address the dangers from traffic to children walking to and from school, which had resulted </w:t>
      </w:r>
      <w:r w:rsidR="003C65B1" w:rsidRPr="0066637D">
        <w:t xml:space="preserve">in </w:t>
      </w:r>
      <w:r w:rsidRPr="0066637D">
        <w:t>serious injuries (Gordon 2010).</w:t>
      </w:r>
    </w:p>
    <w:p w:rsidR="00E364BF" w:rsidRPr="0066637D" w:rsidRDefault="00E364BF" w:rsidP="00E364BF">
      <w:r w:rsidRPr="0066637D">
        <w:t xml:space="preserve">By incorporating community safety structures into SSR processes from inception, rather than once key decisions have been made, the security concerns of people at the community level can inform a national security review, which ideally forms the basis for the subsequent development of national security policies and strategies and the bedrock of an SSR programme (see UN 2012). </w:t>
      </w:r>
      <w:r w:rsidRPr="0066637D">
        <w:rPr>
          <w:rStyle w:val="A2"/>
          <w:b w:val="0"/>
          <w:sz w:val="24"/>
          <w:szCs w:val="24"/>
        </w:rPr>
        <w:t>A</w:t>
      </w:r>
      <w:r w:rsidRPr="0066637D">
        <w:t>fter informing the design and implementation of SSR programmes, the community safety structures can continue to provide a forum through which the security concerns and needs of individual citizens can be voiced and can be heard by authorities at the community and central levels. In particular, such structures should inform reviews of subsequent national security policies or strategies (see DCAF 2005; UN 2012). This not only hel</w:t>
      </w:r>
      <w:r w:rsidR="00471EF8" w:rsidRPr="0066637D">
        <w:t xml:space="preserve">ps to create a security sector </w:t>
      </w:r>
      <w:r w:rsidRPr="0066637D">
        <w:t>potentially more responsive to the needs of the people, but can enhance the relationship between the state and its people. Moreover, an empowered citizenry and one which has confidence in the state and its institutions can help strengthen state resilience and, thus, prospects of a sustainable peace.</w:t>
      </w:r>
    </w:p>
    <w:p w:rsidR="00A53B1E" w:rsidRPr="0066637D" w:rsidRDefault="00E364BF" w:rsidP="00A53B1E">
      <w:r w:rsidRPr="0066637D">
        <w:t xml:space="preserve">A top-down, state-centric approach to SSR is less likely to be able to capture community-level security concerns and needs, which can undermine the prospective success of SSR programmes and the wider peacebuilding process. </w:t>
      </w:r>
      <w:r w:rsidR="00A53B1E" w:rsidRPr="0066637D">
        <w:t xml:space="preserve">For example, the inclusive national </w:t>
      </w:r>
      <w:r w:rsidR="00A53B1E" w:rsidRPr="0066637D">
        <w:lastRenderedPageBreak/>
        <w:t xml:space="preserve">consultation that preceded the 1997 Defence Review in South Africa as part of the national defence reform process, highlighted concerns that had been hitherto ignored. These concerns included ‘the plight of dispossessed communities whose land had been seized for military usage, the environmental impact of military activities and sexual harassment perpetrated by military personnel’ (Kunz and </w:t>
      </w:r>
      <w:proofErr w:type="spellStart"/>
      <w:r w:rsidR="00A53B1E" w:rsidRPr="0066637D">
        <w:t>Valasek</w:t>
      </w:r>
      <w:proofErr w:type="spellEnd"/>
      <w:r w:rsidR="00A53B1E" w:rsidRPr="0066637D">
        <w:t xml:space="preserve"> 2012, 132). </w:t>
      </w:r>
    </w:p>
    <w:p w:rsidR="00E364BF" w:rsidRPr="0066637D" w:rsidRDefault="001C7147" w:rsidP="00E364BF">
      <w:pPr>
        <w:rPr>
          <w:rStyle w:val="A2"/>
          <w:rFonts w:cs="Times New Roman"/>
          <w:b w:val="0"/>
          <w:bCs w:val="0"/>
          <w:color w:val="auto"/>
          <w:sz w:val="24"/>
          <w:szCs w:val="24"/>
        </w:rPr>
      </w:pPr>
      <w:r w:rsidRPr="0066637D">
        <w:t xml:space="preserve">As with the type of comprehensive public surveys or community-based needs assessments conducted by </w:t>
      </w:r>
      <w:proofErr w:type="spellStart"/>
      <w:r w:rsidR="007350B7" w:rsidRPr="0066637D">
        <w:t>Saferworld</w:t>
      </w:r>
      <w:proofErr w:type="spellEnd"/>
      <w:r w:rsidR="007350B7" w:rsidRPr="0066637D">
        <w:t xml:space="preserve">, International Alert, UNDP and various civil society organisations </w:t>
      </w:r>
      <w:r w:rsidRPr="0066637D">
        <w:t xml:space="preserve">(Kunz and </w:t>
      </w:r>
      <w:proofErr w:type="spellStart"/>
      <w:r w:rsidRPr="0066637D">
        <w:t>Valasek</w:t>
      </w:r>
      <w:proofErr w:type="spellEnd"/>
      <w:r w:rsidRPr="0066637D">
        <w:t xml:space="preserve"> 2012), c</w:t>
      </w:r>
      <w:r w:rsidR="00A53B1E" w:rsidRPr="0066637D">
        <w:t xml:space="preserve">ommunity safety structures </w:t>
      </w:r>
      <w:r w:rsidR="00E364BF" w:rsidRPr="0066637D">
        <w:t>can also feed into SSR</w:t>
      </w:r>
      <w:r w:rsidRPr="0066637D">
        <w:t xml:space="preserve"> process</w:t>
      </w:r>
      <w:r w:rsidR="00661529" w:rsidRPr="0066637D">
        <w:t>es</w:t>
      </w:r>
      <w:r w:rsidRPr="0066637D">
        <w:t xml:space="preserve"> public </w:t>
      </w:r>
      <w:r w:rsidR="00E364BF" w:rsidRPr="0066637D">
        <w:t>perceptions of security and justice sector institutions</w:t>
      </w:r>
      <w:r w:rsidRPr="0066637D">
        <w:t xml:space="preserve">. Crucially, community safety structures can also </w:t>
      </w:r>
      <w:r w:rsidR="00A3400B" w:rsidRPr="0066637D">
        <w:t xml:space="preserve">potentially help improve those perceptions </w:t>
      </w:r>
      <w:r w:rsidRPr="0066637D">
        <w:t>as well as the</w:t>
      </w:r>
      <w:r w:rsidR="00A3400B" w:rsidRPr="0066637D">
        <w:t xml:space="preserve"> relationships between communities and security providers</w:t>
      </w:r>
      <w:r w:rsidR="00E364BF" w:rsidRPr="0066637D">
        <w:t xml:space="preserve">. As described by </w:t>
      </w:r>
      <w:r w:rsidR="00452B37" w:rsidRPr="0066637D">
        <w:t xml:space="preserve">Donnelly, </w:t>
      </w:r>
      <w:proofErr w:type="spellStart"/>
      <w:r w:rsidR="00452B37" w:rsidRPr="0066637D">
        <w:t>Nikolla</w:t>
      </w:r>
      <w:proofErr w:type="spellEnd"/>
      <w:r w:rsidR="00452B37" w:rsidRPr="0066637D">
        <w:t xml:space="preserve">, </w:t>
      </w:r>
      <w:proofErr w:type="spellStart"/>
      <w:r w:rsidR="00452B37" w:rsidRPr="0066637D">
        <w:t>Poudel</w:t>
      </w:r>
      <w:proofErr w:type="spellEnd"/>
      <w:r w:rsidR="00452B37" w:rsidRPr="0066637D">
        <w:t xml:space="preserve"> and Chakraborty (2013)</w:t>
      </w:r>
      <w:r w:rsidR="00E364BF" w:rsidRPr="0066637D">
        <w:t xml:space="preserve">, supporting community safety initiatives can be particularly effective at building the social contract. People experience security and their relationship with the state at the local level. In a direct way too, community safety initiatives connect individuals with representative of the state, including administrative authorities and security providers, which provides opportunities to improve </w:t>
      </w:r>
      <w:r w:rsidR="006B425F" w:rsidRPr="0066637D">
        <w:t xml:space="preserve">understanding and </w:t>
      </w:r>
      <w:r w:rsidR="00E364BF" w:rsidRPr="0066637D">
        <w:t>relationships between the state and its citizens and, thus, enhance state legitimacy. It bears a mention that formally capturing community security concerns can also inhibit the extent to which dominant groups determine security concerns on the basis of their own political agendas – in order to justify the need to enhance formal security capabilities, for example, or maintain the useful spectre of an external threat and, in so doing, distract attention away from more pressing domestic concerns.</w:t>
      </w:r>
    </w:p>
    <w:p w:rsidR="00E364BF" w:rsidRPr="0066637D" w:rsidRDefault="00E364BF" w:rsidP="00E364BF">
      <w:pPr>
        <w:rPr>
          <w:rStyle w:val="A2"/>
          <w:b w:val="0"/>
          <w:sz w:val="24"/>
          <w:szCs w:val="24"/>
        </w:rPr>
      </w:pPr>
      <w:r w:rsidRPr="0066637D">
        <w:rPr>
          <w:rStyle w:val="A2"/>
          <w:b w:val="0"/>
          <w:sz w:val="24"/>
          <w:szCs w:val="24"/>
        </w:rPr>
        <w:t>The way in which reform of the security sector is approached will determine the extent to which various insecurities are made visible and are, thus, able to be addressed. For example, the provision of streetlights in certain areas can increase the security of women and other vulnerable groups: awareness of which is unlikely to be generated by top-down approaches to SSR (</w:t>
      </w:r>
      <w:proofErr w:type="spellStart"/>
      <w:r w:rsidRPr="0066637D">
        <w:rPr>
          <w:rStyle w:val="A2"/>
          <w:b w:val="0"/>
          <w:sz w:val="24"/>
          <w:szCs w:val="24"/>
        </w:rPr>
        <w:t>Donais</w:t>
      </w:r>
      <w:proofErr w:type="spellEnd"/>
      <w:r w:rsidRPr="0066637D">
        <w:rPr>
          <w:rStyle w:val="A2"/>
          <w:b w:val="0"/>
          <w:sz w:val="24"/>
          <w:szCs w:val="24"/>
        </w:rPr>
        <w:t xml:space="preserve"> 2008; Nathan 2008). There is, therefore, a need for mechanisms or processes to be in place to ensure community-based security perceptions and concerns, particularly those among the more vulnerable member of society, are captured. Community safety structures can identify these perceptions and concerns</w:t>
      </w:r>
      <w:r w:rsidR="004D21FF" w:rsidRPr="0066637D">
        <w:rPr>
          <w:rStyle w:val="A2"/>
          <w:b w:val="0"/>
          <w:sz w:val="24"/>
          <w:szCs w:val="24"/>
        </w:rPr>
        <w:t xml:space="preserve"> and</w:t>
      </w:r>
      <w:r w:rsidRPr="0066637D">
        <w:t xml:space="preserve"> facilitate a process of meaningful engagement in SSR. This can help build hope in the future and commitment to the broader peace process. Additionally, they can help develop consensus about security issues as well as contribute to reconciliation, particularly where common security concerns and interests are identified. They can, thus, contribute to peacebuilding at the community level and beyond. They can also help build relationships between groups and between the state and its people, and potentially </w:t>
      </w:r>
      <w:r w:rsidRPr="0066637D">
        <w:rPr>
          <w:rStyle w:val="A2"/>
          <w:b w:val="0"/>
          <w:sz w:val="24"/>
          <w:szCs w:val="24"/>
        </w:rPr>
        <w:t>lead to increased co-ordination between municipal and state-level authorities and between relevant line Ministries (including ministries responsible for public safety, defence, health, employment and education).</w:t>
      </w:r>
    </w:p>
    <w:p w:rsidR="00E364BF" w:rsidRPr="0066637D" w:rsidRDefault="00E364BF" w:rsidP="00E364BF">
      <w:pPr>
        <w:rPr>
          <w:rStyle w:val="A2"/>
          <w:b w:val="0"/>
          <w:sz w:val="24"/>
          <w:szCs w:val="24"/>
        </w:rPr>
      </w:pPr>
    </w:p>
    <w:p w:rsidR="00E364BF" w:rsidRPr="0066637D" w:rsidRDefault="00E364BF" w:rsidP="001C3FA4">
      <w:pPr>
        <w:pStyle w:val="Heading3"/>
        <w:rPr>
          <w:rStyle w:val="A2"/>
          <w:rFonts w:cs="Times New Roman"/>
          <w:b/>
          <w:bCs/>
          <w:color w:val="4F81BD"/>
          <w:sz w:val="24"/>
          <w:szCs w:val="24"/>
        </w:rPr>
      </w:pPr>
      <w:r w:rsidRPr="0066637D">
        <w:rPr>
          <w:rStyle w:val="A2"/>
          <w:rFonts w:cs="Times New Roman"/>
          <w:b/>
          <w:bCs/>
          <w:color w:val="4F81BD"/>
          <w:sz w:val="24"/>
          <w:szCs w:val="24"/>
        </w:rPr>
        <w:lastRenderedPageBreak/>
        <w:t>Challenges and Limitations in Incorporating Community Safety Initiatives</w:t>
      </w:r>
    </w:p>
    <w:p w:rsidR="00C977BC" w:rsidRPr="0066637D" w:rsidRDefault="00E364BF" w:rsidP="00C977BC">
      <w:pPr>
        <w:rPr>
          <w:lang w:eastAsia="en-US"/>
        </w:rPr>
      </w:pPr>
      <w:r w:rsidRPr="0066637D">
        <w:rPr>
          <w:rStyle w:val="A2"/>
          <w:b w:val="0"/>
          <w:sz w:val="24"/>
          <w:szCs w:val="24"/>
        </w:rPr>
        <w:t>Incorporating community safety structures into SSR programmes should be done w</w:t>
      </w:r>
      <w:r w:rsidRPr="0066637D">
        <w:t>ithout adversely impacting or influencing the potential for community-based solutions to community-articulated needs. I</w:t>
      </w:r>
      <w:r w:rsidRPr="0066637D">
        <w:rPr>
          <w:rFonts w:cs="Calibri"/>
        </w:rPr>
        <w:t xml:space="preserve">nstitutionalising community-based approaches to addressing community safety and security concerns carries the potential risk of compromising the essence and value of such approaches. Serious consideration needs to be given to the powers and responsibilities of community safety structures and, more importantly, who they report to. Otherwise, </w:t>
      </w:r>
      <w:r w:rsidRPr="0066637D">
        <w:rPr>
          <w:rStyle w:val="A2"/>
          <w:b w:val="0"/>
          <w:sz w:val="24"/>
          <w:szCs w:val="24"/>
        </w:rPr>
        <w:t xml:space="preserve">institutionalising community safety structures </w:t>
      </w:r>
      <w:r w:rsidRPr="0066637D">
        <w:rPr>
          <w:rFonts w:cs="Calibri"/>
        </w:rPr>
        <w:t xml:space="preserve">risks securitising what are often socio-economic concerns, subjugating a wide range of concerns articulated at the community level under a security blanket, and legitimising new forms of control. It also risks usurping the power of community-based, bottom-up approaches </w:t>
      </w:r>
      <w:r w:rsidR="006B425F" w:rsidRPr="0066637D">
        <w:rPr>
          <w:rFonts w:cs="Calibri"/>
        </w:rPr>
        <w:t>and to</w:t>
      </w:r>
      <w:r w:rsidRPr="0066637D">
        <w:rPr>
          <w:rFonts w:cs="Calibri"/>
        </w:rPr>
        <w:t xml:space="preserve"> merely</w:t>
      </w:r>
      <w:r w:rsidR="006B425F" w:rsidRPr="0066637D">
        <w:rPr>
          <w:rFonts w:cs="Calibri"/>
        </w:rPr>
        <w:t xml:space="preserve"> serve</w:t>
      </w:r>
      <w:r w:rsidRPr="0066637D">
        <w:rPr>
          <w:rFonts w:cs="Calibri"/>
        </w:rPr>
        <w:t xml:space="preserve"> to add legitimacy to state-centric and top-down processes (Gordon 2010) </w:t>
      </w:r>
      <w:r w:rsidRPr="0066637D">
        <w:t>or promote ‘externally-generated agendas’ (</w:t>
      </w:r>
      <w:proofErr w:type="spellStart"/>
      <w:r w:rsidRPr="0066637D">
        <w:t>Donais</w:t>
      </w:r>
      <w:proofErr w:type="spellEnd"/>
      <w:r w:rsidRPr="0066637D">
        <w:t xml:space="preserve"> 2008, 285). </w:t>
      </w:r>
      <w:r w:rsidR="006B425F" w:rsidRPr="0066637D">
        <w:t xml:space="preserve">As </w:t>
      </w:r>
      <w:proofErr w:type="spellStart"/>
      <w:r w:rsidR="006B425F" w:rsidRPr="0066637D">
        <w:t>Donais</w:t>
      </w:r>
      <w:proofErr w:type="spellEnd"/>
      <w:r w:rsidR="006B425F" w:rsidRPr="0066637D">
        <w:t xml:space="preserve"> and Knorr (2013, 66, citing Campbell 2011) have warned, with regard to engaging domestic actors at all levels in the peacebuilding process, ‘</w:t>
      </w:r>
      <w:r w:rsidR="006B425F" w:rsidRPr="0066637D">
        <w:rPr>
          <w:lang w:eastAsia="en-US"/>
        </w:rPr>
        <w:t xml:space="preserve">given the power differentials involved, vertical integration may easily result in the co-optation of the bottom by the top, thus draining the former of its critical edge and transformational potential’. </w:t>
      </w:r>
      <w:r w:rsidRPr="0066637D">
        <w:t xml:space="preserve">In other words, </w:t>
      </w:r>
      <w:r w:rsidR="006B425F" w:rsidRPr="0066637D">
        <w:t xml:space="preserve">while </w:t>
      </w:r>
      <w:r w:rsidRPr="0066637D">
        <w:t>security concerns articulated at the community level should be able to inform SS</w:t>
      </w:r>
      <w:r w:rsidR="006B425F" w:rsidRPr="0066637D">
        <w:t>R as well as state-level policy,</w:t>
      </w:r>
      <w:r w:rsidRPr="0066637D">
        <w:t xml:space="preserve"> care should be taken to ensure that information received </w:t>
      </w:r>
      <w:r w:rsidR="00B34D30" w:rsidRPr="0066637D">
        <w:t>from</w:t>
      </w:r>
      <w:r w:rsidRPr="0066637D">
        <w:t xml:space="preserve"> community-level structures is not misrepresented or misused in order to justify further state control, for instance. </w:t>
      </w:r>
    </w:p>
    <w:p w:rsidR="00E364BF" w:rsidRPr="0066637D" w:rsidRDefault="006B425F" w:rsidP="00E364BF">
      <w:pPr>
        <w:rPr>
          <w:rFonts w:cs="Calibri"/>
        </w:rPr>
      </w:pPr>
      <w:r w:rsidRPr="0066637D">
        <w:t>There is also a risk that</w:t>
      </w:r>
      <w:r w:rsidR="00B34D30" w:rsidRPr="0066637D">
        <w:t xml:space="preserve"> </w:t>
      </w:r>
      <w:r w:rsidR="00E364BF" w:rsidRPr="0066637D">
        <w:t xml:space="preserve">donor support of community-based groups in SSR processes could undermine rather than strengthen local ownership, given significant resource imbalances that often exist between these two, unless care is taken not to impose assumptions about risk and security (see </w:t>
      </w:r>
      <w:proofErr w:type="spellStart"/>
      <w:r w:rsidR="00E364BF" w:rsidRPr="0066637D">
        <w:t>Donais</w:t>
      </w:r>
      <w:proofErr w:type="spellEnd"/>
      <w:r w:rsidR="00E364BF" w:rsidRPr="0066637D">
        <w:t xml:space="preserve"> 2008). In supporting such structures and integrating them more formally into SSR processes, external values and concepts of security beyond those which promote the protection of the rights of all groups, not least excluded and marginalised groups</w:t>
      </w:r>
      <w:r w:rsidR="004D21FF" w:rsidRPr="0066637D">
        <w:t>, should not be overemphasi</w:t>
      </w:r>
      <w:r w:rsidR="00D34E60" w:rsidRPr="0066637D">
        <w:t>s</w:t>
      </w:r>
      <w:r w:rsidR="004D21FF" w:rsidRPr="0066637D">
        <w:t>ed</w:t>
      </w:r>
      <w:r w:rsidR="00E364BF" w:rsidRPr="0066637D">
        <w:t>.</w:t>
      </w:r>
    </w:p>
    <w:p w:rsidR="00E364BF" w:rsidRPr="0066637D" w:rsidRDefault="00E364BF" w:rsidP="00E364BF">
      <w:r w:rsidRPr="0066637D">
        <w:t xml:space="preserve">It also needs to be borne in mind that community safety structures often reflect and reinforce </w:t>
      </w:r>
      <w:r w:rsidR="00F05057" w:rsidRPr="0066637D">
        <w:t xml:space="preserve">societal </w:t>
      </w:r>
      <w:r w:rsidRPr="0066637D">
        <w:t xml:space="preserve">power relations, and exclude or marginalise those groups </w:t>
      </w:r>
      <w:r w:rsidR="00F05057" w:rsidRPr="0066637D">
        <w:t>that</w:t>
      </w:r>
      <w:r w:rsidRPr="0066637D">
        <w:t xml:space="preserve"> may be more vulnerable to security threats or injustices (see Gordon, Sharma, Forbes and Cave 2011; Jackson 2011, 2010; KCSS 2010). Indeed, as Jackson (2011, 2012) has argued, community-based structures are not necessarily more legitimate, accountable or inclusive and political hybridity can reinforce domination and exclusion. Just because these bodies are at the community level does not necessarily mean that they are more representative of the wider public. Therefore, for instance, women and other vulnerable groups may not be represented or their concerns may not be voiced or heard. For instance in Kosovo</w:t>
      </w:r>
      <w:r w:rsidR="004D21FF" w:rsidRPr="0066637D">
        <w:t>,</w:t>
      </w:r>
      <w:r w:rsidRPr="0066637D">
        <w:t xml:space="preserve"> women were underrepresented in the community safety structures, particularly the MCSCs, as were other marginalised and minority groups (Gordon 2010). Similarly, certain security risks that tend to disproportionately affect women and children, such as domestic violence and trafficking, were rarely articulated as concerns within community safety structures, despite their assumed prevalence (Gordon 2010). When they were, they were</w:t>
      </w:r>
      <w:r w:rsidR="006B425F" w:rsidRPr="0066637D">
        <w:t xml:space="preserve"> often</w:t>
      </w:r>
      <w:r w:rsidRPr="0066637D">
        <w:t xml:space="preserve"> ignored or provoked harsh criticism of those who had raised them (Gordon 2010). For example, a male member of an </w:t>
      </w:r>
      <w:r w:rsidRPr="0066637D">
        <w:lastRenderedPageBreak/>
        <w:t xml:space="preserve">MCSC in Kosovo shouted ‘how dare you come here and tell me I can’t beat my wife’ to international representatives (fieldwork 2010). Fear of reactions or repercussions, or a belief that certain risks are ‘normal’ or cannot be addressed, also meant that issues such as domestic violence, organised crime, corruption or the illicit possession of small arms were rarely raised. There are various cultural values, expectations and fears which determine which security concerns might be voiced in these forums. These limitations need to be considered in order to ensure that the security needs and concerns of the most vulnerable are attended to, not least because women and other vulnerable groups are often marginalised in SSR processes (see </w:t>
      </w:r>
      <w:proofErr w:type="spellStart"/>
      <w:r w:rsidRPr="0066637D">
        <w:t>Salahub</w:t>
      </w:r>
      <w:proofErr w:type="spellEnd"/>
      <w:r w:rsidRPr="0066637D">
        <w:t xml:space="preserve"> and </w:t>
      </w:r>
      <w:proofErr w:type="spellStart"/>
      <w:r w:rsidRPr="0066637D">
        <w:t>Nerland</w:t>
      </w:r>
      <w:proofErr w:type="spellEnd"/>
      <w:r w:rsidRPr="0066637D">
        <w:t xml:space="preserve"> 2010). </w:t>
      </w:r>
    </w:p>
    <w:p w:rsidR="000A53DD" w:rsidRPr="0066637D" w:rsidRDefault="00E364BF" w:rsidP="000A53DD">
      <w:r w:rsidRPr="0066637D">
        <w:t>There are</w:t>
      </w:r>
      <w:r w:rsidR="000A53DD" w:rsidRPr="0066637D">
        <w:t xml:space="preserve"> other</w:t>
      </w:r>
      <w:r w:rsidRPr="0066637D">
        <w:t xml:space="preserve"> </w:t>
      </w:r>
      <w:r w:rsidR="00EC7831" w:rsidRPr="0066637D">
        <w:t xml:space="preserve">limitations and </w:t>
      </w:r>
      <w:r w:rsidR="000A53DD" w:rsidRPr="0066637D">
        <w:t>challenges</w:t>
      </w:r>
      <w:r w:rsidRPr="0066637D">
        <w:t xml:space="preserve"> in integrating community safety structures and other community-based structures into SSR processes</w:t>
      </w:r>
      <w:r w:rsidR="003E2B63" w:rsidRPr="0066637D">
        <w:t>,</w:t>
      </w:r>
      <w:r w:rsidR="000A53DD" w:rsidRPr="0066637D">
        <w:t xml:space="preserve"> in addition to the risks posed by ignoring the inherent complexity of power relations</w:t>
      </w:r>
      <w:r w:rsidRPr="0066637D">
        <w:t xml:space="preserve">. </w:t>
      </w:r>
      <w:r w:rsidR="000A53DD" w:rsidRPr="0066637D">
        <w:t>For instance, establishing or supporting community safety initiatives across many communities in many places recovering from conflict would be very resource intensive (</w:t>
      </w:r>
      <w:r w:rsidR="003E2B63" w:rsidRPr="0066637D">
        <w:t xml:space="preserve">see </w:t>
      </w:r>
      <w:proofErr w:type="spellStart"/>
      <w:r w:rsidR="000A53DD" w:rsidRPr="0066637D">
        <w:t>Donais</w:t>
      </w:r>
      <w:proofErr w:type="spellEnd"/>
      <w:r w:rsidR="000A53DD" w:rsidRPr="0066637D">
        <w:t xml:space="preserve"> and Knorr 2013; Donnelly, </w:t>
      </w:r>
      <w:hyperlink r:id="rId9" w:history="1">
        <w:proofErr w:type="spellStart"/>
        <w:r w:rsidR="000A53DD" w:rsidRPr="0066637D">
          <w:rPr>
            <w:rStyle w:val="Hyperlink"/>
            <w:color w:val="auto"/>
            <w:u w:val="none"/>
          </w:rPr>
          <w:t>Nikolla</w:t>
        </w:r>
        <w:proofErr w:type="spellEnd"/>
      </w:hyperlink>
      <w:r w:rsidR="000A53DD" w:rsidRPr="0066637D">
        <w:t xml:space="preserve">, </w:t>
      </w:r>
      <w:hyperlink r:id="rId10" w:history="1">
        <w:proofErr w:type="spellStart"/>
        <w:r w:rsidR="000A53DD" w:rsidRPr="0066637D">
          <w:rPr>
            <w:rStyle w:val="Hyperlink"/>
            <w:color w:val="auto"/>
            <w:u w:val="none"/>
          </w:rPr>
          <w:t>Poudel</w:t>
        </w:r>
        <w:proofErr w:type="spellEnd"/>
      </w:hyperlink>
      <w:r w:rsidR="000A53DD" w:rsidRPr="0066637D">
        <w:t xml:space="preserve"> and </w:t>
      </w:r>
      <w:hyperlink r:id="rId11" w:history="1">
        <w:r w:rsidR="000A53DD" w:rsidRPr="0066637D">
          <w:rPr>
            <w:rStyle w:val="Hyperlink"/>
            <w:color w:val="auto"/>
            <w:u w:val="none"/>
          </w:rPr>
          <w:t>Chakraborty</w:t>
        </w:r>
      </w:hyperlink>
      <w:r w:rsidR="000A53DD" w:rsidRPr="0066637D">
        <w:t xml:space="preserve"> 2013). There can also often be practical, security and cultural challenges for international organisations to engage with actors at the community level, particularly in the initial stages (Donnelly, </w:t>
      </w:r>
      <w:hyperlink r:id="rId12" w:history="1">
        <w:proofErr w:type="spellStart"/>
        <w:r w:rsidR="000A53DD" w:rsidRPr="0066637D">
          <w:rPr>
            <w:rStyle w:val="Hyperlink"/>
            <w:color w:val="auto"/>
            <w:u w:val="none"/>
          </w:rPr>
          <w:t>Nikolla</w:t>
        </w:r>
        <w:proofErr w:type="spellEnd"/>
      </w:hyperlink>
      <w:r w:rsidR="000A53DD" w:rsidRPr="0066637D">
        <w:t xml:space="preserve">, </w:t>
      </w:r>
      <w:hyperlink r:id="rId13" w:history="1">
        <w:proofErr w:type="spellStart"/>
        <w:r w:rsidR="000A53DD" w:rsidRPr="0066637D">
          <w:rPr>
            <w:rStyle w:val="Hyperlink"/>
            <w:color w:val="auto"/>
            <w:u w:val="none"/>
          </w:rPr>
          <w:t>Poudel</w:t>
        </w:r>
        <w:proofErr w:type="spellEnd"/>
      </w:hyperlink>
      <w:r w:rsidR="000A53DD" w:rsidRPr="0066637D">
        <w:t xml:space="preserve"> and </w:t>
      </w:r>
      <w:hyperlink r:id="rId14" w:history="1">
        <w:r w:rsidR="000A53DD" w:rsidRPr="0066637D">
          <w:rPr>
            <w:rStyle w:val="Hyperlink"/>
            <w:color w:val="auto"/>
            <w:u w:val="none"/>
          </w:rPr>
          <w:t>Chakraborty</w:t>
        </w:r>
      </w:hyperlink>
      <w:r w:rsidR="000A53DD" w:rsidRPr="0066637D">
        <w:t xml:space="preserve"> 2013; Lawrence 2012). This is why </w:t>
      </w:r>
      <w:proofErr w:type="spellStart"/>
      <w:r w:rsidR="000A53DD" w:rsidRPr="0066637D">
        <w:t>Saferworld</w:t>
      </w:r>
      <w:proofErr w:type="spellEnd"/>
      <w:r w:rsidR="000A53DD" w:rsidRPr="0066637D">
        <w:t xml:space="preserve">, for instance, often relies on local civil society organisations to facilitate the development of positive working relationships between international and local actors (Donnelly, </w:t>
      </w:r>
      <w:hyperlink r:id="rId15" w:history="1">
        <w:proofErr w:type="spellStart"/>
        <w:r w:rsidR="000A53DD" w:rsidRPr="0066637D">
          <w:rPr>
            <w:rStyle w:val="Hyperlink"/>
            <w:color w:val="auto"/>
            <w:u w:val="none"/>
          </w:rPr>
          <w:t>Nikolla</w:t>
        </w:r>
        <w:proofErr w:type="spellEnd"/>
      </w:hyperlink>
      <w:r w:rsidR="000A53DD" w:rsidRPr="0066637D">
        <w:t xml:space="preserve">, </w:t>
      </w:r>
      <w:hyperlink r:id="rId16" w:history="1">
        <w:proofErr w:type="spellStart"/>
        <w:r w:rsidR="000A53DD" w:rsidRPr="0066637D">
          <w:rPr>
            <w:rStyle w:val="Hyperlink"/>
            <w:color w:val="auto"/>
            <w:u w:val="none"/>
          </w:rPr>
          <w:t>Poudel</w:t>
        </w:r>
        <w:proofErr w:type="spellEnd"/>
      </w:hyperlink>
      <w:r w:rsidR="000A53DD" w:rsidRPr="0066637D">
        <w:t xml:space="preserve"> and </w:t>
      </w:r>
      <w:hyperlink r:id="rId17" w:history="1">
        <w:r w:rsidR="000A53DD" w:rsidRPr="0066637D">
          <w:rPr>
            <w:rStyle w:val="Hyperlink"/>
            <w:color w:val="auto"/>
            <w:u w:val="none"/>
          </w:rPr>
          <w:t>Chakraborty</w:t>
        </w:r>
      </w:hyperlink>
      <w:r w:rsidR="000A53DD" w:rsidRPr="0066637D">
        <w:t xml:space="preserve"> 2013). Another potential limitation or challenge is that people at the community level may be unwilling to engage in a process that is seen to be led by external or state-level actors</w:t>
      </w:r>
      <w:r w:rsidR="003E2B63" w:rsidRPr="0066637D">
        <w:t>,</w:t>
      </w:r>
      <w:r w:rsidR="000A53DD" w:rsidRPr="0066637D">
        <w:t xml:space="preserve"> or </w:t>
      </w:r>
      <w:r w:rsidR="003E2B63" w:rsidRPr="0066637D">
        <w:t>involves</w:t>
      </w:r>
      <w:r w:rsidR="000A53DD" w:rsidRPr="0066637D">
        <w:t xml:space="preserve"> authorities and security providers at the community level. Moreover, it can </w:t>
      </w:r>
      <w:r w:rsidR="00C43A9D" w:rsidRPr="0066637D">
        <w:t xml:space="preserve">be </w:t>
      </w:r>
      <w:r w:rsidR="000A53DD" w:rsidRPr="0066637D">
        <w:t xml:space="preserve">dangerous for people to engage in security matters, particularly in conflict-affected environments, which could </w:t>
      </w:r>
      <w:r w:rsidR="00304146" w:rsidRPr="0066637D">
        <w:t>discourage</w:t>
      </w:r>
      <w:r w:rsidR="000A53DD" w:rsidRPr="0066637D">
        <w:t xml:space="preserve"> people from engaging or put them at risk. Also, such an approach could raise expectations within communities about the nature and results of the reform process which </w:t>
      </w:r>
      <w:r w:rsidR="003E2B63" w:rsidRPr="0066637D">
        <w:t>might not</w:t>
      </w:r>
      <w:r w:rsidR="000A53DD" w:rsidRPr="0066637D">
        <w:t>, at least not in the short-term</w:t>
      </w:r>
      <w:r w:rsidR="003E2B63" w:rsidRPr="0066637D">
        <w:t>,</w:t>
      </w:r>
      <w:r w:rsidR="000A53DD" w:rsidRPr="0066637D">
        <w:t xml:space="preserve"> be met (see Donnelly, </w:t>
      </w:r>
      <w:hyperlink r:id="rId18" w:history="1">
        <w:proofErr w:type="spellStart"/>
        <w:r w:rsidR="000A53DD" w:rsidRPr="0066637D">
          <w:rPr>
            <w:rStyle w:val="Hyperlink"/>
            <w:color w:val="auto"/>
            <w:u w:val="none"/>
          </w:rPr>
          <w:t>Nikolla</w:t>
        </w:r>
        <w:proofErr w:type="spellEnd"/>
      </w:hyperlink>
      <w:r w:rsidR="000A53DD" w:rsidRPr="0066637D">
        <w:t xml:space="preserve">, </w:t>
      </w:r>
      <w:hyperlink r:id="rId19" w:history="1">
        <w:proofErr w:type="spellStart"/>
        <w:r w:rsidR="000A53DD" w:rsidRPr="0066637D">
          <w:rPr>
            <w:rStyle w:val="Hyperlink"/>
            <w:color w:val="auto"/>
            <w:u w:val="none"/>
          </w:rPr>
          <w:t>Poudel</w:t>
        </w:r>
        <w:proofErr w:type="spellEnd"/>
      </w:hyperlink>
      <w:r w:rsidR="000A53DD" w:rsidRPr="0066637D">
        <w:t xml:space="preserve"> and </w:t>
      </w:r>
      <w:hyperlink r:id="rId20" w:history="1">
        <w:r w:rsidR="000A53DD" w:rsidRPr="0066637D">
          <w:rPr>
            <w:rStyle w:val="Hyperlink"/>
            <w:color w:val="auto"/>
            <w:u w:val="none"/>
          </w:rPr>
          <w:t>Chakraborty</w:t>
        </w:r>
      </w:hyperlink>
      <w:r w:rsidR="000A53DD" w:rsidRPr="0066637D">
        <w:t xml:space="preserve"> 2013). However, it is suggested that expectation management is much more likely if there are open channels of communication.</w:t>
      </w:r>
    </w:p>
    <w:p w:rsidR="00E364BF" w:rsidRPr="0066637D" w:rsidRDefault="00F24B53" w:rsidP="00E364BF">
      <w:r w:rsidRPr="0066637D">
        <w:t>C</w:t>
      </w:r>
      <w:r w:rsidR="00E364BF" w:rsidRPr="0066637D">
        <w:t xml:space="preserve">o-ordination </w:t>
      </w:r>
      <w:r w:rsidRPr="0066637D">
        <w:t>would</w:t>
      </w:r>
      <w:r w:rsidR="00E364BF" w:rsidRPr="0066637D">
        <w:t xml:space="preserve"> </w:t>
      </w:r>
      <w:r w:rsidRPr="0066637D">
        <w:t xml:space="preserve">also </w:t>
      </w:r>
      <w:r w:rsidR="00E364BF" w:rsidRPr="0066637D">
        <w:t>become potentially more problematic with the engagement of community-based structures and the articulation of varied and potentially-competing security concerns and priorities.</w:t>
      </w:r>
      <w:r w:rsidR="00EC7831" w:rsidRPr="0066637D">
        <w:t xml:space="preserve"> Giving voice to many different concerns </w:t>
      </w:r>
      <w:r w:rsidR="00464CDB" w:rsidRPr="0066637D">
        <w:t xml:space="preserve">also </w:t>
      </w:r>
      <w:r w:rsidR="00EC7831" w:rsidRPr="0066637D">
        <w:t xml:space="preserve">raises </w:t>
      </w:r>
      <w:r w:rsidR="00464CDB" w:rsidRPr="0066637D">
        <w:t xml:space="preserve">‘the crucial question of “whose reality counts?”’ (Kunz and </w:t>
      </w:r>
      <w:proofErr w:type="spellStart"/>
      <w:r w:rsidR="00464CDB" w:rsidRPr="0066637D">
        <w:t>Valasek</w:t>
      </w:r>
      <w:proofErr w:type="spellEnd"/>
      <w:r w:rsidR="00464CDB" w:rsidRPr="0066637D">
        <w:t xml:space="preserve"> 2012, 132)</w:t>
      </w:r>
      <w:r w:rsidR="00EC7831" w:rsidRPr="0066637D">
        <w:t xml:space="preserve"> and how consensus can be achieved.</w:t>
      </w:r>
      <w:r w:rsidR="00464CDB" w:rsidRPr="0066637D">
        <w:t xml:space="preserve"> </w:t>
      </w:r>
      <w:r w:rsidR="00E364BF" w:rsidRPr="0066637D">
        <w:t xml:space="preserve">However, there is a need to incorporate the heterogeneity of society into SSR processes if SSR outcomes are to be relevant and </w:t>
      </w:r>
      <w:r w:rsidR="00A34E5F" w:rsidRPr="0066637D">
        <w:t>responsive</w:t>
      </w:r>
      <w:r w:rsidR="00E364BF" w:rsidRPr="0066637D">
        <w:t xml:space="preserve"> to the needs of different groups within society. Additionally, community-based structures can be viewed as an aid to give voice to those security concerns that might otherwise </w:t>
      </w:r>
      <w:r w:rsidR="00A34E5F" w:rsidRPr="0066637D">
        <w:t>remain</w:t>
      </w:r>
      <w:r w:rsidR="00E364BF" w:rsidRPr="0066637D">
        <w:t xml:space="preserve"> unheard and as a mechanism to negotiate shared security understandings and priorities. Slowing the SSR process (</w:t>
      </w:r>
      <w:proofErr w:type="spellStart"/>
      <w:r w:rsidR="00E364BF" w:rsidRPr="0066637D">
        <w:t>Scheye</w:t>
      </w:r>
      <w:proofErr w:type="spellEnd"/>
      <w:r w:rsidR="00E364BF" w:rsidRPr="0066637D">
        <w:t xml:space="preserve"> and </w:t>
      </w:r>
      <w:proofErr w:type="spellStart"/>
      <w:r w:rsidR="00E364BF" w:rsidRPr="0066637D">
        <w:t>Peake</w:t>
      </w:r>
      <w:proofErr w:type="spellEnd"/>
      <w:r w:rsidR="00E364BF" w:rsidRPr="0066637D">
        <w:t xml:space="preserve"> 2005) or taking steps to prepare for the advent of SSR during stabilisation (</w:t>
      </w:r>
      <w:proofErr w:type="spellStart"/>
      <w:r w:rsidR="00E364BF" w:rsidRPr="0066637D">
        <w:t>Downes</w:t>
      </w:r>
      <w:proofErr w:type="spellEnd"/>
      <w:r w:rsidR="00E364BF" w:rsidRPr="0066637D">
        <w:t xml:space="preserve"> and </w:t>
      </w:r>
      <w:proofErr w:type="spellStart"/>
      <w:r w:rsidR="00E364BF" w:rsidRPr="0066637D">
        <w:t>Muggah</w:t>
      </w:r>
      <w:proofErr w:type="spellEnd"/>
      <w:r w:rsidR="00E364BF" w:rsidRPr="0066637D">
        <w:t xml:space="preserve"> 2010) can also help manage the potential complexity of integrating community-based structures into SSR processes, and facilitate the development of more legitimate and sustainable outputs. Similarly, the OECD (2007) advocates the establishment of an inception </w:t>
      </w:r>
      <w:r w:rsidR="00E364BF" w:rsidRPr="0066637D">
        <w:lastRenderedPageBreak/>
        <w:t>phase during which local and international capacity and knowledge can be developed, and relationships formed.</w:t>
      </w:r>
    </w:p>
    <w:p w:rsidR="00156E08" w:rsidRPr="0066637D" w:rsidRDefault="00DE06A8" w:rsidP="00E364BF">
      <w:r w:rsidRPr="0066637D">
        <w:t>Nonetheless</w:t>
      </w:r>
      <w:r w:rsidR="00E364BF" w:rsidRPr="0066637D">
        <w:t>, as Lawrence (2012) has outlined, finding non-state local partners can be difficult, particularly given civil society can be weak and inaccessible in post-conflict environments</w:t>
      </w:r>
      <w:r w:rsidRPr="0066637D">
        <w:t>, and communities themselves may not feel they have the tools to engage in discussions about security</w:t>
      </w:r>
      <w:r w:rsidR="00E364BF" w:rsidRPr="0066637D">
        <w:t xml:space="preserve">. Supporting the development and functioning of inclusive community safety structures can be problematic and potentially destabilising where grievances, distrust and animosity remain. </w:t>
      </w:r>
      <w:r w:rsidR="00C43A9D" w:rsidRPr="0066637D">
        <w:t>M</w:t>
      </w:r>
      <w:r w:rsidR="00E364BF" w:rsidRPr="0066637D">
        <w:t xml:space="preserve">any groups at the community level (and the state level) </w:t>
      </w:r>
      <w:r w:rsidR="00C43A9D" w:rsidRPr="0066637D">
        <w:t>may</w:t>
      </w:r>
      <w:r w:rsidR="00E364BF" w:rsidRPr="0066637D">
        <w:t xml:space="preserve"> not</w:t>
      </w:r>
      <w:r w:rsidR="00C43A9D" w:rsidRPr="0066637D">
        <w:t xml:space="preserve"> be</w:t>
      </w:r>
      <w:r w:rsidR="00E364BF" w:rsidRPr="0066637D">
        <w:t xml:space="preserve"> committed to peace or, at least, the peace process as they see it. Yet, where structures can be supported they can contribute to addressing the security needs of potentially conflicting groups. They can also help provide legitimate ways in which grievances can be aired and dealt with</w:t>
      </w:r>
      <w:r w:rsidR="005F0A7E" w:rsidRPr="0066637D">
        <w:t>, although it is recognised that airing grievances can sometimes enflame tensions</w:t>
      </w:r>
      <w:r w:rsidR="00E364BF" w:rsidRPr="0066637D">
        <w:t xml:space="preserve">. They can also help to encourage people to believe that everyone has a stake in the future of their country. Conversely, not incorporating those at the community-level into SSR processes risks turning potential harbingers of reform into potential spoilers. As </w:t>
      </w:r>
      <w:proofErr w:type="spellStart"/>
      <w:r w:rsidR="00E364BF" w:rsidRPr="0066637D">
        <w:t>Meharg</w:t>
      </w:r>
      <w:proofErr w:type="spellEnd"/>
      <w:r w:rsidR="00E364BF" w:rsidRPr="0066637D">
        <w:t xml:space="preserve"> and </w:t>
      </w:r>
      <w:proofErr w:type="spellStart"/>
      <w:r w:rsidR="00E364BF" w:rsidRPr="0066637D">
        <w:t>Arnusch</w:t>
      </w:r>
      <w:proofErr w:type="spellEnd"/>
      <w:r w:rsidR="00E364BF" w:rsidRPr="0066637D">
        <w:t xml:space="preserve"> (2010) warned in respect of Liberia, for example, community-based and non-state security actors, which may have helped fill the security gap in the absence of functioning state institutions, could have become spoilers unless they were better incorporated into the SSR process. </w:t>
      </w:r>
    </w:p>
    <w:p w:rsidR="002F7A7F" w:rsidRPr="0066637D" w:rsidRDefault="002F7A7F" w:rsidP="00E364BF">
      <w:r w:rsidRPr="0066637D">
        <w:t xml:space="preserve">One of the biggest challenges, of course, is securing </w:t>
      </w:r>
      <w:r w:rsidR="00896A67" w:rsidRPr="0066637D">
        <w:t xml:space="preserve">widespread </w:t>
      </w:r>
      <w:r w:rsidRPr="0066637D">
        <w:t xml:space="preserve">support for community safety structures and their incorporation into </w:t>
      </w:r>
      <w:r w:rsidR="00896A67" w:rsidRPr="0066637D">
        <w:t>broader structures addressing security and justice needs</w:t>
      </w:r>
      <w:r w:rsidRPr="0066637D">
        <w:t xml:space="preserve">. In Kosovo in 2010, for instance, the potential of the community safety structures </w:t>
      </w:r>
      <w:r w:rsidR="00896A67" w:rsidRPr="0066637D">
        <w:t>was</w:t>
      </w:r>
      <w:r w:rsidRPr="0066637D">
        <w:t xml:space="preserve"> limited due to sub-optimal resources and capacity, public awareness which contributed to limited engagement of communities beyond public officials, cross-Ministry engagement, co-ordination and information-sharing (Gordon 2010; KCSS 2010).</w:t>
      </w:r>
    </w:p>
    <w:p w:rsidR="0052454F" w:rsidRPr="0066637D" w:rsidRDefault="00DE06A8" w:rsidP="0052454F">
      <w:r w:rsidRPr="0066637D">
        <w:t>Despite the challenges, it is argued that integrating community-based structures could potentially help promote more substantive and inclusive local ownership: people would be better able to influence decisions about their own security; policy decisions would more likely be predicated upon the concerns and priorities articulated at the community level; and supporting the active engagement of marginalised groups would help ensure that the</w:t>
      </w:r>
      <w:r w:rsidR="00C43A9D" w:rsidRPr="0066637D">
        <w:t>ir</w:t>
      </w:r>
      <w:r w:rsidRPr="0066637D">
        <w:t xml:space="preserve"> security needs and concerns could be addressed.</w:t>
      </w:r>
      <w:r w:rsidR="0052454F" w:rsidRPr="0066637D">
        <w:t xml:space="preserve"> </w:t>
      </w:r>
    </w:p>
    <w:p w:rsidR="0002160D" w:rsidRPr="0066637D" w:rsidRDefault="0052454F" w:rsidP="0002160D">
      <w:r w:rsidRPr="0066637D">
        <w:t>Nonetheless,</w:t>
      </w:r>
      <w:r w:rsidR="009727FF" w:rsidRPr="0066637D">
        <w:t xml:space="preserve"> it is likely that the </w:t>
      </w:r>
      <w:r w:rsidRPr="0066637D">
        <w:t xml:space="preserve">challenges noted above constitute some of the reasons why local ownership at the community-level remains negligible in many cases, despite policy direction (UN 2008) and academic critique (see, for example, </w:t>
      </w:r>
      <w:proofErr w:type="spellStart"/>
      <w:r w:rsidRPr="0066637D">
        <w:t>Caparini</w:t>
      </w:r>
      <w:proofErr w:type="spellEnd"/>
      <w:r w:rsidRPr="0066637D">
        <w:t xml:space="preserve"> 2010; </w:t>
      </w:r>
      <w:proofErr w:type="spellStart"/>
      <w:r w:rsidRPr="0066637D">
        <w:t>Cubitt</w:t>
      </w:r>
      <w:proofErr w:type="spellEnd"/>
      <w:r w:rsidRPr="0066637D">
        <w:t xml:space="preserve"> 2013; </w:t>
      </w:r>
      <w:proofErr w:type="spellStart"/>
      <w:r w:rsidRPr="0066637D">
        <w:t>Donais</w:t>
      </w:r>
      <w:proofErr w:type="spellEnd"/>
      <w:r w:rsidRPr="0066637D">
        <w:t xml:space="preserve"> 2009; </w:t>
      </w:r>
      <w:proofErr w:type="spellStart"/>
      <w:r w:rsidRPr="0066637D">
        <w:t>Sedra</w:t>
      </w:r>
      <w:proofErr w:type="spellEnd"/>
      <w:r w:rsidRPr="0066637D">
        <w:t xml:space="preserve"> 2010a). Broadening the scope of actors actively engaged in SSR is considered to be highly complex, risky, costly and particularly difficult for organisations that are accustomed to controlling processes and quantifying results. </w:t>
      </w:r>
      <w:r w:rsidR="0002160D" w:rsidRPr="0066637D">
        <w:t>The focus of local ownership may continue to be at the state-level because it is easier to deal with a limited demographic, particularly one that is more fa</w:t>
      </w:r>
      <w:r w:rsidR="009B3ABE" w:rsidRPr="0066637D">
        <w:t xml:space="preserve">miliar and conveniently located. </w:t>
      </w:r>
      <w:r w:rsidR="0002160D" w:rsidRPr="0066637D">
        <w:t xml:space="preserve">There may also be assumptions about the level of expertise required for engagement in SSR, or the extent to which views about security may vary throughout society. </w:t>
      </w:r>
      <w:r w:rsidR="003D7ED4" w:rsidRPr="0066637D">
        <w:t>R</w:t>
      </w:r>
      <w:r w:rsidR="0002160D" w:rsidRPr="0066637D">
        <w:t xml:space="preserve">eluctance to engage communities </w:t>
      </w:r>
      <w:r w:rsidR="0002160D" w:rsidRPr="0066637D">
        <w:lastRenderedPageBreak/>
        <w:t>more directly and comprehensively in SSR</w:t>
      </w:r>
      <w:r w:rsidR="003D7ED4" w:rsidRPr="0066637D">
        <w:t xml:space="preserve"> may be</w:t>
      </w:r>
      <w:r w:rsidR="0002160D" w:rsidRPr="0066637D">
        <w:t xml:space="preserve"> </w:t>
      </w:r>
      <w:r w:rsidR="003D7ED4" w:rsidRPr="0066637D">
        <w:t>a</w:t>
      </w:r>
      <w:r w:rsidR="0002160D" w:rsidRPr="0066637D">
        <w:t xml:space="preserve"> result of lack of consensus among engaged actors on the aim and approach of SSR, as well as </w:t>
      </w:r>
      <w:r w:rsidR="003D7ED4" w:rsidRPr="0066637D">
        <w:t xml:space="preserve">of </w:t>
      </w:r>
      <w:r w:rsidR="0002160D" w:rsidRPr="0066637D">
        <w:t xml:space="preserve">perceived urgency in the need to undertake reforms and respond to security challenges, as has been the case in DRC in the last decade (Hendrickson and </w:t>
      </w:r>
      <w:proofErr w:type="spellStart"/>
      <w:r w:rsidR="0002160D" w:rsidRPr="0066637D">
        <w:t>Kasongo</w:t>
      </w:r>
      <w:proofErr w:type="spellEnd"/>
      <w:r w:rsidR="0002160D" w:rsidRPr="0066637D">
        <w:t xml:space="preserve"> 2010</w:t>
      </w:r>
      <w:r w:rsidR="003D7ED4" w:rsidRPr="0066637D">
        <w:t>)</w:t>
      </w:r>
      <w:r w:rsidR="0002160D" w:rsidRPr="0066637D">
        <w:t xml:space="preserve">. </w:t>
      </w:r>
    </w:p>
    <w:p w:rsidR="007C1BF2" w:rsidRPr="0066637D" w:rsidRDefault="00E364BF" w:rsidP="00E364BF">
      <w:r w:rsidRPr="0066637D">
        <w:t xml:space="preserve">It is also important to </w:t>
      </w:r>
      <w:r w:rsidR="007C1BF2" w:rsidRPr="0066637D">
        <w:t>acknowledge</w:t>
      </w:r>
      <w:r w:rsidRPr="0066637D">
        <w:t xml:space="preserve"> that dominant or elite groups may not want an empowered and knowledgeable citizenry, let alone one that can influence decisions about the security sector.</w:t>
      </w:r>
      <w:r w:rsidR="005F0A7E" w:rsidRPr="0066637D">
        <w:t xml:space="preserve"> There is a risk, therefore, that promoting a community safety approach to SSR could result in state-level actors disengaging from the reform process. This fear of non-engagement of leaders in central security and political structures also explain</w:t>
      </w:r>
      <w:r w:rsidR="003D7ED4" w:rsidRPr="0066637D">
        <w:t>s</w:t>
      </w:r>
      <w:r w:rsidR="005F0A7E" w:rsidRPr="0066637D">
        <w:t xml:space="preserve"> why local ownership at the community level has not been promoted to a greater extent.</w:t>
      </w:r>
    </w:p>
    <w:p w:rsidR="003D7ED4" w:rsidRPr="0066637D" w:rsidRDefault="00B812D9" w:rsidP="00E364BF">
      <w:r w:rsidRPr="0066637D">
        <w:t>It is</w:t>
      </w:r>
      <w:r w:rsidR="00106DEE" w:rsidRPr="0066637D">
        <w:t xml:space="preserve"> </w:t>
      </w:r>
      <w:r w:rsidRPr="0066637D">
        <w:t>recognised</w:t>
      </w:r>
      <w:r w:rsidR="00106DEE" w:rsidRPr="0066637D">
        <w:t xml:space="preserve"> that the interests of external actors will not necessarily correlate </w:t>
      </w:r>
      <w:r w:rsidR="001F1840" w:rsidRPr="0066637D">
        <w:t xml:space="preserve">in different contexts </w:t>
      </w:r>
      <w:r w:rsidR="00106DEE" w:rsidRPr="0066637D">
        <w:t>w</w:t>
      </w:r>
      <w:r w:rsidRPr="0066637D">
        <w:t>ith the interests o</w:t>
      </w:r>
      <w:r w:rsidR="00106DEE" w:rsidRPr="0066637D">
        <w:t>f local actor</w:t>
      </w:r>
      <w:r w:rsidRPr="0066637D">
        <w:t xml:space="preserve">s </w:t>
      </w:r>
      <w:r w:rsidRPr="0066637D">
        <w:rPr>
          <w:color w:val="000000" w:themeColor="text1"/>
        </w:rPr>
        <w:t>(see</w:t>
      </w:r>
      <w:r w:rsidR="005F0A7E" w:rsidRPr="0066637D">
        <w:rPr>
          <w:color w:val="000000" w:themeColor="text1"/>
        </w:rPr>
        <w:t xml:space="preserve"> Kunz and </w:t>
      </w:r>
      <w:proofErr w:type="spellStart"/>
      <w:r w:rsidR="005F0A7E" w:rsidRPr="0066637D">
        <w:rPr>
          <w:color w:val="000000" w:themeColor="text1"/>
        </w:rPr>
        <w:t>Valasek</w:t>
      </w:r>
      <w:proofErr w:type="spellEnd"/>
      <w:r w:rsidR="005F0A7E" w:rsidRPr="0066637D">
        <w:rPr>
          <w:color w:val="000000" w:themeColor="text1"/>
        </w:rPr>
        <w:t xml:space="preserve"> 2012;</w:t>
      </w:r>
      <w:r w:rsidRPr="0066637D">
        <w:rPr>
          <w:color w:val="000000" w:themeColor="text1"/>
        </w:rPr>
        <w:t xml:space="preserve"> </w:t>
      </w:r>
      <w:proofErr w:type="spellStart"/>
      <w:r w:rsidRPr="0066637D">
        <w:rPr>
          <w:color w:val="000000" w:themeColor="text1"/>
        </w:rPr>
        <w:t>Luckham</w:t>
      </w:r>
      <w:proofErr w:type="spellEnd"/>
      <w:r w:rsidRPr="0066637D">
        <w:rPr>
          <w:color w:val="000000" w:themeColor="text1"/>
        </w:rPr>
        <w:t xml:space="preserve"> and Kirk 2013</w:t>
      </w:r>
      <w:r w:rsidR="005F0A7E" w:rsidRPr="0066637D">
        <w:rPr>
          <w:color w:val="000000" w:themeColor="text1"/>
        </w:rPr>
        <w:t xml:space="preserve">, </w:t>
      </w:r>
      <w:r w:rsidRPr="0066637D">
        <w:rPr>
          <w:color w:val="000000" w:themeColor="text1"/>
        </w:rPr>
        <w:t>for instance</w:t>
      </w:r>
      <w:r w:rsidR="001F1840" w:rsidRPr="0066637D">
        <w:rPr>
          <w:color w:val="000000" w:themeColor="text1"/>
        </w:rPr>
        <w:t xml:space="preserve">), particularly those at the community level whose interests may also be at odds with national government or state-level actors (see Kunz and </w:t>
      </w:r>
      <w:proofErr w:type="spellStart"/>
      <w:r w:rsidR="001F1840" w:rsidRPr="0066637D">
        <w:rPr>
          <w:color w:val="000000" w:themeColor="text1"/>
        </w:rPr>
        <w:t>Valasek</w:t>
      </w:r>
      <w:proofErr w:type="spellEnd"/>
      <w:r w:rsidR="001F1840" w:rsidRPr="0066637D">
        <w:rPr>
          <w:color w:val="000000" w:themeColor="text1"/>
        </w:rPr>
        <w:t xml:space="preserve"> 2012). Moreover, </w:t>
      </w:r>
      <w:r w:rsidRPr="0066637D">
        <w:t xml:space="preserve">it may not be in the immediate interests of </w:t>
      </w:r>
      <w:r w:rsidR="001F1840" w:rsidRPr="0066637D">
        <w:t xml:space="preserve">external actors, as well as local dominant groups, </w:t>
      </w:r>
      <w:r w:rsidRPr="0066637D">
        <w:t xml:space="preserve">to empower those at the community level. However, it is argued that </w:t>
      </w:r>
      <w:r w:rsidR="00106DEE" w:rsidRPr="0066637D">
        <w:t>e</w:t>
      </w:r>
      <w:r w:rsidR="00E364BF" w:rsidRPr="0066637D">
        <w:t xml:space="preserve">xternal actors need to be courageous enough to look beyond the familiar, state-centric approach and be prepared for the unpredictable, rather than imposing known-solutions and processes which may be less risky but only, it is argued, in the short-term (see </w:t>
      </w:r>
      <w:proofErr w:type="spellStart"/>
      <w:r w:rsidR="00E364BF" w:rsidRPr="0066637D">
        <w:t>Scheye</w:t>
      </w:r>
      <w:proofErr w:type="spellEnd"/>
      <w:r w:rsidR="00E364BF" w:rsidRPr="0066637D">
        <w:t xml:space="preserve"> 2009, for instance). Promoting a people-centred, bottom-up approach to SSR can, in fact, help to address concentrations of power which feed corruption, organised crime and insecurity. These phenomena are common in post-conflict environments and can significantly undermine the prospects of a sustainable peace.</w:t>
      </w:r>
    </w:p>
    <w:p w:rsidR="00E364BF" w:rsidRPr="0066637D" w:rsidRDefault="00E364BF" w:rsidP="00E364BF">
      <w:r w:rsidRPr="0066637D">
        <w:t xml:space="preserve">External actors also need to be committed enough to prioritise the security of individuals, above more strategic interests (such as counter-terrorism – see Lawrence 2012). In so doing, the international community needs to embrace the complexity and longevity of peacebuilding endeavours, including SSR, and ensure those actors who engage locals at the community level are provided with the financial and political support required. It also needs to be genuinely acknowledged that sustainable peace is unlikely if there is limited engagement of those who will determine if peace prevails and those who will suffer if it does not. As highlighted by </w:t>
      </w:r>
      <w:proofErr w:type="spellStart"/>
      <w:r w:rsidRPr="0066637D">
        <w:t>Kalyvas</w:t>
      </w:r>
      <w:proofErr w:type="spellEnd"/>
      <w:r w:rsidRPr="0066637D">
        <w:t xml:space="preserve"> (2006) and </w:t>
      </w:r>
      <w:proofErr w:type="spellStart"/>
      <w:r w:rsidRPr="0066637D">
        <w:t>Odendaal</w:t>
      </w:r>
      <w:proofErr w:type="spellEnd"/>
      <w:r w:rsidRPr="0066637D">
        <w:t xml:space="preserve"> (2013), agency is multiple and dispersed in conflict and it follows that it should be similarly so in peacebuilding. Consequently, whether or not peace can flourish depends upon a complex relationship between elites at the state-level and those at the community level. </w:t>
      </w:r>
      <w:r w:rsidR="00282511" w:rsidRPr="0066637D">
        <w:t>In recognition of this, a</w:t>
      </w:r>
      <w:r w:rsidR="00A8035D" w:rsidRPr="0066637D">
        <w:t xml:space="preserve"> hybrid approach to SSR and broader peacebuilding is proposed. </w:t>
      </w:r>
      <w:r w:rsidRPr="0066637D">
        <w:t xml:space="preserve">As </w:t>
      </w:r>
      <w:proofErr w:type="spellStart"/>
      <w:r w:rsidRPr="0066637D">
        <w:t>Kaldor</w:t>
      </w:r>
      <w:proofErr w:type="spellEnd"/>
      <w:r w:rsidRPr="0066637D">
        <w:t xml:space="preserve"> (2012, 131) explains, ‘alternative sources of power’, such as women’s groups and other civil society organisations, are often overlooked</w:t>
      </w:r>
      <w:r w:rsidR="00A8035D" w:rsidRPr="0066637D">
        <w:t xml:space="preserve"> in efforts to resolve conflict and build peace</w:t>
      </w:r>
      <w:r w:rsidRPr="0066637D">
        <w:t>. This results in missing valuable opportunities to build peace and exposes ‘a myopia about the character of power and the relationship between power and violence’ (</w:t>
      </w:r>
      <w:proofErr w:type="spellStart"/>
      <w:r w:rsidRPr="0066637D">
        <w:t>Kaldor</w:t>
      </w:r>
      <w:proofErr w:type="spellEnd"/>
      <w:r w:rsidRPr="0066637D">
        <w:t xml:space="preserve"> 2012, 131), assuming that only those at central levels and with the propensity to violence be included to any degree in negotiating and building peace.</w:t>
      </w:r>
    </w:p>
    <w:p w:rsidR="00E364BF" w:rsidRPr="0066637D" w:rsidRDefault="00E364BF" w:rsidP="006949D5">
      <w:r w:rsidRPr="0066637D">
        <w:lastRenderedPageBreak/>
        <w:t>Being attentive</w:t>
      </w:r>
      <w:r w:rsidR="007C1BF2" w:rsidRPr="0066637D">
        <w:t xml:space="preserve"> to the</w:t>
      </w:r>
      <w:r w:rsidRPr="0066637D">
        <w:t xml:space="preserve"> </w:t>
      </w:r>
      <w:r w:rsidR="00177982" w:rsidRPr="0066637D">
        <w:t>challenges</w:t>
      </w:r>
      <w:r w:rsidRPr="0066637D">
        <w:t xml:space="preserve"> and </w:t>
      </w:r>
      <w:r w:rsidR="00156E08" w:rsidRPr="0066637D">
        <w:t>potential limitations</w:t>
      </w:r>
      <w:r w:rsidR="007C1BF2" w:rsidRPr="0066637D">
        <w:t xml:space="preserve"> mentioned above</w:t>
      </w:r>
      <w:r w:rsidR="00156E08" w:rsidRPr="0066637D">
        <w:t xml:space="preserve">, and </w:t>
      </w:r>
      <w:r w:rsidRPr="0066637D">
        <w:t xml:space="preserve">engaging community safety structures from the planning and design stages of SSR, throughout implementation and thereafter, </w:t>
      </w:r>
      <w:r w:rsidR="00156E08" w:rsidRPr="0066637D">
        <w:t>can help to create</w:t>
      </w:r>
      <w:r w:rsidRPr="0066637D">
        <w:t xml:space="preserve"> security sector </w:t>
      </w:r>
      <w:r w:rsidR="00156E08" w:rsidRPr="0066637D">
        <w:t>institutions that are</w:t>
      </w:r>
      <w:r w:rsidRPr="0066637D">
        <w:t xml:space="preserve"> responsive and trust</w:t>
      </w:r>
      <w:r w:rsidR="003D7ED4" w:rsidRPr="0066637D">
        <w:t>ed</w:t>
      </w:r>
      <w:r w:rsidRPr="0066637D">
        <w:t xml:space="preserve">. </w:t>
      </w:r>
      <w:r w:rsidR="00156E08" w:rsidRPr="0066637D">
        <w:t xml:space="preserve">This could enhance the democratic accountability of the security sector as well as increase its effectiveness. This improved capability could enable </w:t>
      </w:r>
      <w:r w:rsidRPr="0066637D">
        <w:t xml:space="preserve">the successful and timely departure of an international community presence. </w:t>
      </w:r>
      <w:r w:rsidR="006949D5" w:rsidRPr="0066637D">
        <w:t xml:space="preserve">Incorporating community safety structures into SSR programmes </w:t>
      </w:r>
      <w:r w:rsidRPr="0066637D">
        <w:t xml:space="preserve">can </w:t>
      </w:r>
      <w:r w:rsidR="006949D5" w:rsidRPr="0066637D">
        <w:t xml:space="preserve">also </w:t>
      </w:r>
      <w:r w:rsidRPr="0066637D">
        <w:t xml:space="preserve">bridge the gap between the state and its people and, </w:t>
      </w:r>
      <w:r w:rsidR="006949D5" w:rsidRPr="0066637D">
        <w:t>as a result</w:t>
      </w:r>
      <w:r w:rsidRPr="0066637D">
        <w:t xml:space="preserve">, help build state legitimacy and resilience. </w:t>
      </w:r>
      <w:r w:rsidR="006949D5" w:rsidRPr="0066637D">
        <w:t xml:space="preserve">Consequently, </w:t>
      </w:r>
      <w:r w:rsidRPr="0066637D">
        <w:t xml:space="preserve">SSR programmes </w:t>
      </w:r>
      <w:r w:rsidR="006949D5" w:rsidRPr="0066637D">
        <w:t>would</w:t>
      </w:r>
      <w:r w:rsidRPr="0066637D">
        <w:t xml:space="preserve"> more likely be locally owned</w:t>
      </w:r>
      <w:r w:rsidR="006949D5" w:rsidRPr="0066637D">
        <w:t>, people-centred and context-specific</w:t>
      </w:r>
      <w:r w:rsidRPr="0066637D">
        <w:t xml:space="preserve"> – as intended</w:t>
      </w:r>
      <w:r w:rsidR="006949D5" w:rsidRPr="0066637D">
        <w:t>, in theory</w:t>
      </w:r>
      <w:r w:rsidRPr="0066637D">
        <w:t xml:space="preserve"> – and, therefore, more likely to be successful. </w:t>
      </w:r>
      <w:r w:rsidR="006949D5" w:rsidRPr="0066637D">
        <w:t>T</w:t>
      </w:r>
      <w:r w:rsidRPr="0066637D">
        <w:t xml:space="preserve">he prospects of building a sustainable peace </w:t>
      </w:r>
      <w:r w:rsidR="006949D5" w:rsidRPr="0066637D">
        <w:t>would therefore be significantly</w:t>
      </w:r>
      <w:r w:rsidRPr="0066637D">
        <w:t xml:space="preserve"> higher.</w:t>
      </w:r>
    </w:p>
    <w:p w:rsidR="00E364BF" w:rsidRPr="0066637D" w:rsidRDefault="00E364BF" w:rsidP="001C3FA4">
      <w:pPr>
        <w:pStyle w:val="Heading3"/>
      </w:pPr>
    </w:p>
    <w:p w:rsidR="00E364BF" w:rsidRPr="0066637D" w:rsidRDefault="00E364BF" w:rsidP="001C3FA4">
      <w:pPr>
        <w:pStyle w:val="Heading3"/>
      </w:pPr>
      <w:r w:rsidRPr="0066637D">
        <w:t>Conclusion</w:t>
      </w:r>
    </w:p>
    <w:p w:rsidR="00E364BF" w:rsidRPr="0066637D" w:rsidRDefault="00E364BF" w:rsidP="00E364BF">
      <w:pPr>
        <w:rPr>
          <w:rFonts w:cs="HelveticaNeueLT Std Med Cn"/>
          <w:bCs/>
          <w:color w:val="000000"/>
          <w:sz w:val="22"/>
          <w:szCs w:val="22"/>
        </w:rPr>
      </w:pPr>
      <w:r w:rsidRPr="0066637D">
        <w:t>While there have been recent improvements regarding promoting local ownership of SSR (</w:t>
      </w:r>
      <w:proofErr w:type="spellStart"/>
      <w:r w:rsidRPr="0066637D">
        <w:t>Caparini</w:t>
      </w:r>
      <w:proofErr w:type="spellEnd"/>
      <w:r w:rsidRPr="0066637D">
        <w:t xml:space="preserve"> 2010; </w:t>
      </w:r>
      <w:proofErr w:type="spellStart"/>
      <w:r w:rsidRPr="0066637D">
        <w:t>Heupel</w:t>
      </w:r>
      <w:proofErr w:type="spellEnd"/>
      <w:r w:rsidRPr="0066637D">
        <w:t xml:space="preserve"> 2012), the concept of local ownership remains vague and, at best, narrowly interpreted both in terms of who the locals are and what ownership constitutes. This is despite policy guidance underscoring the importance of SSR programmes being inclusive and local ownership being meaningful. This article has emphasised the vital importance of ensuring that civil society and the wider public constitute the ‘local’ that should ‘own’ the process and outcomes of SSR. </w:t>
      </w:r>
      <w:r w:rsidR="003D7ED4" w:rsidRPr="0066637D">
        <w:t>S</w:t>
      </w:r>
      <w:r w:rsidRPr="0066637D">
        <w:t xml:space="preserve">tate security institutions </w:t>
      </w:r>
      <w:r w:rsidR="003D7ED4" w:rsidRPr="0066637D">
        <w:t xml:space="preserve">need </w:t>
      </w:r>
      <w:r w:rsidRPr="0066637D">
        <w:t>to be responsive to the people and enjoy their trust and confidence, to</w:t>
      </w:r>
      <w:r w:rsidR="003D7ED4" w:rsidRPr="0066637D">
        <w:t xml:space="preserve"> support</w:t>
      </w:r>
      <w:r w:rsidRPr="0066637D">
        <w:t xml:space="preserve"> the outcome of SSR and broader peacebuilding processes. This article suggests that inclusive local ownership can be facilitated through incorporating community safety structures into the framework of SSR programmes. A number of issues need attending to, not least ensuring the representation of marginalised and other vulnerable groups in society. However, it is argued that such an approach </w:t>
      </w:r>
      <w:bookmarkStart w:id="0" w:name="_GoBack"/>
      <w:r w:rsidRPr="0066637D">
        <w:t>could enhance security sector responsiveness, effectiveness and legitimacy. The process of incorporating community-level groups can also have many other benefits, including raising awareness of security issues; enhancing relationships between communities and security and administrative officials; and contributing to reconciliation efforts. In short, actively engaging groups at the community level in decision-making throughout the SSR process can result in more context-specific, people-centred, inclusive and substantively locally-owned SSR processes and outcomes, and, ultimately, to more successful and sustainable SSR and peacebuilding endeavours.</w:t>
      </w:r>
    </w:p>
    <w:bookmarkEnd w:id="0"/>
    <w:p w:rsidR="00E364BF" w:rsidRPr="0066637D" w:rsidRDefault="00E364BF" w:rsidP="001C3FA4">
      <w:pPr>
        <w:pStyle w:val="Heading3"/>
      </w:pPr>
      <w:r w:rsidRPr="0066637D">
        <w:tab/>
      </w:r>
    </w:p>
    <w:p w:rsidR="00046342" w:rsidRPr="0066637D" w:rsidRDefault="00046342" w:rsidP="00046342">
      <w:pPr>
        <w:pStyle w:val="Heading3"/>
      </w:pPr>
      <w:r w:rsidRPr="0066637D">
        <w:t>Acknowledgements</w:t>
      </w:r>
    </w:p>
    <w:p w:rsidR="00046342" w:rsidRPr="0066637D" w:rsidRDefault="00046342" w:rsidP="00046342">
      <w:r w:rsidRPr="0066637D">
        <w:t xml:space="preserve">I would like to thank the journal editors, two anonymous reviewers, Professor Adrian Beck at the University of Leicester and </w:t>
      </w:r>
      <w:proofErr w:type="spellStart"/>
      <w:r w:rsidRPr="0066637D">
        <w:t>Chamila</w:t>
      </w:r>
      <w:proofErr w:type="spellEnd"/>
      <w:r w:rsidRPr="0066637D">
        <w:t xml:space="preserve"> </w:t>
      </w:r>
      <w:proofErr w:type="spellStart"/>
      <w:r w:rsidRPr="0066637D">
        <w:t>Hemmathagama</w:t>
      </w:r>
      <w:proofErr w:type="spellEnd"/>
      <w:r w:rsidRPr="0066637D">
        <w:t xml:space="preserve"> at </w:t>
      </w:r>
      <w:proofErr w:type="spellStart"/>
      <w:r w:rsidRPr="0066637D">
        <w:t>Saferworld</w:t>
      </w:r>
      <w:proofErr w:type="spellEnd"/>
      <w:r w:rsidRPr="0066637D">
        <w:t xml:space="preserve"> for their invaluable comments and feedback on earlier drafts of this article.</w:t>
      </w:r>
    </w:p>
    <w:p w:rsidR="00046342" w:rsidRPr="0066637D" w:rsidRDefault="00046342" w:rsidP="00046342"/>
    <w:p w:rsidR="00E364BF" w:rsidRPr="0066637D" w:rsidRDefault="00E364BF" w:rsidP="001C3FA4">
      <w:pPr>
        <w:pStyle w:val="Heading3"/>
      </w:pPr>
      <w:r w:rsidRPr="0066637D">
        <w:lastRenderedPageBreak/>
        <w:t>References</w:t>
      </w:r>
    </w:p>
    <w:p w:rsidR="00E364BF" w:rsidRPr="0066637D" w:rsidRDefault="00E364BF" w:rsidP="008F29F1">
      <w:r w:rsidRPr="0066637D">
        <w:t xml:space="preserve">Andersen, L. 2012. </w:t>
      </w:r>
      <w:proofErr w:type="gramStart"/>
      <w:r w:rsidRPr="0066637D">
        <w:t>“The Liberal Dilemmas of a People-Centred Approach to State-Building.”</w:t>
      </w:r>
      <w:proofErr w:type="gramEnd"/>
      <w:r w:rsidRPr="0066637D">
        <w:t xml:space="preserve"> </w:t>
      </w:r>
      <w:r w:rsidRPr="0066637D">
        <w:rPr>
          <w:i/>
        </w:rPr>
        <w:t xml:space="preserve">Conflict, Security &amp; Development </w:t>
      </w:r>
      <w:r w:rsidRPr="0066637D">
        <w:t xml:space="preserve">12(2): 103-121. </w:t>
      </w:r>
      <w:hyperlink r:id="rId21" w:history="1">
        <w:r w:rsidRPr="0066637D">
          <w:rPr>
            <w:rStyle w:val="Hyperlink"/>
          </w:rPr>
          <w:t>http://dx.doi.org/</w:t>
        </w:r>
        <w:r w:rsidRPr="0066637D">
          <w:rPr>
            <w:rStyle w:val="Hyperlink"/>
            <w:rFonts w:eastAsia="Times New Roman"/>
          </w:rPr>
          <w:t>10.1080/14678802.2012.688288</w:t>
        </w:r>
      </w:hyperlink>
      <w:r w:rsidRPr="0066637D">
        <w:t>.</w:t>
      </w:r>
      <w:r w:rsidRPr="0066637D">
        <w:rPr>
          <w:rFonts w:eastAsia="Times New Roman"/>
        </w:rPr>
        <w:t xml:space="preserve"> </w:t>
      </w:r>
    </w:p>
    <w:p w:rsidR="00E364BF" w:rsidRPr="0066637D" w:rsidRDefault="00E364BF" w:rsidP="008F29F1">
      <w:proofErr w:type="gramStart"/>
      <w:r w:rsidRPr="0066637D">
        <w:t>Baker, B. 2010.</w:t>
      </w:r>
      <w:proofErr w:type="gramEnd"/>
      <w:r w:rsidRPr="0066637D">
        <w:t xml:space="preserve"> “The Future Is Non-State.” </w:t>
      </w:r>
      <w:proofErr w:type="gramStart"/>
      <w:r w:rsidRPr="0066637D">
        <w:t xml:space="preserve">In </w:t>
      </w:r>
      <w:r w:rsidRPr="0066637D">
        <w:rPr>
          <w:i/>
        </w:rPr>
        <w:t>The Future of Security Sector Reform</w:t>
      </w:r>
      <w:r w:rsidRPr="0066637D">
        <w:t xml:space="preserve">, edited by M. </w:t>
      </w:r>
      <w:proofErr w:type="spellStart"/>
      <w:r w:rsidRPr="0066637D">
        <w:t>Sedra</w:t>
      </w:r>
      <w:proofErr w:type="spellEnd"/>
      <w:r w:rsidRPr="0066637D">
        <w:t>, 208-228.</w:t>
      </w:r>
      <w:proofErr w:type="gramEnd"/>
      <w:r w:rsidRPr="0066637D">
        <w:t xml:space="preserve"> Ontario: The Centre for International Governance Innovation. </w:t>
      </w:r>
      <w:hyperlink r:id="rId22" w:history="1">
        <w:r w:rsidRPr="0066637D">
          <w:rPr>
            <w:rStyle w:val="Hyperlink"/>
          </w:rPr>
          <w:t>http://www.cigionline.org/sites/default/files/The%20Future%20of%20Security%20Sector%20Reform.pdf</w:t>
        </w:r>
      </w:hyperlink>
      <w:r w:rsidRPr="0066637D">
        <w:t>.</w:t>
      </w:r>
    </w:p>
    <w:p w:rsidR="00E364BF" w:rsidRPr="0066637D" w:rsidRDefault="00E364BF" w:rsidP="008F29F1">
      <w:proofErr w:type="gramStart"/>
      <w:r w:rsidRPr="0066637D">
        <w:t xml:space="preserve">Baker, B. and </w:t>
      </w:r>
      <w:proofErr w:type="spellStart"/>
      <w:r w:rsidRPr="0066637D">
        <w:t>Scheye</w:t>
      </w:r>
      <w:proofErr w:type="spellEnd"/>
      <w:r w:rsidRPr="0066637D">
        <w:t>, E. 2007.</w:t>
      </w:r>
      <w:proofErr w:type="gramEnd"/>
      <w:r w:rsidRPr="0066637D">
        <w:t xml:space="preserve"> </w:t>
      </w:r>
      <w:proofErr w:type="gramStart"/>
      <w:r w:rsidRPr="0066637D">
        <w:t>“Multi-Layered Justice and Security Delivery in Post-Conflict and Fragile States.”</w:t>
      </w:r>
      <w:proofErr w:type="gramEnd"/>
      <w:r w:rsidRPr="0066637D">
        <w:t xml:space="preserve"> </w:t>
      </w:r>
      <w:r w:rsidRPr="0066637D">
        <w:rPr>
          <w:i/>
        </w:rPr>
        <w:t>Conflict, Security &amp; Development</w:t>
      </w:r>
      <w:r w:rsidRPr="0066637D">
        <w:t xml:space="preserve"> 7(4): 503-528. </w:t>
      </w:r>
      <w:hyperlink r:id="rId23" w:history="1">
        <w:r w:rsidRPr="0066637D">
          <w:rPr>
            <w:rStyle w:val="Hyperlink"/>
          </w:rPr>
          <w:t>http://dx.doi.org/10.1080/14678800701692944</w:t>
        </w:r>
      </w:hyperlink>
      <w:r w:rsidRPr="0066637D">
        <w:t>.</w:t>
      </w:r>
    </w:p>
    <w:p w:rsidR="00E364BF" w:rsidRPr="0066637D" w:rsidRDefault="00E364BF" w:rsidP="008F29F1">
      <w:r w:rsidRPr="0066637D">
        <w:t xml:space="preserve">Barnes, K. and Albrecht, P. 2008. </w:t>
      </w:r>
      <w:proofErr w:type="gramStart"/>
      <w:r w:rsidRPr="0066637D">
        <w:rPr>
          <w:i/>
        </w:rPr>
        <w:t>Civil Society Oversight of the Security Sector and Gender</w:t>
      </w:r>
      <w:r w:rsidRPr="0066637D">
        <w:t>.</w:t>
      </w:r>
      <w:proofErr w:type="gramEnd"/>
      <w:r w:rsidRPr="0066637D">
        <w:t xml:space="preserve"> Geneva: DCAF. </w:t>
      </w:r>
      <w:hyperlink r:id="rId24" w:history="1">
        <w:r w:rsidRPr="0066637D">
          <w:rPr>
            <w:rStyle w:val="Hyperlink"/>
          </w:rPr>
          <w:t>http://www.dcaf.ch/Publications/Civil-Society-Oversight-of-the-Security-Sector-and-Gender-Tool-9</w:t>
        </w:r>
      </w:hyperlink>
      <w:r w:rsidRPr="0066637D">
        <w:t xml:space="preserve">. </w:t>
      </w:r>
    </w:p>
    <w:p w:rsidR="00E364BF" w:rsidRPr="0066637D" w:rsidRDefault="00E364BF" w:rsidP="008F29F1">
      <w:proofErr w:type="spellStart"/>
      <w:proofErr w:type="gramStart"/>
      <w:r w:rsidRPr="0066637D">
        <w:t>Bastick</w:t>
      </w:r>
      <w:proofErr w:type="spellEnd"/>
      <w:r w:rsidRPr="0066637D">
        <w:t>, M. and Whitman, T. 2013.</w:t>
      </w:r>
      <w:proofErr w:type="gramEnd"/>
      <w:r w:rsidRPr="0066637D">
        <w:t xml:space="preserve"> </w:t>
      </w:r>
      <w:proofErr w:type="gramStart"/>
      <w:r w:rsidRPr="0066637D">
        <w:rPr>
          <w:i/>
        </w:rPr>
        <w:t>A Women’s Guide to Security Sector Reform</w:t>
      </w:r>
      <w:r w:rsidRPr="0066637D">
        <w:t>.</w:t>
      </w:r>
      <w:proofErr w:type="gramEnd"/>
      <w:r w:rsidRPr="0066637D">
        <w:t xml:space="preserve"> Washington: the Institute for Inclusive Security and DCAF. </w:t>
      </w:r>
      <w:hyperlink r:id="rId25" w:history="1">
        <w:r w:rsidRPr="0066637D">
          <w:rPr>
            <w:rStyle w:val="Hyperlink"/>
          </w:rPr>
          <w:t>http://www.inclusivesecurity.org/wp-content/uploads/2013/02/WGTSSR-Web.pdf</w:t>
        </w:r>
      </w:hyperlink>
      <w:r w:rsidRPr="0066637D">
        <w:t xml:space="preserve">. </w:t>
      </w:r>
    </w:p>
    <w:p w:rsidR="00E364BF" w:rsidRPr="0066637D" w:rsidRDefault="00E364BF" w:rsidP="008F29F1">
      <w:proofErr w:type="spellStart"/>
      <w:r w:rsidRPr="0066637D">
        <w:t>Benedix</w:t>
      </w:r>
      <w:proofErr w:type="spellEnd"/>
      <w:r w:rsidRPr="0066637D">
        <w:t xml:space="preserve">, D. and Stanley, R. 2008. </w:t>
      </w:r>
      <w:proofErr w:type="gramStart"/>
      <w:r w:rsidRPr="0066637D">
        <w:t>“Deconstructing local ownership of security sector reform: A review of the literature.”</w:t>
      </w:r>
      <w:proofErr w:type="gramEnd"/>
      <w:r w:rsidRPr="0066637D">
        <w:t xml:space="preserve"> </w:t>
      </w:r>
      <w:r w:rsidRPr="0066637D">
        <w:rPr>
          <w:i/>
        </w:rPr>
        <w:t>African Security Review</w:t>
      </w:r>
      <w:r w:rsidRPr="0066637D">
        <w:t xml:space="preserve"> 17(2): 93-104. </w:t>
      </w:r>
      <w:hyperlink r:id="rId26" w:history="1">
        <w:r w:rsidRPr="0066637D">
          <w:rPr>
            <w:rStyle w:val="Hyperlink"/>
          </w:rPr>
          <w:t>http://dx.doi.org/10.1080/10246029.2008.9627475</w:t>
        </w:r>
      </w:hyperlink>
      <w:r w:rsidRPr="0066637D">
        <w:t xml:space="preserve">. </w:t>
      </w:r>
    </w:p>
    <w:p w:rsidR="00E364BF" w:rsidRPr="0066637D" w:rsidRDefault="00E364BF" w:rsidP="008F29F1">
      <w:proofErr w:type="gramStart"/>
      <w:r w:rsidRPr="0066637D">
        <w:t>Berg, L.-A.</w:t>
      </w:r>
      <w:proofErr w:type="gramEnd"/>
      <w:r w:rsidRPr="0066637D">
        <w:t xml:space="preserve"> 2012. “Guns, Laws and Politics: The Political Foundations.” </w:t>
      </w:r>
      <w:proofErr w:type="gramStart"/>
      <w:r w:rsidRPr="0066637D">
        <w:rPr>
          <w:rStyle w:val="publicationtitle"/>
          <w:i/>
        </w:rPr>
        <w:t>Hague Journal on the Rule of Law</w:t>
      </w:r>
      <w:r w:rsidRPr="0066637D">
        <w:t>.</w:t>
      </w:r>
      <w:proofErr w:type="gramEnd"/>
      <w:r w:rsidRPr="0066637D">
        <w:t xml:space="preserve"> </w:t>
      </w:r>
      <w:r w:rsidRPr="0066637D">
        <w:rPr>
          <w:rStyle w:val="label18"/>
        </w:rPr>
        <w:t>4(1):</w:t>
      </w:r>
      <w:r w:rsidRPr="0066637D">
        <w:t xml:space="preserve"> 4-30. </w:t>
      </w:r>
      <w:hyperlink r:id="rId27" w:history="1">
        <w:r w:rsidRPr="0066637D">
          <w:rPr>
            <w:rStyle w:val="Hyperlink"/>
          </w:rPr>
          <w:t>http://dx.doi.org/10.1017/S1876404512000024</w:t>
        </w:r>
      </w:hyperlink>
      <w:r w:rsidRPr="0066637D">
        <w:t xml:space="preserve">. </w:t>
      </w:r>
    </w:p>
    <w:p w:rsidR="00E364BF" w:rsidRPr="0066637D" w:rsidRDefault="00E364BF" w:rsidP="008F29F1">
      <w:proofErr w:type="spellStart"/>
      <w:r w:rsidRPr="0066637D">
        <w:rPr>
          <w:rStyle w:val="googqs-tidbit"/>
          <w:bCs/>
        </w:rPr>
        <w:t>Blease</w:t>
      </w:r>
      <w:proofErr w:type="spellEnd"/>
      <w:r w:rsidRPr="0066637D">
        <w:rPr>
          <w:rStyle w:val="googqs-tidbit"/>
          <w:bCs/>
        </w:rPr>
        <w:t xml:space="preserve">, D. and </w:t>
      </w:r>
      <w:proofErr w:type="spellStart"/>
      <w:r w:rsidRPr="0066637D">
        <w:rPr>
          <w:rStyle w:val="googqs-tidbit"/>
          <w:bCs/>
        </w:rPr>
        <w:t>Qehaja</w:t>
      </w:r>
      <w:proofErr w:type="spellEnd"/>
      <w:r w:rsidRPr="0066637D">
        <w:rPr>
          <w:rStyle w:val="googqs-tidbit"/>
          <w:bCs/>
        </w:rPr>
        <w:t>, F. 2013. “</w:t>
      </w:r>
      <w:r w:rsidRPr="0066637D">
        <w:t xml:space="preserve">The conundrum of local ownership in developing a security sector: the case of Kosovo.” </w:t>
      </w:r>
      <w:r w:rsidRPr="0066637D">
        <w:rPr>
          <w:i/>
        </w:rPr>
        <w:t>New Balka</w:t>
      </w:r>
      <w:r w:rsidR="0026739F" w:rsidRPr="0066637D">
        <w:rPr>
          <w:i/>
        </w:rPr>
        <w:t>n Politics, Journal of Politics</w:t>
      </w:r>
      <w:r w:rsidRPr="0066637D">
        <w:rPr>
          <w:i/>
        </w:rPr>
        <w:t xml:space="preserve"> </w:t>
      </w:r>
      <w:r w:rsidRPr="0066637D">
        <w:t xml:space="preserve">1-21. </w:t>
      </w:r>
      <w:hyperlink r:id="rId28" w:history="1">
        <w:r w:rsidRPr="0066637D">
          <w:rPr>
            <w:rStyle w:val="Hyperlink"/>
          </w:rPr>
          <w:t>https://www.academia.edu/5636099/The_conundrum_of_local_ownership_bleasse_and_qehaja</w:t>
        </w:r>
      </w:hyperlink>
      <w:r w:rsidRPr="0066637D">
        <w:t xml:space="preserve">. </w:t>
      </w:r>
    </w:p>
    <w:p w:rsidR="009C2BEE" w:rsidRPr="0066637D" w:rsidRDefault="009C2BEE" w:rsidP="008F29F1">
      <w:r w:rsidRPr="0066637D">
        <w:t xml:space="preserve">Bond 2014. “UK’s first international development awards celebrate innovation and collaboration.” London: Bond. 12 May 2014. </w:t>
      </w:r>
      <w:hyperlink r:id="rId29" w:anchor="sthash.8h46Hbz3.348RWPx3.dpuf" w:history="1">
        <w:r w:rsidRPr="0066637D">
          <w:rPr>
            <w:rStyle w:val="Hyperlink"/>
          </w:rPr>
          <w:t>http://www.bond.org.uk/news.php/377/secretary-of-state-announces-bond-awards-winners#sthash.8h46Hbz3.348RWPx3.dpuf</w:t>
        </w:r>
      </w:hyperlink>
      <w:r w:rsidRPr="0066637D">
        <w:t xml:space="preserve">. </w:t>
      </w:r>
    </w:p>
    <w:p w:rsidR="00E80D08" w:rsidRPr="0066637D" w:rsidRDefault="00E80D08" w:rsidP="00167796">
      <w:r w:rsidRPr="0066637D">
        <w:t xml:space="preserve">Campbell, S. 2011. “Construing Top-down as Bottom-up: The Governmental Co-option of Peacebuilding From Below.” </w:t>
      </w:r>
      <w:r w:rsidRPr="0066637D">
        <w:rPr>
          <w:i/>
        </w:rPr>
        <w:t xml:space="preserve">Explorations in Anthropology </w:t>
      </w:r>
      <w:r w:rsidRPr="0066637D">
        <w:t>11(1): 39–56.</w:t>
      </w:r>
      <w:r w:rsidR="00167796" w:rsidRPr="0066637D">
        <w:t xml:space="preserve"> </w:t>
      </w:r>
      <w:hyperlink r:id="rId30" w:history="1">
        <w:r w:rsidR="00167796" w:rsidRPr="0066637D">
          <w:rPr>
            <w:rStyle w:val="Hyperlink"/>
          </w:rPr>
          <w:t>http://vav.library.utoronto.ca/index.php/vav/article/view/14890</w:t>
        </w:r>
      </w:hyperlink>
      <w:r w:rsidR="00167796" w:rsidRPr="0066637D">
        <w:t xml:space="preserve">. </w:t>
      </w:r>
    </w:p>
    <w:p w:rsidR="00E364BF" w:rsidRPr="0066637D" w:rsidRDefault="00E364BF" w:rsidP="008F29F1">
      <w:proofErr w:type="spellStart"/>
      <w:r w:rsidRPr="0066637D">
        <w:t>Caparini</w:t>
      </w:r>
      <w:proofErr w:type="spellEnd"/>
      <w:r w:rsidRPr="0066637D">
        <w:t xml:space="preserve">, M. 2010. </w:t>
      </w:r>
      <w:proofErr w:type="gramStart"/>
      <w:r w:rsidRPr="0066637D">
        <w:t>“Civil Society and the Future of Security Sector Reform.”</w:t>
      </w:r>
      <w:proofErr w:type="gramEnd"/>
      <w:r w:rsidRPr="0066637D">
        <w:t xml:space="preserve"> </w:t>
      </w:r>
      <w:proofErr w:type="gramStart"/>
      <w:r w:rsidRPr="0066637D">
        <w:t xml:space="preserve">In </w:t>
      </w:r>
      <w:r w:rsidRPr="0066637D">
        <w:rPr>
          <w:i/>
        </w:rPr>
        <w:t>The Future of Security Sector Reform</w:t>
      </w:r>
      <w:r w:rsidRPr="0066637D">
        <w:t xml:space="preserve">, edited by M. </w:t>
      </w:r>
      <w:proofErr w:type="spellStart"/>
      <w:r w:rsidRPr="0066637D">
        <w:t>Sedra</w:t>
      </w:r>
      <w:proofErr w:type="spellEnd"/>
      <w:r w:rsidRPr="0066637D">
        <w:t>, 244-262.</w:t>
      </w:r>
      <w:proofErr w:type="gramEnd"/>
      <w:r w:rsidRPr="0066637D">
        <w:t xml:space="preserve"> Ontario: CIGI. </w:t>
      </w:r>
      <w:hyperlink r:id="rId31" w:history="1">
        <w:r w:rsidRPr="0066637D">
          <w:rPr>
            <w:rStyle w:val="Hyperlink"/>
          </w:rPr>
          <w:t>http://www.cigionline.org/sites/default/files/The%20Future%20of%20Security%20Sector%20Reform.pdf</w:t>
        </w:r>
      </w:hyperlink>
      <w:r w:rsidRPr="0066637D">
        <w:t xml:space="preserve">. </w:t>
      </w:r>
    </w:p>
    <w:p w:rsidR="00E364BF" w:rsidRPr="0066637D" w:rsidRDefault="00E364BF" w:rsidP="008F29F1">
      <w:proofErr w:type="spellStart"/>
      <w:r w:rsidRPr="0066637D">
        <w:lastRenderedPageBreak/>
        <w:t>Conteh</w:t>
      </w:r>
      <w:proofErr w:type="spellEnd"/>
      <w:r w:rsidRPr="0066637D">
        <w:t xml:space="preserve">, K. 2007. “Sierra Leone Case Study: Local Ownership of the Security Sector Review and Transformation Processes.” </w:t>
      </w:r>
      <w:r w:rsidRPr="0066637D">
        <w:rPr>
          <w:i/>
          <w:iCs/>
        </w:rPr>
        <w:t>No Ownership, No Commitment: A Guide to Local Ownership of Security Sector Reform</w:t>
      </w:r>
      <w:r w:rsidRPr="0066637D">
        <w:t>, edited by L. Nathan, 86-93. Birmingham: University of Birmingham.</w:t>
      </w:r>
    </w:p>
    <w:p w:rsidR="00E364BF" w:rsidRPr="0066637D" w:rsidRDefault="00E364BF" w:rsidP="008F29F1">
      <w:proofErr w:type="spellStart"/>
      <w:r w:rsidRPr="0066637D">
        <w:t>Cubitt</w:t>
      </w:r>
      <w:proofErr w:type="spellEnd"/>
      <w:r w:rsidRPr="0066637D">
        <w:t xml:space="preserve">, C. 2013. “Responsible Reconstruction </w:t>
      </w:r>
      <w:proofErr w:type="gramStart"/>
      <w:r w:rsidRPr="0066637D">
        <w:t>After</w:t>
      </w:r>
      <w:proofErr w:type="gramEnd"/>
      <w:r w:rsidRPr="0066637D">
        <w:t xml:space="preserve"> War: Meeting Local Needs for Building Peace.” </w:t>
      </w:r>
      <w:r w:rsidRPr="0066637D">
        <w:rPr>
          <w:i/>
        </w:rPr>
        <w:t>Review of International Studies</w:t>
      </w:r>
      <w:r w:rsidRPr="0066637D">
        <w:t xml:space="preserve"> 39(1): 91-112. </w:t>
      </w:r>
      <w:hyperlink r:id="rId32" w:history="1">
        <w:r w:rsidRPr="0066637D">
          <w:rPr>
            <w:rStyle w:val="Hyperlink"/>
          </w:rPr>
          <w:t>http://dx.doi.org.ezproxy3.lib.le.ac.uk/10.1017/S0260210512000046</w:t>
        </w:r>
      </w:hyperlink>
      <w:r w:rsidRPr="0066637D">
        <w:t xml:space="preserve">. </w:t>
      </w:r>
    </w:p>
    <w:p w:rsidR="00E364BF" w:rsidRPr="0066637D" w:rsidRDefault="00E364BF" w:rsidP="008F29F1">
      <w:r w:rsidRPr="0066637D">
        <w:t xml:space="preserve">Darby, P. 2009. “Rolling Back the Frontiers of Empire: Practising the Postcolonial.” </w:t>
      </w:r>
      <w:r w:rsidRPr="0066637D">
        <w:rPr>
          <w:i/>
        </w:rPr>
        <w:t>International Peacekeeping</w:t>
      </w:r>
      <w:r w:rsidRPr="0066637D">
        <w:t xml:space="preserve"> 16 (5): 699-716. </w:t>
      </w:r>
      <w:hyperlink r:id="rId33" w:history="1">
        <w:r w:rsidRPr="0066637D">
          <w:rPr>
            <w:rStyle w:val="Hyperlink"/>
          </w:rPr>
          <w:t>http://dx.doi.org/10.1080/13533310903303347</w:t>
        </w:r>
      </w:hyperlink>
      <w:r w:rsidRPr="0066637D">
        <w:t xml:space="preserve">  </w:t>
      </w:r>
    </w:p>
    <w:p w:rsidR="00E364BF" w:rsidRPr="0066637D" w:rsidRDefault="00E364BF" w:rsidP="008F29F1">
      <w:proofErr w:type="gramStart"/>
      <w:r w:rsidRPr="0066637D">
        <w:t>DCAF 2005.</w:t>
      </w:r>
      <w:proofErr w:type="gramEnd"/>
      <w:r w:rsidRPr="0066637D">
        <w:t xml:space="preserve"> </w:t>
      </w:r>
      <w:proofErr w:type="gramStart"/>
      <w:r w:rsidRPr="0066637D">
        <w:rPr>
          <w:i/>
        </w:rPr>
        <w:t>National Security Policy</w:t>
      </w:r>
      <w:r w:rsidRPr="0066637D">
        <w:t>.</w:t>
      </w:r>
      <w:proofErr w:type="gramEnd"/>
      <w:r w:rsidRPr="0066637D">
        <w:t xml:space="preserve"> Geneva: DCAF. </w:t>
      </w:r>
      <w:hyperlink r:id="rId34" w:history="1">
        <w:r w:rsidRPr="0066637D">
          <w:rPr>
            <w:rStyle w:val="Hyperlink"/>
          </w:rPr>
          <w:t>http://www.dcaf.ch/Publications/National-Security-Policy</w:t>
        </w:r>
      </w:hyperlink>
      <w:r w:rsidRPr="0066637D">
        <w:t xml:space="preserve">. </w:t>
      </w:r>
    </w:p>
    <w:p w:rsidR="00E364BF" w:rsidRPr="0066637D" w:rsidRDefault="00E364BF" w:rsidP="008F29F1">
      <w:proofErr w:type="gramStart"/>
      <w:r w:rsidRPr="0066637D">
        <w:t>DCAF 2009.</w:t>
      </w:r>
      <w:proofErr w:type="gramEnd"/>
      <w:r w:rsidRPr="0066637D">
        <w:t xml:space="preserve"> </w:t>
      </w:r>
      <w:proofErr w:type="gramStart"/>
      <w:r w:rsidRPr="0066637D">
        <w:rPr>
          <w:i/>
        </w:rPr>
        <w:t>Security Sector Reform in Post-Conflict Peacebuilding</w:t>
      </w:r>
      <w:r w:rsidRPr="0066637D">
        <w:t>.</w:t>
      </w:r>
      <w:proofErr w:type="gramEnd"/>
      <w:r w:rsidRPr="0066637D">
        <w:t xml:space="preserve"> Geneva: DCAF. </w:t>
      </w:r>
      <w:hyperlink r:id="rId35" w:history="1">
        <w:r w:rsidRPr="0066637D">
          <w:rPr>
            <w:rStyle w:val="Hyperlink"/>
          </w:rPr>
          <w:t>http://www.dcaf.ch/Publications/Security-Sector-Reform-in-Post-Conflict-Peacebuilding</w:t>
        </w:r>
      </w:hyperlink>
      <w:r w:rsidRPr="0066637D">
        <w:t xml:space="preserve">. </w:t>
      </w:r>
    </w:p>
    <w:p w:rsidR="00E364BF" w:rsidRPr="0066637D" w:rsidRDefault="00E364BF" w:rsidP="008F29F1">
      <w:proofErr w:type="gramStart"/>
      <w:r w:rsidRPr="0066637D">
        <w:t>de</w:t>
      </w:r>
      <w:proofErr w:type="gramEnd"/>
      <w:r w:rsidRPr="0066637D">
        <w:t xml:space="preserve"> Coning, C. 2013. </w:t>
      </w:r>
      <w:proofErr w:type="gramStart"/>
      <w:r w:rsidRPr="0066637D">
        <w:t>“Understanding Peacebuilding as Essentially Local.”</w:t>
      </w:r>
      <w:proofErr w:type="gramEnd"/>
      <w:r w:rsidRPr="0066637D">
        <w:t xml:space="preserve"> </w:t>
      </w:r>
      <w:r w:rsidR="0026739F" w:rsidRPr="0066637D">
        <w:rPr>
          <w:i/>
        </w:rPr>
        <w:t>Stability: International Journal of Security &amp; Development</w:t>
      </w:r>
      <w:r w:rsidR="0026739F" w:rsidRPr="0066637D">
        <w:t xml:space="preserve"> </w:t>
      </w:r>
      <w:r w:rsidRPr="0066637D">
        <w:t xml:space="preserve">2(1): 1-6. </w:t>
      </w:r>
      <w:proofErr w:type="gramStart"/>
      <w:r w:rsidRPr="0066637D">
        <w:rPr>
          <w:spacing w:val="-51"/>
        </w:rPr>
        <w:t>:</w:t>
      </w:r>
      <w:proofErr w:type="gramEnd"/>
      <w:r w:rsidR="00301D16">
        <w:fldChar w:fldCharType="begin"/>
      </w:r>
      <w:r w:rsidR="00301D16">
        <w:instrText xml:space="preserve"> HYPERLINK "http://dx.doi.org/10.5334/sta.as" \t "_blank" </w:instrText>
      </w:r>
      <w:r w:rsidR="00301D16">
        <w:fldChar w:fldCharType="separate"/>
      </w:r>
      <w:r w:rsidRPr="0066637D">
        <w:rPr>
          <w:color w:val="0000FF"/>
          <w:u w:val="single"/>
        </w:rPr>
        <w:t>http://dx.doi.org/10.5334/sta.as</w:t>
      </w:r>
      <w:r w:rsidR="00301D16">
        <w:rPr>
          <w:color w:val="0000FF"/>
          <w:u w:val="single"/>
        </w:rPr>
        <w:fldChar w:fldCharType="end"/>
      </w:r>
      <w:r w:rsidRPr="0066637D">
        <w:t>.</w:t>
      </w:r>
    </w:p>
    <w:p w:rsidR="00E364BF" w:rsidRPr="0066637D" w:rsidRDefault="00E364BF" w:rsidP="008F29F1">
      <w:proofErr w:type="spellStart"/>
      <w:proofErr w:type="gramStart"/>
      <w:r w:rsidRPr="0066637D">
        <w:t>Donais</w:t>
      </w:r>
      <w:proofErr w:type="spellEnd"/>
      <w:r w:rsidRPr="0066637D">
        <w:t>, T., ed. 2008.</w:t>
      </w:r>
      <w:proofErr w:type="gramEnd"/>
      <w:r w:rsidRPr="0066637D">
        <w:t xml:space="preserve"> </w:t>
      </w:r>
      <w:proofErr w:type="gramStart"/>
      <w:r w:rsidRPr="0066637D">
        <w:rPr>
          <w:i/>
        </w:rPr>
        <w:t>Local Ownership and Security Sector Reform</w:t>
      </w:r>
      <w:r w:rsidRPr="0066637D">
        <w:t>.</w:t>
      </w:r>
      <w:proofErr w:type="gramEnd"/>
      <w:r w:rsidRPr="0066637D">
        <w:t xml:space="preserve"> Geneva: DCAF. </w:t>
      </w:r>
      <w:hyperlink r:id="rId36" w:history="1">
        <w:r w:rsidRPr="0066637D">
          <w:rPr>
            <w:rStyle w:val="Hyperlink"/>
          </w:rPr>
          <w:t>http://www.dcaf.ch/Publications/Local-Ownership-and-Security-Sector-Reform</w:t>
        </w:r>
      </w:hyperlink>
      <w:r w:rsidRPr="0066637D">
        <w:t xml:space="preserve">. </w:t>
      </w:r>
    </w:p>
    <w:p w:rsidR="00E364BF" w:rsidRPr="0066637D" w:rsidRDefault="00E364BF" w:rsidP="008F29F1">
      <w:proofErr w:type="spellStart"/>
      <w:r w:rsidRPr="0066637D">
        <w:t>Donais</w:t>
      </w:r>
      <w:proofErr w:type="spellEnd"/>
      <w:r w:rsidRPr="0066637D">
        <w:t xml:space="preserve">, T. 2009. </w:t>
      </w:r>
      <w:proofErr w:type="gramStart"/>
      <w:r w:rsidRPr="0066637D">
        <w:t>“Inclusion or Exclusion?</w:t>
      </w:r>
      <w:proofErr w:type="gramEnd"/>
      <w:r w:rsidRPr="0066637D">
        <w:t xml:space="preserve"> </w:t>
      </w:r>
      <w:proofErr w:type="gramStart"/>
      <w:r w:rsidRPr="0066637D">
        <w:t>Local Ownership and Security Sector Reform.”</w:t>
      </w:r>
      <w:proofErr w:type="gramEnd"/>
      <w:r w:rsidRPr="0066637D">
        <w:t xml:space="preserve"> </w:t>
      </w:r>
      <w:r w:rsidRPr="0066637D">
        <w:rPr>
          <w:i/>
        </w:rPr>
        <w:t>Studies in Social Justice</w:t>
      </w:r>
      <w:r w:rsidRPr="0066637D">
        <w:rPr>
          <w:b/>
          <w:i/>
        </w:rPr>
        <w:t xml:space="preserve"> </w:t>
      </w:r>
      <w:r w:rsidRPr="0066637D">
        <w:t>3</w:t>
      </w:r>
      <w:r w:rsidRPr="0066637D">
        <w:rPr>
          <w:b/>
        </w:rPr>
        <w:t xml:space="preserve"> </w:t>
      </w:r>
      <w:r w:rsidRPr="0066637D">
        <w:t>(1): 117-131.</w:t>
      </w:r>
    </w:p>
    <w:p w:rsidR="00E80D08" w:rsidRPr="0066637D" w:rsidRDefault="00E80D08" w:rsidP="008F29F1">
      <w:pPr>
        <w:rPr>
          <w:color w:val="000000" w:themeColor="text1"/>
        </w:rPr>
      </w:pPr>
      <w:proofErr w:type="spellStart"/>
      <w:proofErr w:type="gramStart"/>
      <w:r w:rsidRPr="0066637D">
        <w:t>Donais</w:t>
      </w:r>
      <w:proofErr w:type="spellEnd"/>
      <w:r w:rsidRPr="0066637D">
        <w:t>, T. and Knorr, A. 2013.</w:t>
      </w:r>
      <w:proofErr w:type="gramEnd"/>
      <w:r w:rsidRPr="0066637D">
        <w:t xml:space="preserve"> “Peacebuilding from below vs. the liberal peace: the case of Haiti.” </w:t>
      </w:r>
      <w:r w:rsidRPr="0066637D">
        <w:rPr>
          <w:i/>
        </w:rPr>
        <w:t xml:space="preserve">Canadian Journal of Development Studies / Revue </w:t>
      </w:r>
      <w:proofErr w:type="spellStart"/>
      <w:r w:rsidRPr="0066637D">
        <w:rPr>
          <w:i/>
        </w:rPr>
        <w:t>canadienne</w:t>
      </w:r>
      <w:proofErr w:type="spellEnd"/>
      <w:r w:rsidRPr="0066637D">
        <w:rPr>
          <w:i/>
        </w:rPr>
        <w:t xml:space="preserve"> </w:t>
      </w:r>
      <w:proofErr w:type="spellStart"/>
      <w:r w:rsidRPr="0066637D">
        <w:rPr>
          <w:i/>
        </w:rPr>
        <w:t>d'études</w:t>
      </w:r>
      <w:proofErr w:type="spellEnd"/>
      <w:r w:rsidRPr="0066637D">
        <w:rPr>
          <w:i/>
        </w:rPr>
        <w:t xml:space="preserve"> du </w:t>
      </w:r>
      <w:proofErr w:type="spellStart"/>
      <w:r w:rsidRPr="0066637D">
        <w:rPr>
          <w:i/>
        </w:rPr>
        <w:t>développement</w:t>
      </w:r>
      <w:proofErr w:type="spellEnd"/>
      <w:r w:rsidRPr="0066637D">
        <w:t xml:space="preserve"> 34(1): 54-69. </w:t>
      </w:r>
      <w:hyperlink r:id="rId37" w:history="1">
        <w:r w:rsidR="0026739F" w:rsidRPr="0066637D">
          <w:rPr>
            <w:rStyle w:val="Hyperlink"/>
          </w:rPr>
          <w:t>http://dx.doi.org/10.1080/02255189.2013.761130</w:t>
        </w:r>
      </w:hyperlink>
      <w:r w:rsidR="0026739F" w:rsidRPr="0066637D">
        <w:rPr>
          <w:color w:val="000000" w:themeColor="text1"/>
        </w:rPr>
        <w:t xml:space="preserve">. </w:t>
      </w:r>
    </w:p>
    <w:p w:rsidR="00E364BF" w:rsidRPr="0066637D" w:rsidRDefault="0026739F" w:rsidP="0026739F">
      <w:proofErr w:type="gramStart"/>
      <w:r w:rsidRPr="0066637D">
        <w:rPr>
          <w:color w:val="000000" w:themeColor="text1"/>
        </w:rPr>
        <w:t xml:space="preserve">Donnelly, T., </w:t>
      </w:r>
      <w:proofErr w:type="spellStart"/>
      <w:r w:rsidRPr="0066637D">
        <w:rPr>
          <w:color w:val="000000" w:themeColor="text1"/>
        </w:rPr>
        <w:t>Nikolla</w:t>
      </w:r>
      <w:proofErr w:type="spellEnd"/>
      <w:r w:rsidRPr="0066637D">
        <w:rPr>
          <w:color w:val="000000" w:themeColor="text1"/>
        </w:rPr>
        <w:t xml:space="preserve">, F., </w:t>
      </w:r>
      <w:proofErr w:type="spellStart"/>
      <w:r w:rsidRPr="0066637D">
        <w:rPr>
          <w:color w:val="000000" w:themeColor="text1"/>
        </w:rPr>
        <w:t>Poudel</w:t>
      </w:r>
      <w:proofErr w:type="spellEnd"/>
      <w:r w:rsidRPr="0066637D">
        <w:rPr>
          <w:color w:val="000000" w:themeColor="text1"/>
        </w:rPr>
        <w:t>, A. and Chakraborty, B. 2013.</w:t>
      </w:r>
      <w:proofErr w:type="gramEnd"/>
      <w:r w:rsidRPr="0066637D">
        <w:rPr>
          <w:color w:val="000000" w:themeColor="text1"/>
        </w:rPr>
        <w:t xml:space="preserve"> </w:t>
      </w:r>
      <w:r w:rsidR="00E364BF" w:rsidRPr="0066637D">
        <w:rPr>
          <w:i/>
        </w:rPr>
        <w:t>Community-based approaches to safety and security: Lessons from Kosovo, Nepal and Bangladesh</w:t>
      </w:r>
      <w:r w:rsidR="00E364BF" w:rsidRPr="0066637D">
        <w:t xml:space="preserve">. London: </w:t>
      </w:r>
      <w:proofErr w:type="spellStart"/>
      <w:r w:rsidR="00E364BF" w:rsidRPr="0066637D">
        <w:t>Saferworld</w:t>
      </w:r>
      <w:proofErr w:type="spellEnd"/>
      <w:r w:rsidR="00E364BF" w:rsidRPr="0066637D">
        <w:t xml:space="preserve">. </w:t>
      </w:r>
      <w:hyperlink r:id="rId38" w:history="1">
        <w:r w:rsidR="00E364BF" w:rsidRPr="0066637D">
          <w:rPr>
            <w:rStyle w:val="Hyperlink"/>
          </w:rPr>
          <w:t>http://www.saferworld.org.uk/resources/view-resource/741-community-based-approaches-to-safety-and-security</w:t>
        </w:r>
      </w:hyperlink>
      <w:r w:rsidR="00E364BF" w:rsidRPr="0066637D">
        <w:t xml:space="preserve">. </w:t>
      </w:r>
    </w:p>
    <w:p w:rsidR="00E364BF" w:rsidRPr="0066637D" w:rsidRDefault="00E364BF" w:rsidP="008F29F1">
      <w:proofErr w:type="spellStart"/>
      <w:proofErr w:type="gramStart"/>
      <w:r w:rsidRPr="0066637D">
        <w:t>Downes</w:t>
      </w:r>
      <w:proofErr w:type="spellEnd"/>
      <w:r w:rsidRPr="0066637D">
        <w:t xml:space="preserve">, M. and </w:t>
      </w:r>
      <w:proofErr w:type="spellStart"/>
      <w:r w:rsidRPr="0066637D">
        <w:t>Muggah</w:t>
      </w:r>
      <w:proofErr w:type="spellEnd"/>
      <w:r w:rsidRPr="0066637D">
        <w:t>, R. 2010.</w:t>
      </w:r>
      <w:proofErr w:type="gramEnd"/>
      <w:r w:rsidRPr="0066637D">
        <w:t xml:space="preserve"> </w:t>
      </w:r>
      <w:proofErr w:type="gramStart"/>
      <w:r w:rsidRPr="0066637D">
        <w:t>“Breathing Room: Interim Stabilization and Security Sector Reform in the Post-War Period.”</w:t>
      </w:r>
      <w:proofErr w:type="gramEnd"/>
      <w:r w:rsidRPr="0066637D">
        <w:t xml:space="preserve"> </w:t>
      </w:r>
      <w:proofErr w:type="gramStart"/>
      <w:r w:rsidRPr="0066637D">
        <w:t xml:space="preserve">In </w:t>
      </w:r>
      <w:r w:rsidRPr="0066637D">
        <w:rPr>
          <w:i/>
          <w:iCs/>
        </w:rPr>
        <w:t>The Future of Security Sector Reform</w:t>
      </w:r>
      <w:r w:rsidRPr="0066637D">
        <w:t xml:space="preserve">, edited by M. </w:t>
      </w:r>
      <w:proofErr w:type="spellStart"/>
      <w:r w:rsidRPr="0066637D">
        <w:t>Sedra</w:t>
      </w:r>
      <w:proofErr w:type="spellEnd"/>
      <w:r w:rsidRPr="0066637D">
        <w:t>, 136-153.</w:t>
      </w:r>
      <w:proofErr w:type="gramEnd"/>
      <w:r w:rsidRPr="0066637D">
        <w:t xml:space="preserve"> Ontario: CIGI. </w:t>
      </w:r>
      <w:hyperlink r:id="rId39" w:history="1">
        <w:r w:rsidRPr="0066637D">
          <w:rPr>
            <w:rStyle w:val="Hyperlink"/>
          </w:rPr>
          <w:t>http://www.cigionline.org/sites/default/files/The%20Future%20of%20Security%20Sector%20Reform.pdf</w:t>
        </w:r>
      </w:hyperlink>
      <w:r w:rsidRPr="0066637D">
        <w:t>.</w:t>
      </w:r>
    </w:p>
    <w:p w:rsidR="00E364BF" w:rsidRPr="0066637D" w:rsidRDefault="00E364BF" w:rsidP="008F29F1">
      <w:r w:rsidRPr="0066637D">
        <w:t xml:space="preserve">Duffield, M. 2007. </w:t>
      </w:r>
      <w:r w:rsidRPr="0066637D">
        <w:rPr>
          <w:i/>
        </w:rPr>
        <w:t>Development, Security and Unending War: Governing the World of Peoples</w:t>
      </w:r>
      <w:r w:rsidRPr="0066637D">
        <w:t>. Cambridge: Polity Press.</w:t>
      </w:r>
    </w:p>
    <w:p w:rsidR="00E364BF" w:rsidRPr="0066637D" w:rsidRDefault="00E364BF" w:rsidP="008F29F1">
      <w:proofErr w:type="spellStart"/>
      <w:proofErr w:type="gramStart"/>
      <w:r w:rsidRPr="0066637D">
        <w:t>Ebo</w:t>
      </w:r>
      <w:proofErr w:type="spellEnd"/>
      <w:r w:rsidRPr="0066637D">
        <w:t>, A. 2007.</w:t>
      </w:r>
      <w:proofErr w:type="gramEnd"/>
      <w:r w:rsidRPr="0066637D">
        <w:t xml:space="preserve"> “Liberia Case Study: Outsourcing SSR to Foreign Companies.” </w:t>
      </w:r>
      <w:r w:rsidRPr="0066637D">
        <w:rPr>
          <w:i/>
          <w:iCs/>
        </w:rPr>
        <w:t>No Ownership, No Commitment: A Guide to Local Ownership of Security Sector Reform</w:t>
      </w:r>
      <w:r w:rsidRPr="0066637D">
        <w:t>, edited by L. Nathan, 78-85. Birmingham: University of Birmingham.</w:t>
      </w:r>
    </w:p>
    <w:p w:rsidR="00E364BF" w:rsidRPr="0066637D" w:rsidRDefault="00E364BF" w:rsidP="008F29F1">
      <w:proofErr w:type="gramStart"/>
      <w:r w:rsidRPr="0066637D">
        <w:lastRenderedPageBreak/>
        <w:t>Gordon, E. 2010.</w:t>
      </w:r>
      <w:proofErr w:type="gramEnd"/>
      <w:r w:rsidRPr="0066637D">
        <w:t xml:space="preserve"> </w:t>
      </w:r>
      <w:proofErr w:type="gramStart"/>
      <w:r w:rsidRPr="0066637D">
        <w:rPr>
          <w:i/>
        </w:rPr>
        <w:t>Kosovo Community Safety Impact Assessment Report</w:t>
      </w:r>
      <w:r w:rsidRPr="0066637D">
        <w:t>.</w:t>
      </w:r>
      <w:proofErr w:type="gramEnd"/>
      <w:r w:rsidRPr="0066637D">
        <w:t xml:space="preserve"> Unpublished report of assessment conducted in Kosovo in 2010 for </w:t>
      </w:r>
      <w:proofErr w:type="spellStart"/>
      <w:r w:rsidRPr="0066637D">
        <w:t>Saferworld</w:t>
      </w:r>
      <w:proofErr w:type="spellEnd"/>
      <w:r w:rsidRPr="0066637D">
        <w:t xml:space="preserve">. London: </w:t>
      </w:r>
      <w:proofErr w:type="spellStart"/>
      <w:r w:rsidRPr="0066637D">
        <w:t>Saferworld</w:t>
      </w:r>
      <w:proofErr w:type="spellEnd"/>
      <w:r w:rsidRPr="0066637D">
        <w:t>.</w:t>
      </w:r>
    </w:p>
    <w:p w:rsidR="00E364BF" w:rsidRPr="0066637D" w:rsidRDefault="00E364BF" w:rsidP="008F29F1">
      <w:proofErr w:type="gramStart"/>
      <w:r w:rsidRPr="0066637D">
        <w:t>Gordon, E. 2011.</w:t>
      </w:r>
      <w:proofErr w:type="gramEnd"/>
      <w:r w:rsidRPr="0066637D">
        <w:t xml:space="preserve"> “Democratic Control of the Armed Forces in Countries Emerging From Conflict: In Defence of the State or its People?” Paper presented at </w:t>
      </w:r>
      <w:r w:rsidRPr="0066637D">
        <w:rPr>
          <w:i/>
        </w:rPr>
        <w:t>Global Insecurities Conference: Insurgency, Development and World Order: Ten Years On</w:t>
      </w:r>
      <w:r w:rsidRPr="0066637D">
        <w:t xml:space="preserve">, University of Leeds, </w:t>
      </w:r>
      <w:proofErr w:type="gramStart"/>
      <w:r w:rsidRPr="0066637D">
        <w:t>5</w:t>
      </w:r>
      <w:proofErr w:type="gramEnd"/>
      <w:r w:rsidRPr="0066637D">
        <w:t xml:space="preserve"> September 2011.</w:t>
      </w:r>
    </w:p>
    <w:p w:rsidR="00E364BF" w:rsidRPr="0066637D" w:rsidRDefault="00E364BF" w:rsidP="008F29F1">
      <w:proofErr w:type="gramStart"/>
      <w:r w:rsidRPr="0066637D">
        <w:t>Gordon, E., Sharma, S., Forbes, A. and Cave, R. 2011.</w:t>
      </w:r>
      <w:proofErr w:type="gramEnd"/>
      <w:r w:rsidRPr="0066637D">
        <w:t xml:space="preserve"> </w:t>
      </w:r>
      <w:r w:rsidRPr="0066637D">
        <w:rPr>
          <w:i/>
        </w:rPr>
        <w:t>A Safer Future: Tracking security improvements in an uncertain context</w:t>
      </w:r>
      <w:r w:rsidRPr="0066637D">
        <w:t xml:space="preserve">. London and Kathmandu: </w:t>
      </w:r>
      <w:r w:rsidRPr="0066637D">
        <w:br/>
      </w:r>
      <w:proofErr w:type="spellStart"/>
      <w:r w:rsidRPr="0066637D">
        <w:t>Saferworld</w:t>
      </w:r>
      <w:proofErr w:type="spellEnd"/>
      <w:r w:rsidRPr="0066637D">
        <w:t xml:space="preserve"> and Interdisciplinary analysts. </w:t>
      </w:r>
      <w:hyperlink r:id="rId40" w:history="1">
        <w:r w:rsidRPr="0066637D">
          <w:rPr>
            <w:rStyle w:val="Hyperlink"/>
          </w:rPr>
          <w:t>http://www.saferworld.org.uk/downloads/pubdocs/A%20safer%20future%20revised%20reduced.pdf</w:t>
        </w:r>
      </w:hyperlink>
      <w:r w:rsidRPr="0066637D">
        <w:t xml:space="preserve">. </w:t>
      </w:r>
    </w:p>
    <w:p w:rsidR="00E364BF" w:rsidRPr="0066637D" w:rsidRDefault="00E364BF" w:rsidP="008F29F1">
      <w:proofErr w:type="spellStart"/>
      <w:r w:rsidRPr="0066637D">
        <w:t>Hänggi</w:t>
      </w:r>
      <w:proofErr w:type="spellEnd"/>
      <w:r w:rsidRPr="0066637D">
        <w:t xml:space="preserve">, H. 2009. </w:t>
      </w:r>
      <w:proofErr w:type="gramStart"/>
      <w:r w:rsidRPr="0066637D">
        <w:t>“Security Sector Reform.”</w:t>
      </w:r>
      <w:proofErr w:type="gramEnd"/>
      <w:r w:rsidRPr="0066637D">
        <w:t xml:space="preserve"> In </w:t>
      </w:r>
      <w:r w:rsidRPr="0066637D">
        <w:rPr>
          <w:i/>
        </w:rPr>
        <w:t>Post-Conflict Peacebuilding: A Lexicon</w:t>
      </w:r>
      <w:r w:rsidRPr="0066637D">
        <w:t xml:space="preserve">, edited by V. </w:t>
      </w:r>
      <w:proofErr w:type="spellStart"/>
      <w:r w:rsidRPr="0066637D">
        <w:t>Chetail</w:t>
      </w:r>
      <w:proofErr w:type="spellEnd"/>
      <w:r w:rsidRPr="0066637D">
        <w:t>, 337-349. Oxford: Oxford University Press.</w:t>
      </w:r>
    </w:p>
    <w:p w:rsidR="00E364BF" w:rsidRPr="0066637D" w:rsidRDefault="00E364BF" w:rsidP="008F29F1">
      <w:r w:rsidRPr="0066637D">
        <w:t>Hendrickson, D. 2010. “Security Sector Transformation in Africa: Challenges Confronting Bilateral Donors.”</w:t>
      </w:r>
      <w:r w:rsidRPr="0066637D">
        <w:rPr>
          <w:color w:val="4D6BB1"/>
        </w:rPr>
        <w:t xml:space="preserve"> </w:t>
      </w:r>
      <w:proofErr w:type="gramStart"/>
      <w:r w:rsidRPr="0066637D">
        <w:t xml:space="preserve">In </w:t>
      </w:r>
      <w:r w:rsidRPr="0066637D">
        <w:rPr>
          <w:i/>
        </w:rPr>
        <w:t>Security Sector Transformation in Africa</w:t>
      </w:r>
      <w:r w:rsidRPr="0066637D">
        <w:t xml:space="preserve">, edited by A. </w:t>
      </w:r>
      <w:proofErr w:type="spellStart"/>
      <w:r w:rsidRPr="0066637D">
        <w:t>Bryden</w:t>
      </w:r>
      <w:proofErr w:type="spellEnd"/>
      <w:r w:rsidRPr="0066637D">
        <w:t xml:space="preserve"> and F. </w:t>
      </w:r>
      <w:proofErr w:type="spellStart"/>
      <w:r w:rsidRPr="0066637D">
        <w:t>Olonisakin</w:t>
      </w:r>
      <w:proofErr w:type="spellEnd"/>
      <w:r w:rsidRPr="0066637D">
        <w:t>, 201-215.</w:t>
      </w:r>
      <w:proofErr w:type="gramEnd"/>
      <w:r w:rsidRPr="0066637D">
        <w:t xml:space="preserve"> Geneva: DCAF.</w:t>
      </w:r>
    </w:p>
    <w:p w:rsidR="00C467D0" w:rsidRPr="0066637D" w:rsidRDefault="00C467D0" w:rsidP="00C467D0">
      <w:pPr>
        <w:rPr>
          <w:iCs/>
        </w:rPr>
      </w:pPr>
      <w:r w:rsidRPr="0066637D">
        <w:t xml:space="preserve">Hendrickson, D. and </w:t>
      </w:r>
      <w:proofErr w:type="spellStart"/>
      <w:r w:rsidRPr="0066637D">
        <w:t>Kasongo</w:t>
      </w:r>
      <w:proofErr w:type="spellEnd"/>
      <w:r w:rsidRPr="0066637D">
        <w:t xml:space="preserve">, M. 2010. “Security Sector Reform in the Democratic Republic of the Congo: Strategic Issues.” </w:t>
      </w:r>
      <w:r w:rsidRPr="0066637D">
        <w:rPr>
          <w:i/>
        </w:rPr>
        <w:t xml:space="preserve">African Security Sector Network (ASSN) </w:t>
      </w:r>
      <w:r w:rsidRPr="0066637D">
        <w:rPr>
          <w:i/>
          <w:iCs/>
        </w:rPr>
        <w:t>Issue Paper No. 4: Security Sector Reform</w:t>
      </w:r>
      <w:r w:rsidRPr="0066637D">
        <w:rPr>
          <w:iCs/>
        </w:rPr>
        <w:t xml:space="preserve">. New York: </w:t>
      </w:r>
      <w:proofErr w:type="spellStart"/>
      <w:r w:rsidRPr="0066637D">
        <w:rPr>
          <w:iCs/>
        </w:rPr>
        <w:t>Center</w:t>
      </w:r>
      <w:proofErr w:type="spellEnd"/>
      <w:r w:rsidRPr="0066637D">
        <w:rPr>
          <w:iCs/>
        </w:rPr>
        <w:t xml:space="preserve"> of International Cooperation. </w:t>
      </w:r>
    </w:p>
    <w:p w:rsidR="00E364BF" w:rsidRPr="0066637D" w:rsidRDefault="00E364BF" w:rsidP="008F29F1">
      <w:proofErr w:type="spellStart"/>
      <w:r w:rsidRPr="0066637D">
        <w:t>Heupel</w:t>
      </w:r>
      <w:proofErr w:type="spellEnd"/>
      <w:r w:rsidRPr="0066637D">
        <w:t xml:space="preserve">, M. 2012. “Rule of Law Promotion and Security Sector Reform: Common Principles, Common Challenges.” </w:t>
      </w:r>
      <w:r w:rsidRPr="0066637D">
        <w:rPr>
          <w:i/>
        </w:rPr>
        <w:t>Hague Journal on the Rule of Law</w:t>
      </w:r>
      <w:r w:rsidRPr="0066637D">
        <w:t xml:space="preserve"> 4(1): 158-175. </w:t>
      </w:r>
      <w:hyperlink r:id="rId41" w:history="1">
        <w:r w:rsidRPr="0066637D">
          <w:rPr>
            <w:rStyle w:val="Hyperlink"/>
          </w:rPr>
          <w:t>http://dx.doi.org/10.1017/S1876404512000097</w:t>
        </w:r>
      </w:hyperlink>
      <w:r w:rsidRPr="0066637D">
        <w:t xml:space="preserve">. </w:t>
      </w:r>
    </w:p>
    <w:p w:rsidR="00E364BF" w:rsidRPr="0066637D" w:rsidRDefault="00E364BF" w:rsidP="008F29F1">
      <w:proofErr w:type="gramStart"/>
      <w:r w:rsidRPr="0066637D">
        <w:t>ISSR 2006.</w:t>
      </w:r>
      <w:proofErr w:type="gramEnd"/>
      <w:r w:rsidRPr="0066637D">
        <w:t xml:space="preserve"> </w:t>
      </w:r>
      <w:proofErr w:type="gramStart"/>
      <w:r w:rsidRPr="0066637D">
        <w:rPr>
          <w:i/>
        </w:rPr>
        <w:t>Kosovo Internal Security Sector Review</w:t>
      </w:r>
      <w:r w:rsidRPr="0066637D">
        <w:t>.</w:t>
      </w:r>
      <w:proofErr w:type="gramEnd"/>
      <w:r w:rsidRPr="0066637D">
        <w:t xml:space="preserve"> </w:t>
      </w:r>
      <w:proofErr w:type="spellStart"/>
      <w:r w:rsidRPr="0066637D">
        <w:t>Prishtina</w:t>
      </w:r>
      <w:proofErr w:type="spellEnd"/>
      <w:r w:rsidRPr="0066637D">
        <w:t xml:space="preserve">: ISSR. </w:t>
      </w:r>
      <w:hyperlink r:id="rId42" w:history="1">
        <w:r w:rsidRPr="0066637D">
          <w:rPr>
            <w:rStyle w:val="Hyperlink"/>
          </w:rPr>
          <w:t>http://www.kosovo.undp.org/repository/docs/ISSR_report_eng_ver2.pdf</w:t>
        </w:r>
      </w:hyperlink>
      <w:r w:rsidRPr="0066637D">
        <w:t xml:space="preserve">. </w:t>
      </w:r>
    </w:p>
    <w:p w:rsidR="00E364BF" w:rsidRPr="0066637D" w:rsidRDefault="00E364BF" w:rsidP="008F29F1">
      <w:r w:rsidRPr="0066637D">
        <w:t xml:space="preserve">Jackson, P. 2010. “SSR and Post-Conflict Reconstruction: The Armed Wing of State Building?” </w:t>
      </w:r>
      <w:proofErr w:type="gramStart"/>
      <w:r w:rsidRPr="0066637D">
        <w:t xml:space="preserve">In </w:t>
      </w:r>
      <w:r w:rsidRPr="0066637D">
        <w:rPr>
          <w:i/>
        </w:rPr>
        <w:t>The Future of Security Sector Reform</w:t>
      </w:r>
      <w:r w:rsidRPr="0066637D">
        <w:t xml:space="preserve">, edited by M. </w:t>
      </w:r>
      <w:proofErr w:type="spellStart"/>
      <w:r w:rsidRPr="0066637D">
        <w:t>Sedra</w:t>
      </w:r>
      <w:proofErr w:type="spellEnd"/>
      <w:r w:rsidRPr="0066637D">
        <w:t>, 118-135.</w:t>
      </w:r>
      <w:proofErr w:type="gramEnd"/>
      <w:r w:rsidRPr="0066637D">
        <w:t xml:space="preserve"> Ontario: CIGI.</w:t>
      </w:r>
      <w:r w:rsidRPr="0066637D">
        <w:rPr>
          <w:color w:val="000000"/>
        </w:rPr>
        <w:t xml:space="preserve"> </w:t>
      </w:r>
      <w:hyperlink r:id="rId43" w:history="1">
        <w:r w:rsidRPr="0066637D">
          <w:rPr>
            <w:rStyle w:val="Hyperlink"/>
          </w:rPr>
          <w:t>http://www.cigionline.org/sites/default/files/The%20Future%20of%20Security%20Sector%20Reform.pdf</w:t>
        </w:r>
      </w:hyperlink>
      <w:r w:rsidRPr="0066637D">
        <w:t xml:space="preserve">. </w:t>
      </w:r>
    </w:p>
    <w:p w:rsidR="00E364BF" w:rsidRPr="0066637D" w:rsidRDefault="00E364BF" w:rsidP="008F29F1">
      <w:r w:rsidRPr="0066637D">
        <w:t xml:space="preserve">Jackson, P. 2011. </w:t>
      </w:r>
      <w:proofErr w:type="gramStart"/>
      <w:r w:rsidRPr="0066637D">
        <w:t>“Security Sector Reform and State Building.”</w:t>
      </w:r>
      <w:proofErr w:type="gramEnd"/>
      <w:r w:rsidRPr="0066637D">
        <w:t xml:space="preserve"> </w:t>
      </w:r>
      <w:r w:rsidR="0026739F" w:rsidRPr="0066637D">
        <w:rPr>
          <w:i/>
        </w:rPr>
        <w:t>Third World Quarterly</w:t>
      </w:r>
      <w:r w:rsidRPr="0066637D">
        <w:rPr>
          <w:i/>
        </w:rPr>
        <w:t xml:space="preserve"> </w:t>
      </w:r>
      <w:r w:rsidRPr="0066637D">
        <w:t xml:space="preserve">32(10): 1803-1822. </w:t>
      </w:r>
      <w:hyperlink r:id="rId44" w:history="1">
        <w:r w:rsidRPr="0066637D">
          <w:rPr>
            <w:rStyle w:val="Hyperlink"/>
          </w:rPr>
          <w:t>http://dx.doi.org/10.1080/01436597.2011.610577</w:t>
        </w:r>
      </w:hyperlink>
      <w:r w:rsidRPr="0066637D">
        <w:t xml:space="preserve">. </w:t>
      </w:r>
    </w:p>
    <w:p w:rsidR="00E364BF" w:rsidRPr="0066637D" w:rsidRDefault="00E364BF" w:rsidP="008F29F1">
      <w:pPr>
        <w:rPr>
          <w:color w:val="000000"/>
        </w:rPr>
      </w:pPr>
      <w:r w:rsidRPr="0066637D">
        <w:rPr>
          <w:color w:val="000000"/>
        </w:rPr>
        <w:t>Jackson, P. 2012. “</w:t>
      </w:r>
      <w:hyperlink r:id="rId45" w:history="1">
        <w:r w:rsidRPr="0066637D">
          <w:rPr>
            <w:color w:val="000000"/>
          </w:rPr>
          <w:t>Security Sector Reform and State-building: Lessons Learned</w:t>
        </w:r>
      </w:hyperlink>
      <w:r w:rsidR="0026739F" w:rsidRPr="0066637D">
        <w:t xml:space="preserve">.” </w:t>
      </w:r>
      <w:r w:rsidRPr="0066637D">
        <w:t xml:space="preserve">In </w:t>
      </w:r>
      <w:r w:rsidRPr="0066637D">
        <w:rPr>
          <w:i/>
        </w:rPr>
        <w:t xml:space="preserve">Back to the Roots: Security Sector Reform and Development, </w:t>
      </w:r>
      <w:r w:rsidRPr="0066637D">
        <w:t>edited by A. Schnabel and V. Farr, 251-270. Geneva: DCAF.</w:t>
      </w:r>
    </w:p>
    <w:p w:rsidR="009C2BEE" w:rsidRPr="0066637D" w:rsidRDefault="009C2BEE" w:rsidP="008F29F1">
      <w:proofErr w:type="gramStart"/>
      <w:r w:rsidRPr="0066637D">
        <w:t>Jackson, B. 2014.</w:t>
      </w:r>
      <w:proofErr w:type="gramEnd"/>
      <w:r w:rsidRPr="0066637D">
        <w:t xml:space="preserve"> “Bond NGO awards celebrate collaboration in complex times.” </w:t>
      </w:r>
      <w:proofErr w:type="gramStart"/>
      <w:r w:rsidRPr="0066637D">
        <w:rPr>
          <w:i/>
        </w:rPr>
        <w:t>The Guardian.</w:t>
      </w:r>
      <w:proofErr w:type="gramEnd"/>
      <w:r w:rsidRPr="0066637D">
        <w:t xml:space="preserve"> 13 May 2014. </w:t>
      </w:r>
      <w:hyperlink r:id="rId46" w:history="1">
        <w:r w:rsidRPr="0066637D">
          <w:rPr>
            <w:rStyle w:val="Hyperlink"/>
          </w:rPr>
          <w:t>http://www.theguardian.com/global-development-professionals-network/2014/may/13/bond-ngo-awards-winners</w:t>
        </w:r>
      </w:hyperlink>
      <w:r w:rsidRPr="0066637D">
        <w:t xml:space="preserve">. </w:t>
      </w:r>
    </w:p>
    <w:p w:rsidR="00E364BF" w:rsidRPr="0066637D" w:rsidRDefault="00E364BF" w:rsidP="008F29F1">
      <w:proofErr w:type="spellStart"/>
      <w:r w:rsidRPr="0066637D">
        <w:lastRenderedPageBreak/>
        <w:t>Jaye</w:t>
      </w:r>
      <w:proofErr w:type="spellEnd"/>
      <w:r w:rsidRPr="0066637D">
        <w:t xml:space="preserve">, T. 2006. </w:t>
      </w:r>
      <w:proofErr w:type="gramStart"/>
      <w:r w:rsidRPr="0066637D">
        <w:rPr>
          <w:i/>
        </w:rPr>
        <w:t>An assessment report on Security Sector Reform in Liberia</w:t>
      </w:r>
      <w:r w:rsidRPr="0066637D">
        <w:t>.</w:t>
      </w:r>
      <w:proofErr w:type="gramEnd"/>
      <w:r w:rsidRPr="0066637D">
        <w:t xml:space="preserve"> Monrovia: Governance Reform Commission of Liberia.</w:t>
      </w:r>
    </w:p>
    <w:p w:rsidR="00E364BF" w:rsidRPr="0066637D" w:rsidRDefault="00E364BF" w:rsidP="008F29F1">
      <w:proofErr w:type="spellStart"/>
      <w:r w:rsidRPr="0066637D">
        <w:t>Kaldor</w:t>
      </w:r>
      <w:proofErr w:type="spellEnd"/>
      <w:r w:rsidRPr="0066637D">
        <w:t xml:space="preserve">, M. 2012. </w:t>
      </w:r>
      <w:r w:rsidRPr="0066637D">
        <w:rPr>
          <w:i/>
        </w:rPr>
        <w:t>New and Old Wars: Organized Violence in a Global Era.</w:t>
      </w:r>
      <w:r w:rsidRPr="0066637D">
        <w:t xml:space="preserve"> Cambridge: Polity Press.</w:t>
      </w:r>
    </w:p>
    <w:p w:rsidR="00E364BF" w:rsidRPr="0066637D" w:rsidRDefault="00E364BF" w:rsidP="008F29F1">
      <w:proofErr w:type="spellStart"/>
      <w:r w:rsidRPr="0066637D">
        <w:t>Kalyvas</w:t>
      </w:r>
      <w:proofErr w:type="spellEnd"/>
      <w:r w:rsidRPr="0066637D">
        <w:t xml:space="preserve">, S. 2006. </w:t>
      </w:r>
      <w:proofErr w:type="gramStart"/>
      <w:r w:rsidRPr="0066637D">
        <w:rPr>
          <w:i/>
          <w:iCs/>
        </w:rPr>
        <w:t>The Logic of Violence in Civil War</w:t>
      </w:r>
      <w:r w:rsidRPr="0066637D">
        <w:t>.</w:t>
      </w:r>
      <w:proofErr w:type="gramEnd"/>
      <w:r w:rsidRPr="0066637D">
        <w:t xml:space="preserve"> Cambridge: Cambridge University Press.</w:t>
      </w:r>
    </w:p>
    <w:p w:rsidR="00E364BF" w:rsidRPr="0066637D" w:rsidRDefault="00E364BF" w:rsidP="008F29F1">
      <w:pPr>
        <w:rPr>
          <w:rFonts w:eastAsia="Times New Roman"/>
        </w:rPr>
      </w:pPr>
      <w:proofErr w:type="gramStart"/>
      <w:r w:rsidRPr="0066637D">
        <w:t>KCSS 2010.</w:t>
      </w:r>
      <w:proofErr w:type="gramEnd"/>
      <w:r w:rsidRPr="0066637D">
        <w:t xml:space="preserve"> </w:t>
      </w:r>
      <w:proofErr w:type="gramStart"/>
      <w:r w:rsidRPr="0066637D">
        <w:rPr>
          <w:i/>
        </w:rPr>
        <w:t>Assessment of the Democratic Oversight and Governance Mechanisms of Municipal Community Safety Councils</w:t>
      </w:r>
      <w:r w:rsidRPr="0066637D">
        <w:t>.</w:t>
      </w:r>
      <w:proofErr w:type="gramEnd"/>
      <w:r w:rsidRPr="0066637D">
        <w:t xml:space="preserve"> Pristina: KCSS. </w:t>
      </w:r>
      <w:hyperlink r:id="rId47" w:history="1">
        <w:r w:rsidRPr="0066637D">
          <w:rPr>
            <w:rStyle w:val="Hyperlink"/>
          </w:rPr>
          <w:t>http://www.qkss.org/en-us/Policy-Papers/Assessment-of-the-Democratic-Oversight-and-Governance-Mechanisms-of-Municipal-Community-Safety-Councils-88</w:t>
        </w:r>
      </w:hyperlink>
      <w:r w:rsidRPr="0066637D">
        <w:t xml:space="preserve">. </w:t>
      </w:r>
    </w:p>
    <w:p w:rsidR="00E364BF" w:rsidRPr="0066637D" w:rsidRDefault="00E364BF" w:rsidP="008F29F1">
      <w:r w:rsidRPr="0066637D">
        <w:t xml:space="preserve">Keane, R. and </w:t>
      </w:r>
      <w:proofErr w:type="spellStart"/>
      <w:r w:rsidRPr="0066637D">
        <w:t>Downes</w:t>
      </w:r>
      <w:proofErr w:type="spellEnd"/>
      <w:r w:rsidRPr="0066637D">
        <w:t xml:space="preserve">, M. 2012. </w:t>
      </w:r>
      <w:r w:rsidRPr="0066637D">
        <w:rPr>
          <w:i/>
        </w:rPr>
        <w:t>Security-Sector Reform Applied: Nine Ways to Move from Policy to Implementation</w:t>
      </w:r>
      <w:r w:rsidRPr="0066637D">
        <w:t xml:space="preserve">. New York: International Peace Institute. </w:t>
      </w:r>
      <w:hyperlink r:id="rId48" w:history="1">
        <w:r w:rsidRPr="0066637D">
          <w:rPr>
            <w:rStyle w:val="Hyperlink"/>
          </w:rPr>
          <w:t>http://www.ipinst.org/media/pdf/publications/ipi_e_pub_ssr_applied.pdf</w:t>
        </w:r>
      </w:hyperlink>
      <w:r w:rsidRPr="0066637D">
        <w:t xml:space="preserve">. </w:t>
      </w:r>
    </w:p>
    <w:p w:rsidR="00E364BF" w:rsidRPr="0066637D" w:rsidRDefault="00E364BF" w:rsidP="008F29F1">
      <w:pPr>
        <w:rPr>
          <w:rStyle w:val="Strong"/>
          <w:lang w:val="en"/>
        </w:rPr>
      </w:pPr>
      <w:r w:rsidRPr="0066637D">
        <w:t xml:space="preserve">Knight, M. 2009. </w:t>
      </w:r>
      <w:proofErr w:type="gramStart"/>
      <w:r w:rsidRPr="0066637D">
        <w:t>“</w:t>
      </w:r>
      <w:r w:rsidRPr="0066637D">
        <w:rPr>
          <w:rStyle w:val="Strong"/>
          <w:b w:val="0"/>
          <w:lang w:val="en"/>
        </w:rPr>
        <w:t>Security Sector Reform, Democracy and the Social Contract: From Implicit to Explicit.”</w:t>
      </w:r>
      <w:proofErr w:type="gramEnd"/>
      <w:r w:rsidRPr="0066637D">
        <w:rPr>
          <w:rStyle w:val="Strong"/>
          <w:lang w:val="en"/>
        </w:rPr>
        <w:t xml:space="preserve"> </w:t>
      </w:r>
      <w:r w:rsidRPr="0066637D">
        <w:rPr>
          <w:rStyle w:val="Strong"/>
          <w:b w:val="0"/>
          <w:i/>
          <w:lang w:val="en"/>
        </w:rPr>
        <w:t>Journal of Security Sector Management</w:t>
      </w:r>
      <w:r w:rsidRPr="0066637D">
        <w:rPr>
          <w:rStyle w:val="Strong"/>
          <w:b w:val="0"/>
          <w:lang w:val="en"/>
        </w:rPr>
        <w:t xml:space="preserve"> 7(1):1-20.</w:t>
      </w:r>
      <w:r w:rsidRPr="0066637D">
        <w:rPr>
          <w:rStyle w:val="Strong"/>
          <w:lang w:val="en"/>
        </w:rPr>
        <w:t xml:space="preserve"> </w:t>
      </w:r>
      <w:hyperlink r:id="rId49" w:history="1">
        <w:r w:rsidRPr="0066637D">
          <w:rPr>
            <w:rStyle w:val="Hyperlink"/>
            <w:lang w:val="en"/>
          </w:rPr>
          <w:t>http://www.ssronline.org/jofssm/issues/jofssm_0701_knight.pdf?CFID=4098420&amp;CFTOKEN=57140008</w:t>
        </w:r>
      </w:hyperlink>
      <w:r w:rsidRPr="0066637D">
        <w:rPr>
          <w:rStyle w:val="Strong"/>
          <w:lang w:val="en"/>
        </w:rPr>
        <w:t xml:space="preserve">. </w:t>
      </w:r>
    </w:p>
    <w:p w:rsidR="00E364BF" w:rsidRPr="0066637D" w:rsidRDefault="00E364BF" w:rsidP="008F29F1">
      <w:proofErr w:type="spellStart"/>
      <w:r w:rsidRPr="0066637D">
        <w:t>Kostovicova</w:t>
      </w:r>
      <w:proofErr w:type="spellEnd"/>
      <w:r w:rsidRPr="0066637D">
        <w:t xml:space="preserve">, D. 2008. “Legitimacy and International Administration: The </w:t>
      </w:r>
      <w:proofErr w:type="spellStart"/>
      <w:r w:rsidRPr="0066637D">
        <w:t>Ahtisaari</w:t>
      </w:r>
      <w:proofErr w:type="spellEnd"/>
      <w:r w:rsidRPr="0066637D">
        <w:t xml:space="preserve"> Settlement for Kosovo from a Human Security Perspective.” </w:t>
      </w:r>
      <w:r w:rsidRPr="0066637D">
        <w:rPr>
          <w:i/>
        </w:rPr>
        <w:t>International Peacekeeping</w:t>
      </w:r>
      <w:r w:rsidRPr="0066637D">
        <w:t xml:space="preserve"> 15(5): 631-647. </w:t>
      </w:r>
      <w:hyperlink r:id="rId50" w:history="1">
        <w:r w:rsidRPr="0066637D">
          <w:rPr>
            <w:rStyle w:val="Hyperlink"/>
          </w:rPr>
          <w:t>http://dx.doi.org/10.1080/13533310802396160</w:t>
        </w:r>
      </w:hyperlink>
      <w:r w:rsidRPr="0066637D">
        <w:t xml:space="preserve">. </w:t>
      </w:r>
    </w:p>
    <w:p w:rsidR="00E364BF" w:rsidRPr="0066637D" w:rsidRDefault="00E364BF" w:rsidP="008F29F1">
      <w:proofErr w:type="spellStart"/>
      <w:proofErr w:type="gramStart"/>
      <w:r w:rsidRPr="0066637D">
        <w:t>Krogstad</w:t>
      </w:r>
      <w:proofErr w:type="spellEnd"/>
      <w:r w:rsidRPr="0066637D">
        <w:t>, E. 2013.</w:t>
      </w:r>
      <w:proofErr w:type="gramEnd"/>
      <w:r w:rsidRPr="0066637D">
        <w:t xml:space="preserve"> </w:t>
      </w:r>
      <w:r w:rsidRPr="0066637D">
        <w:rPr>
          <w:i/>
        </w:rPr>
        <w:t xml:space="preserve">Abundant in Policy, Absent in Practice? </w:t>
      </w:r>
      <w:proofErr w:type="gramStart"/>
      <w:r w:rsidRPr="0066637D">
        <w:rPr>
          <w:i/>
        </w:rPr>
        <w:t>Rethinking ‘Local Ownership’</w:t>
      </w:r>
      <w:r w:rsidRPr="0066637D">
        <w:t>.</w:t>
      </w:r>
      <w:proofErr w:type="gramEnd"/>
      <w:r w:rsidRPr="0066637D">
        <w:t xml:space="preserve"> Chr. </w:t>
      </w:r>
      <w:proofErr w:type="spellStart"/>
      <w:r w:rsidRPr="0066637D">
        <w:t>Michelsen</w:t>
      </w:r>
      <w:proofErr w:type="spellEnd"/>
      <w:r w:rsidRPr="0066637D">
        <w:t xml:space="preserve"> Institute (CHI) Working Paper 2013: 1. Bergen: CHI.</w:t>
      </w:r>
    </w:p>
    <w:p w:rsidR="00E80D08" w:rsidRPr="0066637D" w:rsidRDefault="00E80D08" w:rsidP="008F29F1">
      <w:r w:rsidRPr="0066637D">
        <w:rPr>
          <w:iCs/>
        </w:rPr>
        <w:t xml:space="preserve">Kunz, R. and </w:t>
      </w:r>
      <w:proofErr w:type="spellStart"/>
      <w:r w:rsidRPr="0066637D">
        <w:rPr>
          <w:iCs/>
        </w:rPr>
        <w:t>Valasek</w:t>
      </w:r>
      <w:proofErr w:type="spellEnd"/>
      <w:proofErr w:type="gramStart"/>
      <w:r w:rsidRPr="0066637D">
        <w:rPr>
          <w:iCs/>
        </w:rPr>
        <w:t>,,</w:t>
      </w:r>
      <w:proofErr w:type="gramEnd"/>
      <w:r w:rsidRPr="0066637D">
        <w:rPr>
          <w:iCs/>
        </w:rPr>
        <w:t xml:space="preserve"> K. 2012.</w:t>
      </w:r>
      <w:r w:rsidRPr="0066637D">
        <w:rPr>
          <w:i/>
          <w:iCs/>
        </w:rPr>
        <w:t xml:space="preserve"> </w:t>
      </w:r>
      <w:proofErr w:type="gramStart"/>
      <w:r w:rsidRPr="0066637D">
        <w:rPr>
          <w:i/>
          <w:iCs/>
        </w:rPr>
        <w:t>“</w:t>
      </w:r>
      <w:r w:rsidRPr="0066637D">
        <w:t>Learning from Others’ Mistakes: Towards Participatory, Gender-sensitive SSR.”</w:t>
      </w:r>
      <w:proofErr w:type="gramEnd"/>
      <w:r w:rsidRPr="0066637D">
        <w:t xml:space="preserve"> </w:t>
      </w:r>
      <w:r w:rsidRPr="0066637D">
        <w:rPr>
          <w:rFonts w:eastAsia="Times New Roman"/>
          <w:i/>
        </w:rPr>
        <w:t xml:space="preserve">Back to the Roots: Security Sector Reform and Development, </w:t>
      </w:r>
      <w:r w:rsidRPr="0066637D">
        <w:rPr>
          <w:rFonts w:eastAsia="Times New Roman"/>
        </w:rPr>
        <w:t xml:space="preserve">edited by A. Schnabel and V. Farr, </w:t>
      </w:r>
      <w:r w:rsidRPr="0066637D">
        <w:rPr>
          <w:iCs/>
        </w:rPr>
        <w:t xml:space="preserve">115-143. </w:t>
      </w:r>
      <w:r w:rsidRPr="0066637D">
        <w:rPr>
          <w:rFonts w:eastAsia="Times New Roman"/>
        </w:rPr>
        <w:t>Geneva: DCAF</w:t>
      </w:r>
      <w:r w:rsidRPr="0066637D">
        <w:rPr>
          <w:rFonts w:eastAsia="Times New Roman"/>
          <w:color w:val="4D6BB1"/>
        </w:rPr>
        <w:t xml:space="preserve">. </w:t>
      </w:r>
      <w:hyperlink r:id="rId51" w:history="1">
        <w:r w:rsidRPr="0066637D">
          <w:rPr>
            <w:rStyle w:val="Hyperlink"/>
            <w:iCs/>
          </w:rPr>
          <w:t>http://www.dcaf.ch/Publications/Back-to-the-Roots-Security-Sector-Reform-and-Development</w:t>
        </w:r>
      </w:hyperlink>
      <w:r w:rsidRPr="0066637D">
        <w:t>.</w:t>
      </w:r>
    </w:p>
    <w:p w:rsidR="00E364BF" w:rsidRPr="0066637D" w:rsidRDefault="00E364BF" w:rsidP="008F29F1">
      <w:r w:rsidRPr="0066637D">
        <w:t xml:space="preserve">Lawrence, M. 2012. </w:t>
      </w:r>
      <w:proofErr w:type="gramStart"/>
      <w:r w:rsidRPr="0066637D">
        <w:t>“Towards a Non-State Security Sector Reform Strategy.”</w:t>
      </w:r>
      <w:proofErr w:type="gramEnd"/>
      <w:r w:rsidRPr="0066637D">
        <w:t xml:space="preserve"> </w:t>
      </w:r>
      <w:r w:rsidRPr="0066637D">
        <w:rPr>
          <w:i/>
        </w:rPr>
        <w:t>SSR Issues Papers No. 8</w:t>
      </w:r>
      <w:r w:rsidRPr="0066637D">
        <w:t xml:space="preserve">. Ontario: Centre for International Governance Innovation (CIGI). </w:t>
      </w:r>
      <w:hyperlink r:id="rId52" w:history="1">
        <w:r w:rsidRPr="0066637D">
          <w:rPr>
            <w:rStyle w:val="Hyperlink"/>
          </w:rPr>
          <w:t>http://dspace.cigilibrary.org/jspui/bitstream/123456789/32820/1/SSR%20Issue%20Papers%20No.%208.pdf?1</w:t>
        </w:r>
      </w:hyperlink>
      <w:r w:rsidRPr="0066637D">
        <w:t xml:space="preserve">. </w:t>
      </w:r>
    </w:p>
    <w:p w:rsidR="0026739F" w:rsidRPr="0066637D" w:rsidRDefault="0026739F" w:rsidP="0026739F">
      <w:proofErr w:type="spellStart"/>
      <w:r w:rsidRPr="0066637D">
        <w:t>Luckham</w:t>
      </w:r>
      <w:proofErr w:type="spellEnd"/>
      <w:r w:rsidRPr="0066637D">
        <w:t xml:space="preserve">, R. and Kirk, T. 2013. “The Two Faces of Security in Hybrid Political Orders: A Framework for Analysis and Research.” </w:t>
      </w:r>
      <w:r w:rsidRPr="0066637D">
        <w:rPr>
          <w:i/>
        </w:rPr>
        <w:t>Stability: International Journal of Security &amp; Development</w:t>
      </w:r>
      <w:r w:rsidRPr="0066637D">
        <w:t xml:space="preserve"> 2(2): 1-30. </w:t>
      </w:r>
      <w:hyperlink r:id="rId53" w:history="1">
        <w:r w:rsidRPr="0066637D">
          <w:rPr>
            <w:rStyle w:val="Hyperlink"/>
          </w:rPr>
          <w:t>http://dx.doi.org/10.5334/sta.cf</w:t>
        </w:r>
      </w:hyperlink>
      <w:r w:rsidRPr="0066637D">
        <w:t xml:space="preserve">. </w:t>
      </w:r>
    </w:p>
    <w:p w:rsidR="0082248E" w:rsidRPr="0066637D" w:rsidRDefault="0082248E" w:rsidP="0082248E">
      <w:pPr>
        <w:rPr>
          <w:rFonts w:eastAsia="Times New Roman"/>
          <w:lang w:val="en"/>
        </w:rPr>
      </w:pPr>
      <w:proofErr w:type="spellStart"/>
      <w:proofErr w:type="gramStart"/>
      <w:r w:rsidRPr="0066637D">
        <w:t>Lidén</w:t>
      </w:r>
      <w:proofErr w:type="spellEnd"/>
      <w:r w:rsidRPr="0066637D">
        <w:t xml:space="preserve">, K., </w:t>
      </w:r>
      <w:proofErr w:type="spellStart"/>
      <w:r w:rsidRPr="0066637D">
        <w:t>MacGinty</w:t>
      </w:r>
      <w:proofErr w:type="spellEnd"/>
      <w:r w:rsidRPr="0066637D">
        <w:t>, R. and Richmond, O. 2009.</w:t>
      </w:r>
      <w:proofErr w:type="gramEnd"/>
      <w:r w:rsidRPr="0066637D">
        <w:t xml:space="preserve"> “Introduction: Beyond Northern Epistemologies of Peace: Peacebuilding Reconstructed?” </w:t>
      </w:r>
      <w:r w:rsidRPr="0066637D">
        <w:rPr>
          <w:i/>
        </w:rPr>
        <w:t>International Peacekeeping</w:t>
      </w:r>
      <w:r w:rsidRPr="0066637D">
        <w:t xml:space="preserve"> 16(5): 587–598. </w:t>
      </w:r>
      <w:hyperlink r:id="rId54" w:history="1">
        <w:r w:rsidRPr="0066637D">
          <w:rPr>
            <w:rStyle w:val="Hyperlink"/>
          </w:rPr>
          <w:t>http://dx.doi.org/</w:t>
        </w:r>
        <w:r w:rsidRPr="0066637D">
          <w:rPr>
            <w:rStyle w:val="Hyperlink"/>
            <w:rFonts w:eastAsia="Times New Roman"/>
            <w:lang w:val="en"/>
          </w:rPr>
          <w:t>10.1080/13533310903303230</w:t>
        </w:r>
      </w:hyperlink>
      <w:r w:rsidRPr="0066637D">
        <w:rPr>
          <w:rFonts w:eastAsia="Times New Roman"/>
          <w:lang w:val="en"/>
        </w:rPr>
        <w:t xml:space="preserve">. </w:t>
      </w:r>
    </w:p>
    <w:p w:rsidR="00503902" w:rsidRPr="0066637D" w:rsidRDefault="00503902" w:rsidP="00503902">
      <w:pPr>
        <w:rPr>
          <w:lang w:eastAsia="en-US"/>
        </w:rPr>
      </w:pPr>
      <w:r w:rsidRPr="0066637D">
        <w:lastRenderedPageBreak/>
        <w:t xml:space="preserve">Mac </w:t>
      </w:r>
      <w:proofErr w:type="spellStart"/>
      <w:r w:rsidRPr="0066637D">
        <w:t>Ginty</w:t>
      </w:r>
      <w:proofErr w:type="spellEnd"/>
      <w:r w:rsidRPr="0066637D">
        <w:t>, R. 2011. “</w:t>
      </w:r>
      <w:proofErr w:type="spellStart"/>
      <w:r w:rsidRPr="0066637D">
        <w:t>Statebuilding</w:t>
      </w:r>
      <w:proofErr w:type="spellEnd"/>
      <w:r w:rsidRPr="0066637D">
        <w:t xml:space="preserve">, Peacebuilding and Hybridity”, Short paper prepared for Critical </w:t>
      </w:r>
      <w:proofErr w:type="spellStart"/>
      <w:r w:rsidRPr="0066637D">
        <w:t>Statebuilding</w:t>
      </w:r>
      <w:proofErr w:type="spellEnd"/>
      <w:r w:rsidRPr="0066637D">
        <w:t xml:space="preserve"> Workshop, Swedish Defence College, </w:t>
      </w:r>
      <w:proofErr w:type="gramStart"/>
      <w:r w:rsidRPr="0066637D">
        <w:t>5</w:t>
      </w:r>
      <w:proofErr w:type="gramEnd"/>
      <w:r w:rsidRPr="0066637D">
        <w:t xml:space="preserve">-6 May 2011. </w:t>
      </w:r>
      <w:hyperlink r:id="rId55" w:history="1">
        <w:r w:rsidRPr="0066637D">
          <w:rPr>
            <w:rStyle w:val="Hyperlink"/>
          </w:rPr>
          <w:t>https://www.academia.edu/571623/Statebuilding_Peacebuilding_and_Hybridity</w:t>
        </w:r>
      </w:hyperlink>
      <w:r w:rsidRPr="0066637D">
        <w:t xml:space="preserve">. </w:t>
      </w:r>
    </w:p>
    <w:p w:rsidR="00E364BF" w:rsidRPr="0066637D" w:rsidRDefault="00E364BF" w:rsidP="008F29F1">
      <w:r w:rsidRPr="0066637D">
        <w:t xml:space="preserve">Martin, A. and Wilson, P. 2008. “Security Sector Evolution: Which Locals? </w:t>
      </w:r>
      <w:proofErr w:type="gramStart"/>
      <w:r w:rsidRPr="0066637D">
        <w:t>Ownership of What?”</w:t>
      </w:r>
      <w:proofErr w:type="gramEnd"/>
      <w:r w:rsidRPr="0066637D">
        <w:t xml:space="preserve"> </w:t>
      </w:r>
      <w:proofErr w:type="gramStart"/>
      <w:r w:rsidRPr="0066637D">
        <w:t xml:space="preserve">In </w:t>
      </w:r>
      <w:r w:rsidRPr="0066637D">
        <w:rPr>
          <w:i/>
        </w:rPr>
        <w:t>Local Ownership and Security Sector Reform</w:t>
      </w:r>
      <w:r w:rsidRPr="0066637D">
        <w:t xml:space="preserve">, edited by T. </w:t>
      </w:r>
      <w:proofErr w:type="spellStart"/>
      <w:r w:rsidRPr="0066637D">
        <w:t>Donais</w:t>
      </w:r>
      <w:proofErr w:type="spellEnd"/>
      <w:r w:rsidRPr="0066637D">
        <w:t>, 83-103.</w:t>
      </w:r>
      <w:proofErr w:type="gramEnd"/>
      <w:r w:rsidRPr="0066637D">
        <w:t xml:space="preserve"> Geneva: DCAF.</w:t>
      </w:r>
    </w:p>
    <w:p w:rsidR="00E364BF" w:rsidRPr="0066637D" w:rsidRDefault="00E364BF" w:rsidP="008F29F1">
      <w:proofErr w:type="spellStart"/>
      <w:proofErr w:type="gramStart"/>
      <w:r w:rsidRPr="0066637D">
        <w:t>Meharg</w:t>
      </w:r>
      <w:proofErr w:type="spellEnd"/>
      <w:r w:rsidRPr="0066637D">
        <w:t xml:space="preserve">, S. and </w:t>
      </w:r>
      <w:proofErr w:type="spellStart"/>
      <w:r w:rsidRPr="0066637D">
        <w:t>Arnusch</w:t>
      </w:r>
      <w:proofErr w:type="spellEnd"/>
      <w:r w:rsidRPr="0066637D">
        <w:t>, A. 2010.</w:t>
      </w:r>
      <w:proofErr w:type="gramEnd"/>
      <w:r w:rsidRPr="0066637D">
        <w:t xml:space="preserve"> </w:t>
      </w:r>
      <w:r w:rsidRPr="0066637D">
        <w:rPr>
          <w:i/>
        </w:rPr>
        <w:t>Security Sector Reform: A Case Study Approach to Transition and Capacity Building.</w:t>
      </w:r>
      <w:r w:rsidRPr="0066637D">
        <w:t xml:space="preserve"> Carlisle: Strategic Studies Institute.</w:t>
      </w:r>
    </w:p>
    <w:p w:rsidR="00E364BF" w:rsidRPr="0066637D" w:rsidRDefault="00E364BF" w:rsidP="008F29F1">
      <w:proofErr w:type="spellStart"/>
      <w:proofErr w:type="gramStart"/>
      <w:r w:rsidRPr="0066637D">
        <w:t>Mobekk</w:t>
      </w:r>
      <w:proofErr w:type="spellEnd"/>
      <w:r w:rsidRPr="0066637D">
        <w:t>, E. 2010.</w:t>
      </w:r>
      <w:proofErr w:type="gramEnd"/>
      <w:r w:rsidRPr="0066637D">
        <w:t xml:space="preserve"> </w:t>
      </w:r>
      <w:proofErr w:type="gramStart"/>
      <w:r w:rsidRPr="0066637D">
        <w:t>“Security Sector Reform and the Challenges of Ownership.”</w:t>
      </w:r>
      <w:proofErr w:type="gramEnd"/>
      <w:r w:rsidRPr="0066637D">
        <w:t xml:space="preserve"> </w:t>
      </w:r>
      <w:proofErr w:type="gramStart"/>
      <w:r w:rsidRPr="0066637D">
        <w:t xml:space="preserve">In </w:t>
      </w:r>
      <w:r w:rsidRPr="0066637D">
        <w:rPr>
          <w:i/>
        </w:rPr>
        <w:t>The Future of Security Sector Reform</w:t>
      </w:r>
      <w:r w:rsidRPr="0066637D">
        <w:t xml:space="preserve">, edited by M. </w:t>
      </w:r>
      <w:proofErr w:type="spellStart"/>
      <w:r w:rsidRPr="0066637D">
        <w:t>Sedra</w:t>
      </w:r>
      <w:proofErr w:type="spellEnd"/>
      <w:r w:rsidRPr="0066637D">
        <w:t>, 230-243.</w:t>
      </w:r>
      <w:proofErr w:type="gramEnd"/>
      <w:r w:rsidRPr="0066637D">
        <w:t xml:space="preserve"> Ontario: CIGI.</w:t>
      </w:r>
      <w:r w:rsidRPr="0066637D">
        <w:rPr>
          <w:color w:val="000000"/>
        </w:rPr>
        <w:t xml:space="preserve"> </w:t>
      </w:r>
      <w:hyperlink r:id="rId56" w:history="1">
        <w:r w:rsidRPr="0066637D">
          <w:rPr>
            <w:rStyle w:val="Hyperlink"/>
          </w:rPr>
          <w:t>http://www.cigionline.org/sites/default/files/The%20Future%20of%20Security%20Sector%20Reform.pdf</w:t>
        </w:r>
      </w:hyperlink>
      <w:r w:rsidRPr="0066637D">
        <w:t>.</w:t>
      </w:r>
    </w:p>
    <w:p w:rsidR="00E364BF" w:rsidRPr="0066637D" w:rsidRDefault="00E364BF" w:rsidP="008F29F1">
      <w:proofErr w:type="spellStart"/>
      <w:r w:rsidRPr="0066637D">
        <w:t>Narten</w:t>
      </w:r>
      <w:proofErr w:type="spellEnd"/>
      <w:r w:rsidRPr="0066637D">
        <w:t xml:space="preserve">, J, 2009. “Dilemmas of Promoting ‘Local Ownership’: The Case of post war Kosovo.” In </w:t>
      </w:r>
      <w:r w:rsidRPr="0066637D">
        <w:rPr>
          <w:i/>
        </w:rPr>
        <w:t xml:space="preserve">The Dilemmas of </w:t>
      </w:r>
      <w:proofErr w:type="spellStart"/>
      <w:r w:rsidRPr="0066637D">
        <w:rPr>
          <w:i/>
        </w:rPr>
        <w:t>Statebuilding</w:t>
      </w:r>
      <w:proofErr w:type="spellEnd"/>
      <w:r w:rsidRPr="0066637D">
        <w:rPr>
          <w:i/>
        </w:rPr>
        <w:t>: Confronting the contradictions of Post War Peace Operations</w:t>
      </w:r>
      <w:r w:rsidRPr="0066637D">
        <w:t>, edited by R. Paris and T. Sisk, 252-286</w:t>
      </w:r>
      <w:r w:rsidRPr="0066637D">
        <w:rPr>
          <w:i/>
        </w:rPr>
        <w:t>.</w:t>
      </w:r>
      <w:r w:rsidRPr="0066637D">
        <w:t xml:space="preserve"> Abingdon: Routledge.</w:t>
      </w:r>
    </w:p>
    <w:p w:rsidR="00E364BF" w:rsidRPr="0066637D" w:rsidRDefault="00E364BF" w:rsidP="008F29F1">
      <w:r w:rsidRPr="0066637D">
        <w:t xml:space="preserve">Nathan, L. 2007. </w:t>
      </w:r>
      <w:r w:rsidRPr="0066637D">
        <w:rPr>
          <w:i/>
        </w:rPr>
        <w:t>No Ownership, No Commitment: A Guide to Local Ownership of Security Sector Reform.</w:t>
      </w:r>
      <w:r w:rsidRPr="0066637D">
        <w:t xml:space="preserve"> Birmingham: University of Birmingham.</w:t>
      </w:r>
    </w:p>
    <w:p w:rsidR="00E364BF" w:rsidRPr="0066637D" w:rsidRDefault="00E364BF" w:rsidP="008F29F1">
      <w:r w:rsidRPr="0066637D">
        <w:t xml:space="preserve">Nathan, L. 2008. </w:t>
      </w:r>
      <w:proofErr w:type="gramStart"/>
      <w:r w:rsidRPr="0066637D">
        <w:t>“The Challenge of Local Ownership of SSR: From Donor Rhetoric to Practice.”</w:t>
      </w:r>
      <w:proofErr w:type="gramEnd"/>
      <w:r w:rsidRPr="0066637D">
        <w:t xml:space="preserve"> </w:t>
      </w:r>
      <w:proofErr w:type="gramStart"/>
      <w:r w:rsidRPr="0066637D">
        <w:t xml:space="preserve">In </w:t>
      </w:r>
      <w:r w:rsidRPr="0066637D">
        <w:rPr>
          <w:i/>
        </w:rPr>
        <w:t>Local Ownership and Security Sector Reform</w:t>
      </w:r>
      <w:r w:rsidRPr="0066637D">
        <w:t xml:space="preserve">, edited by T. </w:t>
      </w:r>
      <w:proofErr w:type="spellStart"/>
      <w:r w:rsidRPr="0066637D">
        <w:t>Donais</w:t>
      </w:r>
      <w:proofErr w:type="spellEnd"/>
      <w:r w:rsidRPr="0066637D">
        <w:t>, 19-36.</w:t>
      </w:r>
      <w:proofErr w:type="gramEnd"/>
      <w:r w:rsidRPr="0066637D">
        <w:t xml:space="preserve"> Geneva: DCAF.</w:t>
      </w:r>
    </w:p>
    <w:p w:rsidR="00E364BF" w:rsidRPr="0066637D" w:rsidRDefault="00E364BF" w:rsidP="008F29F1">
      <w:proofErr w:type="spellStart"/>
      <w:proofErr w:type="gramStart"/>
      <w:r w:rsidRPr="0066637D">
        <w:t>Odendaal</w:t>
      </w:r>
      <w:proofErr w:type="spellEnd"/>
      <w:r w:rsidRPr="0066637D">
        <w:t>, A. 2013.</w:t>
      </w:r>
      <w:proofErr w:type="gramEnd"/>
      <w:r w:rsidRPr="0066637D">
        <w:t xml:space="preserve"> </w:t>
      </w:r>
      <w:proofErr w:type="gramStart"/>
      <w:r w:rsidRPr="0066637D">
        <w:rPr>
          <w:i/>
        </w:rPr>
        <w:t>Rebuilding Intra-Community Ruins: A Study of Local Peace Committees.</w:t>
      </w:r>
      <w:proofErr w:type="gramEnd"/>
      <w:r w:rsidRPr="0066637D">
        <w:rPr>
          <w:i/>
        </w:rPr>
        <w:t xml:space="preserve"> </w:t>
      </w:r>
      <w:r w:rsidRPr="0066637D">
        <w:t>Washington: United States Institute of Peace.</w:t>
      </w:r>
    </w:p>
    <w:p w:rsidR="00E364BF" w:rsidRPr="0066637D" w:rsidRDefault="00E364BF" w:rsidP="008F29F1">
      <w:proofErr w:type="spellStart"/>
      <w:r w:rsidRPr="0066637D">
        <w:t>Odendaal</w:t>
      </w:r>
      <w:proofErr w:type="spellEnd"/>
      <w:r w:rsidRPr="0066637D">
        <w:t xml:space="preserve">, A. and Olivier, R. 2008. </w:t>
      </w:r>
      <w:r w:rsidRPr="0066637D">
        <w:rPr>
          <w:i/>
          <w:iCs/>
        </w:rPr>
        <w:t xml:space="preserve">Local Peace Committees: some reflections and lessons learned. </w:t>
      </w:r>
      <w:r w:rsidRPr="0066637D">
        <w:t>Kathmandu: Academy for Educational Development.</w:t>
      </w:r>
    </w:p>
    <w:p w:rsidR="00E364BF" w:rsidRPr="0066637D" w:rsidRDefault="00E364BF" w:rsidP="008F29F1">
      <w:proofErr w:type="gramStart"/>
      <w:r w:rsidRPr="0066637D">
        <w:t>OECD 2005.</w:t>
      </w:r>
      <w:proofErr w:type="gramEnd"/>
      <w:r w:rsidRPr="0066637D">
        <w:t xml:space="preserve"> </w:t>
      </w:r>
      <w:proofErr w:type="gramStart"/>
      <w:r w:rsidRPr="0066637D">
        <w:rPr>
          <w:i/>
        </w:rPr>
        <w:t>Security System Reform and Governance</w:t>
      </w:r>
      <w:r w:rsidRPr="0066637D">
        <w:t>.</w:t>
      </w:r>
      <w:proofErr w:type="gramEnd"/>
      <w:r w:rsidRPr="0066637D">
        <w:t xml:space="preserve"> Paris: OECD.</w:t>
      </w:r>
    </w:p>
    <w:p w:rsidR="00E364BF" w:rsidRPr="0066637D" w:rsidRDefault="00E364BF" w:rsidP="008F29F1">
      <w:proofErr w:type="gramStart"/>
      <w:r w:rsidRPr="0066637D">
        <w:t>OECD 2007.</w:t>
      </w:r>
      <w:proofErr w:type="gramEnd"/>
      <w:r w:rsidRPr="0066637D">
        <w:t xml:space="preserve"> </w:t>
      </w:r>
      <w:proofErr w:type="gramStart"/>
      <w:r w:rsidRPr="0066637D">
        <w:rPr>
          <w:i/>
        </w:rPr>
        <w:t>OECD DAC Handbook on Security System Reform – Supporting Security and Justice</w:t>
      </w:r>
      <w:r w:rsidRPr="0066637D">
        <w:t>.</w:t>
      </w:r>
      <w:proofErr w:type="gramEnd"/>
      <w:r w:rsidRPr="0066637D">
        <w:t xml:space="preserve"> Paris: OECD. </w:t>
      </w:r>
      <w:hyperlink r:id="rId57" w:history="1">
        <w:r w:rsidRPr="0066637D">
          <w:rPr>
            <w:rStyle w:val="Hyperlink"/>
          </w:rPr>
          <w:t>http://www.oecd.org/dataoecd/43/25/38406485.pdf</w:t>
        </w:r>
      </w:hyperlink>
      <w:r w:rsidRPr="0066637D">
        <w:t xml:space="preserve">. </w:t>
      </w:r>
    </w:p>
    <w:p w:rsidR="00E364BF" w:rsidRPr="0066637D" w:rsidRDefault="00E364BF" w:rsidP="008F29F1">
      <w:proofErr w:type="gramStart"/>
      <w:r w:rsidRPr="0066637D">
        <w:t>OECD 2009.</w:t>
      </w:r>
      <w:proofErr w:type="gramEnd"/>
      <w:r w:rsidRPr="0066637D">
        <w:t xml:space="preserve"> </w:t>
      </w:r>
      <w:r w:rsidRPr="0066637D">
        <w:rPr>
          <w:rStyle w:val="A2"/>
          <w:rFonts w:cs="Times New Roman"/>
          <w:b w:val="0"/>
          <w:i/>
          <w:sz w:val="24"/>
          <w:szCs w:val="24"/>
        </w:rPr>
        <w:t xml:space="preserve">Security System Reform: What Have We Learned? </w:t>
      </w:r>
      <w:proofErr w:type="gramStart"/>
      <w:r w:rsidRPr="0066637D">
        <w:rPr>
          <w:rStyle w:val="A3"/>
          <w:rFonts w:cs="Times New Roman"/>
          <w:i/>
          <w:sz w:val="24"/>
          <w:szCs w:val="24"/>
        </w:rPr>
        <w:t>Results and trends from the publication and dissemination of the OECD DAC Handbook on Security System Reform</w:t>
      </w:r>
      <w:r w:rsidRPr="0066637D">
        <w:rPr>
          <w:rStyle w:val="A3"/>
          <w:rFonts w:cs="Times New Roman"/>
          <w:sz w:val="24"/>
          <w:szCs w:val="24"/>
        </w:rPr>
        <w:t>.</w:t>
      </w:r>
      <w:proofErr w:type="gramEnd"/>
      <w:r w:rsidRPr="0066637D">
        <w:rPr>
          <w:rStyle w:val="A3"/>
          <w:rFonts w:cs="Times New Roman"/>
          <w:sz w:val="24"/>
          <w:szCs w:val="24"/>
        </w:rPr>
        <w:t xml:space="preserve"> </w:t>
      </w:r>
      <w:r w:rsidRPr="0066637D">
        <w:t xml:space="preserve">Paris: OECD. </w:t>
      </w:r>
      <w:hyperlink r:id="rId58" w:history="1">
        <w:r w:rsidRPr="0066637D">
          <w:rPr>
            <w:rStyle w:val="Hyperlink"/>
          </w:rPr>
          <w:t>http://www.oecd.org/dac/incaf/44391867.pdf</w:t>
        </w:r>
      </w:hyperlink>
      <w:r w:rsidRPr="0066637D">
        <w:t>.</w:t>
      </w:r>
    </w:p>
    <w:p w:rsidR="00E364BF" w:rsidRPr="0066637D" w:rsidRDefault="00E364BF" w:rsidP="008F29F1">
      <w:proofErr w:type="spellStart"/>
      <w:proofErr w:type="gramStart"/>
      <w:r w:rsidRPr="0066637D">
        <w:t>Oosterveld</w:t>
      </w:r>
      <w:proofErr w:type="spellEnd"/>
      <w:r w:rsidRPr="0066637D">
        <w:t xml:space="preserve">, W. and </w:t>
      </w:r>
      <w:proofErr w:type="spellStart"/>
      <w:r w:rsidRPr="0066637D">
        <w:t>Galand</w:t>
      </w:r>
      <w:proofErr w:type="spellEnd"/>
      <w:r w:rsidRPr="0066637D">
        <w:t>, R. 2012.</w:t>
      </w:r>
      <w:proofErr w:type="gramEnd"/>
      <w:r w:rsidRPr="0066637D">
        <w:t xml:space="preserve"> </w:t>
      </w:r>
      <w:proofErr w:type="gramStart"/>
      <w:r w:rsidRPr="0066637D">
        <w:t>“Justice Reform, Security Sector Reform and Local Ownership.”</w:t>
      </w:r>
      <w:proofErr w:type="gramEnd"/>
      <w:r w:rsidRPr="0066637D">
        <w:t xml:space="preserve"> </w:t>
      </w:r>
      <w:r w:rsidRPr="0066637D">
        <w:rPr>
          <w:i/>
        </w:rPr>
        <w:t xml:space="preserve">Hague Journal on the Rule of Law </w:t>
      </w:r>
      <w:r w:rsidRPr="0066637D">
        <w:t xml:space="preserve">4(1): 194-209. </w:t>
      </w:r>
      <w:hyperlink r:id="rId59" w:history="1">
        <w:r w:rsidRPr="0066637D">
          <w:rPr>
            <w:rStyle w:val="Hyperlink"/>
          </w:rPr>
          <w:t>http://dx.doi.org/</w:t>
        </w:r>
        <w:r w:rsidRPr="0066637D">
          <w:rPr>
            <w:rStyle w:val="Hyperlink"/>
            <w:rFonts w:eastAsia="Times New Roman"/>
          </w:rPr>
          <w:t>10.1017/S1876404512000115</w:t>
        </w:r>
      </w:hyperlink>
      <w:r w:rsidRPr="0066637D">
        <w:rPr>
          <w:rFonts w:eastAsia="Times New Roman"/>
        </w:rPr>
        <w:t>.</w:t>
      </w:r>
    </w:p>
    <w:p w:rsidR="00E364BF" w:rsidRPr="0066637D" w:rsidRDefault="00E364BF" w:rsidP="008F29F1">
      <w:proofErr w:type="spellStart"/>
      <w:r w:rsidRPr="0066637D">
        <w:t>Panarelli</w:t>
      </w:r>
      <w:proofErr w:type="spellEnd"/>
      <w:r w:rsidRPr="0066637D">
        <w:t xml:space="preserve">, L. 2010. </w:t>
      </w:r>
      <w:proofErr w:type="gramStart"/>
      <w:r w:rsidRPr="0066637D">
        <w:t>“Local Ownership of Security Sector Reform.”</w:t>
      </w:r>
      <w:proofErr w:type="gramEnd"/>
      <w:r w:rsidRPr="0066637D">
        <w:t xml:space="preserve"> </w:t>
      </w:r>
      <w:proofErr w:type="gramStart"/>
      <w:r w:rsidRPr="0066637D">
        <w:rPr>
          <w:i/>
        </w:rPr>
        <w:t xml:space="preserve">USIP </w:t>
      </w:r>
      <w:proofErr w:type="spellStart"/>
      <w:r w:rsidRPr="0066637D">
        <w:rPr>
          <w:i/>
        </w:rPr>
        <w:t>PeaceBrief</w:t>
      </w:r>
      <w:proofErr w:type="spellEnd"/>
      <w:r w:rsidRPr="0066637D">
        <w:rPr>
          <w:i/>
        </w:rPr>
        <w:t xml:space="preserve"> 11</w:t>
      </w:r>
      <w:r w:rsidRPr="0066637D">
        <w:t>.</w:t>
      </w:r>
      <w:proofErr w:type="gramEnd"/>
      <w:r w:rsidRPr="0066637D">
        <w:t xml:space="preserve"> Washington: USIP. </w:t>
      </w:r>
      <w:hyperlink r:id="rId60" w:history="1">
        <w:r w:rsidRPr="0066637D">
          <w:rPr>
            <w:rStyle w:val="Hyperlink"/>
          </w:rPr>
          <w:t>http://www.usip.org/files/resources/PB11%20Local%20Ownership%20of%20Security%20Sector%20Reform.pdf</w:t>
        </w:r>
      </w:hyperlink>
      <w:r w:rsidRPr="0066637D">
        <w:t xml:space="preserve">. </w:t>
      </w:r>
    </w:p>
    <w:p w:rsidR="00E364BF" w:rsidRPr="0066637D" w:rsidRDefault="00E364BF" w:rsidP="008F29F1">
      <w:r w:rsidRPr="0066637D">
        <w:t xml:space="preserve">Patrick, S. 2011. </w:t>
      </w:r>
      <w:r w:rsidRPr="0066637D">
        <w:rPr>
          <w:i/>
        </w:rPr>
        <w:t>Weak Links: Fragile States, Global Threats, and International Security</w:t>
      </w:r>
      <w:r w:rsidRPr="0066637D">
        <w:t>. New York: Oxford University Press.</w:t>
      </w:r>
    </w:p>
    <w:p w:rsidR="00E364BF" w:rsidRPr="0066637D" w:rsidRDefault="00E364BF" w:rsidP="008F29F1">
      <w:proofErr w:type="spellStart"/>
      <w:r w:rsidRPr="0066637D">
        <w:t>Podder</w:t>
      </w:r>
      <w:proofErr w:type="spellEnd"/>
      <w:r w:rsidRPr="0066637D">
        <w:t xml:space="preserve">, S. 2013. </w:t>
      </w:r>
      <w:proofErr w:type="gramStart"/>
      <w:r w:rsidRPr="0066637D">
        <w:t>“Bridging the ‘Conceptual-Contextual’ Divide: Security Sector Reform in Liberia and UNMIL Transition.”</w:t>
      </w:r>
      <w:proofErr w:type="gramEnd"/>
      <w:r w:rsidRPr="0066637D">
        <w:t xml:space="preserve"> </w:t>
      </w:r>
      <w:r w:rsidRPr="0066637D">
        <w:rPr>
          <w:i/>
        </w:rPr>
        <w:t xml:space="preserve">Journal of Intervention and </w:t>
      </w:r>
      <w:proofErr w:type="spellStart"/>
      <w:r w:rsidRPr="0066637D">
        <w:rPr>
          <w:i/>
        </w:rPr>
        <w:t>Statebuilding</w:t>
      </w:r>
      <w:proofErr w:type="spellEnd"/>
      <w:r w:rsidRPr="0066637D">
        <w:t xml:space="preserve"> 7(3): 353-380. </w:t>
      </w:r>
      <w:hyperlink r:id="rId61" w:history="1">
        <w:r w:rsidRPr="0066637D">
          <w:rPr>
            <w:rStyle w:val="Hyperlink"/>
          </w:rPr>
          <w:t>http://dx.doi.org/10.1080/17502977.2013.770242</w:t>
        </w:r>
      </w:hyperlink>
      <w:r w:rsidRPr="0066637D">
        <w:t xml:space="preserve">. </w:t>
      </w:r>
    </w:p>
    <w:p w:rsidR="00503902" w:rsidRPr="0066637D" w:rsidRDefault="00503902" w:rsidP="00503902">
      <w:pPr>
        <w:rPr>
          <w:lang w:val="en"/>
        </w:rPr>
      </w:pPr>
      <w:proofErr w:type="gramStart"/>
      <w:r w:rsidRPr="0066637D">
        <w:t>Richmond, O. 2009.</w:t>
      </w:r>
      <w:proofErr w:type="gramEnd"/>
      <w:r w:rsidRPr="0066637D">
        <w:t xml:space="preserve"> “Becoming Liberal, Unbecoming Liberalism: Liberal-Local Hybridity via the Everyday as a Response to the Paradoxes of Liberal Peacebuilding.” </w:t>
      </w:r>
      <w:r w:rsidRPr="0066637D">
        <w:rPr>
          <w:i/>
        </w:rPr>
        <w:t xml:space="preserve">Journal of Intervention and </w:t>
      </w:r>
      <w:proofErr w:type="spellStart"/>
      <w:r w:rsidRPr="0066637D">
        <w:rPr>
          <w:i/>
        </w:rPr>
        <w:t>Statebuilding</w:t>
      </w:r>
      <w:proofErr w:type="spellEnd"/>
      <w:r w:rsidRPr="0066637D">
        <w:t xml:space="preserve"> 3 (3): 324–344. </w:t>
      </w:r>
      <w:hyperlink r:id="rId62" w:history="1">
        <w:r w:rsidRPr="0066637D">
          <w:rPr>
            <w:rStyle w:val="Hyperlink"/>
            <w:lang w:val="en"/>
          </w:rPr>
          <w:t>http://dx.doi.org/10.1080/17502970903086719</w:t>
        </w:r>
      </w:hyperlink>
      <w:r w:rsidRPr="0066637D">
        <w:rPr>
          <w:lang w:val="en"/>
        </w:rPr>
        <w:t xml:space="preserve">. </w:t>
      </w:r>
    </w:p>
    <w:p w:rsidR="009C2BEE" w:rsidRPr="0066637D" w:rsidRDefault="009C2BEE" w:rsidP="00503902">
      <w:proofErr w:type="spellStart"/>
      <w:proofErr w:type="gramStart"/>
      <w:r w:rsidRPr="0066637D">
        <w:t>Saferworld</w:t>
      </w:r>
      <w:proofErr w:type="spellEnd"/>
      <w:r w:rsidRPr="0066637D">
        <w:t xml:space="preserve"> 2008.</w:t>
      </w:r>
      <w:proofErr w:type="gramEnd"/>
      <w:r w:rsidRPr="0066637D">
        <w:t xml:space="preserve"> </w:t>
      </w:r>
      <w:proofErr w:type="gramStart"/>
      <w:r w:rsidRPr="0066637D">
        <w:rPr>
          <w:i/>
        </w:rPr>
        <w:t>Implementing community-based policing in Kenya</w:t>
      </w:r>
      <w:r w:rsidRPr="0066637D">
        <w:t>.</w:t>
      </w:r>
      <w:proofErr w:type="gramEnd"/>
      <w:r w:rsidRPr="0066637D">
        <w:t xml:space="preserve"> London: </w:t>
      </w:r>
      <w:proofErr w:type="spellStart"/>
      <w:r w:rsidRPr="0066637D">
        <w:t>Saferworld</w:t>
      </w:r>
      <w:proofErr w:type="spellEnd"/>
      <w:r w:rsidRPr="0066637D">
        <w:t xml:space="preserve">. </w:t>
      </w:r>
      <w:hyperlink r:id="rId63" w:history="1">
        <w:r w:rsidRPr="0066637D">
          <w:rPr>
            <w:rStyle w:val="Hyperlink"/>
          </w:rPr>
          <w:t>http://www.saferworld.org.uk/resources/view-resource/306-implementing-community-based-policing-in-kenya</w:t>
        </w:r>
      </w:hyperlink>
      <w:r w:rsidRPr="0066637D">
        <w:t xml:space="preserve">. </w:t>
      </w:r>
    </w:p>
    <w:p w:rsidR="009C2BEE" w:rsidRPr="0066637D" w:rsidRDefault="009C2BEE" w:rsidP="008F29F1">
      <w:proofErr w:type="spellStart"/>
      <w:proofErr w:type="gramStart"/>
      <w:r w:rsidRPr="0066637D">
        <w:t>Saferworld</w:t>
      </w:r>
      <w:proofErr w:type="spellEnd"/>
      <w:r w:rsidRPr="0066637D">
        <w:t xml:space="preserve"> 2013.</w:t>
      </w:r>
      <w:proofErr w:type="gramEnd"/>
      <w:r w:rsidRPr="0066637D">
        <w:t xml:space="preserve"> “Security in South Sudan: a view from the ground.” London: </w:t>
      </w:r>
      <w:proofErr w:type="spellStart"/>
      <w:r w:rsidRPr="0066637D">
        <w:t>Saferworld</w:t>
      </w:r>
      <w:proofErr w:type="spellEnd"/>
      <w:r w:rsidRPr="0066637D">
        <w:t xml:space="preserve">. </w:t>
      </w:r>
      <w:hyperlink r:id="rId64" w:history="1">
        <w:r w:rsidRPr="0066637D">
          <w:rPr>
            <w:rStyle w:val="Hyperlink"/>
          </w:rPr>
          <w:t>http://www.saferworld.org.uk/news-and-views/comment/101-security-in-south-sudan-a-view-from-the-ground</w:t>
        </w:r>
      </w:hyperlink>
      <w:r w:rsidRPr="0066637D">
        <w:t xml:space="preserve">. </w:t>
      </w:r>
    </w:p>
    <w:p w:rsidR="009C2BEE" w:rsidRPr="0066637D" w:rsidRDefault="009C2BEE" w:rsidP="008F29F1">
      <w:proofErr w:type="spellStart"/>
      <w:proofErr w:type="gramStart"/>
      <w:r w:rsidRPr="0066637D">
        <w:t>Saferworld</w:t>
      </w:r>
      <w:proofErr w:type="spellEnd"/>
      <w:r w:rsidRPr="0066637D">
        <w:t xml:space="preserve"> 2014.</w:t>
      </w:r>
      <w:proofErr w:type="gramEnd"/>
      <w:r w:rsidRPr="0066637D">
        <w:t xml:space="preserve"> </w:t>
      </w:r>
      <w:proofErr w:type="gramStart"/>
      <w:r w:rsidRPr="0066637D">
        <w:rPr>
          <w:i/>
        </w:rPr>
        <w:t>Community Security Handbook</w:t>
      </w:r>
      <w:r w:rsidRPr="0066637D">
        <w:t>.</w:t>
      </w:r>
      <w:proofErr w:type="gramEnd"/>
      <w:r w:rsidRPr="0066637D">
        <w:t xml:space="preserve"> London: </w:t>
      </w:r>
      <w:proofErr w:type="spellStart"/>
      <w:r w:rsidRPr="0066637D">
        <w:t>Saferworld</w:t>
      </w:r>
      <w:proofErr w:type="spellEnd"/>
      <w:r w:rsidRPr="0066637D">
        <w:t xml:space="preserve">. </w:t>
      </w:r>
      <w:hyperlink r:id="rId65" w:history="1">
        <w:r w:rsidRPr="0066637D">
          <w:rPr>
            <w:rStyle w:val="Hyperlink"/>
            <w:rFonts w:eastAsia="MinionPro-Regular"/>
          </w:rPr>
          <w:t>http://www.saferworld.org.uk/resources/view-resource/806-community-security-handbook</w:t>
        </w:r>
      </w:hyperlink>
      <w:r w:rsidRPr="0066637D">
        <w:t xml:space="preserve">. </w:t>
      </w:r>
    </w:p>
    <w:p w:rsidR="00E364BF" w:rsidRPr="0066637D" w:rsidRDefault="00E364BF" w:rsidP="008F29F1">
      <w:proofErr w:type="spellStart"/>
      <w:proofErr w:type="gramStart"/>
      <w:r w:rsidRPr="0066637D">
        <w:t>Saferworld</w:t>
      </w:r>
      <w:proofErr w:type="spellEnd"/>
      <w:r w:rsidRPr="0066637D">
        <w:t xml:space="preserve"> and Forum for Civic Initiatives 2007.</w:t>
      </w:r>
      <w:proofErr w:type="gramEnd"/>
      <w:r w:rsidRPr="0066637D">
        <w:t xml:space="preserve"> </w:t>
      </w:r>
      <w:r w:rsidRPr="0066637D">
        <w:rPr>
          <w:i/>
        </w:rPr>
        <w:t>The Internal Security Sector Review: the future of Kosovo’s security sector?</w:t>
      </w:r>
      <w:r w:rsidRPr="0066637D">
        <w:t xml:space="preserve"> London and Pristina: </w:t>
      </w:r>
      <w:proofErr w:type="spellStart"/>
      <w:r w:rsidRPr="0066637D">
        <w:t>Saferworld</w:t>
      </w:r>
      <w:proofErr w:type="spellEnd"/>
      <w:r w:rsidRPr="0066637D">
        <w:t xml:space="preserve"> and Forum for Civic Initiatives.</w:t>
      </w:r>
    </w:p>
    <w:p w:rsidR="00E364BF" w:rsidRPr="0066637D" w:rsidRDefault="00E364BF" w:rsidP="008F29F1">
      <w:proofErr w:type="spellStart"/>
      <w:r w:rsidRPr="0066637D">
        <w:t>Salahub</w:t>
      </w:r>
      <w:proofErr w:type="spellEnd"/>
      <w:r w:rsidRPr="0066637D">
        <w:t xml:space="preserve">, J. and </w:t>
      </w:r>
      <w:proofErr w:type="spellStart"/>
      <w:r w:rsidRPr="0066637D">
        <w:t>Nerland</w:t>
      </w:r>
      <w:proofErr w:type="spellEnd"/>
      <w:r w:rsidRPr="0066637D">
        <w:t xml:space="preserve">, K. 2010. “Just Add Gender? </w:t>
      </w:r>
      <w:proofErr w:type="gramStart"/>
      <w:r w:rsidRPr="0066637D">
        <w:t>Challenges to Meaningful Integration of Gender in SSR Policy and Practice.”</w:t>
      </w:r>
      <w:proofErr w:type="gramEnd"/>
      <w:r w:rsidRPr="0066637D">
        <w:t xml:space="preserve"> </w:t>
      </w:r>
      <w:proofErr w:type="gramStart"/>
      <w:r w:rsidRPr="0066637D">
        <w:t xml:space="preserve">In </w:t>
      </w:r>
      <w:r w:rsidRPr="0066637D">
        <w:rPr>
          <w:i/>
        </w:rPr>
        <w:t>The Future of Security Sector Reform</w:t>
      </w:r>
      <w:r w:rsidRPr="0066637D">
        <w:t xml:space="preserve">, edited by M. </w:t>
      </w:r>
      <w:proofErr w:type="spellStart"/>
      <w:r w:rsidRPr="0066637D">
        <w:t>Sedra</w:t>
      </w:r>
      <w:proofErr w:type="spellEnd"/>
      <w:r w:rsidRPr="0066637D">
        <w:t xml:space="preserve">, </w:t>
      </w:r>
      <w:r w:rsidRPr="0066637D">
        <w:rPr>
          <w:i/>
          <w:iCs/>
          <w:color w:val="000000"/>
        </w:rPr>
        <w:t>263-280.</w:t>
      </w:r>
      <w:proofErr w:type="gramEnd"/>
      <w:r w:rsidRPr="0066637D">
        <w:rPr>
          <w:i/>
          <w:iCs/>
          <w:color w:val="000000"/>
        </w:rPr>
        <w:t xml:space="preserve"> </w:t>
      </w:r>
      <w:r w:rsidRPr="0066637D">
        <w:rPr>
          <w:color w:val="000000"/>
        </w:rPr>
        <w:t xml:space="preserve">Ontario: CIGI. </w:t>
      </w:r>
      <w:hyperlink r:id="rId66" w:history="1">
        <w:r w:rsidRPr="0066637D">
          <w:rPr>
            <w:rStyle w:val="Hyperlink"/>
          </w:rPr>
          <w:t>http://www.cigionline.org/sites/default/files/The%20Future%20of%20Security%20Sector%20Reform.pdf</w:t>
        </w:r>
      </w:hyperlink>
      <w:r w:rsidRPr="0066637D">
        <w:t>.</w:t>
      </w:r>
    </w:p>
    <w:p w:rsidR="00E364BF" w:rsidRPr="0066637D" w:rsidRDefault="00E364BF" w:rsidP="008F29F1">
      <w:r w:rsidRPr="0066637D">
        <w:t xml:space="preserve">Samuels, K. 2006. </w:t>
      </w:r>
      <w:r w:rsidRPr="0066637D">
        <w:rPr>
          <w:i/>
        </w:rPr>
        <w:t>Rule of Law Reform in Post-Conflict Countries: Operational Initiatives and Lessons Learnt.</w:t>
      </w:r>
      <w:r w:rsidRPr="0066637D">
        <w:t xml:space="preserve"> </w:t>
      </w:r>
      <w:proofErr w:type="gramStart"/>
      <w:r w:rsidRPr="0066637D">
        <w:t>World Bank Paper, No. 37.</w:t>
      </w:r>
      <w:proofErr w:type="gramEnd"/>
      <w:r w:rsidRPr="0066637D">
        <w:t xml:space="preserve"> Washington D.C.: The World Bank.</w:t>
      </w:r>
    </w:p>
    <w:p w:rsidR="00E364BF" w:rsidRPr="0066637D" w:rsidRDefault="00E364BF" w:rsidP="008F29F1">
      <w:r w:rsidRPr="0066637D">
        <w:t xml:space="preserve">Samuels, K. 2010. </w:t>
      </w:r>
      <w:proofErr w:type="gramStart"/>
      <w:r w:rsidRPr="0066637D">
        <w:t>“Justice Sector Development Assistance in Post-Conflict Countries In Search of Strategy.”</w:t>
      </w:r>
      <w:proofErr w:type="gramEnd"/>
      <w:r w:rsidRPr="0066637D">
        <w:t xml:space="preserve"> </w:t>
      </w:r>
      <w:proofErr w:type="gramStart"/>
      <w:r w:rsidRPr="0066637D">
        <w:t xml:space="preserve">In </w:t>
      </w:r>
      <w:r w:rsidRPr="0066637D">
        <w:rPr>
          <w:i/>
        </w:rPr>
        <w:t>The Future of Security Sector Reform</w:t>
      </w:r>
      <w:r w:rsidRPr="0066637D">
        <w:t xml:space="preserve">, edited by M. </w:t>
      </w:r>
      <w:proofErr w:type="spellStart"/>
      <w:r w:rsidRPr="0066637D">
        <w:t>Sedra</w:t>
      </w:r>
      <w:proofErr w:type="spellEnd"/>
      <w:r w:rsidRPr="0066637D">
        <w:t xml:space="preserve">, </w:t>
      </w:r>
      <w:r w:rsidRPr="0066637D">
        <w:rPr>
          <w:i/>
          <w:iCs/>
        </w:rPr>
        <w:t>169-176.</w:t>
      </w:r>
      <w:proofErr w:type="gramEnd"/>
      <w:r w:rsidRPr="0066637D">
        <w:rPr>
          <w:i/>
          <w:iCs/>
        </w:rPr>
        <w:t xml:space="preserve"> </w:t>
      </w:r>
      <w:r w:rsidRPr="0066637D">
        <w:t xml:space="preserve">Ontario: CIGI. </w:t>
      </w:r>
      <w:hyperlink r:id="rId67" w:history="1">
        <w:r w:rsidRPr="0066637D">
          <w:rPr>
            <w:rStyle w:val="Hyperlink"/>
          </w:rPr>
          <w:t>http://www.cigionline.org/sites/default/files/The%20Future%20of%20Security%20Sector%20Reform.pdf</w:t>
        </w:r>
      </w:hyperlink>
      <w:r w:rsidRPr="0066637D">
        <w:t>.</w:t>
      </w:r>
    </w:p>
    <w:p w:rsidR="00E364BF" w:rsidRPr="0066637D" w:rsidRDefault="00E364BF" w:rsidP="008F29F1">
      <w:proofErr w:type="spellStart"/>
      <w:proofErr w:type="gramStart"/>
      <w:r w:rsidRPr="0066637D">
        <w:t>Scheye</w:t>
      </w:r>
      <w:proofErr w:type="spellEnd"/>
      <w:r w:rsidRPr="0066637D">
        <w:t>, E. 2008.</w:t>
      </w:r>
      <w:proofErr w:type="gramEnd"/>
      <w:r w:rsidRPr="0066637D">
        <w:t xml:space="preserve"> “Unknotting Local Ownership </w:t>
      </w:r>
      <w:proofErr w:type="spellStart"/>
      <w:r w:rsidRPr="0066637D">
        <w:t>Redux</w:t>
      </w:r>
      <w:proofErr w:type="spellEnd"/>
      <w:r w:rsidRPr="0066637D">
        <w:t xml:space="preserve">: Bringing Non-State/Local Justice Networks Back In.” </w:t>
      </w:r>
      <w:proofErr w:type="gramStart"/>
      <w:r w:rsidRPr="0066637D">
        <w:t xml:space="preserve">In </w:t>
      </w:r>
      <w:r w:rsidRPr="0066637D">
        <w:rPr>
          <w:i/>
        </w:rPr>
        <w:t>Local Ownership and Security Sector Reform</w:t>
      </w:r>
      <w:r w:rsidRPr="0066637D">
        <w:t xml:space="preserve">, edited by T. </w:t>
      </w:r>
      <w:proofErr w:type="spellStart"/>
      <w:r w:rsidRPr="0066637D">
        <w:t>Donais</w:t>
      </w:r>
      <w:proofErr w:type="spellEnd"/>
      <w:r w:rsidRPr="0066637D">
        <w:t>, 59-81.</w:t>
      </w:r>
      <w:proofErr w:type="gramEnd"/>
      <w:r w:rsidRPr="0066637D">
        <w:t xml:space="preserve"> Geneva: DCAF.</w:t>
      </w:r>
    </w:p>
    <w:p w:rsidR="00E364BF" w:rsidRPr="0066637D" w:rsidRDefault="00E364BF" w:rsidP="008F29F1">
      <w:proofErr w:type="spellStart"/>
      <w:proofErr w:type="gramStart"/>
      <w:r w:rsidRPr="0066637D">
        <w:lastRenderedPageBreak/>
        <w:t>Scheye</w:t>
      </w:r>
      <w:proofErr w:type="spellEnd"/>
      <w:r w:rsidRPr="0066637D">
        <w:t>, E. 2009.</w:t>
      </w:r>
      <w:proofErr w:type="gramEnd"/>
      <w:r w:rsidRPr="0066637D">
        <w:t xml:space="preserve"> </w:t>
      </w:r>
      <w:r w:rsidRPr="0066637D">
        <w:rPr>
          <w:i/>
        </w:rPr>
        <w:t>Pragmatic Realism in Justice and Security Development: Supporting Improvement in the Performance of Non-State/Local Justice and Security Networks</w:t>
      </w:r>
      <w:r w:rsidRPr="0066637D">
        <w:t>. The Hague: Netherlands Institute of International Relations (</w:t>
      </w:r>
      <w:proofErr w:type="spellStart"/>
      <w:r w:rsidRPr="0066637D">
        <w:t>Clingendael</w:t>
      </w:r>
      <w:proofErr w:type="spellEnd"/>
      <w:r w:rsidRPr="0066637D">
        <w:t xml:space="preserve">). </w:t>
      </w:r>
      <w:hyperlink r:id="rId68" w:history="1">
        <w:r w:rsidRPr="0066637D">
          <w:rPr>
            <w:rStyle w:val="Hyperlink"/>
          </w:rPr>
          <w:t>http://www.clingendael.nl/sites/default/files/20090707_cru_local_justice_scheye.pdf</w:t>
        </w:r>
      </w:hyperlink>
      <w:r w:rsidRPr="0066637D">
        <w:t>.</w:t>
      </w:r>
    </w:p>
    <w:p w:rsidR="00E364BF" w:rsidRPr="0066637D" w:rsidRDefault="00E364BF" w:rsidP="008F29F1">
      <w:proofErr w:type="spellStart"/>
      <w:r w:rsidRPr="0066637D">
        <w:t>Scheye</w:t>
      </w:r>
      <w:proofErr w:type="spellEnd"/>
      <w:r w:rsidRPr="0066637D">
        <w:t xml:space="preserve">, E. and </w:t>
      </w:r>
      <w:proofErr w:type="spellStart"/>
      <w:r w:rsidRPr="0066637D">
        <w:t>Peake</w:t>
      </w:r>
      <w:proofErr w:type="spellEnd"/>
      <w:r w:rsidRPr="0066637D">
        <w:t xml:space="preserve">, G. 2005. </w:t>
      </w:r>
      <w:proofErr w:type="gramStart"/>
      <w:r w:rsidRPr="0066637D">
        <w:t>“Unknotting Local Ownership.”</w:t>
      </w:r>
      <w:proofErr w:type="gramEnd"/>
      <w:r w:rsidRPr="0066637D">
        <w:t xml:space="preserve"> In </w:t>
      </w:r>
      <w:r w:rsidRPr="0066637D">
        <w:rPr>
          <w:i/>
        </w:rPr>
        <w:t>After Intervention: Public Security in Post-Conflict Societies – From Intervention to Sustainable Local Ownership</w:t>
      </w:r>
      <w:r w:rsidRPr="0066637D">
        <w:t xml:space="preserve">, edited by A. </w:t>
      </w:r>
      <w:proofErr w:type="spellStart"/>
      <w:r w:rsidRPr="0066637D">
        <w:t>Ebnother</w:t>
      </w:r>
      <w:proofErr w:type="spellEnd"/>
      <w:r w:rsidRPr="0066637D">
        <w:t xml:space="preserve"> and P. </w:t>
      </w:r>
      <w:proofErr w:type="spellStart"/>
      <w:r w:rsidRPr="0066637D">
        <w:t>Fluri</w:t>
      </w:r>
      <w:proofErr w:type="spellEnd"/>
      <w:r w:rsidRPr="0066637D">
        <w:t>, 235-260. Geneva/Vienna: DCAF/</w:t>
      </w:r>
      <w:proofErr w:type="spellStart"/>
      <w:r w:rsidRPr="0066637D">
        <w:t>PfP</w:t>
      </w:r>
      <w:proofErr w:type="spellEnd"/>
      <w:r w:rsidRPr="0066637D">
        <w:t xml:space="preserve"> Consortium of Defence Academies and Security Studies Institutes.</w:t>
      </w:r>
    </w:p>
    <w:p w:rsidR="00E364BF" w:rsidRPr="0066637D" w:rsidRDefault="00E364BF" w:rsidP="008F29F1">
      <w:pPr>
        <w:rPr>
          <w:color w:val="000000"/>
        </w:rPr>
      </w:pPr>
      <w:proofErr w:type="spellStart"/>
      <w:r w:rsidRPr="0066637D">
        <w:t>Sedra</w:t>
      </w:r>
      <w:proofErr w:type="spellEnd"/>
      <w:r w:rsidRPr="0066637D">
        <w:t xml:space="preserve">, M. 2010a. </w:t>
      </w:r>
      <w:r w:rsidRPr="0066637D">
        <w:rPr>
          <w:i/>
        </w:rPr>
        <w:t>Security Sector Reform 101: Understanding the Concept, Charting Trends and Identifying Challenges</w:t>
      </w:r>
      <w:r w:rsidRPr="0066637D">
        <w:t>. Ontario: CIGI.</w:t>
      </w:r>
      <w:r w:rsidRPr="0066637D">
        <w:rPr>
          <w:color w:val="000000"/>
        </w:rPr>
        <w:t xml:space="preserve"> </w:t>
      </w:r>
      <w:hyperlink r:id="rId69" w:history="1">
        <w:r w:rsidRPr="0066637D">
          <w:rPr>
            <w:rStyle w:val="Hyperlink"/>
          </w:rPr>
          <w:t>http://www.cigionline.org/sites/default/files/SSR%20101%20Final%20%28April%2027%29.pdf</w:t>
        </w:r>
      </w:hyperlink>
      <w:r w:rsidRPr="0066637D">
        <w:rPr>
          <w:color w:val="000000"/>
        </w:rPr>
        <w:t xml:space="preserve">. </w:t>
      </w:r>
    </w:p>
    <w:p w:rsidR="00E364BF" w:rsidRPr="0066637D" w:rsidRDefault="00E364BF" w:rsidP="008F29F1">
      <w:proofErr w:type="spellStart"/>
      <w:r w:rsidRPr="0066637D">
        <w:t>Sedra</w:t>
      </w:r>
      <w:proofErr w:type="spellEnd"/>
      <w:r w:rsidRPr="0066637D">
        <w:t xml:space="preserve">, M. 2010b. “Introduction: the Future of Security Sector Reform.” </w:t>
      </w:r>
      <w:proofErr w:type="gramStart"/>
      <w:r w:rsidRPr="0066637D">
        <w:t xml:space="preserve">In </w:t>
      </w:r>
      <w:r w:rsidRPr="0066637D">
        <w:rPr>
          <w:i/>
        </w:rPr>
        <w:t>The Future of Security Sector Reform</w:t>
      </w:r>
      <w:r w:rsidRPr="0066637D">
        <w:t xml:space="preserve">, edited by M. </w:t>
      </w:r>
      <w:proofErr w:type="spellStart"/>
      <w:r w:rsidRPr="0066637D">
        <w:t>Sedra</w:t>
      </w:r>
      <w:proofErr w:type="spellEnd"/>
      <w:r w:rsidRPr="0066637D">
        <w:t>, 16-27.</w:t>
      </w:r>
      <w:proofErr w:type="gramEnd"/>
      <w:r w:rsidRPr="0066637D">
        <w:t xml:space="preserve"> Ontario: CIGI. </w:t>
      </w:r>
      <w:hyperlink r:id="rId70" w:history="1">
        <w:r w:rsidRPr="0066637D">
          <w:rPr>
            <w:rStyle w:val="Hyperlink"/>
          </w:rPr>
          <w:t>http://www.cigionline.org/sites/default/files/The%20Future%20of%20Security%20Sector%20Reform.pdf</w:t>
        </w:r>
      </w:hyperlink>
      <w:r w:rsidRPr="0066637D">
        <w:t>.</w:t>
      </w:r>
    </w:p>
    <w:p w:rsidR="00E364BF" w:rsidRPr="0066637D" w:rsidRDefault="00E364BF" w:rsidP="008F29F1">
      <w:proofErr w:type="gramStart"/>
      <w:r w:rsidRPr="0066637D">
        <w:t>Smith-</w:t>
      </w:r>
      <w:proofErr w:type="spellStart"/>
      <w:r w:rsidRPr="0066637D">
        <w:t>Höhn</w:t>
      </w:r>
      <w:proofErr w:type="spellEnd"/>
      <w:r w:rsidRPr="0066637D">
        <w:t>, J. 2010.</w:t>
      </w:r>
      <w:proofErr w:type="gramEnd"/>
      <w:r w:rsidRPr="0066637D">
        <w:t xml:space="preserve"> “Transformation through Participation: Public Perceptions in Liberia and Sierra Leone.” </w:t>
      </w:r>
      <w:proofErr w:type="gramStart"/>
      <w:r w:rsidRPr="0066637D">
        <w:t xml:space="preserve">In </w:t>
      </w:r>
      <w:r w:rsidRPr="0066637D">
        <w:rPr>
          <w:i/>
        </w:rPr>
        <w:t>Security Sector Transformation in Africa</w:t>
      </w:r>
      <w:r w:rsidRPr="0066637D">
        <w:t xml:space="preserve">, edited by A. </w:t>
      </w:r>
      <w:proofErr w:type="spellStart"/>
      <w:r w:rsidRPr="0066637D">
        <w:t>Bryden</w:t>
      </w:r>
      <w:proofErr w:type="spellEnd"/>
      <w:r w:rsidRPr="0066637D">
        <w:t xml:space="preserve"> and F. </w:t>
      </w:r>
      <w:proofErr w:type="spellStart"/>
      <w:r w:rsidRPr="0066637D">
        <w:t>Olonisakin</w:t>
      </w:r>
      <w:proofErr w:type="spellEnd"/>
      <w:r w:rsidRPr="0066637D">
        <w:t>, 89-110.</w:t>
      </w:r>
      <w:proofErr w:type="gramEnd"/>
      <w:r w:rsidRPr="0066637D">
        <w:t xml:space="preserve"> Geneva: DCAF.</w:t>
      </w:r>
    </w:p>
    <w:p w:rsidR="00E364BF" w:rsidRPr="0066637D" w:rsidRDefault="00E364BF" w:rsidP="008F29F1">
      <w:proofErr w:type="spellStart"/>
      <w:r w:rsidRPr="0066637D">
        <w:t>Sokolová</w:t>
      </w:r>
      <w:proofErr w:type="spellEnd"/>
      <w:r w:rsidRPr="0066637D">
        <w:t xml:space="preserve">, J. and Smith, H. 2006. </w:t>
      </w:r>
      <w:proofErr w:type="gramStart"/>
      <w:r w:rsidRPr="0066637D">
        <w:rPr>
          <w:i/>
        </w:rPr>
        <w:t>Creating safer Communities: Lessons from South Eastern Europe</w:t>
      </w:r>
      <w:r w:rsidRPr="0066637D">
        <w:t>.</w:t>
      </w:r>
      <w:proofErr w:type="gramEnd"/>
      <w:r w:rsidRPr="0066637D">
        <w:t xml:space="preserve"> London: </w:t>
      </w:r>
      <w:proofErr w:type="spellStart"/>
      <w:r w:rsidRPr="0066637D">
        <w:t>Saferworld</w:t>
      </w:r>
      <w:proofErr w:type="spellEnd"/>
      <w:r w:rsidRPr="0066637D">
        <w:t xml:space="preserve">, Balkan Youth Institute (BUY), the Centre for Security Studies – Bosnia-Herzegovina (CSS), CIVIL and the Forum for Civic Initiatives (FIQ). </w:t>
      </w:r>
      <w:hyperlink r:id="rId71" w:history="1">
        <w:r w:rsidRPr="0066637D">
          <w:rPr>
            <w:rStyle w:val="Hyperlink"/>
          </w:rPr>
          <w:t>http://www.saferworld.org.uk/downloads/pubdocs/Creating_safer_communities_Dec06_%20English.pdf</w:t>
        </w:r>
      </w:hyperlink>
      <w:r w:rsidRPr="0066637D">
        <w:t>.</w:t>
      </w:r>
    </w:p>
    <w:p w:rsidR="009C2BEE" w:rsidRPr="0066637D" w:rsidRDefault="009C2BEE" w:rsidP="008F29F1">
      <w:proofErr w:type="gramStart"/>
      <w:r w:rsidRPr="0066637D">
        <w:t>Stabilisation Unit 2014.</w:t>
      </w:r>
      <w:proofErr w:type="gramEnd"/>
      <w:r w:rsidRPr="0066637D">
        <w:t xml:space="preserve">  </w:t>
      </w:r>
      <w:proofErr w:type="gramStart"/>
      <w:r w:rsidRPr="0066637D">
        <w:rPr>
          <w:i/>
        </w:rPr>
        <w:t>Policing the context: Principles and guidance to inform international policing assistance.</w:t>
      </w:r>
      <w:proofErr w:type="gramEnd"/>
      <w:r w:rsidRPr="0066637D">
        <w:rPr>
          <w:i/>
        </w:rPr>
        <w:t xml:space="preserve"> </w:t>
      </w:r>
      <w:r w:rsidRPr="0066637D">
        <w:t xml:space="preserve"> London: Stabilisation Unit. </w:t>
      </w:r>
      <w:hyperlink r:id="rId72" w:history="1">
        <w:r w:rsidRPr="0066637D">
          <w:rPr>
            <w:rStyle w:val="Hyperlink"/>
          </w:rPr>
          <w:t>http://www.stabilisationunit.gov.uk/attachments/article/520/Stabilisation%20Unit_Policing%20the%20Context%20What%20Works-%20March%202014.pdf</w:t>
        </w:r>
      </w:hyperlink>
      <w:r w:rsidRPr="0066637D">
        <w:t xml:space="preserve">. </w:t>
      </w:r>
    </w:p>
    <w:p w:rsidR="00275A5E" w:rsidRPr="0066637D" w:rsidRDefault="00275A5E" w:rsidP="00275A5E">
      <w:pPr>
        <w:rPr>
          <w:lang w:eastAsia="en-US"/>
        </w:rPr>
      </w:pPr>
      <w:proofErr w:type="spellStart"/>
      <w:r w:rsidRPr="0066637D">
        <w:rPr>
          <w:lang w:eastAsia="en-US"/>
        </w:rPr>
        <w:t>Stromseth</w:t>
      </w:r>
      <w:proofErr w:type="spellEnd"/>
      <w:r w:rsidRPr="0066637D">
        <w:rPr>
          <w:lang w:eastAsia="en-US"/>
        </w:rPr>
        <w:t xml:space="preserve">, J., </w:t>
      </w:r>
      <w:proofErr w:type="spellStart"/>
      <w:r w:rsidRPr="0066637D">
        <w:rPr>
          <w:lang w:eastAsia="en-US"/>
        </w:rPr>
        <w:t>Wippman</w:t>
      </w:r>
      <w:proofErr w:type="spellEnd"/>
      <w:r w:rsidRPr="0066637D">
        <w:rPr>
          <w:lang w:eastAsia="en-US"/>
        </w:rPr>
        <w:t xml:space="preserve">, D. and Brooks, R. 2006. </w:t>
      </w:r>
      <w:r w:rsidRPr="0066637D">
        <w:rPr>
          <w:i/>
          <w:lang w:eastAsia="en-US"/>
        </w:rPr>
        <w:t>Can Might Make Rights</w:t>
      </w:r>
      <w:proofErr w:type="gramStart"/>
      <w:r w:rsidRPr="0066637D">
        <w:rPr>
          <w:i/>
          <w:lang w:eastAsia="en-US"/>
        </w:rPr>
        <w:t>?:</w:t>
      </w:r>
      <w:proofErr w:type="gramEnd"/>
      <w:r w:rsidRPr="0066637D">
        <w:rPr>
          <w:i/>
          <w:lang w:eastAsia="en-US"/>
        </w:rPr>
        <w:t xml:space="preserve"> Building the Rule of Law after Military Interventions.</w:t>
      </w:r>
      <w:r w:rsidRPr="0066637D">
        <w:rPr>
          <w:lang w:eastAsia="en-US"/>
        </w:rPr>
        <w:t xml:space="preserve"> New York: Cambridge University Press.</w:t>
      </w:r>
    </w:p>
    <w:p w:rsidR="00275A5E" w:rsidRPr="0066637D" w:rsidRDefault="00275A5E" w:rsidP="00275A5E">
      <w:pPr>
        <w:autoSpaceDE w:val="0"/>
        <w:autoSpaceDN w:val="0"/>
        <w:adjustRightInd w:val="0"/>
        <w:spacing w:after="0" w:line="240" w:lineRule="auto"/>
        <w:jc w:val="left"/>
        <w:rPr>
          <w:rFonts w:ascii="Georgia" w:eastAsiaTheme="minorHAnsi" w:hAnsi="Georgia" w:cs="Georgia"/>
          <w:sz w:val="18"/>
          <w:szCs w:val="18"/>
          <w:lang w:eastAsia="en-US"/>
        </w:rPr>
      </w:pPr>
    </w:p>
    <w:p w:rsidR="00E364BF" w:rsidRPr="0066637D" w:rsidRDefault="00E364BF" w:rsidP="00275A5E">
      <w:proofErr w:type="gramStart"/>
      <w:r w:rsidRPr="0066637D">
        <w:t>UN 2008.</w:t>
      </w:r>
      <w:proofErr w:type="gramEnd"/>
      <w:r w:rsidRPr="0066637D">
        <w:t xml:space="preserve"> </w:t>
      </w:r>
      <w:proofErr w:type="gramStart"/>
      <w:r w:rsidRPr="0066637D">
        <w:t>“Securing peace and development: the role of the United Nations in supporting security sector reform.”</w:t>
      </w:r>
      <w:proofErr w:type="gramEnd"/>
      <w:r w:rsidRPr="0066637D">
        <w:t xml:space="preserve"> </w:t>
      </w:r>
      <w:proofErr w:type="gramStart"/>
      <w:r w:rsidRPr="0066637D">
        <w:t xml:space="preserve">Report of the Secretary-General, </w:t>
      </w:r>
      <w:r w:rsidRPr="0066637D">
        <w:rPr>
          <w:i/>
        </w:rPr>
        <w:t>A/62/659-S/2008/39</w:t>
      </w:r>
      <w:r w:rsidRPr="0066637D">
        <w:t>.</w:t>
      </w:r>
      <w:proofErr w:type="gramEnd"/>
      <w:r w:rsidRPr="0066637D">
        <w:t xml:space="preserve"> New York: United Nations. </w:t>
      </w:r>
      <w:hyperlink r:id="rId73" w:history="1">
        <w:r w:rsidRPr="0066637D">
          <w:rPr>
            <w:rStyle w:val="Hyperlink"/>
          </w:rPr>
          <w:t>http://www.un.org/Docs/journal/asp/ws.asp?m=A/62/659</w:t>
        </w:r>
      </w:hyperlink>
      <w:r w:rsidRPr="0066637D">
        <w:t xml:space="preserve">. </w:t>
      </w:r>
    </w:p>
    <w:p w:rsidR="00E364BF" w:rsidRPr="0066637D" w:rsidRDefault="00E364BF" w:rsidP="008F29F1">
      <w:proofErr w:type="gramStart"/>
      <w:r w:rsidRPr="0066637D">
        <w:t>UN 2012.</w:t>
      </w:r>
      <w:proofErr w:type="gramEnd"/>
      <w:r w:rsidRPr="0066637D">
        <w:t xml:space="preserve"> </w:t>
      </w:r>
      <w:r w:rsidRPr="0066637D">
        <w:rPr>
          <w:i/>
        </w:rPr>
        <w:t>Security Sector Reform Integrated Technical Guidance Notes</w:t>
      </w:r>
      <w:r w:rsidRPr="0066637D">
        <w:t xml:space="preserve">. New York: UN. </w:t>
      </w:r>
      <w:hyperlink r:id="rId74" w:history="1">
        <w:r w:rsidRPr="0066637D">
          <w:rPr>
            <w:rStyle w:val="Hyperlink"/>
          </w:rPr>
          <w:t>http://unssr.unlb.org/Portals/UNSSR/UN%20Integrated%20Technical%20Guidance%20Notes%20on%20SSR.PDF</w:t>
        </w:r>
      </w:hyperlink>
      <w:r w:rsidRPr="0066637D">
        <w:t xml:space="preserve">. </w:t>
      </w:r>
    </w:p>
    <w:p w:rsidR="00E364BF" w:rsidRPr="0066637D" w:rsidRDefault="00E364BF" w:rsidP="008F29F1">
      <w:proofErr w:type="gramStart"/>
      <w:r w:rsidRPr="0066637D">
        <w:lastRenderedPageBreak/>
        <w:t>UN 2013.</w:t>
      </w:r>
      <w:proofErr w:type="gramEnd"/>
      <w:r w:rsidRPr="0066637D">
        <w:t xml:space="preserve"> “Securing States and societies: strengthening the United Nations comprehensive support to security sector reform.” </w:t>
      </w:r>
      <w:proofErr w:type="gramStart"/>
      <w:r w:rsidRPr="0066637D">
        <w:t xml:space="preserve">Report of the Secretary-General, </w:t>
      </w:r>
      <w:r w:rsidRPr="0066637D">
        <w:rPr>
          <w:i/>
        </w:rPr>
        <w:t>A/67/970-S/2013/480</w:t>
      </w:r>
      <w:r w:rsidRPr="0066637D">
        <w:t>.</w:t>
      </w:r>
      <w:proofErr w:type="gramEnd"/>
      <w:r w:rsidRPr="0066637D">
        <w:t xml:space="preserve"> New York: United Nations. </w:t>
      </w:r>
      <w:hyperlink r:id="rId75" w:history="1">
        <w:r w:rsidRPr="0066637D">
          <w:rPr>
            <w:rStyle w:val="Hyperlink"/>
          </w:rPr>
          <w:t>http://www.securitycouncilreport.org/atf/cf/%7B65BFCF9B-6D27-4E9C-8CD3-CF6E4FF96FF9%7D/s_2013_480.pdf</w:t>
        </w:r>
      </w:hyperlink>
      <w:r w:rsidRPr="0066637D">
        <w:t xml:space="preserve">. </w:t>
      </w:r>
    </w:p>
    <w:p w:rsidR="005B07B6" w:rsidRPr="003C28DF" w:rsidRDefault="00302F03" w:rsidP="008F29F1">
      <w:proofErr w:type="gramStart"/>
      <w:r w:rsidRPr="0066637D">
        <w:t>van</w:t>
      </w:r>
      <w:proofErr w:type="gramEnd"/>
      <w:r w:rsidRPr="0066637D">
        <w:t xml:space="preserve"> </w:t>
      </w:r>
      <w:proofErr w:type="spellStart"/>
      <w:r w:rsidRPr="0066637D">
        <w:t>Tongeren</w:t>
      </w:r>
      <w:proofErr w:type="spellEnd"/>
      <w:r w:rsidRPr="0066637D">
        <w:t>,</w:t>
      </w:r>
      <w:r w:rsidR="00E364BF" w:rsidRPr="0066637D">
        <w:t xml:space="preserve"> P. 2013. </w:t>
      </w:r>
      <w:proofErr w:type="gramStart"/>
      <w:r w:rsidR="00E364BF" w:rsidRPr="0066637D">
        <w:t>“Potential cornerstone of infrastructures for peace?</w:t>
      </w:r>
      <w:proofErr w:type="gramEnd"/>
      <w:r w:rsidR="00E364BF" w:rsidRPr="0066637D">
        <w:t xml:space="preserve"> How local peace committees can make a difference.” </w:t>
      </w:r>
      <w:r w:rsidR="00E364BF" w:rsidRPr="0066637D">
        <w:rPr>
          <w:i/>
        </w:rPr>
        <w:t>Peacebuilding</w:t>
      </w:r>
      <w:r w:rsidR="00E364BF" w:rsidRPr="0066637D">
        <w:t xml:space="preserve"> 1(1): 39-60. </w:t>
      </w:r>
      <w:hyperlink r:id="rId76" w:history="1">
        <w:r w:rsidR="00E364BF" w:rsidRPr="0066637D">
          <w:rPr>
            <w:rStyle w:val="Hyperlink"/>
          </w:rPr>
          <w:t>http://dx.doi.org/</w:t>
        </w:r>
        <w:r w:rsidR="00E364BF" w:rsidRPr="0066637D">
          <w:rPr>
            <w:rStyle w:val="Hyperlink"/>
            <w:rFonts w:eastAsia="Times New Roman"/>
          </w:rPr>
          <w:t>10.1080/21647259.2013.756264</w:t>
        </w:r>
      </w:hyperlink>
      <w:r w:rsidR="00E364BF" w:rsidRPr="0066637D">
        <w:t>.</w:t>
      </w:r>
      <w:r w:rsidR="00E364BF" w:rsidRPr="003C28DF">
        <w:rPr>
          <w:rFonts w:eastAsia="Times New Roman"/>
        </w:rPr>
        <w:t xml:space="preserve"> </w:t>
      </w:r>
    </w:p>
    <w:sectPr w:rsidR="005B07B6" w:rsidRPr="003C28DF" w:rsidSect="00301D16">
      <w:headerReference w:type="default" r:id="rId77"/>
      <w:footerReference w:type="default" r:id="rId7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591" w:rsidRDefault="00C87591">
      <w:pPr>
        <w:spacing w:after="0" w:line="240" w:lineRule="auto"/>
      </w:pPr>
      <w:r>
        <w:separator/>
      </w:r>
    </w:p>
  </w:endnote>
  <w:endnote w:type="continuationSeparator" w:id="0">
    <w:p w:rsidR="00C87591" w:rsidRDefault="00C875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NeueLT Std Med Cn">
    <w:altName w:val="HelveticaNeueLT Std Med Cn"/>
    <w:panose1 w:val="00000000000000000000"/>
    <w:charset w:val="00"/>
    <w:family w:val="swiss"/>
    <w:notTrueType/>
    <w:pitch w:val="default"/>
    <w:sig w:usb0="00000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T Std">
    <w:altName w:val="Palatino LT Std"/>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MinionPro-Regular">
    <w:altName w:val="MS Mincho"/>
    <w:panose1 w:val="00000000000000000000"/>
    <w:charset w:val="80"/>
    <w:family w:val="roman"/>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D16" w:rsidRDefault="00301D16" w:rsidP="00301D16">
    <w:pPr>
      <w:pStyle w:val="Footer"/>
      <w:jc w:val="right"/>
    </w:pPr>
    <w:r>
      <w:fldChar w:fldCharType="begin"/>
    </w:r>
    <w:r>
      <w:instrText xml:space="preserve"> PAGE   \* MERGEFORMAT </w:instrText>
    </w:r>
    <w:r>
      <w:fldChar w:fldCharType="separate"/>
    </w:r>
    <w:r w:rsidR="0074577B">
      <w:rPr>
        <w:noProof/>
      </w:rPr>
      <w:t>18</w:t>
    </w:r>
    <w:r>
      <w:fldChar w:fldCharType="end"/>
    </w:r>
  </w:p>
  <w:p w:rsidR="00301D16" w:rsidRDefault="00301D16" w:rsidP="00301D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591" w:rsidRDefault="00C87591">
      <w:pPr>
        <w:spacing w:after="0" w:line="240" w:lineRule="auto"/>
      </w:pPr>
      <w:r>
        <w:separator/>
      </w:r>
    </w:p>
  </w:footnote>
  <w:footnote w:type="continuationSeparator" w:id="0">
    <w:p w:rsidR="00C87591" w:rsidRDefault="00C875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D16" w:rsidRDefault="00301D16" w:rsidP="00301D16">
    <w:pPr>
      <w:pStyle w:val="Header"/>
    </w:pPr>
  </w:p>
  <w:p w:rsidR="00301D16" w:rsidRDefault="00301D16" w:rsidP="00301D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1">
    <w:nsid w:val="085C6F27"/>
    <w:multiLevelType w:val="hybridMultilevel"/>
    <w:tmpl w:val="DE1429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1974AE0"/>
    <w:multiLevelType w:val="hybridMultilevel"/>
    <w:tmpl w:val="7AA6AF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3EC1EBC"/>
    <w:multiLevelType w:val="hybridMultilevel"/>
    <w:tmpl w:val="935E2866"/>
    <w:lvl w:ilvl="0" w:tplc="E1228A1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AD00F5E"/>
    <w:multiLevelType w:val="hybridMultilevel"/>
    <w:tmpl w:val="AE1C0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7025AE9"/>
    <w:multiLevelType w:val="hybridMultilevel"/>
    <w:tmpl w:val="529CA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44771EC"/>
    <w:multiLevelType w:val="hybridMultilevel"/>
    <w:tmpl w:val="925200EA"/>
    <w:lvl w:ilvl="0" w:tplc="E1228A1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30C5DD0"/>
    <w:multiLevelType w:val="hybridMultilevel"/>
    <w:tmpl w:val="7A50E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8A06086"/>
    <w:multiLevelType w:val="hybridMultilevel"/>
    <w:tmpl w:val="5FC0C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
  </w:num>
  <w:num w:numId="4">
    <w:abstractNumId w:val="7"/>
  </w:num>
  <w:num w:numId="5">
    <w:abstractNumId w:val="6"/>
  </w:num>
  <w:num w:numId="6">
    <w:abstractNumId w:val="2"/>
  </w:num>
  <w:num w:numId="7">
    <w:abstractNumId w:val="4"/>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4BF"/>
    <w:rsid w:val="000006B3"/>
    <w:rsid w:val="0002160D"/>
    <w:rsid w:val="00043804"/>
    <w:rsid w:val="00046342"/>
    <w:rsid w:val="00060919"/>
    <w:rsid w:val="00070D05"/>
    <w:rsid w:val="000808AC"/>
    <w:rsid w:val="00095BB5"/>
    <w:rsid w:val="000A53DD"/>
    <w:rsid w:val="000C3CDB"/>
    <w:rsid w:val="001032BD"/>
    <w:rsid w:val="00106DEE"/>
    <w:rsid w:val="001166C2"/>
    <w:rsid w:val="00156E08"/>
    <w:rsid w:val="00167796"/>
    <w:rsid w:val="00174EFA"/>
    <w:rsid w:val="00177982"/>
    <w:rsid w:val="00190D5B"/>
    <w:rsid w:val="00195DD1"/>
    <w:rsid w:val="001A1CF8"/>
    <w:rsid w:val="001A37F5"/>
    <w:rsid w:val="001A5C84"/>
    <w:rsid w:val="001B6F00"/>
    <w:rsid w:val="001B72EA"/>
    <w:rsid w:val="001C3FA4"/>
    <w:rsid w:val="001C7147"/>
    <w:rsid w:val="001C7190"/>
    <w:rsid w:val="001D1AF9"/>
    <w:rsid w:val="001E2B9F"/>
    <w:rsid w:val="001F1840"/>
    <w:rsid w:val="00226879"/>
    <w:rsid w:val="0026739F"/>
    <w:rsid w:val="00273362"/>
    <w:rsid w:val="00275A5E"/>
    <w:rsid w:val="00277203"/>
    <w:rsid w:val="00282511"/>
    <w:rsid w:val="002A111C"/>
    <w:rsid w:val="002B20F4"/>
    <w:rsid w:val="002B56D0"/>
    <w:rsid w:val="002D5DF9"/>
    <w:rsid w:val="002E153A"/>
    <w:rsid w:val="002E2A5F"/>
    <w:rsid w:val="002F1646"/>
    <w:rsid w:val="002F7A7F"/>
    <w:rsid w:val="00301D16"/>
    <w:rsid w:val="00302F03"/>
    <w:rsid w:val="00304146"/>
    <w:rsid w:val="00323F5A"/>
    <w:rsid w:val="003426A4"/>
    <w:rsid w:val="003456D6"/>
    <w:rsid w:val="003609F9"/>
    <w:rsid w:val="003621C4"/>
    <w:rsid w:val="00373619"/>
    <w:rsid w:val="00373BF0"/>
    <w:rsid w:val="003875CA"/>
    <w:rsid w:val="003B38EC"/>
    <w:rsid w:val="003C122F"/>
    <w:rsid w:val="003C28DF"/>
    <w:rsid w:val="003C65B1"/>
    <w:rsid w:val="003D3063"/>
    <w:rsid w:val="003D7ED4"/>
    <w:rsid w:val="003E162A"/>
    <w:rsid w:val="003E2B63"/>
    <w:rsid w:val="00406C27"/>
    <w:rsid w:val="00407276"/>
    <w:rsid w:val="00421570"/>
    <w:rsid w:val="00452B37"/>
    <w:rsid w:val="00463510"/>
    <w:rsid w:val="00464CDB"/>
    <w:rsid w:val="00471EF8"/>
    <w:rsid w:val="004A3697"/>
    <w:rsid w:val="004A5A79"/>
    <w:rsid w:val="004B3331"/>
    <w:rsid w:val="004C362A"/>
    <w:rsid w:val="004C4BBD"/>
    <w:rsid w:val="004C4F00"/>
    <w:rsid w:val="004D1552"/>
    <w:rsid w:val="004D21FF"/>
    <w:rsid w:val="004D7CBA"/>
    <w:rsid w:val="004E4EBB"/>
    <w:rsid w:val="004F0355"/>
    <w:rsid w:val="00503902"/>
    <w:rsid w:val="00503D06"/>
    <w:rsid w:val="00510D4F"/>
    <w:rsid w:val="0052454F"/>
    <w:rsid w:val="00524993"/>
    <w:rsid w:val="00540EC1"/>
    <w:rsid w:val="00560489"/>
    <w:rsid w:val="00560653"/>
    <w:rsid w:val="00573320"/>
    <w:rsid w:val="00582DEE"/>
    <w:rsid w:val="00583BBB"/>
    <w:rsid w:val="00584E5C"/>
    <w:rsid w:val="00593260"/>
    <w:rsid w:val="00595487"/>
    <w:rsid w:val="00596518"/>
    <w:rsid w:val="005B07B6"/>
    <w:rsid w:val="005B1008"/>
    <w:rsid w:val="005B3B09"/>
    <w:rsid w:val="005C3048"/>
    <w:rsid w:val="005E2B83"/>
    <w:rsid w:val="005E4136"/>
    <w:rsid w:val="005E76E7"/>
    <w:rsid w:val="005F0A7E"/>
    <w:rsid w:val="005F386B"/>
    <w:rsid w:val="00605126"/>
    <w:rsid w:val="00606358"/>
    <w:rsid w:val="0062423F"/>
    <w:rsid w:val="00625B8B"/>
    <w:rsid w:val="0064143B"/>
    <w:rsid w:val="00661529"/>
    <w:rsid w:val="0066584D"/>
    <w:rsid w:val="0066637D"/>
    <w:rsid w:val="0067016C"/>
    <w:rsid w:val="006832EE"/>
    <w:rsid w:val="00692811"/>
    <w:rsid w:val="006949D5"/>
    <w:rsid w:val="006A20F6"/>
    <w:rsid w:val="006A2623"/>
    <w:rsid w:val="006B425F"/>
    <w:rsid w:val="006D3677"/>
    <w:rsid w:val="007017D1"/>
    <w:rsid w:val="00715F93"/>
    <w:rsid w:val="007350B7"/>
    <w:rsid w:val="007449CB"/>
    <w:rsid w:val="007453D0"/>
    <w:rsid w:val="0074577B"/>
    <w:rsid w:val="007459B0"/>
    <w:rsid w:val="0076016B"/>
    <w:rsid w:val="007621D4"/>
    <w:rsid w:val="00766282"/>
    <w:rsid w:val="00783D5E"/>
    <w:rsid w:val="007900B7"/>
    <w:rsid w:val="0079235D"/>
    <w:rsid w:val="007A4838"/>
    <w:rsid w:val="007C03CE"/>
    <w:rsid w:val="007C1BF2"/>
    <w:rsid w:val="008138ED"/>
    <w:rsid w:val="00815F9F"/>
    <w:rsid w:val="0082248E"/>
    <w:rsid w:val="00843F34"/>
    <w:rsid w:val="00863020"/>
    <w:rsid w:val="00896A67"/>
    <w:rsid w:val="00896D5D"/>
    <w:rsid w:val="008D12E9"/>
    <w:rsid w:val="008F29F1"/>
    <w:rsid w:val="00911492"/>
    <w:rsid w:val="0094061C"/>
    <w:rsid w:val="00950E91"/>
    <w:rsid w:val="00952D3C"/>
    <w:rsid w:val="00953E93"/>
    <w:rsid w:val="0097078F"/>
    <w:rsid w:val="009727FF"/>
    <w:rsid w:val="00974F80"/>
    <w:rsid w:val="00984D3F"/>
    <w:rsid w:val="009A0F52"/>
    <w:rsid w:val="009A7847"/>
    <w:rsid w:val="009B3ABE"/>
    <w:rsid w:val="009B5803"/>
    <w:rsid w:val="009C0A3E"/>
    <w:rsid w:val="009C285E"/>
    <w:rsid w:val="009C2BEE"/>
    <w:rsid w:val="009C6629"/>
    <w:rsid w:val="009E0BAE"/>
    <w:rsid w:val="00A26418"/>
    <w:rsid w:val="00A3400B"/>
    <w:rsid w:val="00A34322"/>
    <w:rsid w:val="00A34E5F"/>
    <w:rsid w:val="00A407A6"/>
    <w:rsid w:val="00A53B1E"/>
    <w:rsid w:val="00A57DD8"/>
    <w:rsid w:val="00A74B34"/>
    <w:rsid w:val="00A8035D"/>
    <w:rsid w:val="00A877B6"/>
    <w:rsid w:val="00A90F56"/>
    <w:rsid w:val="00A93BDB"/>
    <w:rsid w:val="00A93DCE"/>
    <w:rsid w:val="00A95A19"/>
    <w:rsid w:val="00AA4252"/>
    <w:rsid w:val="00AA5576"/>
    <w:rsid w:val="00AC111A"/>
    <w:rsid w:val="00AD4700"/>
    <w:rsid w:val="00AE3D84"/>
    <w:rsid w:val="00AE414F"/>
    <w:rsid w:val="00AE52CB"/>
    <w:rsid w:val="00B13573"/>
    <w:rsid w:val="00B34D30"/>
    <w:rsid w:val="00B4630F"/>
    <w:rsid w:val="00B54BB6"/>
    <w:rsid w:val="00B72571"/>
    <w:rsid w:val="00B73232"/>
    <w:rsid w:val="00B812D9"/>
    <w:rsid w:val="00B8410C"/>
    <w:rsid w:val="00BA2306"/>
    <w:rsid w:val="00BB368A"/>
    <w:rsid w:val="00BB6C79"/>
    <w:rsid w:val="00BC1307"/>
    <w:rsid w:val="00BC7752"/>
    <w:rsid w:val="00BE5010"/>
    <w:rsid w:val="00C01B38"/>
    <w:rsid w:val="00C047A7"/>
    <w:rsid w:val="00C07E6C"/>
    <w:rsid w:val="00C109A3"/>
    <w:rsid w:val="00C10D0D"/>
    <w:rsid w:val="00C12C5A"/>
    <w:rsid w:val="00C174B5"/>
    <w:rsid w:val="00C21B04"/>
    <w:rsid w:val="00C34085"/>
    <w:rsid w:val="00C37D3E"/>
    <w:rsid w:val="00C43A9D"/>
    <w:rsid w:val="00C467D0"/>
    <w:rsid w:val="00C52EF4"/>
    <w:rsid w:val="00C54B83"/>
    <w:rsid w:val="00C6416C"/>
    <w:rsid w:val="00C76BE9"/>
    <w:rsid w:val="00C81824"/>
    <w:rsid w:val="00C850AF"/>
    <w:rsid w:val="00C87591"/>
    <w:rsid w:val="00C977BC"/>
    <w:rsid w:val="00CA0C5F"/>
    <w:rsid w:val="00D13655"/>
    <w:rsid w:val="00D27983"/>
    <w:rsid w:val="00D30512"/>
    <w:rsid w:val="00D34E60"/>
    <w:rsid w:val="00D53E21"/>
    <w:rsid w:val="00D567B4"/>
    <w:rsid w:val="00D70A8E"/>
    <w:rsid w:val="00D768BE"/>
    <w:rsid w:val="00D8712B"/>
    <w:rsid w:val="00D9325B"/>
    <w:rsid w:val="00DA080A"/>
    <w:rsid w:val="00DA6E35"/>
    <w:rsid w:val="00DC000D"/>
    <w:rsid w:val="00DD64F0"/>
    <w:rsid w:val="00DE06A8"/>
    <w:rsid w:val="00DE6759"/>
    <w:rsid w:val="00DF5654"/>
    <w:rsid w:val="00DF7F5D"/>
    <w:rsid w:val="00E01B02"/>
    <w:rsid w:val="00E11A36"/>
    <w:rsid w:val="00E128C7"/>
    <w:rsid w:val="00E13AFC"/>
    <w:rsid w:val="00E159FF"/>
    <w:rsid w:val="00E16A6E"/>
    <w:rsid w:val="00E17AEA"/>
    <w:rsid w:val="00E33B5D"/>
    <w:rsid w:val="00E364BF"/>
    <w:rsid w:val="00E42AFC"/>
    <w:rsid w:val="00E4681C"/>
    <w:rsid w:val="00E76CEB"/>
    <w:rsid w:val="00E8097B"/>
    <w:rsid w:val="00E80D08"/>
    <w:rsid w:val="00E91FB7"/>
    <w:rsid w:val="00EB342B"/>
    <w:rsid w:val="00EB666B"/>
    <w:rsid w:val="00EC5899"/>
    <w:rsid w:val="00EC7831"/>
    <w:rsid w:val="00EE75F6"/>
    <w:rsid w:val="00F05057"/>
    <w:rsid w:val="00F10AE4"/>
    <w:rsid w:val="00F14945"/>
    <w:rsid w:val="00F23CF5"/>
    <w:rsid w:val="00F24B53"/>
    <w:rsid w:val="00F26202"/>
    <w:rsid w:val="00F53761"/>
    <w:rsid w:val="00F673F9"/>
    <w:rsid w:val="00F820F2"/>
    <w:rsid w:val="00FA081C"/>
    <w:rsid w:val="00FB7471"/>
    <w:rsid w:val="00FE4E2B"/>
    <w:rsid w:val="00FE6B11"/>
    <w:rsid w:val="00FF23D1"/>
    <w:rsid w:val="00FF6B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29"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4BF"/>
    <w:pPr>
      <w:ind w:left="0"/>
    </w:pPr>
    <w:rPr>
      <w:rFonts w:ascii="Times New Roman" w:eastAsia="Calibri" w:hAnsi="Times New Roman" w:cs="Times New Roman"/>
      <w:sz w:val="24"/>
      <w:szCs w:val="24"/>
      <w:lang w:val="en-GB" w:eastAsia="en-GB"/>
    </w:rPr>
  </w:style>
  <w:style w:type="paragraph" w:styleId="Heading1">
    <w:name w:val="heading 1"/>
    <w:basedOn w:val="Normal"/>
    <w:next w:val="Normal"/>
    <w:link w:val="Heading1Char"/>
    <w:autoRedefine/>
    <w:uiPriority w:val="9"/>
    <w:qFormat/>
    <w:rsid w:val="00E364BF"/>
    <w:pPr>
      <w:keepNext/>
      <w:keepLines/>
      <w:spacing w:before="320" w:after="160"/>
      <w:outlineLvl w:val="0"/>
    </w:pPr>
    <w:rPr>
      <w:rFonts w:ascii="Helvetica" w:eastAsia="MS Gothic" w:hAnsi="Helvetica"/>
      <w:b/>
      <w:bCs/>
      <w:color w:val="4F81BD"/>
      <w:sz w:val="36"/>
      <w:szCs w:val="36"/>
    </w:rPr>
  </w:style>
  <w:style w:type="paragraph" w:styleId="Heading2">
    <w:name w:val="heading 2"/>
    <w:basedOn w:val="Normal"/>
    <w:next w:val="Normal"/>
    <w:link w:val="Heading2Char"/>
    <w:autoRedefine/>
    <w:uiPriority w:val="9"/>
    <w:unhideWhenUsed/>
    <w:qFormat/>
    <w:rsid w:val="00E364BF"/>
    <w:pPr>
      <w:keepNext/>
      <w:keepLines/>
      <w:spacing w:before="200"/>
      <w:outlineLvl w:val="1"/>
    </w:pPr>
    <w:rPr>
      <w:rFonts w:ascii="Helvetica" w:eastAsia="MS Gothic" w:hAnsi="Helvetica"/>
      <w:b/>
      <w:bCs/>
      <w:i/>
      <w:iCs/>
      <w:color w:val="4F81BD"/>
      <w:sz w:val="32"/>
      <w:szCs w:val="32"/>
    </w:rPr>
  </w:style>
  <w:style w:type="paragraph" w:styleId="Heading3">
    <w:name w:val="heading 3"/>
    <w:basedOn w:val="Normal"/>
    <w:next w:val="Normal"/>
    <w:link w:val="Heading3Char"/>
    <w:autoRedefine/>
    <w:uiPriority w:val="9"/>
    <w:unhideWhenUsed/>
    <w:qFormat/>
    <w:rsid w:val="001C3FA4"/>
    <w:pPr>
      <w:keepNext/>
      <w:keepLines/>
      <w:spacing w:before="200"/>
      <w:outlineLvl w:val="2"/>
    </w:pPr>
    <w:rPr>
      <w:rFonts w:ascii="Helvetica" w:eastAsia="MS Gothic" w:hAnsi="Helvetica"/>
      <w:b/>
      <w:bCs/>
      <w:color w:val="4F81BD"/>
    </w:rPr>
  </w:style>
  <w:style w:type="paragraph" w:styleId="Heading4">
    <w:name w:val="heading 4"/>
    <w:basedOn w:val="Normal"/>
    <w:next w:val="Normal"/>
    <w:link w:val="Heading4Char"/>
    <w:autoRedefine/>
    <w:uiPriority w:val="9"/>
    <w:unhideWhenUsed/>
    <w:qFormat/>
    <w:rsid w:val="00E364BF"/>
    <w:pPr>
      <w:keepNext/>
      <w:keepLines/>
      <w:spacing w:before="200"/>
      <w:outlineLvl w:val="3"/>
    </w:pPr>
    <w:rPr>
      <w:rFonts w:ascii="Arial" w:eastAsia="MS Gothic" w:hAnsi="Arial" w:cs="Arial"/>
      <w:b/>
      <w:bCs/>
      <w:i/>
      <w:iCs/>
      <w:color w:val="4F81BD"/>
      <w:szCs w:val="20"/>
    </w:rPr>
  </w:style>
  <w:style w:type="paragraph" w:styleId="Heading5">
    <w:name w:val="heading 5"/>
    <w:basedOn w:val="Normal"/>
    <w:next w:val="Normal"/>
    <w:link w:val="Heading5Char"/>
    <w:uiPriority w:val="9"/>
    <w:unhideWhenUsed/>
    <w:qFormat/>
    <w:rsid w:val="00E364BF"/>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4BF"/>
    <w:rPr>
      <w:rFonts w:ascii="Helvetica" w:eastAsia="MS Gothic" w:hAnsi="Helvetica" w:cs="Times New Roman"/>
      <w:b/>
      <w:bCs/>
      <w:color w:val="4F81BD"/>
      <w:sz w:val="36"/>
      <w:szCs w:val="36"/>
      <w:lang w:val="en-GB" w:eastAsia="en-GB"/>
    </w:rPr>
  </w:style>
  <w:style w:type="character" w:customStyle="1" w:styleId="Heading2Char">
    <w:name w:val="Heading 2 Char"/>
    <w:basedOn w:val="DefaultParagraphFont"/>
    <w:link w:val="Heading2"/>
    <w:uiPriority w:val="9"/>
    <w:rsid w:val="00E364BF"/>
    <w:rPr>
      <w:rFonts w:ascii="Helvetica" w:eastAsia="MS Gothic" w:hAnsi="Helvetica" w:cs="Times New Roman"/>
      <w:b/>
      <w:bCs/>
      <w:i/>
      <w:iCs/>
      <w:color w:val="4F81BD"/>
      <w:sz w:val="32"/>
      <w:szCs w:val="32"/>
      <w:lang w:val="en-GB" w:eastAsia="en-GB"/>
    </w:rPr>
  </w:style>
  <w:style w:type="character" w:customStyle="1" w:styleId="Heading3Char">
    <w:name w:val="Heading 3 Char"/>
    <w:basedOn w:val="DefaultParagraphFont"/>
    <w:link w:val="Heading3"/>
    <w:uiPriority w:val="9"/>
    <w:rsid w:val="001C3FA4"/>
    <w:rPr>
      <w:rFonts w:ascii="Helvetica" w:eastAsia="MS Gothic" w:hAnsi="Helvetica" w:cs="Times New Roman"/>
      <w:b/>
      <w:bCs/>
      <w:color w:val="4F81BD"/>
      <w:sz w:val="24"/>
      <w:szCs w:val="24"/>
      <w:lang w:val="en-GB" w:eastAsia="en-GB"/>
    </w:rPr>
  </w:style>
  <w:style w:type="character" w:customStyle="1" w:styleId="Heading4Char">
    <w:name w:val="Heading 4 Char"/>
    <w:basedOn w:val="DefaultParagraphFont"/>
    <w:link w:val="Heading4"/>
    <w:uiPriority w:val="9"/>
    <w:rsid w:val="00E364BF"/>
    <w:rPr>
      <w:rFonts w:ascii="Arial" w:eastAsia="MS Gothic" w:hAnsi="Arial" w:cs="Arial"/>
      <w:b/>
      <w:bCs/>
      <w:i/>
      <w:iCs/>
      <w:color w:val="4F81BD"/>
      <w:sz w:val="24"/>
      <w:szCs w:val="20"/>
      <w:lang w:val="en-GB" w:eastAsia="en-GB"/>
    </w:rPr>
  </w:style>
  <w:style w:type="character" w:customStyle="1" w:styleId="Heading5Char">
    <w:name w:val="Heading 5 Char"/>
    <w:basedOn w:val="DefaultParagraphFont"/>
    <w:link w:val="Heading5"/>
    <w:uiPriority w:val="9"/>
    <w:rsid w:val="00E364BF"/>
    <w:rPr>
      <w:rFonts w:ascii="Cambria" w:eastAsia="Times New Roman" w:hAnsi="Cambria" w:cs="Times New Roman"/>
      <w:color w:val="243F60"/>
      <w:sz w:val="24"/>
      <w:szCs w:val="24"/>
      <w:lang w:val="en-GB" w:eastAsia="en-GB"/>
    </w:rPr>
  </w:style>
  <w:style w:type="paragraph" w:styleId="Title">
    <w:name w:val="Title"/>
    <w:basedOn w:val="Normal"/>
    <w:next w:val="Normal"/>
    <w:link w:val="TitleChar"/>
    <w:uiPriority w:val="10"/>
    <w:qFormat/>
    <w:rsid w:val="00E364BF"/>
    <w:pPr>
      <w:pBdr>
        <w:bottom w:val="single" w:sz="8" w:space="4" w:color="4F81BD"/>
      </w:pBdr>
      <w:spacing w:after="300" w:line="240" w:lineRule="auto"/>
      <w:contextualSpacing/>
    </w:pPr>
    <w:rPr>
      <w:rFonts w:ascii="Cambria" w:eastAsia="MS Gothic" w:hAnsi="Cambria"/>
      <w:color w:val="17365D"/>
      <w:spacing w:val="5"/>
      <w:kern w:val="28"/>
      <w:sz w:val="52"/>
      <w:szCs w:val="52"/>
    </w:rPr>
  </w:style>
  <w:style w:type="character" w:customStyle="1" w:styleId="TitleChar">
    <w:name w:val="Title Char"/>
    <w:basedOn w:val="DefaultParagraphFont"/>
    <w:link w:val="Title"/>
    <w:uiPriority w:val="10"/>
    <w:rsid w:val="00E364BF"/>
    <w:rPr>
      <w:rFonts w:ascii="Cambria" w:eastAsia="MS Gothic" w:hAnsi="Cambria" w:cs="Times New Roman"/>
      <w:color w:val="17365D"/>
      <w:spacing w:val="5"/>
      <w:kern w:val="28"/>
      <w:sz w:val="52"/>
      <w:szCs w:val="52"/>
      <w:lang w:val="en-GB" w:eastAsia="en-GB"/>
    </w:rPr>
  </w:style>
  <w:style w:type="paragraph" w:styleId="ListParagraph">
    <w:name w:val="List Paragraph"/>
    <w:basedOn w:val="Normal"/>
    <w:autoRedefine/>
    <w:uiPriority w:val="34"/>
    <w:qFormat/>
    <w:rsid w:val="00E364BF"/>
    <w:pPr>
      <w:spacing w:line="240" w:lineRule="exact"/>
      <w:ind w:left="720"/>
    </w:pPr>
  </w:style>
  <w:style w:type="paragraph" w:styleId="Quote">
    <w:name w:val="Quote"/>
    <w:basedOn w:val="Normal"/>
    <w:next w:val="Normal"/>
    <w:link w:val="QuoteChar"/>
    <w:uiPriority w:val="29"/>
    <w:qFormat/>
    <w:rsid w:val="00E364BF"/>
    <w:pPr>
      <w:ind w:left="624"/>
    </w:pPr>
    <w:rPr>
      <w:rFonts w:ascii="Times" w:hAnsi="Times"/>
      <w:iCs/>
      <w:color w:val="000000"/>
      <w:szCs w:val="20"/>
    </w:rPr>
  </w:style>
  <w:style w:type="character" w:customStyle="1" w:styleId="QuoteChar">
    <w:name w:val="Quote Char"/>
    <w:basedOn w:val="DefaultParagraphFont"/>
    <w:link w:val="Quote"/>
    <w:uiPriority w:val="29"/>
    <w:rsid w:val="00E364BF"/>
    <w:rPr>
      <w:rFonts w:ascii="Times" w:eastAsia="Calibri" w:hAnsi="Times" w:cs="Times New Roman"/>
      <w:iCs/>
      <w:color w:val="000000"/>
      <w:sz w:val="24"/>
      <w:szCs w:val="20"/>
      <w:lang w:val="en-GB" w:eastAsia="en-GB"/>
    </w:rPr>
  </w:style>
  <w:style w:type="paragraph" w:customStyle="1" w:styleId="Figuretitle">
    <w:name w:val="Figure title"/>
    <w:basedOn w:val="Normal"/>
    <w:autoRedefine/>
    <w:qFormat/>
    <w:rsid w:val="00E364BF"/>
    <w:pPr>
      <w:spacing w:before="240" w:after="240"/>
      <w:jc w:val="center"/>
    </w:pPr>
    <w:rPr>
      <w:rFonts w:cs="Arial"/>
      <w:b/>
    </w:rPr>
  </w:style>
  <w:style w:type="paragraph" w:customStyle="1" w:styleId="Footnote">
    <w:name w:val="Footnote"/>
    <w:basedOn w:val="Normal"/>
    <w:autoRedefine/>
    <w:qFormat/>
    <w:rsid w:val="00E364BF"/>
    <w:pPr>
      <w:spacing w:after="0" w:line="240" w:lineRule="auto"/>
    </w:pPr>
    <w:rPr>
      <w:sz w:val="18"/>
      <w:szCs w:val="18"/>
    </w:rPr>
  </w:style>
  <w:style w:type="paragraph" w:customStyle="1" w:styleId="NoSpacing1">
    <w:name w:val="No Spacing1"/>
    <w:next w:val="NoSpacing"/>
    <w:uiPriority w:val="1"/>
    <w:qFormat/>
    <w:rsid w:val="00E364BF"/>
    <w:pPr>
      <w:spacing w:after="0" w:line="240" w:lineRule="auto"/>
      <w:ind w:left="0"/>
      <w:jc w:val="left"/>
    </w:pPr>
    <w:rPr>
      <w:rFonts w:ascii="Calibri" w:eastAsia="Times New Roman" w:hAnsi="Calibri" w:cs="Times New Roman"/>
      <w:lang w:bidi="en-US"/>
    </w:rPr>
  </w:style>
  <w:style w:type="paragraph" w:styleId="NoSpacing">
    <w:name w:val="No Spacing"/>
    <w:uiPriority w:val="1"/>
    <w:qFormat/>
    <w:rsid w:val="00E364BF"/>
    <w:pPr>
      <w:spacing w:after="0" w:line="240" w:lineRule="auto"/>
      <w:ind w:left="0"/>
    </w:pPr>
    <w:rPr>
      <w:rFonts w:ascii="Times" w:eastAsia="Calibri" w:hAnsi="Times" w:cs="Times New Roman"/>
      <w:sz w:val="24"/>
      <w:lang w:val="en-GB"/>
    </w:rPr>
  </w:style>
  <w:style w:type="character" w:styleId="Strong">
    <w:name w:val="Strong"/>
    <w:uiPriority w:val="22"/>
    <w:qFormat/>
    <w:rsid w:val="00E364BF"/>
    <w:rPr>
      <w:b/>
      <w:bCs/>
    </w:rPr>
  </w:style>
  <w:style w:type="character" w:styleId="Emphasis">
    <w:name w:val="Emphasis"/>
    <w:uiPriority w:val="20"/>
    <w:qFormat/>
    <w:rsid w:val="00E364BF"/>
    <w:rPr>
      <w:rFonts w:ascii="Georgia" w:hAnsi="Georgia" w:hint="default"/>
      <w:i/>
      <w:iCs/>
    </w:rPr>
  </w:style>
  <w:style w:type="character" w:styleId="Hyperlink">
    <w:name w:val="Hyperlink"/>
    <w:uiPriority w:val="99"/>
    <w:unhideWhenUsed/>
    <w:rsid w:val="00E364BF"/>
    <w:rPr>
      <w:color w:val="0000FF"/>
      <w:u w:val="single"/>
    </w:rPr>
  </w:style>
  <w:style w:type="character" w:styleId="FollowedHyperlink">
    <w:name w:val="FollowedHyperlink"/>
    <w:uiPriority w:val="99"/>
    <w:semiHidden/>
    <w:unhideWhenUsed/>
    <w:rsid w:val="00E364BF"/>
    <w:rPr>
      <w:color w:val="800080"/>
      <w:u w:val="single"/>
    </w:rPr>
  </w:style>
  <w:style w:type="paragraph" w:customStyle="1" w:styleId="Default">
    <w:name w:val="Default"/>
    <w:rsid w:val="00E364BF"/>
    <w:pPr>
      <w:autoSpaceDE w:val="0"/>
      <w:autoSpaceDN w:val="0"/>
      <w:adjustRightInd w:val="0"/>
      <w:spacing w:after="0" w:line="240" w:lineRule="auto"/>
      <w:ind w:left="0"/>
      <w:jc w:val="left"/>
    </w:pPr>
    <w:rPr>
      <w:rFonts w:ascii="HelveticaNeueLT Std Med Cn" w:eastAsia="Calibri" w:hAnsi="HelveticaNeueLT Std Med Cn" w:cs="HelveticaNeueLT Std Med Cn"/>
      <w:color w:val="000000"/>
      <w:sz w:val="24"/>
      <w:szCs w:val="24"/>
      <w:lang w:val="en-GB" w:eastAsia="en-GB"/>
    </w:rPr>
  </w:style>
  <w:style w:type="character" w:customStyle="1" w:styleId="A2">
    <w:name w:val="A2"/>
    <w:uiPriority w:val="99"/>
    <w:rsid w:val="00E364BF"/>
    <w:rPr>
      <w:rFonts w:cs="HelveticaNeueLT Std Med Cn"/>
      <w:b/>
      <w:bCs/>
      <w:color w:val="000000"/>
      <w:sz w:val="78"/>
      <w:szCs w:val="78"/>
    </w:rPr>
  </w:style>
  <w:style w:type="character" w:customStyle="1" w:styleId="A3">
    <w:name w:val="A3"/>
    <w:uiPriority w:val="99"/>
    <w:rsid w:val="00E364BF"/>
    <w:rPr>
      <w:rFonts w:cs="HelveticaNeueLT Std Med Cn"/>
      <w:color w:val="000000"/>
      <w:sz w:val="36"/>
      <w:szCs w:val="36"/>
    </w:rPr>
  </w:style>
  <w:style w:type="paragraph" w:customStyle="1" w:styleId="Pa8">
    <w:name w:val="Pa8"/>
    <w:basedOn w:val="Normal"/>
    <w:next w:val="Normal"/>
    <w:uiPriority w:val="99"/>
    <w:rsid w:val="00E364BF"/>
    <w:pPr>
      <w:autoSpaceDE w:val="0"/>
      <w:autoSpaceDN w:val="0"/>
      <w:adjustRightInd w:val="0"/>
      <w:spacing w:after="0" w:line="221" w:lineRule="atLeast"/>
      <w:jc w:val="left"/>
    </w:pPr>
    <w:rPr>
      <w:rFonts w:ascii="Adobe Garamond Pro" w:hAnsi="Adobe Garamond Pro"/>
    </w:rPr>
  </w:style>
  <w:style w:type="character" w:customStyle="1" w:styleId="A13">
    <w:name w:val="A13"/>
    <w:uiPriority w:val="99"/>
    <w:rsid w:val="00E364BF"/>
    <w:rPr>
      <w:rFonts w:cs="Adobe Garamond Pro"/>
      <w:color w:val="000000"/>
      <w:sz w:val="22"/>
      <w:szCs w:val="22"/>
    </w:rPr>
  </w:style>
  <w:style w:type="character" w:customStyle="1" w:styleId="A10">
    <w:name w:val="A10"/>
    <w:uiPriority w:val="99"/>
    <w:rsid w:val="00E364BF"/>
    <w:rPr>
      <w:rFonts w:cs="Adobe Garamond Pro"/>
      <w:color w:val="000000"/>
      <w:sz w:val="14"/>
      <w:szCs w:val="14"/>
    </w:rPr>
  </w:style>
  <w:style w:type="paragraph" w:customStyle="1" w:styleId="Pa5">
    <w:name w:val="Pa5"/>
    <w:basedOn w:val="Normal"/>
    <w:next w:val="Normal"/>
    <w:uiPriority w:val="99"/>
    <w:rsid w:val="00E364BF"/>
    <w:pPr>
      <w:autoSpaceDE w:val="0"/>
      <w:autoSpaceDN w:val="0"/>
      <w:adjustRightInd w:val="0"/>
      <w:spacing w:after="0" w:line="221" w:lineRule="atLeast"/>
      <w:jc w:val="left"/>
    </w:pPr>
    <w:rPr>
      <w:rFonts w:ascii="Adobe Garamond Pro" w:hAnsi="Adobe Garamond Pro"/>
    </w:rPr>
  </w:style>
  <w:style w:type="paragraph" w:styleId="Header">
    <w:name w:val="header"/>
    <w:basedOn w:val="Normal"/>
    <w:link w:val="HeaderChar"/>
    <w:unhideWhenUsed/>
    <w:rsid w:val="00E364BF"/>
    <w:pPr>
      <w:tabs>
        <w:tab w:val="center" w:pos="4513"/>
        <w:tab w:val="right" w:pos="9026"/>
      </w:tabs>
      <w:spacing w:after="0" w:line="240" w:lineRule="auto"/>
    </w:pPr>
  </w:style>
  <w:style w:type="character" w:customStyle="1" w:styleId="HeaderChar">
    <w:name w:val="Header Char"/>
    <w:basedOn w:val="DefaultParagraphFont"/>
    <w:link w:val="Header"/>
    <w:rsid w:val="00E364BF"/>
    <w:rPr>
      <w:rFonts w:ascii="Times New Roman" w:eastAsia="Calibri" w:hAnsi="Times New Roman" w:cs="Times New Roman"/>
      <w:sz w:val="24"/>
      <w:szCs w:val="24"/>
      <w:lang w:val="en-GB" w:eastAsia="en-GB"/>
    </w:rPr>
  </w:style>
  <w:style w:type="paragraph" w:styleId="Footer">
    <w:name w:val="footer"/>
    <w:basedOn w:val="Normal"/>
    <w:link w:val="FooterChar"/>
    <w:uiPriority w:val="99"/>
    <w:unhideWhenUsed/>
    <w:rsid w:val="00E364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64BF"/>
    <w:rPr>
      <w:rFonts w:ascii="Times New Roman" w:eastAsia="Calibri" w:hAnsi="Times New Roman" w:cs="Times New Roman"/>
      <w:sz w:val="24"/>
      <w:szCs w:val="24"/>
      <w:lang w:val="en-GB" w:eastAsia="en-GB"/>
    </w:rPr>
  </w:style>
  <w:style w:type="character" w:styleId="CommentReference">
    <w:name w:val="annotation reference"/>
    <w:uiPriority w:val="99"/>
    <w:semiHidden/>
    <w:unhideWhenUsed/>
    <w:rsid w:val="00E364BF"/>
    <w:rPr>
      <w:sz w:val="16"/>
      <w:szCs w:val="16"/>
    </w:rPr>
  </w:style>
  <w:style w:type="paragraph" w:styleId="CommentText">
    <w:name w:val="annotation text"/>
    <w:basedOn w:val="Normal"/>
    <w:link w:val="CommentTextChar"/>
    <w:uiPriority w:val="99"/>
    <w:unhideWhenUsed/>
    <w:rsid w:val="00E364BF"/>
    <w:pPr>
      <w:jc w:val="left"/>
    </w:pPr>
    <w:rPr>
      <w:rFonts w:ascii="Calibri" w:hAnsi="Calibri"/>
      <w:sz w:val="20"/>
      <w:szCs w:val="20"/>
    </w:rPr>
  </w:style>
  <w:style w:type="character" w:customStyle="1" w:styleId="CommentTextChar">
    <w:name w:val="Comment Text Char"/>
    <w:basedOn w:val="DefaultParagraphFont"/>
    <w:link w:val="CommentText"/>
    <w:uiPriority w:val="99"/>
    <w:rsid w:val="00E364BF"/>
    <w:rPr>
      <w:rFonts w:ascii="Calibri" w:eastAsia="Calibri" w:hAnsi="Calibri" w:cs="Times New Roman"/>
      <w:sz w:val="20"/>
      <w:szCs w:val="20"/>
      <w:lang w:val="en-GB" w:eastAsia="en-GB"/>
    </w:rPr>
  </w:style>
  <w:style w:type="paragraph" w:styleId="BalloonText">
    <w:name w:val="Balloon Text"/>
    <w:basedOn w:val="Normal"/>
    <w:link w:val="BalloonTextChar"/>
    <w:uiPriority w:val="99"/>
    <w:semiHidden/>
    <w:unhideWhenUsed/>
    <w:rsid w:val="00E36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4BF"/>
    <w:rPr>
      <w:rFonts w:ascii="Tahoma" w:eastAsia="Calibri" w:hAnsi="Tahoma" w:cs="Tahoma"/>
      <w:sz w:val="16"/>
      <w:szCs w:val="16"/>
      <w:lang w:val="en-GB" w:eastAsia="en-GB"/>
    </w:rPr>
  </w:style>
  <w:style w:type="paragraph" w:styleId="CommentSubject">
    <w:name w:val="annotation subject"/>
    <w:basedOn w:val="CommentText"/>
    <w:next w:val="CommentText"/>
    <w:link w:val="CommentSubjectChar"/>
    <w:uiPriority w:val="99"/>
    <w:semiHidden/>
    <w:unhideWhenUsed/>
    <w:rsid w:val="00E364BF"/>
    <w:pPr>
      <w:spacing w:line="240" w:lineRule="auto"/>
      <w:jc w:val="both"/>
    </w:pPr>
    <w:rPr>
      <w:rFonts w:ascii="Times New Roman" w:hAnsi="Times New Roman"/>
      <w:b/>
      <w:bCs/>
    </w:rPr>
  </w:style>
  <w:style w:type="character" w:customStyle="1" w:styleId="CommentSubjectChar">
    <w:name w:val="Comment Subject Char"/>
    <w:basedOn w:val="CommentTextChar"/>
    <w:link w:val="CommentSubject"/>
    <w:uiPriority w:val="99"/>
    <w:semiHidden/>
    <w:rsid w:val="00E364BF"/>
    <w:rPr>
      <w:rFonts w:ascii="Times New Roman" w:eastAsia="Calibri" w:hAnsi="Times New Roman" w:cs="Times New Roman"/>
      <w:b/>
      <w:bCs/>
      <w:sz w:val="20"/>
      <w:szCs w:val="20"/>
      <w:lang w:val="en-GB" w:eastAsia="en-GB"/>
    </w:rPr>
  </w:style>
  <w:style w:type="character" w:customStyle="1" w:styleId="ColorfulGrid-Accent1Char">
    <w:name w:val="Colorful Grid - Accent 1 Char"/>
    <w:link w:val="ColorfulGrid-Accent1"/>
    <w:uiPriority w:val="29"/>
    <w:rsid w:val="00E364BF"/>
    <w:rPr>
      <w:rFonts w:ascii="Times" w:hAnsi="Times"/>
      <w:iCs/>
      <w:color w:val="000000"/>
      <w:sz w:val="24"/>
    </w:rPr>
  </w:style>
  <w:style w:type="character" w:styleId="FootnoteReference">
    <w:name w:val="footnote reference"/>
    <w:uiPriority w:val="99"/>
    <w:semiHidden/>
    <w:unhideWhenUsed/>
    <w:rsid w:val="00E364BF"/>
    <w:rPr>
      <w:vertAlign w:val="superscript"/>
    </w:rPr>
  </w:style>
  <w:style w:type="table" w:styleId="ColorfulGrid-Accent1">
    <w:name w:val="Colorful Grid Accent 1"/>
    <w:basedOn w:val="TableNormal"/>
    <w:link w:val="ColorfulGrid-Accent1Char"/>
    <w:uiPriority w:val="29"/>
    <w:rsid w:val="00E364BF"/>
    <w:pPr>
      <w:spacing w:after="0" w:line="240" w:lineRule="auto"/>
      <w:ind w:left="0"/>
      <w:jc w:val="left"/>
    </w:pPr>
    <w:rPr>
      <w:rFonts w:ascii="Times" w:hAnsi="Times"/>
      <w:iCs/>
      <w:color w:val="000000"/>
      <w:sz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customStyle="1" w:styleId="Pa4">
    <w:name w:val="Pa4"/>
    <w:basedOn w:val="Default"/>
    <w:next w:val="Default"/>
    <w:uiPriority w:val="99"/>
    <w:rsid w:val="00E364BF"/>
    <w:pPr>
      <w:spacing w:line="201" w:lineRule="atLeast"/>
    </w:pPr>
    <w:rPr>
      <w:rFonts w:ascii="Palatino LT Std" w:hAnsi="Palatino LT Std" w:cs="Times New Roman"/>
      <w:color w:val="auto"/>
    </w:rPr>
  </w:style>
  <w:style w:type="character" w:customStyle="1" w:styleId="googqs-tidbit">
    <w:name w:val="goog_qs-tidbit"/>
    <w:basedOn w:val="DefaultParagraphFont"/>
    <w:rsid w:val="00E364BF"/>
  </w:style>
  <w:style w:type="character" w:customStyle="1" w:styleId="publicationtitle">
    <w:name w:val="publicationtitle"/>
    <w:basedOn w:val="DefaultParagraphFont"/>
    <w:rsid w:val="00E364BF"/>
  </w:style>
  <w:style w:type="character" w:customStyle="1" w:styleId="label18">
    <w:name w:val="label18"/>
    <w:basedOn w:val="DefaultParagraphFont"/>
    <w:rsid w:val="00E364BF"/>
  </w:style>
  <w:style w:type="paragraph" w:styleId="Revision">
    <w:name w:val="Revision"/>
    <w:hidden/>
    <w:uiPriority w:val="99"/>
    <w:semiHidden/>
    <w:rsid w:val="00E364BF"/>
    <w:pPr>
      <w:spacing w:after="0" w:line="240" w:lineRule="auto"/>
      <w:ind w:left="0"/>
      <w:jc w:val="left"/>
    </w:pPr>
    <w:rPr>
      <w:rFonts w:ascii="Times New Roman" w:eastAsia="Calibri"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29"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4BF"/>
    <w:pPr>
      <w:ind w:left="0"/>
    </w:pPr>
    <w:rPr>
      <w:rFonts w:ascii="Times New Roman" w:eastAsia="Calibri" w:hAnsi="Times New Roman" w:cs="Times New Roman"/>
      <w:sz w:val="24"/>
      <w:szCs w:val="24"/>
      <w:lang w:val="en-GB" w:eastAsia="en-GB"/>
    </w:rPr>
  </w:style>
  <w:style w:type="paragraph" w:styleId="Heading1">
    <w:name w:val="heading 1"/>
    <w:basedOn w:val="Normal"/>
    <w:next w:val="Normal"/>
    <w:link w:val="Heading1Char"/>
    <w:autoRedefine/>
    <w:uiPriority w:val="9"/>
    <w:qFormat/>
    <w:rsid w:val="00E364BF"/>
    <w:pPr>
      <w:keepNext/>
      <w:keepLines/>
      <w:spacing w:before="320" w:after="160"/>
      <w:outlineLvl w:val="0"/>
    </w:pPr>
    <w:rPr>
      <w:rFonts w:ascii="Helvetica" w:eastAsia="MS Gothic" w:hAnsi="Helvetica"/>
      <w:b/>
      <w:bCs/>
      <w:color w:val="4F81BD"/>
      <w:sz w:val="36"/>
      <w:szCs w:val="36"/>
    </w:rPr>
  </w:style>
  <w:style w:type="paragraph" w:styleId="Heading2">
    <w:name w:val="heading 2"/>
    <w:basedOn w:val="Normal"/>
    <w:next w:val="Normal"/>
    <w:link w:val="Heading2Char"/>
    <w:autoRedefine/>
    <w:uiPriority w:val="9"/>
    <w:unhideWhenUsed/>
    <w:qFormat/>
    <w:rsid w:val="00E364BF"/>
    <w:pPr>
      <w:keepNext/>
      <w:keepLines/>
      <w:spacing w:before="200"/>
      <w:outlineLvl w:val="1"/>
    </w:pPr>
    <w:rPr>
      <w:rFonts w:ascii="Helvetica" w:eastAsia="MS Gothic" w:hAnsi="Helvetica"/>
      <w:b/>
      <w:bCs/>
      <w:i/>
      <w:iCs/>
      <w:color w:val="4F81BD"/>
      <w:sz w:val="32"/>
      <w:szCs w:val="32"/>
    </w:rPr>
  </w:style>
  <w:style w:type="paragraph" w:styleId="Heading3">
    <w:name w:val="heading 3"/>
    <w:basedOn w:val="Normal"/>
    <w:next w:val="Normal"/>
    <w:link w:val="Heading3Char"/>
    <w:autoRedefine/>
    <w:uiPriority w:val="9"/>
    <w:unhideWhenUsed/>
    <w:qFormat/>
    <w:rsid w:val="001C3FA4"/>
    <w:pPr>
      <w:keepNext/>
      <w:keepLines/>
      <w:spacing w:before="200"/>
      <w:outlineLvl w:val="2"/>
    </w:pPr>
    <w:rPr>
      <w:rFonts w:ascii="Helvetica" w:eastAsia="MS Gothic" w:hAnsi="Helvetica"/>
      <w:b/>
      <w:bCs/>
      <w:color w:val="4F81BD"/>
    </w:rPr>
  </w:style>
  <w:style w:type="paragraph" w:styleId="Heading4">
    <w:name w:val="heading 4"/>
    <w:basedOn w:val="Normal"/>
    <w:next w:val="Normal"/>
    <w:link w:val="Heading4Char"/>
    <w:autoRedefine/>
    <w:uiPriority w:val="9"/>
    <w:unhideWhenUsed/>
    <w:qFormat/>
    <w:rsid w:val="00E364BF"/>
    <w:pPr>
      <w:keepNext/>
      <w:keepLines/>
      <w:spacing w:before="200"/>
      <w:outlineLvl w:val="3"/>
    </w:pPr>
    <w:rPr>
      <w:rFonts w:ascii="Arial" w:eastAsia="MS Gothic" w:hAnsi="Arial" w:cs="Arial"/>
      <w:b/>
      <w:bCs/>
      <w:i/>
      <w:iCs/>
      <w:color w:val="4F81BD"/>
      <w:szCs w:val="20"/>
    </w:rPr>
  </w:style>
  <w:style w:type="paragraph" w:styleId="Heading5">
    <w:name w:val="heading 5"/>
    <w:basedOn w:val="Normal"/>
    <w:next w:val="Normal"/>
    <w:link w:val="Heading5Char"/>
    <w:uiPriority w:val="9"/>
    <w:unhideWhenUsed/>
    <w:qFormat/>
    <w:rsid w:val="00E364BF"/>
    <w:pPr>
      <w:keepNext/>
      <w:keepLines/>
      <w:spacing w:before="200" w:after="0"/>
      <w:outlineLvl w:val="4"/>
    </w:pPr>
    <w:rPr>
      <w:rFonts w:ascii="Cambria" w:eastAsia="Times New Roman"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4BF"/>
    <w:rPr>
      <w:rFonts w:ascii="Helvetica" w:eastAsia="MS Gothic" w:hAnsi="Helvetica" w:cs="Times New Roman"/>
      <w:b/>
      <w:bCs/>
      <w:color w:val="4F81BD"/>
      <w:sz w:val="36"/>
      <w:szCs w:val="36"/>
      <w:lang w:val="en-GB" w:eastAsia="en-GB"/>
    </w:rPr>
  </w:style>
  <w:style w:type="character" w:customStyle="1" w:styleId="Heading2Char">
    <w:name w:val="Heading 2 Char"/>
    <w:basedOn w:val="DefaultParagraphFont"/>
    <w:link w:val="Heading2"/>
    <w:uiPriority w:val="9"/>
    <w:rsid w:val="00E364BF"/>
    <w:rPr>
      <w:rFonts w:ascii="Helvetica" w:eastAsia="MS Gothic" w:hAnsi="Helvetica" w:cs="Times New Roman"/>
      <w:b/>
      <w:bCs/>
      <w:i/>
      <w:iCs/>
      <w:color w:val="4F81BD"/>
      <w:sz w:val="32"/>
      <w:szCs w:val="32"/>
      <w:lang w:val="en-GB" w:eastAsia="en-GB"/>
    </w:rPr>
  </w:style>
  <w:style w:type="character" w:customStyle="1" w:styleId="Heading3Char">
    <w:name w:val="Heading 3 Char"/>
    <w:basedOn w:val="DefaultParagraphFont"/>
    <w:link w:val="Heading3"/>
    <w:uiPriority w:val="9"/>
    <w:rsid w:val="001C3FA4"/>
    <w:rPr>
      <w:rFonts w:ascii="Helvetica" w:eastAsia="MS Gothic" w:hAnsi="Helvetica" w:cs="Times New Roman"/>
      <w:b/>
      <w:bCs/>
      <w:color w:val="4F81BD"/>
      <w:sz w:val="24"/>
      <w:szCs w:val="24"/>
      <w:lang w:val="en-GB" w:eastAsia="en-GB"/>
    </w:rPr>
  </w:style>
  <w:style w:type="character" w:customStyle="1" w:styleId="Heading4Char">
    <w:name w:val="Heading 4 Char"/>
    <w:basedOn w:val="DefaultParagraphFont"/>
    <w:link w:val="Heading4"/>
    <w:uiPriority w:val="9"/>
    <w:rsid w:val="00E364BF"/>
    <w:rPr>
      <w:rFonts w:ascii="Arial" w:eastAsia="MS Gothic" w:hAnsi="Arial" w:cs="Arial"/>
      <w:b/>
      <w:bCs/>
      <w:i/>
      <w:iCs/>
      <w:color w:val="4F81BD"/>
      <w:sz w:val="24"/>
      <w:szCs w:val="20"/>
      <w:lang w:val="en-GB" w:eastAsia="en-GB"/>
    </w:rPr>
  </w:style>
  <w:style w:type="character" w:customStyle="1" w:styleId="Heading5Char">
    <w:name w:val="Heading 5 Char"/>
    <w:basedOn w:val="DefaultParagraphFont"/>
    <w:link w:val="Heading5"/>
    <w:uiPriority w:val="9"/>
    <w:rsid w:val="00E364BF"/>
    <w:rPr>
      <w:rFonts w:ascii="Cambria" w:eastAsia="Times New Roman" w:hAnsi="Cambria" w:cs="Times New Roman"/>
      <w:color w:val="243F60"/>
      <w:sz w:val="24"/>
      <w:szCs w:val="24"/>
      <w:lang w:val="en-GB" w:eastAsia="en-GB"/>
    </w:rPr>
  </w:style>
  <w:style w:type="paragraph" w:styleId="Title">
    <w:name w:val="Title"/>
    <w:basedOn w:val="Normal"/>
    <w:next w:val="Normal"/>
    <w:link w:val="TitleChar"/>
    <w:uiPriority w:val="10"/>
    <w:qFormat/>
    <w:rsid w:val="00E364BF"/>
    <w:pPr>
      <w:pBdr>
        <w:bottom w:val="single" w:sz="8" w:space="4" w:color="4F81BD"/>
      </w:pBdr>
      <w:spacing w:after="300" w:line="240" w:lineRule="auto"/>
      <w:contextualSpacing/>
    </w:pPr>
    <w:rPr>
      <w:rFonts w:ascii="Cambria" w:eastAsia="MS Gothic" w:hAnsi="Cambria"/>
      <w:color w:val="17365D"/>
      <w:spacing w:val="5"/>
      <w:kern w:val="28"/>
      <w:sz w:val="52"/>
      <w:szCs w:val="52"/>
    </w:rPr>
  </w:style>
  <w:style w:type="character" w:customStyle="1" w:styleId="TitleChar">
    <w:name w:val="Title Char"/>
    <w:basedOn w:val="DefaultParagraphFont"/>
    <w:link w:val="Title"/>
    <w:uiPriority w:val="10"/>
    <w:rsid w:val="00E364BF"/>
    <w:rPr>
      <w:rFonts w:ascii="Cambria" w:eastAsia="MS Gothic" w:hAnsi="Cambria" w:cs="Times New Roman"/>
      <w:color w:val="17365D"/>
      <w:spacing w:val="5"/>
      <w:kern w:val="28"/>
      <w:sz w:val="52"/>
      <w:szCs w:val="52"/>
      <w:lang w:val="en-GB" w:eastAsia="en-GB"/>
    </w:rPr>
  </w:style>
  <w:style w:type="paragraph" w:styleId="ListParagraph">
    <w:name w:val="List Paragraph"/>
    <w:basedOn w:val="Normal"/>
    <w:autoRedefine/>
    <w:uiPriority w:val="34"/>
    <w:qFormat/>
    <w:rsid w:val="00E364BF"/>
    <w:pPr>
      <w:spacing w:line="240" w:lineRule="exact"/>
      <w:ind w:left="720"/>
    </w:pPr>
  </w:style>
  <w:style w:type="paragraph" w:styleId="Quote">
    <w:name w:val="Quote"/>
    <w:basedOn w:val="Normal"/>
    <w:next w:val="Normal"/>
    <w:link w:val="QuoteChar"/>
    <w:uiPriority w:val="29"/>
    <w:qFormat/>
    <w:rsid w:val="00E364BF"/>
    <w:pPr>
      <w:ind w:left="624"/>
    </w:pPr>
    <w:rPr>
      <w:rFonts w:ascii="Times" w:hAnsi="Times"/>
      <w:iCs/>
      <w:color w:val="000000"/>
      <w:szCs w:val="20"/>
    </w:rPr>
  </w:style>
  <w:style w:type="character" w:customStyle="1" w:styleId="QuoteChar">
    <w:name w:val="Quote Char"/>
    <w:basedOn w:val="DefaultParagraphFont"/>
    <w:link w:val="Quote"/>
    <w:uiPriority w:val="29"/>
    <w:rsid w:val="00E364BF"/>
    <w:rPr>
      <w:rFonts w:ascii="Times" w:eastAsia="Calibri" w:hAnsi="Times" w:cs="Times New Roman"/>
      <w:iCs/>
      <w:color w:val="000000"/>
      <w:sz w:val="24"/>
      <w:szCs w:val="20"/>
      <w:lang w:val="en-GB" w:eastAsia="en-GB"/>
    </w:rPr>
  </w:style>
  <w:style w:type="paragraph" w:customStyle="1" w:styleId="Figuretitle">
    <w:name w:val="Figure title"/>
    <w:basedOn w:val="Normal"/>
    <w:autoRedefine/>
    <w:qFormat/>
    <w:rsid w:val="00E364BF"/>
    <w:pPr>
      <w:spacing w:before="240" w:after="240"/>
      <w:jc w:val="center"/>
    </w:pPr>
    <w:rPr>
      <w:rFonts w:cs="Arial"/>
      <w:b/>
    </w:rPr>
  </w:style>
  <w:style w:type="paragraph" w:customStyle="1" w:styleId="Footnote">
    <w:name w:val="Footnote"/>
    <w:basedOn w:val="Normal"/>
    <w:autoRedefine/>
    <w:qFormat/>
    <w:rsid w:val="00E364BF"/>
    <w:pPr>
      <w:spacing w:after="0" w:line="240" w:lineRule="auto"/>
    </w:pPr>
    <w:rPr>
      <w:sz w:val="18"/>
      <w:szCs w:val="18"/>
    </w:rPr>
  </w:style>
  <w:style w:type="paragraph" w:customStyle="1" w:styleId="NoSpacing1">
    <w:name w:val="No Spacing1"/>
    <w:next w:val="NoSpacing"/>
    <w:uiPriority w:val="1"/>
    <w:qFormat/>
    <w:rsid w:val="00E364BF"/>
    <w:pPr>
      <w:spacing w:after="0" w:line="240" w:lineRule="auto"/>
      <w:ind w:left="0"/>
      <w:jc w:val="left"/>
    </w:pPr>
    <w:rPr>
      <w:rFonts w:ascii="Calibri" w:eastAsia="Times New Roman" w:hAnsi="Calibri" w:cs="Times New Roman"/>
      <w:lang w:bidi="en-US"/>
    </w:rPr>
  </w:style>
  <w:style w:type="paragraph" w:styleId="NoSpacing">
    <w:name w:val="No Spacing"/>
    <w:uiPriority w:val="1"/>
    <w:qFormat/>
    <w:rsid w:val="00E364BF"/>
    <w:pPr>
      <w:spacing w:after="0" w:line="240" w:lineRule="auto"/>
      <w:ind w:left="0"/>
    </w:pPr>
    <w:rPr>
      <w:rFonts w:ascii="Times" w:eastAsia="Calibri" w:hAnsi="Times" w:cs="Times New Roman"/>
      <w:sz w:val="24"/>
      <w:lang w:val="en-GB"/>
    </w:rPr>
  </w:style>
  <w:style w:type="character" w:styleId="Strong">
    <w:name w:val="Strong"/>
    <w:uiPriority w:val="22"/>
    <w:qFormat/>
    <w:rsid w:val="00E364BF"/>
    <w:rPr>
      <w:b/>
      <w:bCs/>
    </w:rPr>
  </w:style>
  <w:style w:type="character" w:styleId="Emphasis">
    <w:name w:val="Emphasis"/>
    <w:uiPriority w:val="20"/>
    <w:qFormat/>
    <w:rsid w:val="00E364BF"/>
    <w:rPr>
      <w:rFonts w:ascii="Georgia" w:hAnsi="Georgia" w:hint="default"/>
      <w:i/>
      <w:iCs/>
    </w:rPr>
  </w:style>
  <w:style w:type="character" w:styleId="Hyperlink">
    <w:name w:val="Hyperlink"/>
    <w:uiPriority w:val="99"/>
    <w:unhideWhenUsed/>
    <w:rsid w:val="00E364BF"/>
    <w:rPr>
      <w:color w:val="0000FF"/>
      <w:u w:val="single"/>
    </w:rPr>
  </w:style>
  <w:style w:type="character" w:styleId="FollowedHyperlink">
    <w:name w:val="FollowedHyperlink"/>
    <w:uiPriority w:val="99"/>
    <w:semiHidden/>
    <w:unhideWhenUsed/>
    <w:rsid w:val="00E364BF"/>
    <w:rPr>
      <w:color w:val="800080"/>
      <w:u w:val="single"/>
    </w:rPr>
  </w:style>
  <w:style w:type="paragraph" w:customStyle="1" w:styleId="Default">
    <w:name w:val="Default"/>
    <w:rsid w:val="00E364BF"/>
    <w:pPr>
      <w:autoSpaceDE w:val="0"/>
      <w:autoSpaceDN w:val="0"/>
      <w:adjustRightInd w:val="0"/>
      <w:spacing w:after="0" w:line="240" w:lineRule="auto"/>
      <w:ind w:left="0"/>
      <w:jc w:val="left"/>
    </w:pPr>
    <w:rPr>
      <w:rFonts w:ascii="HelveticaNeueLT Std Med Cn" w:eastAsia="Calibri" w:hAnsi="HelveticaNeueLT Std Med Cn" w:cs="HelveticaNeueLT Std Med Cn"/>
      <w:color w:val="000000"/>
      <w:sz w:val="24"/>
      <w:szCs w:val="24"/>
      <w:lang w:val="en-GB" w:eastAsia="en-GB"/>
    </w:rPr>
  </w:style>
  <w:style w:type="character" w:customStyle="1" w:styleId="A2">
    <w:name w:val="A2"/>
    <w:uiPriority w:val="99"/>
    <w:rsid w:val="00E364BF"/>
    <w:rPr>
      <w:rFonts w:cs="HelveticaNeueLT Std Med Cn"/>
      <w:b/>
      <w:bCs/>
      <w:color w:val="000000"/>
      <w:sz w:val="78"/>
      <w:szCs w:val="78"/>
    </w:rPr>
  </w:style>
  <w:style w:type="character" w:customStyle="1" w:styleId="A3">
    <w:name w:val="A3"/>
    <w:uiPriority w:val="99"/>
    <w:rsid w:val="00E364BF"/>
    <w:rPr>
      <w:rFonts w:cs="HelveticaNeueLT Std Med Cn"/>
      <w:color w:val="000000"/>
      <w:sz w:val="36"/>
      <w:szCs w:val="36"/>
    </w:rPr>
  </w:style>
  <w:style w:type="paragraph" w:customStyle="1" w:styleId="Pa8">
    <w:name w:val="Pa8"/>
    <w:basedOn w:val="Normal"/>
    <w:next w:val="Normal"/>
    <w:uiPriority w:val="99"/>
    <w:rsid w:val="00E364BF"/>
    <w:pPr>
      <w:autoSpaceDE w:val="0"/>
      <w:autoSpaceDN w:val="0"/>
      <w:adjustRightInd w:val="0"/>
      <w:spacing w:after="0" w:line="221" w:lineRule="atLeast"/>
      <w:jc w:val="left"/>
    </w:pPr>
    <w:rPr>
      <w:rFonts w:ascii="Adobe Garamond Pro" w:hAnsi="Adobe Garamond Pro"/>
    </w:rPr>
  </w:style>
  <w:style w:type="character" w:customStyle="1" w:styleId="A13">
    <w:name w:val="A13"/>
    <w:uiPriority w:val="99"/>
    <w:rsid w:val="00E364BF"/>
    <w:rPr>
      <w:rFonts w:cs="Adobe Garamond Pro"/>
      <w:color w:val="000000"/>
      <w:sz w:val="22"/>
      <w:szCs w:val="22"/>
    </w:rPr>
  </w:style>
  <w:style w:type="character" w:customStyle="1" w:styleId="A10">
    <w:name w:val="A10"/>
    <w:uiPriority w:val="99"/>
    <w:rsid w:val="00E364BF"/>
    <w:rPr>
      <w:rFonts w:cs="Adobe Garamond Pro"/>
      <w:color w:val="000000"/>
      <w:sz w:val="14"/>
      <w:szCs w:val="14"/>
    </w:rPr>
  </w:style>
  <w:style w:type="paragraph" w:customStyle="1" w:styleId="Pa5">
    <w:name w:val="Pa5"/>
    <w:basedOn w:val="Normal"/>
    <w:next w:val="Normal"/>
    <w:uiPriority w:val="99"/>
    <w:rsid w:val="00E364BF"/>
    <w:pPr>
      <w:autoSpaceDE w:val="0"/>
      <w:autoSpaceDN w:val="0"/>
      <w:adjustRightInd w:val="0"/>
      <w:spacing w:after="0" w:line="221" w:lineRule="atLeast"/>
      <w:jc w:val="left"/>
    </w:pPr>
    <w:rPr>
      <w:rFonts w:ascii="Adobe Garamond Pro" w:hAnsi="Adobe Garamond Pro"/>
    </w:rPr>
  </w:style>
  <w:style w:type="paragraph" w:styleId="Header">
    <w:name w:val="header"/>
    <w:basedOn w:val="Normal"/>
    <w:link w:val="HeaderChar"/>
    <w:unhideWhenUsed/>
    <w:rsid w:val="00E364BF"/>
    <w:pPr>
      <w:tabs>
        <w:tab w:val="center" w:pos="4513"/>
        <w:tab w:val="right" w:pos="9026"/>
      </w:tabs>
      <w:spacing w:after="0" w:line="240" w:lineRule="auto"/>
    </w:pPr>
  </w:style>
  <w:style w:type="character" w:customStyle="1" w:styleId="HeaderChar">
    <w:name w:val="Header Char"/>
    <w:basedOn w:val="DefaultParagraphFont"/>
    <w:link w:val="Header"/>
    <w:rsid w:val="00E364BF"/>
    <w:rPr>
      <w:rFonts w:ascii="Times New Roman" w:eastAsia="Calibri" w:hAnsi="Times New Roman" w:cs="Times New Roman"/>
      <w:sz w:val="24"/>
      <w:szCs w:val="24"/>
      <w:lang w:val="en-GB" w:eastAsia="en-GB"/>
    </w:rPr>
  </w:style>
  <w:style w:type="paragraph" w:styleId="Footer">
    <w:name w:val="footer"/>
    <w:basedOn w:val="Normal"/>
    <w:link w:val="FooterChar"/>
    <w:uiPriority w:val="99"/>
    <w:unhideWhenUsed/>
    <w:rsid w:val="00E364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64BF"/>
    <w:rPr>
      <w:rFonts w:ascii="Times New Roman" w:eastAsia="Calibri" w:hAnsi="Times New Roman" w:cs="Times New Roman"/>
      <w:sz w:val="24"/>
      <w:szCs w:val="24"/>
      <w:lang w:val="en-GB" w:eastAsia="en-GB"/>
    </w:rPr>
  </w:style>
  <w:style w:type="character" w:styleId="CommentReference">
    <w:name w:val="annotation reference"/>
    <w:uiPriority w:val="99"/>
    <w:semiHidden/>
    <w:unhideWhenUsed/>
    <w:rsid w:val="00E364BF"/>
    <w:rPr>
      <w:sz w:val="16"/>
      <w:szCs w:val="16"/>
    </w:rPr>
  </w:style>
  <w:style w:type="paragraph" w:styleId="CommentText">
    <w:name w:val="annotation text"/>
    <w:basedOn w:val="Normal"/>
    <w:link w:val="CommentTextChar"/>
    <w:uiPriority w:val="99"/>
    <w:unhideWhenUsed/>
    <w:rsid w:val="00E364BF"/>
    <w:pPr>
      <w:jc w:val="left"/>
    </w:pPr>
    <w:rPr>
      <w:rFonts w:ascii="Calibri" w:hAnsi="Calibri"/>
      <w:sz w:val="20"/>
      <w:szCs w:val="20"/>
    </w:rPr>
  </w:style>
  <w:style w:type="character" w:customStyle="1" w:styleId="CommentTextChar">
    <w:name w:val="Comment Text Char"/>
    <w:basedOn w:val="DefaultParagraphFont"/>
    <w:link w:val="CommentText"/>
    <w:uiPriority w:val="99"/>
    <w:rsid w:val="00E364BF"/>
    <w:rPr>
      <w:rFonts w:ascii="Calibri" w:eastAsia="Calibri" w:hAnsi="Calibri" w:cs="Times New Roman"/>
      <w:sz w:val="20"/>
      <w:szCs w:val="20"/>
      <w:lang w:val="en-GB" w:eastAsia="en-GB"/>
    </w:rPr>
  </w:style>
  <w:style w:type="paragraph" w:styleId="BalloonText">
    <w:name w:val="Balloon Text"/>
    <w:basedOn w:val="Normal"/>
    <w:link w:val="BalloonTextChar"/>
    <w:uiPriority w:val="99"/>
    <w:semiHidden/>
    <w:unhideWhenUsed/>
    <w:rsid w:val="00E36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4BF"/>
    <w:rPr>
      <w:rFonts w:ascii="Tahoma" w:eastAsia="Calibri" w:hAnsi="Tahoma" w:cs="Tahoma"/>
      <w:sz w:val="16"/>
      <w:szCs w:val="16"/>
      <w:lang w:val="en-GB" w:eastAsia="en-GB"/>
    </w:rPr>
  </w:style>
  <w:style w:type="paragraph" w:styleId="CommentSubject">
    <w:name w:val="annotation subject"/>
    <w:basedOn w:val="CommentText"/>
    <w:next w:val="CommentText"/>
    <w:link w:val="CommentSubjectChar"/>
    <w:uiPriority w:val="99"/>
    <w:semiHidden/>
    <w:unhideWhenUsed/>
    <w:rsid w:val="00E364BF"/>
    <w:pPr>
      <w:spacing w:line="240" w:lineRule="auto"/>
      <w:jc w:val="both"/>
    </w:pPr>
    <w:rPr>
      <w:rFonts w:ascii="Times New Roman" w:hAnsi="Times New Roman"/>
      <w:b/>
      <w:bCs/>
    </w:rPr>
  </w:style>
  <w:style w:type="character" w:customStyle="1" w:styleId="CommentSubjectChar">
    <w:name w:val="Comment Subject Char"/>
    <w:basedOn w:val="CommentTextChar"/>
    <w:link w:val="CommentSubject"/>
    <w:uiPriority w:val="99"/>
    <w:semiHidden/>
    <w:rsid w:val="00E364BF"/>
    <w:rPr>
      <w:rFonts w:ascii="Times New Roman" w:eastAsia="Calibri" w:hAnsi="Times New Roman" w:cs="Times New Roman"/>
      <w:b/>
      <w:bCs/>
      <w:sz w:val="20"/>
      <w:szCs w:val="20"/>
      <w:lang w:val="en-GB" w:eastAsia="en-GB"/>
    </w:rPr>
  </w:style>
  <w:style w:type="character" w:customStyle="1" w:styleId="ColorfulGrid-Accent1Char">
    <w:name w:val="Colorful Grid - Accent 1 Char"/>
    <w:link w:val="ColorfulGrid-Accent1"/>
    <w:uiPriority w:val="29"/>
    <w:rsid w:val="00E364BF"/>
    <w:rPr>
      <w:rFonts w:ascii="Times" w:hAnsi="Times"/>
      <w:iCs/>
      <w:color w:val="000000"/>
      <w:sz w:val="24"/>
    </w:rPr>
  </w:style>
  <w:style w:type="character" w:styleId="FootnoteReference">
    <w:name w:val="footnote reference"/>
    <w:uiPriority w:val="99"/>
    <w:semiHidden/>
    <w:unhideWhenUsed/>
    <w:rsid w:val="00E364BF"/>
    <w:rPr>
      <w:vertAlign w:val="superscript"/>
    </w:rPr>
  </w:style>
  <w:style w:type="table" w:styleId="ColorfulGrid-Accent1">
    <w:name w:val="Colorful Grid Accent 1"/>
    <w:basedOn w:val="TableNormal"/>
    <w:link w:val="ColorfulGrid-Accent1Char"/>
    <w:uiPriority w:val="29"/>
    <w:rsid w:val="00E364BF"/>
    <w:pPr>
      <w:spacing w:after="0" w:line="240" w:lineRule="auto"/>
      <w:ind w:left="0"/>
      <w:jc w:val="left"/>
    </w:pPr>
    <w:rPr>
      <w:rFonts w:ascii="Times" w:hAnsi="Times"/>
      <w:iCs/>
      <w:color w:val="000000"/>
      <w:sz w:val="24"/>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customStyle="1" w:styleId="Pa4">
    <w:name w:val="Pa4"/>
    <w:basedOn w:val="Default"/>
    <w:next w:val="Default"/>
    <w:uiPriority w:val="99"/>
    <w:rsid w:val="00E364BF"/>
    <w:pPr>
      <w:spacing w:line="201" w:lineRule="atLeast"/>
    </w:pPr>
    <w:rPr>
      <w:rFonts w:ascii="Palatino LT Std" w:hAnsi="Palatino LT Std" w:cs="Times New Roman"/>
      <w:color w:val="auto"/>
    </w:rPr>
  </w:style>
  <w:style w:type="character" w:customStyle="1" w:styleId="googqs-tidbit">
    <w:name w:val="goog_qs-tidbit"/>
    <w:basedOn w:val="DefaultParagraphFont"/>
    <w:rsid w:val="00E364BF"/>
  </w:style>
  <w:style w:type="character" w:customStyle="1" w:styleId="publicationtitle">
    <w:name w:val="publicationtitle"/>
    <w:basedOn w:val="DefaultParagraphFont"/>
    <w:rsid w:val="00E364BF"/>
  </w:style>
  <w:style w:type="character" w:customStyle="1" w:styleId="label18">
    <w:name w:val="label18"/>
    <w:basedOn w:val="DefaultParagraphFont"/>
    <w:rsid w:val="00E364BF"/>
  </w:style>
  <w:style w:type="paragraph" w:styleId="Revision">
    <w:name w:val="Revision"/>
    <w:hidden/>
    <w:uiPriority w:val="99"/>
    <w:semiHidden/>
    <w:rsid w:val="00E364BF"/>
    <w:pPr>
      <w:spacing w:after="0" w:line="240" w:lineRule="auto"/>
      <w:ind w:left="0"/>
      <w:jc w:val="left"/>
    </w:pPr>
    <w:rPr>
      <w:rFonts w:ascii="Times New Roman" w:eastAsia="Calibri"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6003">
      <w:bodyDiv w:val="1"/>
      <w:marLeft w:val="0"/>
      <w:marRight w:val="0"/>
      <w:marTop w:val="0"/>
      <w:marBottom w:val="0"/>
      <w:divBdr>
        <w:top w:val="none" w:sz="0" w:space="0" w:color="auto"/>
        <w:left w:val="none" w:sz="0" w:space="0" w:color="auto"/>
        <w:bottom w:val="none" w:sz="0" w:space="0" w:color="auto"/>
        <w:right w:val="none" w:sz="0" w:space="0" w:color="auto"/>
      </w:divBdr>
    </w:div>
    <w:div w:id="284388521">
      <w:bodyDiv w:val="1"/>
      <w:marLeft w:val="0"/>
      <w:marRight w:val="0"/>
      <w:marTop w:val="0"/>
      <w:marBottom w:val="0"/>
      <w:divBdr>
        <w:top w:val="none" w:sz="0" w:space="0" w:color="auto"/>
        <w:left w:val="none" w:sz="0" w:space="0" w:color="auto"/>
        <w:bottom w:val="none" w:sz="0" w:space="0" w:color="auto"/>
        <w:right w:val="none" w:sz="0" w:space="0" w:color="auto"/>
      </w:divBdr>
    </w:div>
    <w:div w:id="547573063">
      <w:bodyDiv w:val="1"/>
      <w:marLeft w:val="0"/>
      <w:marRight w:val="0"/>
      <w:marTop w:val="0"/>
      <w:marBottom w:val="0"/>
      <w:divBdr>
        <w:top w:val="none" w:sz="0" w:space="0" w:color="auto"/>
        <w:left w:val="none" w:sz="0" w:space="0" w:color="auto"/>
        <w:bottom w:val="none" w:sz="0" w:space="0" w:color="auto"/>
        <w:right w:val="none" w:sz="0" w:space="0" w:color="auto"/>
      </w:divBdr>
    </w:div>
    <w:div w:id="675884900">
      <w:bodyDiv w:val="1"/>
      <w:marLeft w:val="0"/>
      <w:marRight w:val="0"/>
      <w:marTop w:val="0"/>
      <w:marBottom w:val="0"/>
      <w:divBdr>
        <w:top w:val="none" w:sz="0" w:space="0" w:color="auto"/>
        <w:left w:val="none" w:sz="0" w:space="0" w:color="auto"/>
        <w:bottom w:val="none" w:sz="0" w:space="0" w:color="auto"/>
        <w:right w:val="none" w:sz="0" w:space="0" w:color="auto"/>
      </w:divBdr>
      <w:divsChild>
        <w:div w:id="1956251246">
          <w:marLeft w:val="0"/>
          <w:marRight w:val="0"/>
          <w:marTop w:val="0"/>
          <w:marBottom w:val="0"/>
          <w:divBdr>
            <w:top w:val="none" w:sz="0" w:space="0" w:color="auto"/>
            <w:left w:val="none" w:sz="0" w:space="0" w:color="auto"/>
            <w:bottom w:val="none" w:sz="0" w:space="0" w:color="auto"/>
            <w:right w:val="none" w:sz="0" w:space="0" w:color="auto"/>
          </w:divBdr>
          <w:divsChild>
            <w:div w:id="1926724693">
              <w:marLeft w:val="0"/>
              <w:marRight w:val="0"/>
              <w:marTop w:val="0"/>
              <w:marBottom w:val="0"/>
              <w:divBdr>
                <w:top w:val="none" w:sz="0" w:space="0" w:color="auto"/>
                <w:left w:val="none" w:sz="0" w:space="0" w:color="auto"/>
                <w:bottom w:val="none" w:sz="0" w:space="0" w:color="auto"/>
                <w:right w:val="none" w:sz="0" w:space="0" w:color="auto"/>
              </w:divBdr>
              <w:divsChild>
                <w:div w:id="406804839">
                  <w:marLeft w:val="0"/>
                  <w:marRight w:val="0"/>
                  <w:marTop w:val="0"/>
                  <w:marBottom w:val="0"/>
                  <w:divBdr>
                    <w:top w:val="none" w:sz="0" w:space="0" w:color="auto"/>
                    <w:left w:val="none" w:sz="0" w:space="0" w:color="auto"/>
                    <w:bottom w:val="none" w:sz="0" w:space="0" w:color="auto"/>
                    <w:right w:val="none" w:sz="0" w:space="0" w:color="auto"/>
                  </w:divBdr>
                  <w:divsChild>
                    <w:div w:id="1007713282">
                      <w:marLeft w:val="0"/>
                      <w:marRight w:val="0"/>
                      <w:marTop w:val="0"/>
                      <w:marBottom w:val="0"/>
                      <w:divBdr>
                        <w:top w:val="none" w:sz="0" w:space="0" w:color="auto"/>
                        <w:left w:val="none" w:sz="0" w:space="0" w:color="auto"/>
                        <w:bottom w:val="none" w:sz="0" w:space="0" w:color="auto"/>
                        <w:right w:val="none" w:sz="0" w:space="0" w:color="auto"/>
                      </w:divBdr>
                      <w:divsChild>
                        <w:div w:id="2050763670">
                          <w:marLeft w:val="0"/>
                          <w:marRight w:val="0"/>
                          <w:marTop w:val="0"/>
                          <w:marBottom w:val="0"/>
                          <w:divBdr>
                            <w:top w:val="none" w:sz="0" w:space="0" w:color="auto"/>
                            <w:left w:val="none" w:sz="0" w:space="0" w:color="auto"/>
                            <w:bottom w:val="none" w:sz="0" w:space="0" w:color="auto"/>
                            <w:right w:val="none" w:sz="0" w:space="0" w:color="auto"/>
                          </w:divBdr>
                          <w:divsChild>
                            <w:div w:id="223221691">
                              <w:marLeft w:val="0"/>
                              <w:marRight w:val="0"/>
                              <w:marTop w:val="0"/>
                              <w:marBottom w:val="0"/>
                              <w:divBdr>
                                <w:top w:val="none" w:sz="0" w:space="0" w:color="auto"/>
                                <w:left w:val="none" w:sz="0" w:space="0" w:color="auto"/>
                                <w:bottom w:val="none" w:sz="0" w:space="0" w:color="auto"/>
                                <w:right w:val="none" w:sz="0" w:space="0" w:color="auto"/>
                              </w:divBdr>
                              <w:divsChild>
                                <w:div w:id="1316644818">
                                  <w:marLeft w:val="0"/>
                                  <w:marRight w:val="0"/>
                                  <w:marTop w:val="0"/>
                                  <w:marBottom w:val="0"/>
                                  <w:divBdr>
                                    <w:top w:val="none" w:sz="0" w:space="0" w:color="auto"/>
                                    <w:left w:val="none" w:sz="0" w:space="0" w:color="auto"/>
                                    <w:bottom w:val="none" w:sz="0" w:space="0" w:color="auto"/>
                                    <w:right w:val="none" w:sz="0" w:space="0" w:color="auto"/>
                                  </w:divBdr>
                                  <w:divsChild>
                                    <w:div w:id="469327277">
                                      <w:marLeft w:val="0"/>
                                      <w:marRight w:val="0"/>
                                      <w:marTop w:val="0"/>
                                      <w:marBottom w:val="0"/>
                                      <w:divBdr>
                                        <w:top w:val="none" w:sz="0" w:space="0" w:color="auto"/>
                                        <w:left w:val="none" w:sz="0" w:space="0" w:color="auto"/>
                                        <w:bottom w:val="none" w:sz="0" w:space="0" w:color="auto"/>
                                        <w:right w:val="none" w:sz="0" w:space="0" w:color="auto"/>
                                      </w:divBdr>
                                      <w:divsChild>
                                        <w:div w:id="328992779">
                                          <w:marLeft w:val="0"/>
                                          <w:marRight w:val="0"/>
                                          <w:marTop w:val="0"/>
                                          <w:marBottom w:val="0"/>
                                          <w:divBdr>
                                            <w:top w:val="none" w:sz="0" w:space="0" w:color="auto"/>
                                            <w:left w:val="none" w:sz="0" w:space="0" w:color="auto"/>
                                            <w:bottom w:val="none" w:sz="0" w:space="0" w:color="auto"/>
                                            <w:right w:val="none" w:sz="0" w:space="0" w:color="auto"/>
                                          </w:divBdr>
                                          <w:divsChild>
                                            <w:div w:id="191890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836264">
      <w:bodyDiv w:val="1"/>
      <w:marLeft w:val="0"/>
      <w:marRight w:val="0"/>
      <w:marTop w:val="0"/>
      <w:marBottom w:val="0"/>
      <w:divBdr>
        <w:top w:val="none" w:sz="0" w:space="0" w:color="auto"/>
        <w:left w:val="none" w:sz="0" w:space="0" w:color="auto"/>
        <w:bottom w:val="none" w:sz="0" w:space="0" w:color="auto"/>
        <w:right w:val="none" w:sz="0" w:space="0" w:color="auto"/>
      </w:divBdr>
    </w:div>
    <w:div w:id="1414476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aferworld.org.uk/about/staff-details-1/44-anil-poudel" TargetMode="External"/><Relationship Id="rId18" Type="http://schemas.openxmlformats.org/officeDocument/2006/relationships/hyperlink" Target="http://www.saferworld.org.uk/about/staff-details-1/54-ferdinand-nikolla" TargetMode="External"/><Relationship Id="rId26" Type="http://schemas.openxmlformats.org/officeDocument/2006/relationships/hyperlink" Target="http://dx.doi.org/10.1080/10246029.2008.9627475" TargetMode="External"/><Relationship Id="rId39" Type="http://schemas.openxmlformats.org/officeDocument/2006/relationships/hyperlink" Target="http://www.cigionline.org/sites/default/files/The%20Future%20of%20Security%20Sector%20Reform.pdf" TargetMode="External"/><Relationship Id="rId21" Type="http://schemas.openxmlformats.org/officeDocument/2006/relationships/hyperlink" Target="http://dx.doi.org/10.1080/14678802.2012.688288" TargetMode="External"/><Relationship Id="rId34" Type="http://schemas.openxmlformats.org/officeDocument/2006/relationships/hyperlink" Target="http://www.dcaf.ch/Publications/National-Security-Policy" TargetMode="External"/><Relationship Id="rId42" Type="http://schemas.openxmlformats.org/officeDocument/2006/relationships/hyperlink" Target="http://www.kosovo.undp.org/repository/docs/ISSR_report_eng_ver2.pdf" TargetMode="External"/><Relationship Id="rId47" Type="http://schemas.openxmlformats.org/officeDocument/2006/relationships/hyperlink" Target="http://www.qkss.org/en-us/Policy-Papers/Assessment-of-the-Democratic-Oversight-and-Governance-Mechanisms-of-Municipal-Community-Safety-Councils-88" TargetMode="External"/><Relationship Id="rId50" Type="http://schemas.openxmlformats.org/officeDocument/2006/relationships/hyperlink" Target="http://dx.doi.org/10.1080/13533310802396160" TargetMode="External"/><Relationship Id="rId55" Type="http://schemas.openxmlformats.org/officeDocument/2006/relationships/hyperlink" Target="https://www.academia.edu/571623/Statebuilding_Peacebuilding_and_Hybridity" TargetMode="External"/><Relationship Id="rId63" Type="http://schemas.openxmlformats.org/officeDocument/2006/relationships/hyperlink" Target="http://www.saferworld.org.uk/resources/view-resource/306-implementing-community-based-policing-in-kenya" TargetMode="External"/><Relationship Id="rId68" Type="http://schemas.openxmlformats.org/officeDocument/2006/relationships/hyperlink" Target="http://www.clingendael.nl/sites/default/files/20090707_cru_local_justice_scheye.pdf" TargetMode="External"/><Relationship Id="rId76" Type="http://schemas.openxmlformats.org/officeDocument/2006/relationships/hyperlink" Target="http://dx.doi.org/10.1080/21647259.2013.756264" TargetMode="External"/><Relationship Id="rId7" Type="http://schemas.openxmlformats.org/officeDocument/2006/relationships/endnotes" Target="endnotes.xml"/><Relationship Id="rId71" Type="http://schemas.openxmlformats.org/officeDocument/2006/relationships/hyperlink" Target="http://www.saferworld.org.uk/downloads/pubdocs/Creating_safer_communities_Dec06_%20English.pdf" TargetMode="External"/><Relationship Id="rId2" Type="http://schemas.openxmlformats.org/officeDocument/2006/relationships/styles" Target="styles.xml"/><Relationship Id="rId16" Type="http://schemas.openxmlformats.org/officeDocument/2006/relationships/hyperlink" Target="http://www.saferworld.org.uk/about/staff-details-1/44-anil-poudel" TargetMode="External"/><Relationship Id="rId29" Type="http://schemas.openxmlformats.org/officeDocument/2006/relationships/hyperlink" Target="http://www.bond.org.uk/news.php/377/secretary-of-state-announces-bond-awards-winners" TargetMode="External"/><Relationship Id="rId11" Type="http://schemas.openxmlformats.org/officeDocument/2006/relationships/hyperlink" Target="http://www.saferworld.org.uk/about/staff-details-1/139-bibhash-chakraborty" TargetMode="External"/><Relationship Id="rId24" Type="http://schemas.openxmlformats.org/officeDocument/2006/relationships/hyperlink" Target="http://www.dcaf.ch/Publications/Civil-Society-Oversight-of-the-Security-Sector-and-Gender-Tool-9" TargetMode="External"/><Relationship Id="rId32" Type="http://schemas.openxmlformats.org/officeDocument/2006/relationships/hyperlink" Target="http://dx.doi.org.ezproxy3.lib.le.ac.uk/10.1017/S0260210512000046" TargetMode="External"/><Relationship Id="rId37" Type="http://schemas.openxmlformats.org/officeDocument/2006/relationships/hyperlink" Target="http://dx.doi.org/10.1080/02255189.2013.761130" TargetMode="External"/><Relationship Id="rId40" Type="http://schemas.openxmlformats.org/officeDocument/2006/relationships/hyperlink" Target="http://www.saferworld.org.uk/downloads/pubdocs/A%20safer%20future%20revised%20reduced.pdf" TargetMode="External"/><Relationship Id="rId45" Type="http://schemas.openxmlformats.org/officeDocument/2006/relationships/hyperlink" Target="http://www.dcaf.ch/Chapter-Section/Ch.-9-Security-Sector-Reform-and-State-building-Lessons-Learned" TargetMode="External"/><Relationship Id="rId53" Type="http://schemas.openxmlformats.org/officeDocument/2006/relationships/hyperlink" Target="http://dx.doi.org/10.5334/sta.cf" TargetMode="External"/><Relationship Id="rId58" Type="http://schemas.openxmlformats.org/officeDocument/2006/relationships/hyperlink" Target="http://www.oecd.org/dac/incaf/44391867.pdf" TargetMode="External"/><Relationship Id="rId66" Type="http://schemas.openxmlformats.org/officeDocument/2006/relationships/hyperlink" Target="http://www.cigionline.org/sites/default/files/The%20Future%20of%20Security%20Sector%20Reform.pdf" TargetMode="External"/><Relationship Id="rId74" Type="http://schemas.openxmlformats.org/officeDocument/2006/relationships/hyperlink" Target="http://unssr.unlb.org/Portals/UNSSR/UN%20Integrated%20Technical%20Guidance%20Notes%20on%20SSR.PDF"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dx.doi.org/10.1080/17502977.2013.770242" TargetMode="External"/><Relationship Id="rId10" Type="http://schemas.openxmlformats.org/officeDocument/2006/relationships/hyperlink" Target="http://www.saferworld.org.uk/about/staff-details-1/44-anil-poudel" TargetMode="External"/><Relationship Id="rId19" Type="http://schemas.openxmlformats.org/officeDocument/2006/relationships/hyperlink" Target="http://www.saferworld.org.uk/about/staff-details-1/44-anil-poudel" TargetMode="External"/><Relationship Id="rId31" Type="http://schemas.openxmlformats.org/officeDocument/2006/relationships/hyperlink" Target="http://www.cigionline.org/sites/default/files/The%20Future%20of%20Security%20Sector%20Reform.pdf" TargetMode="External"/><Relationship Id="rId44" Type="http://schemas.openxmlformats.org/officeDocument/2006/relationships/hyperlink" Target="http://dx.doi.org/10.1080/01436597.2011.610577" TargetMode="External"/><Relationship Id="rId52" Type="http://schemas.openxmlformats.org/officeDocument/2006/relationships/hyperlink" Target="http://dspace.cigilibrary.org/jspui/bitstream/123456789/32820/1/SSR%20Issue%20Papers%20No.%208.pdf?1" TargetMode="External"/><Relationship Id="rId60" Type="http://schemas.openxmlformats.org/officeDocument/2006/relationships/hyperlink" Target="http://www.usip.org/files/resources/PB11%20Local%20Ownership%20of%20Security%20Sector%20Reform.pdf" TargetMode="External"/><Relationship Id="rId65" Type="http://schemas.openxmlformats.org/officeDocument/2006/relationships/hyperlink" Target="http://www.saferworld.org.uk/resources/view-resource/806-community-security-handbook" TargetMode="External"/><Relationship Id="rId73" Type="http://schemas.openxmlformats.org/officeDocument/2006/relationships/hyperlink" Target="http://www.un.org/Docs/journal/asp/ws.asp?m=A/62/659" TargetMode="External"/><Relationship Id="rId78"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aferworld.org.uk/about/staff-details-1/54-ferdinand-nikolla" TargetMode="External"/><Relationship Id="rId14" Type="http://schemas.openxmlformats.org/officeDocument/2006/relationships/hyperlink" Target="http://www.saferworld.org.uk/about/staff-details-1/139-bibhash-chakraborty" TargetMode="External"/><Relationship Id="rId22" Type="http://schemas.openxmlformats.org/officeDocument/2006/relationships/hyperlink" Target="http://www.cigionline.org/sites/default/files/The%20Future%20of%20Security%20Sector%20Reform.pdf" TargetMode="External"/><Relationship Id="rId27" Type="http://schemas.openxmlformats.org/officeDocument/2006/relationships/hyperlink" Target="http://dx.doi.org/10.1017/S1876404512000024" TargetMode="External"/><Relationship Id="rId30" Type="http://schemas.openxmlformats.org/officeDocument/2006/relationships/hyperlink" Target="http://vav.library.utoronto.ca/index.php/vav/article/view/14890" TargetMode="External"/><Relationship Id="rId35" Type="http://schemas.openxmlformats.org/officeDocument/2006/relationships/hyperlink" Target="http://www.dcaf.ch/Publications/Security-Sector-Reform-in-Post-Conflict-Peacebuilding" TargetMode="External"/><Relationship Id="rId43" Type="http://schemas.openxmlformats.org/officeDocument/2006/relationships/hyperlink" Target="http://www.cigionline.org/sites/default/files/The%20Future%20of%20Security%20Sector%20Reform.pdf" TargetMode="External"/><Relationship Id="rId48" Type="http://schemas.openxmlformats.org/officeDocument/2006/relationships/hyperlink" Target="http://www.ipinst.org/media/pdf/publications/ipi_e_pub_ssr_applied.pdf" TargetMode="External"/><Relationship Id="rId56" Type="http://schemas.openxmlformats.org/officeDocument/2006/relationships/hyperlink" Target="http://www.cigionline.org/sites/default/files/The%20Future%20of%20Security%20Sector%20Reform.pdf" TargetMode="External"/><Relationship Id="rId64" Type="http://schemas.openxmlformats.org/officeDocument/2006/relationships/hyperlink" Target="http://www.saferworld.org.uk/news-and-views/comment/101-security-in-south-sudan-a-view-from-the-ground" TargetMode="External"/><Relationship Id="rId69" Type="http://schemas.openxmlformats.org/officeDocument/2006/relationships/hyperlink" Target="http://www.cigionline.org/sites/default/files/SSR%20101%20Final%20%28April%2027%29.pdf" TargetMode="External"/><Relationship Id="rId77" Type="http://schemas.openxmlformats.org/officeDocument/2006/relationships/header" Target="header1.xml"/><Relationship Id="rId8" Type="http://schemas.openxmlformats.org/officeDocument/2006/relationships/hyperlink" Target="mailto:eg132@le.ac.uk" TargetMode="External"/><Relationship Id="rId51" Type="http://schemas.openxmlformats.org/officeDocument/2006/relationships/hyperlink" Target="http://www.dcaf.ch/Publications/Back-to-the-Roots-Security-Sector-Reform-and-Development" TargetMode="External"/><Relationship Id="rId72" Type="http://schemas.openxmlformats.org/officeDocument/2006/relationships/hyperlink" Target="http://www.stabilisationunit.gov.uk/attachments/article/520/Stabilisation%20Unit_Policing%20the%20Context%20What%20Works-%20March%202014.pdf" TargetMode="External"/><Relationship Id="rId80"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www.saferworld.org.uk/about/staff-details-1/54-ferdinand-nikolla" TargetMode="External"/><Relationship Id="rId17" Type="http://schemas.openxmlformats.org/officeDocument/2006/relationships/hyperlink" Target="http://www.saferworld.org.uk/about/staff-details-1/139-bibhash-chakraborty" TargetMode="External"/><Relationship Id="rId25" Type="http://schemas.openxmlformats.org/officeDocument/2006/relationships/hyperlink" Target="http://www.inclusivesecurity.org/wp-content/uploads/2013/02/WGTSSR-Web.pdf" TargetMode="External"/><Relationship Id="rId33" Type="http://schemas.openxmlformats.org/officeDocument/2006/relationships/hyperlink" Target="http://dx.doi.org/10.1080/13533310903303347" TargetMode="External"/><Relationship Id="rId38" Type="http://schemas.openxmlformats.org/officeDocument/2006/relationships/hyperlink" Target="http://www.saferworld.org.uk/resources/view-resource/741-community-based-approaches-to-safety-and-security" TargetMode="External"/><Relationship Id="rId46" Type="http://schemas.openxmlformats.org/officeDocument/2006/relationships/hyperlink" Target="http://www.theguardian.com/global-development-professionals-network/2014/may/13/bond-ngo-awards-winners" TargetMode="External"/><Relationship Id="rId59" Type="http://schemas.openxmlformats.org/officeDocument/2006/relationships/hyperlink" Target="http://dx.doi.org/10.1017/S1876404512000115" TargetMode="External"/><Relationship Id="rId67" Type="http://schemas.openxmlformats.org/officeDocument/2006/relationships/hyperlink" Target="http://www.cigionline.org/sites/default/files/The%20Future%20of%20Security%20Sector%20Reform.pdf" TargetMode="External"/><Relationship Id="rId20" Type="http://schemas.openxmlformats.org/officeDocument/2006/relationships/hyperlink" Target="http://www.saferworld.org.uk/about/staff-details-1/139-bibhash-chakraborty" TargetMode="External"/><Relationship Id="rId41" Type="http://schemas.openxmlformats.org/officeDocument/2006/relationships/hyperlink" Target="http://dx.doi.org/10.1017/S1876404512000097" TargetMode="External"/><Relationship Id="rId54" Type="http://schemas.openxmlformats.org/officeDocument/2006/relationships/hyperlink" Target="http://dx.doi.org/10.1080/13533310903303230" TargetMode="External"/><Relationship Id="rId62" Type="http://schemas.openxmlformats.org/officeDocument/2006/relationships/hyperlink" Target="http://dx.doi.org/10.1080/17502970903086719" TargetMode="External"/><Relationship Id="rId70" Type="http://schemas.openxmlformats.org/officeDocument/2006/relationships/hyperlink" Target="http://www.cigionline.org/sites/default/files/The%20Future%20of%20Security%20Sector%20Reform.pdf" TargetMode="External"/><Relationship Id="rId75" Type="http://schemas.openxmlformats.org/officeDocument/2006/relationships/hyperlink" Target="http://www.securitycouncilreport.org/atf/cf/%7B65BFCF9B-6D27-4E9C-8CD3-CF6E4FF96FF9%7D/s_2013_480.pdf"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saferworld.org.uk/about/staff-details-1/54-ferdinand-nikolla" TargetMode="External"/><Relationship Id="rId23" Type="http://schemas.openxmlformats.org/officeDocument/2006/relationships/hyperlink" Target="http://dx.doi.org/10.1080/14678800701692944" TargetMode="External"/><Relationship Id="rId28" Type="http://schemas.openxmlformats.org/officeDocument/2006/relationships/hyperlink" Target="https://www.academia.edu/5636099/The_conundrum_of_local_ownership_bleasse_and_qehaja" TargetMode="External"/><Relationship Id="rId36" Type="http://schemas.openxmlformats.org/officeDocument/2006/relationships/hyperlink" Target="http://www.dcaf.ch/Publications/Local-Ownership-and-Security-Sector-Reform" TargetMode="External"/><Relationship Id="rId49" Type="http://schemas.openxmlformats.org/officeDocument/2006/relationships/hyperlink" Target="http://www.ssronline.org/jofssm/issues/jofssm_0701_knight.pdf?CFID=4098420&amp;CFTOKEN=57140008" TargetMode="External"/><Relationship Id="rId57" Type="http://schemas.openxmlformats.org/officeDocument/2006/relationships/hyperlink" Target="http://www.oecd.org/dataoecd/43/25/3840648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1227</TotalTime>
  <Pages>1</Pages>
  <Words>12418</Words>
  <Characters>70785</Characters>
  <Application>Microsoft Office Word</Application>
  <DocSecurity>0</DocSecurity>
  <Lines>589</Lines>
  <Paragraphs>166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University Of Leicester</Company>
  <LinksUpToDate>false</LinksUpToDate>
  <CharactersWithSpaces>83037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localuser</dc:creator>
  <cp:lastModifiedBy>localuser</cp:lastModifiedBy>
  <cp:revision>4</cp:revision>
  <cp:lastPrinted>2014-05-22T15:41:00Z</cp:lastPrinted>
  <dcterms:created xsi:type="dcterms:W3CDTF">2014-05-27T12:32:00Z</dcterms:created>
  <dcterms:modified xsi:type="dcterms:W3CDTF">2014-06-20T11:27:00Z</dcterms:modified>
</cp:coreProperties>
</file>