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E0" w:rsidRPr="0029142D" w:rsidRDefault="001760E0" w:rsidP="001760E0">
      <w:pPr>
        <w:pStyle w:val="NoSpacing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9142D">
        <w:rPr>
          <w:rFonts w:asciiTheme="minorHAnsi" w:hAnsiTheme="minorHAnsi" w:cstheme="minorHAnsi"/>
          <w:b/>
          <w:sz w:val="32"/>
          <w:szCs w:val="32"/>
        </w:rPr>
        <w:t>TITLE PAGE</w:t>
      </w:r>
    </w:p>
    <w:p w:rsidR="001760E0" w:rsidRPr="0029142D" w:rsidRDefault="001760E0" w:rsidP="001760E0">
      <w:pPr>
        <w:pStyle w:val="NoSpacing"/>
        <w:rPr>
          <w:rFonts w:asciiTheme="minorHAnsi" w:hAnsiTheme="minorHAnsi" w:cstheme="minorHAnsi"/>
          <w:b/>
          <w:sz w:val="32"/>
          <w:szCs w:val="32"/>
        </w:rPr>
      </w:pPr>
    </w:p>
    <w:p w:rsidR="001760E0" w:rsidRPr="0029142D" w:rsidRDefault="001760E0" w:rsidP="001760E0">
      <w:pPr>
        <w:pStyle w:val="NoSpacing"/>
        <w:rPr>
          <w:rFonts w:asciiTheme="minorHAnsi" w:hAnsiTheme="minorHAnsi" w:cstheme="minorHAnsi"/>
          <w:b/>
          <w:sz w:val="32"/>
          <w:szCs w:val="32"/>
        </w:rPr>
      </w:pPr>
    </w:p>
    <w:p w:rsidR="00AF00D7" w:rsidRPr="0029142D" w:rsidRDefault="00D34E43" w:rsidP="001760E0">
      <w:pPr>
        <w:pStyle w:val="NoSpacing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Pro-substance P for evaluation of risk </w:t>
      </w:r>
      <w:r w:rsidR="00A7737C">
        <w:rPr>
          <w:rFonts w:asciiTheme="minorHAnsi" w:hAnsiTheme="minorHAnsi" w:cstheme="minorHAnsi"/>
          <w:b/>
          <w:sz w:val="32"/>
          <w:szCs w:val="32"/>
        </w:rPr>
        <w:t xml:space="preserve">in </w:t>
      </w:r>
      <w:r w:rsidR="00AF00D7" w:rsidRPr="0029142D">
        <w:rPr>
          <w:rFonts w:asciiTheme="minorHAnsi" w:hAnsiTheme="minorHAnsi" w:cstheme="minorHAnsi"/>
          <w:b/>
          <w:sz w:val="32"/>
          <w:szCs w:val="32"/>
        </w:rPr>
        <w:t xml:space="preserve">acute </w:t>
      </w:r>
      <w:r w:rsidR="00A7737C">
        <w:rPr>
          <w:rFonts w:asciiTheme="minorHAnsi" w:hAnsiTheme="minorHAnsi" w:cstheme="minorHAnsi"/>
          <w:b/>
          <w:sz w:val="32"/>
          <w:szCs w:val="32"/>
        </w:rPr>
        <w:t>myocardial infarction</w:t>
      </w:r>
      <w:r>
        <w:rPr>
          <w:rFonts w:asciiTheme="minorHAnsi" w:hAnsiTheme="minorHAnsi" w:cstheme="minorHAnsi"/>
          <w:b/>
          <w:sz w:val="32"/>
          <w:szCs w:val="32"/>
        </w:rPr>
        <w:t xml:space="preserve"> (PROSPER-A</w:t>
      </w:r>
      <w:r w:rsidR="00A7737C">
        <w:rPr>
          <w:rFonts w:asciiTheme="minorHAnsi" w:hAnsiTheme="minorHAnsi" w:cstheme="minorHAnsi"/>
          <w:b/>
          <w:sz w:val="32"/>
          <w:szCs w:val="32"/>
        </w:rPr>
        <w:t>MI</w:t>
      </w:r>
      <w:r>
        <w:rPr>
          <w:rFonts w:asciiTheme="minorHAnsi" w:hAnsiTheme="minorHAnsi" w:cstheme="minorHAnsi"/>
          <w:b/>
          <w:sz w:val="32"/>
          <w:szCs w:val="32"/>
        </w:rPr>
        <w:t xml:space="preserve">) </w:t>
      </w:r>
    </w:p>
    <w:p w:rsidR="001760E0" w:rsidRPr="0029142D" w:rsidRDefault="001760E0" w:rsidP="001760E0">
      <w:pPr>
        <w:pStyle w:val="NoSpacing"/>
        <w:rPr>
          <w:rFonts w:asciiTheme="minorHAnsi" w:hAnsiTheme="minorHAnsi" w:cstheme="minorHAnsi"/>
          <w:b/>
          <w:bCs/>
          <w:sz w:val="32"/>
          <w:szCs w:val="32"/>
        </w:rPr>
      </w:pPr>
    </w:p>
    <w:p w:rsidR="00E9203B" w:rsidRPr="0011686C" w:rsidRDefault="00E9203B" w:rsidP="00E9203B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  <w:r w:rsidRPr="0011686C">
        <w:rPr>
          <w:rFonts w:asciiTheme="minorHAnsi" w:hAnsiTheme="minorHAnsi" w:cstheme="minorHAnsi"/>
          <w:b/>
          <w:bCs/>
          <w:sz w:val="24"/>
          <w:szCs w:val="24"/>
        </w:rPr>
        <w:t xml:space="preserve">Leong L. Ng, MD, FRCP*, Jatinderpal K. Sandhu, MPhil*, Hafid Narayan, MB, MRCP*, Paulene A. Quinn, MPhil*, Iain B. Squire, MD, FRCP*, Joan E. Davies, PhD, FRCP*, </w:t>
      </w:r>
      <w:r w:rsidR="007B597E">
        <w:rPr>
          <w:rFonts w:asciiTheme="minorHAnsi" w:hAnsiTheme="minorHAnsi" w:cstheme="minorHAnsi"/>
          <w:b/>
          <w:bCs/>
          <w:sz w:val="24"/>
          <w:szCs w:val="24"/>
        </w:rPr>
        <w:t>Joachim Struck, PhD</w:t>
      </w:r>
      <w:r w:rsidR="007B597E" w:rsidRPr="0011686C">
        <w:rPr>
          <w:rFonts w:asciiTheme="minorHAnsi" w:hAnsiTheme="minorHAnsi" w:cstheme="minorHAnsi"/>
          <w:sz w:val="24"/>
          <w:szCs w:val="24"/>
        </w:rPr>
        <w:t>‡</w:t>
      </w:r>
      <w:r w:rsidR="007B597E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11686C">
        <w:rPr>
          <w:rFonts w:asciiTheme="minorHAnsi" w:hAnsiTheme="minorHAnsi" w:cstheme="minorHAnsi"/>
          <w:b/>
          <w:bCs/>
          <w:sz w:val="24"/>
          <w:szCs w:val="24"/>
        </w:rPr>
        <w:t>Andreas Bergmann, PhD</w:t>
      </w:r>
      <w:r w:rsidRPr="0011686C">
        <w:rPr>
          <w:rFonts w:asciiTheme="minorHAnsi" w:hAnsiTheme="minorHAnsi" w:cstheme="minorHAnsi"/>
          <w:sz w:val="24"/>
          <w:szCs w:val="24"/>
        </w:rPr>
        <w:t>‡</w:t>
      </w:r>
      <w:r w:rsidRPr="0011686C">
        <w:rPr>
          <w:rFonts w:asciiTheme="minorHAnsi" w:hAnsiTheme="minorHAnsi" w:cstheme="minorHAnsi"/>
          <w:b/>
          <w:bCs/>
          <w:sz w:val="24"/>
          <w:szCs w:val="24"/>
        </w:rPr>
        <w:t xml:space="preserve">, Alan </w:t>
      </w:r>
      <w:proofErr w:type="spellStart"/>
      <w:r w:rsidRPr="0011686C">
        <w:rPr>
          <w:rFonts w:asciiTheme="minorHAnsi" w:hAnsiTheme="minorHAnsi" w:cstheme="minorHAnsi"/>
          <w:b/>
          <w:bCs/>
          <w:sz w:val="24"/>
          <w:szCs w:val="24"/>
        </w:rPr>
        <w:t>Maisel</w:t>
      </w:r>
      <w:proofErr w:type="spellEnd"/>
      <w:r w:rsidRPr="0011686C">
        <w:rPr>
          <w:rFonts w:asciiTheme="minorHAnsi" w:hAnsiTheme="minorHAnsi" w:cstheme="minorHAnsi"/>
          <w:b/>
          <w:bCs/>
          <w:sz w:val="24"/>
          <w:szCs w:val="24"/>
        </w:rPr>
        <w:t>, MD, FACC</w:t>
      </w:r>
      <w:r w:rsidRPr="0011686C">
        <w:rPr>
          <w:rFonts w:asciiTheme="minorHAnsi" w:hAnsiTheme="minorHAnsi" w:cs="AGaramond-Regular"/>
          <w:sz w:val="28"/>
          <w:szCs w:val="28"/>
          <w:vertAlign w:val="superscript"/>
        </w:rPr>
        <w:t>§</w:t>
      </w:r>
      <w:r w:rsidRPr="0011686C">
        <w:rPr>
          <w:rFonts w:asciiTheme="minorHAnsi" w:hAnsiTheme="minorHAnsi" w:cstheme="minorHAnsi"/>
          <w:sz w:val="24"/>
          <w:szCs w:val="24"/>
        </w:rPr>
        <w:t>,</w:t>
      </w:r>
      <w:r w:rsidRPr="0011686C">
        <w:rPr>
          <w:rFonts w:asciiTheme="minorHAnsi" w:hAnsiTheme="minorHAnsi" w:cstheme="minorHAnsi"/>
          <w:b/>
          <w:bCs/>
          <w:sz w:val="24"/>
          <w:szCs w:val="24"/>
        </w:rPr>
        <w:t xml:space="preserve"> Donald J.L. Jones, PhD†</w:t>
      </w:r>
    </w:p>
    <w:p w:rsidR="00E9203B" w:rsidRPr="0011686C" w:rsidRDefault="00E9203B" w:rsidP="00E9203B">
      <w:pPr>
        <w:pStyle w:val="NoSpacing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E9203B" w:rsidRPr="0011686C" w:rsidRDefault="00E9203B" w:rsidP="00E9203B">
      <w:r w:rsidRPr="0011686C">
        <w:rPr>
          <w:rFonts w:cstheme="minorHAnsi"/>
          <w:sz w:val="24"/>
          <w:szCs w:val="24"/>
        </w:rPr>
        <w:t xml:space="preserve">From the University of Leicester, </w:t>
      </w:r>
      <w:r w:rsidRPr="0011686C">
        <w:rPr>
          <w:rFonts w:cstheme="minorHAnsi"/>
          <w:b/>
          <w:bCs/>
          <w:sz w:val="24"/>
          <w:szCs w:val="24"/>
        </w:rPr>
        <w:t>*</w:t>
      </w:r>
      <w:r w:rsidRPr="0011686C">
        <w:rPr>
          <w:rFonts w:cstheme="minorHAnsi"/>
          <w:sz w:val="24"/>
          <w:szCs w:val="24"/>
        </w:rPr>
        <w:t xml:space="preserve">Department of Cardiovascular Sciences and NIHR Leicester Cardiovascular Biomedical Research Unit, </w:t>
      </w:r>
      <w:proofErr w:type="spellStart"/>
      <w:r w:rsidRPr="0011686C">
        <w:rPr>
          <w:rFonts w:cstheme="minorHAnsi"/>
          <w:sz w:val="24"/>
          <w:szCs w:val="24"/>
        </w:rPr>
        <w:t>Glenfield</w:t>
      </w:r>
      <w:proofErr w:type="spellEnd"/>
      <w:r w:rsidRPr="0011686C">
        <w:rPr>
          <w:rFonts w:cstheme="minorHAnsi"/>
          <w:sz w:val="24"/>
          <w:szCs w:val="24"/>
        </w:rPr>
        <w:t xml:space="preserve"> Hospital, Leicester LE3 9QP, United Kingdom; and the </w:t>
      </w:r>
      <w:r w:rsidRPr="0011686C">
        <w:rPr>
          <w:rFonts w:cstheme="minorHAnsi"/>
          <w:b/>
          <w:bCs/>
          <w:sz w:val="24"/>
          <w:szCs w:val="24"/>
        </w:rPr>
        <w:t>†</w:t>
      </w:r>
      <w:r w:rsidRPr="0011686C">
        <w:rPr>
          <w:rFonts w:cstheme="minorHAnsi"/>
          <w:sz w:val="24"/>
          <w:szCs w:val="24"/>
        </w:rPr>
        <w:t xml:space="preserve">University of Leicester, Department of Cancer studies and Molecular Medicine, Leicester Royal Infirmary, Leicester LE1 5WW, United Kingdom, ‡Sphingotec, GmbH, </w:t>
      </w:r>
      <w:proofErr w:type="spellStart"/>
      <w:r w:rsidRPr="0011686C">
        <w:rPr>
          <w:rFonts w:cstheme="minorHAnsi"/>
          <w:sz w:val="24"/>
          <w:szCs w:val="24"/>
        </w:rPr>
        <w:t>Hennigsdorf</w:t>
      </w:r>
      <w:proofErr w:type="spellEnd"/>
      <w:r w:rsidRPr="0011686C">
        <w:rPr>
          <w:rFonts w:cstheme="minorHAnsi"/>
          <w:sz w:val="24"/>
          <w:szCs w:val="24"/>
        </w:rPr>
        <w:t xml:space="preserve">, Germany, and </w:t>
      </w:r>
      <w:r w:rsidRPr="0011686C">
        <w:rPr>
          <w:rFonts w:cs="AGaramond-Regular"/>
          <w:sz w:val="28"/>
          <w:szCs w:val="28"/>
          <w:vertAlign w:val="superscript"/>
        </w:rPr>
        <w:t>§</w:t>
      </w:r>
      <w:r w:rsidRPr="0011686C">
        <w:rPr>
          <w:sz w:val="24"/>
          <w:szCs w:val="24"/>
        </w:rPr>
        <w:t xml:space="preserve">San Diego VA Medical </w:t>
      </w:r>
      <w:proofErr w:type="spellStart"/>
      <w:r w:rsidRPr="0011686C">
        <w:rPr>
          <w:sz w:val="24"/>
          <w:szCs w:val="24"/>
        </w:rPr>
        <w:t>Center</w:t>
      </w:r>
      <w:proofErr w:type="spellEnd"/>
      <w:r w:rsidRPr="0011686C">
        <w:rPr>
          <w:sz w:val="24"/>
          <w:szCs w:val="24"/>
        </w:rPr>
        <w:t>, San Diego, USA.</w:t>
      </w:r>
    </w:p>
    <w:p w:rsidR="00E9203B" w:rsidRPr="0011686C" w:rsidRDefault="00E9203B" w:rsidP="00E9203B">
      <w:pPr>
        <w:spacing w:after="0" w:line="240" w:lineRule="auto"/>
        <w:rPr>
          <w:rFonts w:cstheme="minorHAnsi"/>
          <w:sz w:val="24"/>
          <w:szCs w:val="24"/>
        </w:rPr>
      </w:pPr>
      <w:r w:rsidRPr="0011686C">
        <w:rPr>
          <w:rFonts w:cstheme="minorHAnsi"/>
          <w:sz w:val="24"/>
          <w:szCs w:val="24"/>
        </w:rPr>
        <w:t>The authors' disclosures are below:-</w:t>
      </w:r>
    </w:p>
    <w:p w:rsidR="00E9203B" w:rsidRPr="0011686C" w:rsidRDefault="00E9203B" w:rsidP="00E9203B">
      <w:pPr>
        <w:spacing w:after="0" w:line="240" w:lineRule="auto"/>
        <w:rPr>
          <w:rFonts w:cstheme="minorHAnsi"/>
          <w:sz w:val="24"/>
          <w:szCs w:val="24"/>
        </w:rPr>
      </w:pPr>
    </w:p>
    <w:p w:rsidR="00E9203B" w:rsidRPr="0011686C" w:rsidRDefault="00E9203B" w:rsidP="00E9203B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1686C">
        <w:rPr>
          <w:rFonts w:asciiTheme="minorHAnsi" w:hAnsiTheme="minorHAnsi" w:cstheme="minorHAnsi"/>
          <w:sz w:val="24"/>
          <w:szCs w:val="24"/>
        </w:rPr>
        <w:t xml:space="preserve">Dr. Bergmann holds ownership in Sphingotec AG which </w:t>
      </w:r>
      <w:r w:rsidR="00905378">
        <w:rPr>
          <w:rFonts w:asciiTheme="minorHAnsi" w:hAnsiTheme="minorHAnsi" w:cstheme="minorHAnsi"/>
          <w:sz w:val="24"/>
          <w:szCs w:val="24"/>
        </w:rPr>
        <w:t xml:space="preserve">provided the </w:t>
      </w:r>
      <w:proofErr w:type="spellStart"/>
      <w:r w:rsidR="00905378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905378">
        <w:rPr>
          <w:rFonts w:asciiTheme="minorHAnsi" w:hAnsiTheme="minorHAnsi" w:cstheme="minorHAnsi"/>
          <w:sz w:val="24"/>
          <w:szCs w:val="24"/>
        </w:rPr>
        <w:t xml:space="preserve"> assay</w:t>
      </w:r>
      <w:r w:rsidRPr="0011686C">
        <w:rPr>
          <w:rFonts w:asciiTheme="minorHAnsi" w:hAnsiTheme="minorHAnsi" w:cstheme="minorHAnsi"/>
          <w:sz w:val="24"/>
          <w:szCs w:val="24"/>
        </w:rPr>
        <w:t>, and is a member of the board of directors of Sphingotec GmbH.</w:t>
      </w:r>
    </w:p>
    <w:p w:rsidR="00E9203B" w:rsidRDefault="00E9203B" w:rsidP="00E9203B">
      <w:pPr>
        <w:spacing w:after="0" w:line="240" w:lineRule="auto"/>
        <w:rPr>
          <w:rFonts w:cstheme="minorHAnsi"/>
          <w:sz w:val="24"/>
          <w:szCs w:val="24"/>
        </w:rPr>
      </w:pPr>
    </w:p>
    <w:p w:rsidR="0098223B" w:rsidRPr="0011686C" w:rsidRDefault="0098223B" w:rsidP="0098223B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Dr. Struck is employed by Sphingotec GmbH.</w:t>
      </w:r>
    </w:p>
    <w:p w:rsidR="0098223B" w:rsidRPr="0011686C" w:rsidRDefault="0098223B" w:rsidP="00E9203B">
      <w:pPr>
        <w:spacing w:after="0" w:line="240" w:lineRule="auto"/>
        <w:rPr>
          <w:rFonts w:cstheme="minorHAnsi"/>
          <w:sz w:val="24"/>
          <w:szCs w:val="24"/>
        </w:rPr>
      </w:pPr>
    </w:p>
    <w:p w:rsidR="00E9203B" w:rsidRPr="0011686C" w:rsidRDefault="00E9203B" w:rsidP="00E9203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proofErr w:type="spellStart"/>
      <w:r w:rsidRPr="0011686C">
        <w:rPr>
          <w:rFonts w:asciiTheme="minorHAnsi" w:hAnsiTheme="minorHAnsi" w:cstheme="minorHAnsi"/>
        </w:rPr>
        <w:t>Dr.Maisel</w:t>
      </w:r>
      <w:proofErr w:type="spellEnd"/>
      <w:r w:rsidRPr="0011686C">
        <w:rPr>
          <w:rFonts w:asciiTheme="minorHAnsi" w:hAnsiTheme="minorHAnsi" w:cstheme="minorHAnsi"/>
        </w:rPr>
        <w:t xml:space="preserve"> has the following disclosures:</w:t>
      </w:r>
    </w:p>
    <w:p w:rsidR="00E9203B" w:rsidRPr="0011686C" w:rsidRDefault="00E9203B" w:rsidP="00E9203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1686C">
        <w:rPr>
          <w:rFonts w:asciiTheme="minorHAnsi" w:hAnsiTheme="minorHAnsi" w:cstheme="minorHAnsi"/>
        </w:rPr>
        <w:t xml:space="preserve">Consultation: </w:t>
      </w:r>
      <w:proofErr w:type="spellStart"/>
      <w:r w:rsidRPr="0011686C">
        <w:rPr>
          <w:rFonts w:asciiTheme="minorHAnsi" w:hAnsiTheme="minorHAnsi" w:cstheme="minorHAnsi"/>
        </w:rPr>
        <w:t>Alere</w:t>
      </w:r>
      <w:proofErr w:type="spellEnd"/>
      <w:r w:rsidRPr="0011686C">
        <w:rPr>
          <w:rFonts w:asciiTheme="minorHAnsi" w:hAnsiTheme="minorHAnsi" w:cstheme="minorHAnsi"/>
        </w:rPr>
        <w:t>, Critical Diagnostics, Sphingotec, BG medicine, EFG diagnostics</w:t>
      </w:r>
    </w:p>
    <w:p w:rsidR="00E9203B" w:rsidRPr="0011686C" w:rsidRDefault="00E9203B" w:rsidP="00E9203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1686C">
        <w:rPr>
          <w:rFonts w:asciiTheme="minorHAnsi" w:hAnsiTheme="minorHAnsi" w:cstheme="minorHAnsi"/>
        </w:rPr>
        <w:t xml:space="preserve">Research: </w:t>
      </w:r>
      <w:proofErr w:type="spellStart"/>
      <w:r w:rsidRPr="0011686C">
        <w:rPr>
          <w:rFonts w:asciiTheme="minorHAnsi" w:hAnsiTheme="minorHAnsi" w:cstheme="minorHAnsi"/>
        </w:rPr>
        <w:t>Alere</w:t>
      </w:r>
      <w:proofErr w:type="spellEnd"/>
      <w:r w:rsidRPr="0011686C">
        <w:rPr>
          <w:rFonts w:asciiTheme="minorHAnsi" w:hAnsiTheme="minorHAnsi" w:cstheme="minorHAnsi"/>
        </w:rPr>
        <w:t>, Abbott, BG medical, Brahms</w:t>
      </w:r>
    </w:p>
    <w:p w:rsidR="00E9203B" w:rsidRPr="0011686C" w:rsidRDefault="00E9203B" w:rsidP="00E9203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1686C">
        <w:rPr>
          <w:rFonts w:asciiTheme="minorHAnsi" w:hAnsiTheme="minorHAnsi" w:cstheme="minorHAnsi"/>
        </w:rPr>
        <w:t xml:space="preserve">Speaking: BG medical, </w:t>
      </w:r>
      <w:proofErr w:type="spellStart"/>
      <w:r w:rsidRPr="0011686C">
        <w:rPr>
          <w:rFonts w:asciiTheme="minorHAnsi" w:hAnsiTheme="minorHAnsi" w:cstheme="minorHAnsi"/>
        </w:rPr>
        <w:t>Alere</w:t>
      </w:r>
      <w:proofErr w:type="spellEnd"/>
      <w:r w:rsidRPr="0011686C">
        <w:rPr>
          <w:rFonts w:asciiTheme="minorHAnsi" w:hAnsiTheme="minorHAnsi" w:cstheme="minorHAnsi"/>
        </w:rPr>
        <w:t xml:space="preserve">, </w:t>
      </w:r>
    </w:p>
    <w:p w:rsidR="00E9203B" w:rsidRPr="0011686C" w:rsidRDefault="00E9203B" w:rsidP="00E9203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11686C">
        <w:rPr>
          <w:rFonts w:asciiTheme="minorHAnsi" w:hAnsiTheme="minorHAnsi" w:cstheme="minorHAnsi"/>
        </w:rPr>
        <w:t xml:space="preserve">Co-founder: </w:t>
      </w:r>
      <w:proofErr w:type="spellStart"/>
      <w:r w:rsidRPr="0011686C">
        <w:rPr>
          <w:rFonts w:asciiTheme="minorHAnsi" w:hAnsiTheme="minorHAnsi" w:cstheme="minorHAnsi"/>
        </w:rPr>
        <w:t>Cardero</w:t>
      </w:r>
      <w:proofErr w:type="spellEnd"/>
      <w:r w:rsidRPr="0011686C">
        <w:rPr>
          <w:rFonts w:asciiTheme="minorHAnsi" w:hAnsiTheme="minorHAnsi" w:cstheme="minorHAnsi"/>
        </w:rPr>
        <w:t xml:space="preserve"> therapeutics, My Life Diagnostics</w:t>
      </w:r>
    </w:p>
    <w:p w:rsidR="001760E0" w:rsidRPr="00C91D07" w:rsidRDefault="001760E0" w:rsidP="001760E0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5D797C" w:rsidRPr="0011686C" w:rsidRDefault="005D797C" w:rsidP="005D797C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1686C">
        <w:rPr>
          <w:rFonts w:asciiTheme="minorHAnsi" w:hAnsiTheme="minorHAnsi" w:cstheme="minorHAnsi"/>
          <w:sz w:val="24"/>
          <w:szCs w:val="24"/>
        </w:rPr>
        <w:t xml:space="preserve">Key words: myocardial infarction; B type natriuretic peptide; GRACE score; </w:t>
      </w:r>
      <w:r>
        <w:rPr>
          <w:rFonts w:asciiTheme="minorHAnsi" w:hAnsiTheme="minorHAnsi" w:cstheme="minorHAnsi"/>
          <w:sz w:val="24"/>
          <w:szCs w:val="24"/>
        </w:rPr>
        <w:t>pro-substance P</w:t>
      </w:r>
      <w:r w:rsidRPr="0011686C">
        <w:rPr>
          <w:rFonts w:asciiTheme="minorHAnsi" w:hAnsiTheme="minorHAnsi" w:cstheme="minorHAnsi"/>
          <w:sz w:val="24"/>
          <w:szCs w:val="24"/>
        </w:rPr>
        <w:t xml:space="preserve">; </w:t>
      </w:r>
      <w:proofErr w:type="spellStart"/>
      <w:r>
        <w:rPr>
          <w:rFonts w:asciiTheme="minorHAnsi" w:hAnsiTheme="minorHAnsi" w:cstheme="minorHAnsi"/>
          <w:sz w:val="24"/>
          <w:szCs w:val="24"/>
        </w:rPr>
        <w:t>neurokinins</w:t>
      </w:r>
      <w:proofErr w:type="spellEnd"/>
    </w:p>
    <w:p w:rsidR="001760E0" w:rsidRPr="0029142D" w:rsidRDefault="001760E0" w:rsidP="001760E0">
      <w:pPr>
        <w:pStyle w:val="NoSpacing"/>
        <w:rPr>
          <w:rFonts w:asciiTheme="minorHAnsi" w:hAnsiTheme="minorHAnsi" w:cstheme="minorHAnsi"/>
          <w:sz w:val="32"/>
          <w:szCs w:val="32"/>
        </w:rPr>
      </w:pPr>
    </w:p>
    <w:p w:rsidR="001760E0" w:rsidRPr="00616ED9" w:rsidRDefault="001760E0" w:rsidP="001760E0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>Address for Correspondence:  Professor Leong L. Ng</w:t>
      </w:r>
    </w:p>
    <w:p w:rsidR="001760E0" w:rsidRPr="00616ED9" w:rsidRDefault="001760E0" w:rsidP="001760E0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>Department of Cardiovascular Sciences</w:t>
      </w:r>
    </w:p>
    <w:p w:rsidR="001760E0" w:rsidRPr="00616ED9" w:rsidRDefault="001760E0" w:rsidP="001760E0">
      <w:pPr>
        <w:pStyle w:val="NoSpacing"/>
        <w:tabs>
          <w:tab w:val="left" w:pos="3357"/>
        </w:tabs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 xml:space="preserve">Clinical Sciences </w:t>
      </w:r>
      <w:r w:rsidR="008A414C" w:rsidRPr="00616ED9">
        <w:rPr>
          <w:rFonts w:asciiTheme="minorHAnsi" w:hAnsiTheme="minorHAnsi" w:cstheme="minorHAnsi"/>
          <w:sz w:val="24"/>
          <w:szCs w:val="24"/>
        </w:rPr>
        <w:t>Wing</w:t>
      </w:r>
      <w:r w:rsidRPr="00616ED9">
        <w:rPr>
          <w:rFonts w:asciiTheme="minorHAnsi" w:hAnsiTheme="minorHAnsi" w:cstheme="minorHAnsi"/>
          <w:sz w:val="24"/>
          <w:szCs w:val="24"/>
        </w:rPr>
        <w:tab/>
      </w:r>
    </w:p>
    <w:p w:rsidR="001760E0" w:rsidRPr="00616ED9" w:rsidRDefault="008A414C" w:rsidP="001760E0">
      <w:pPr>
        <w:pStyle w:val="NoSpacing"/>
        <w:rPr>
          <w:rFonts w:asciiTheme="minorHAnsi" w:hAnsiTheme="minorHAnsi" w:cstheme="minorHAnsi"/>
          <w:sz w:val="24"/>
          <w:szCs w:val="24"/>
        </w:rPr>
      </w:pPr>
      <w:proofErr w:type="spellStart"/>
      <w:r w:rsidRPr="00616ED9">
        <w:rPr>
          <w:rFonts w:asciiTheme="minorHAnsi" w:hAnsiTheme="minorHAnsi" w:cstheme="minorHAnsi"/>
          <w:sz w:val="24"/>
          <w:szCs w:val="24"/>
        </w:rPr>
        <w:t>Glenfield</w:t>
      </w:r>
      <w:proofErr w:type="spellEnd"/>
      <w:r w:rsidRPr="00616ED9">
        <w:rPr>
          <w:rFonts w:asciiTheme="minorHAnsi" w:hAnsiTheme="minorHAnsi" w:cstheme="minorHAnsi"/>
          <w:sz w:val="24"/>
          <w:szCs w:val="24"/>
        </w:rPr>
        <w:t xml:space="preserve"> Hospital,</w:t>
      </w:r>
    </w:p>
    <w:p w:rsidR="001760E0" w:rsidRPr="00616ED9" w:rsidRDefault="001760E0" w:rsidP="001760E0">
      <w:pPr>
        <w:pStyle w:val="NoSpacing"/>
        <w:rPr>
          <w:rFonts w:asciiTheme="minorHAnsi" w:hAnsiTheme="minorHAnsi" w:cstheme="minorHAnsi"/>
          <w:sz w:val="24"/>
          <w:szCs w:val="24"/>
          <w:lang w:val="fr-FR"/>
        </w:rPr>
      </w:pPr>
      <w:r w:rsidRPr="00616ED9">
        <w:rPr>
          <w:rFonts w:asciiTheme="minorHAnsi" w:hAnsiTheme="minorHAnsi" w:cstheme="minorHAnsi"/>
          <w:sz w:val="24"/>
          <w:szCs w:val="24"/>
          <w:lang w:val="fr-FR"/>
        </w:rPr>
        <w:t xml:space="preserve">Leicester  </w:t>
      </w:r>
      <w:r w:rsidR="008A414C" w:rsidRPr="00616ED9">
        <w:rPr>
          <w:rFonts w:asciiTheme="minorHAnsi" w:hAnsiTheme="minorHAnsi" w:cstheme="minorHAnsi"/>
          <w:sz w:val="24"/>
          <w:szCs w:val="24"/>
        </w:rPr>
        <w:t>LE3 9QP</w:t>
      </w:r>
      <w:r w:rsidRPr="00616ED9">
        <w:rPr>
          <w:rFonts w:asciiTheme="minorHAnsi" w:hAnsiTheme="minorHAnsi" w:cstheme="minorHAnsi"/>
          <w:sz w:val="24"/>
          <w:szCs w:val="24"/>
          <w:lang w:val="fr-FR"/>
        </w:rPr>
        <w:t>,   UK</w:t>
      </w:r>
    </w:p>
    <w:p w:rsidR="001760E0" w:rsidRPr="00616ED9" w:rsidRDefault="001760E0" w:rsidP="001760E0">
      <w:pPr>
        <w:pStyle w:val="NoSpacing"/>
        <w:rPr>
          <w:rFonts w:asciiTheme="minorHAnsi" w:hAnsiTheme="minorHAnsi" w:cstheme="minorHAnsi"/>
          <w:sz w:val="24"/>
          <w:szCs w:val="24"/>
          <w:lang w:val="fr-FR"/>
        </w:rPr>
      </w:pPr>
      <w:r w:rsidRPr="00616ED9">
        <w:rPr>
          <w:rFonts w:asciiTheme="minorHAnsi" w:hAnsiTheme="minorHAnsi" w:cstheme="minorHAnsi"/>
          <w:sz w:val="24"/>
          <w:szCs w:val="24"/>
          <w:lang w:val="fr-FR"/>
        </w:rPr>
        <w:t>Phone:+44 116 25</w:t>
      </w:r>
      <w:r w:rsidR="008A414C" w:rsidRPr="00616ED9">
        <w:rPr>
          <w:rFonts w:asciiTheme="minorHAnsi" w:hAnsiTheme="minorHAnsi" w:cstheme="minorHAnsi"/>
          <w:sz w:val="24"/>
          <w:szCs w:val="24"/>
          <w:lang w:val="fr-FR"/>
        </w:rPr>
        <w:t>02449</w:t>
      </w:r>
      <w:r w:rsidRPr="00616ED9">
        <w:rPr>
          <w:rFonts w:asciiTheme="minorHAnsi" w:hAnsiTheme="minorHAnsi" w:cstheme="minorHAnsi"/>
          <w:sz w:val="24"/>
          <w:szCs w:val="24"/>
          <w:lang w:val="fr-FR"/>
        </w:rPr>
        <w:t xml:space="preserve"> ; </w:t>
      </w:r>
    </w:p>
    <w:p w:rsidR="001760E0" w:rsidRPr="00616ED9" w:rsidRDefault="001760E0" w:rsidP="001760E0">
      <w:pPr>
        <w:pStyle w:val="NoSpacing"/>
        <w:rPr>
          <w:rFonts w:asciiTheme="minorHAnsi" w:hAnsiTheme="minorHAnsi" w:cstheme="minorHAnsi"/>
          <w:sz w:val="24"/>
          <w:szCs w:val="24"/>
          <w:lang w:val="fr-FR"/>
        </w:rPr>
      </w:pPr>
      <w:proofErr w:type="gramStart"/>
      <w:r w:rsidRPr="00616ED9">
        <w:rPr>
          <w:rFonts w:asciiTheme="minorHAnsi" w:hAnsiTheme="minorHAnsi" w:cstheme="minorHAnsi"/>
          <w:sz w:val="24"/>
          <w:szCs w:val="24"/>
          <w:lang w:val="fr-FR"/>
        </w:rPr>
        <w:t>e-mail</w:t>
      </w:r>
      <w:proofErr w:type="gramEnd"/>
      <w:r w:rsidRPr="00616ED9">
        <w:rPr>
          <w:rFonts w:asciiTheme="minorHAnsi" w:hAnsiTheme="minorHAnsi" w:cstheme="minorHAnsi"/>
          <w:sz w:val="24"/>
          <w:szCs w:val="24"/>
          <w:lang w:val="fr-FR"/>
        </w:rPr>
        <w:t xml:space="preserve">: lln1@le.ac.uk </w:t>
      </w:r>
    </w:p>
    <w:p w:rsidR="001760E0" w:rsidRPr="00616ED9" w:rsidRDefault="001760E0" w:rsidP="001760E0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1760E0" w:rsidP="001760E0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304DA3">
        <w:rPr>
          <w:rFonts w:asciiTheme="minorHAnsi" w:hAnsiTheme="minorHAnsi" w:cstheme="minorHAnsi"/>
          <w:sz w:val="24"/>
          <w:szCs w:val="24"/>
        </w:rPr>
        <w:t xml:space="preserve">Word count : Abstract </w:t>
      </w:r>
      <w:r w:rsidR="00C91D07" w:rsidRPr="00304DA3">
        <w:rPr>
          <w:rFonts w:asciiTheme="minorHAnsi" w:hAnsiTheme="minorHAnsi" w:cstheme="minorHAnsi"/>
          <w:sz w:val="24"/>
          <w:szCs w:val="24"/>
        </w:rPr>
        <w:t>2</w:t>
      </w:r>
      <w:r w:rsidR="008F3141">
        <w:rPr>
          <w:rFonts w:asciiTheme="minorHAnsi" w:hAnsiTheme="minorHAnsi" w:cstheme="minorHAnsi"/>
          <w:sz w:val="24"/>
          <w:szCs w:val="24"/>
        </w:rPr>
        <w:t>4</w:t>
      </w:r>
      <w:r w:rsidR="000F3B9C">
        <w:rPr>
          <w:rFonts w:asciiTheme="minorHAnsi" w:hAnsiTheme="minorHAnsi" w:cstheme="minorHAnsi"/>
          <w:sz w:val="24"/>
          <w:szCs w:val="24"/>
        </w:rPr>
        <w:t>5</w:t>
      </w:r>
      <w:r w:rsidRPr="00304DA3">
        <w:rPr>
          <w:rFonts w:asciiTheme="minorHAnsi" w:hAnsiTheme="minorHAnsi" w:cstheme="minorHAnsi"/>
          <w:sz w:val="24"/>
          <w:szCs w:val="24"/>
        </w:rPr>
        <w:t xml:space="preserve">:   Main Text and References: </w:t>
      </w:r>
      <w:r w:rsidR="00F75301">
        <w:rPr>
          <w:rFonts w:asciiTheme="minorHAnsi" w:hAnsiTheme="minorHAnsi" w:cstheme="minorHAnsi"/>
          <w:sz w:val="24"/>
          <w:szCs w:val="24"/>
        </w:rPr>
        <w:t>4086</w:t>
      </w:r>
      <w:bookmarkStart w:id="0" w:name="_GoBack"/>
      <w:bookmarkEnd w:id="0"/>
    </w:p>
    <w:p w:rsidR="001760E0" w:rsidRPr="00616ED9" w:rsidRDefault="001760E0" w:rsidP="001760E0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br w:type="page"/>
      </w:r>
      <w:r w:rsidRPr="00616ED9">
        <w:rPr>
          <w:rFonts w:asciiTheme="minorHAnsi" w:hAnsiTheme="minorHAnsi" w:cstheme="minorHAnsi"/>
          <w:b/>
          <w:sz w:val="24"/>
          <w:szCs w:val="24"/>
        </w:rPr>
        <w:lastRenderedPageBreak/>
        <w:t>STRUCTURED ABSTRACT</w:t>
      </w:r>
    </w:p>
    <w:p w:rsidR="001760E0" w:rsidRPr="00616ED9" w:rsidRDefault="001760E0" w:rsidP="001760E0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E80713" w:rsidRPr="00E64B5D" w:rsidRDefault="00E80713" w:rsidP="00E64B5D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64B5D">
        <w:rPr>
          <w:rFonts w:asciiTheme="minorHAnsi" w:hAnsiTheme="minorHAnsi" w:cstheme="minorHAnsi"/>
          <w:b/>
          <w:sz w:val="24"/>
          <w:szCs w:val="24"/>
        </w:rPr>
        <w:t>Objectives</w:t>
      </w:r>
    </w:p>
    <w:p w:rsidR="00E80713" w:rsidRDefault="00E80713" w:rsidP="00E64B5D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We assessed whether pro-substance P </w:t>
      </w:r>
      <w:r w:rsidRPr="00616ED9">
        <w:rPr>
          <w:rFonts w:asciiTheme="minorHAnsi" w:hAnsiTheme="minorHAnsi" w:cstheme="minorHAnsi"/>
          <w:sz w:val="24"/>
          <w:szCs w:val="24"/>
        </w:rPr>
        <w:t>(</w:t>
      </w:r>
      <w:proofErr w:type="spellStart"/>
      <w:r>
        <w:rPr>
          <w:rFonts w:asciiTheme="minorHAnsi" w:hAnsiTheme="minorHAnsi" w:cstheme="minorHAnsi"/>
          <w:sz w:val="24"/>
          <w:szCs w:val="24"/>
        </w:rPr>
        <w:t>ProSP</w:t>
      </w:r>
      <w:proofErr w:type="spellEnd"/>
      <w:proofErr w:type="gramStart"/>
      <w:r>
        <w:rPr>
          <w:rFonts w:asciiTheme="minorHAnsi" w:hAnsiTheme="minorHAnsi" w:cstheme="minorHAnsi"/>
          <w:sz w:val="24"/>
          <w:szCs w:val="24"/>
        </w:rPr>
        <w:t>)was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associated with poor prognosis after </w:t>
      </w:r>
      <w:r w:rsidRPr="00616ED9">
        <w:rPr>
          <w:rFonts w:asciiTheme="minorHAnsi" w:hAnsiTheme="minorHAnsi" w:cstheme="minorHAnsi"/>
          <w:sz w:val="24"/>
          <w:szCs w:val="24"/>
        </w:rPr>
        <w:t>acute myocardial infarction(AMI)</w:t>
      </w:r>
      <w:r>
        <w:rPr>
          <w:rFonts w:asciiTheme="minorHAnsi" w:hAnsiTheme="minorHAnsi" w:cstheme="minorHAnsi"/>
          <w:sz w:val="24"/>
          <w:szCs w:val="24"/>
        </w:rPr>
        <w:t xml:space="preserve">, to identify novel </w:t>
      </w:r>
      <w:r w:rsidR="00C74ACB">
        <w:rPr>
          <w:rFonts w:asciiTheme="minorHAnsi" w:hAnsiTheme="minorHAnsi" w:cstheme="minorHAnsi"/>
          <w:sz w:val="24"/>
          <w:szCs w:val="24"/>
        </w:rPr>
        <w:t>pathophysiological mechanisms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E80713" w:rsidRDefault="00E80713" w:rsidP="00E64B5D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E80713" w:rsidRPr="00E64B5D" w:rsidRDefault="00E80713" w:rsidP="00E64B5D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64B5D">
        <w:rPr>
          <w:rFonts w:asciiTheme="minorHAnsi" w:hAnsiTheme="minorHAnsi" w:cstheme="minorHAnsi"/>
          <w:b/>
          <w:sz w:val="24"/>
          <w:szCs w:val="24"/>
        </w:rPr>
        <w:t xml:space="preserve">Background </w:t>
      </w:r>
    </w:p>
    <w:p w:rsidR="00E80713" w:rsidRDefault="00E80713" w:rsidP="00E64B5D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616ED9">
        <w:rPr>
          <w:rFonts w:asciiTheme="minorHAnsi" w:hAnsiTheme="minorHAnsi" w:cstheme="minorHAnsi"/>
          <w:sz w:val="24"/>
          <w:szCs w:val="24"/>
        </w:rPr>
        <w:t xml:space="preserve"> is a stable </w:t>
      </w:r>
      <w:r w:rsidR="0098223B">
        <w:rPr>
          <w:rFonts w:asciiTheme="minorHAnsi" w:hAnsiTheme="minorHAnsi" w:cstheme="minorHAnsi"/>
          <w:sz w:val="24"/>
          <w:szCs w:val="24"/>
        </w:rPr>
        <w:t xml:space="preserve">surrogate marker for </w:t>
      </w:r>
      <w:r w:rsidRPr="00616ED9">
        <w:rPr>
          <w:rFonts w:asciiTheme="minorHAnsi" w:hAnsiTheme="minorHAnsi" w:cstheme="minorHAnsi"/>
          <w:sz w:val="24"/>
          <w:szCs w:val="24"/>
        </w:rPr>
        <w:t xml:space="preserve">labile </w:t>
      </w:r>
      <w:r>
        <w:rPr>
          <w:rFonts w:asciiTheme="minorHAnsi" w:hAnsiTheme="minorHAnsi" w:cstheme="minorHAnsi"/>
          <w:sz w:val="24"/>
          <w:szCs w:val="24"/>
        </w:rPr>
        <w:t>substance P (SP). Substance P (SP) has pro-inflammatory effects, increases platelet aggregation and clot strength, and reduces fibrinolysis.</w:t>
      </w:r>
    </w:p>
    <w:p w:rsidR="00E80713" w:rsidRPr="00616ED9" w:rsidRDefault="00E80713" w:rsidP="00E64B5D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E80713" w:rsidRPr="00E64B5D" w:rsidRDefault="00E80713" w:rsidP="00E64B5D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64B5D">
        <w:rPr>
          <w:rFonts w:asciiTheme="minorHAnsi" w:hAnsiTheme="minorHAnsi" w:cstheme="minorHAnsi"/>
          <w:b/>
          <w:sz w:val="24"/>
          <w:szCs w:val="24"/>
        </w:rPr>
        <w:t>Methods</w:t>
      </w:r>
    </w:p>
    <w:p w:rsidR="00E80713" w:rsidRPr="00616ED9" w:rsidRDefault="00E80713" w:rsidP="00E64B5D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ProSP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was measured in 1148</w:t>
      </w:r>
      <w:r w:rsidRPr="00616ED9">
        <w:rPr>
          <w:rFonts w:asciiTheme="minorHAnsi" w:hAnsiTheme="minorHAnsi" w:cstheme="minorHAnsi"/>
          <w:sz w:val="24"/>
          <w:szCs w:val="24"/>
        </w:rPr>
        <w:t xml:space="preserve"> (82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616ED9">
        <w:rPr>
          <w:rFonts w:asciiTheme="minorHAnsi" w:hAnsiTheme="minorHAnsi" w:cstheme="minorHAnsi"/>
          <w:sz w:val="24"/>
          <w:szCs w:val="24"/>
        </w:rPr>
        <w:t xml:space="preserve"> male, mean age </w:t>
      </w:r>
      <w:r w:rsidRPr="00794645">
        <w:rPr>
          <w:rFonts w:asciiTheme="minorHAnsi" w:hAnsiTheme="minorHAnsi" w:cstheme="minorHAnsi"/>
          <w:bCs/>
          <w:sz w:val="24"/>
          <w:szCs w:val="24"/>
        </w:rPr>
        <w:t>66.2 ± 12.8</w:t>
      </w:r>
      <w:r w:rsidRPr="00616ED9">
        <w:rPr>
          <w:rFonts w:asciiTheme="minorHAnsi" w:hAnsiTheme="minorHAnsi" w:cstheme="minorHAnsi"/>
          <w:sz w:val="24"/>
          <w:szCs w:val="24"/>
        </w:rPr>
        <w:t xml:space="preserve">years) AMI patients. Endpoints were major adverse events (composite of death, </w:t>
      </w:r>
      <w:r w:rsidR="008F7B12">
        <w:rPr>
          <w:rFonts w:asciiTheme="minorHAnsi" w:hAnsiTheme="minorHAnsi" w:cstheme="minorHAnsi"/>
          <w:sz w:val="24"/>
          <w:szCs w:val="24"/>
        </w:rPr>
        <w:t>re-AMI</w:t>
      </w:r>
      <w:r w:rsidRPr="00616ED9">
        <w:rPr>
          <w:rFonts w:asciiTheme="minorHAnsi" w:hAnsiTheme="minorHAnsi" w:cstheme="minorHAnsi"/>
          <w:sz w:val="24"/>
          <w:szCs w:val="24"/>
        </w:rPr>
        <w:t xml:space="preserve">, heart </w:t>
      </w:r>
      <w:proofErr w:type="gramStart"/>
      <w:r>
        <w:rPr>
          <w:rFonts w:asciiTheme="minorHAnsi" w:hAnsiTheme="minorHAnsi" w:cstheme="minorHAnsi"/>
          <w:sz w:val="24"/>
          <w:szCs w:val="24"/>
        </w:rPr>
        <w:t>failure(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HF) </w:t>
      </w:r>
      <w:r w:rsidR="00905378">
        <w:rPr>
          <w:rFonts w:asciiTheme="minorHAnsi" w:hAnsiTheme="minorHAnsi" w:cstheme="minorHAnsi"/>
          <w:sz w:val="24"/>
          <w:szCs w:val="24"/>
        </w:rPr>
        <w:t>hospitalization</w:t>
      </w:r>
      <w:r>
        <w:rPr>
          <w:rFonts w:asciiTheme="minorHAnsi" w:hAnsiTheme="minorHAnsi" w:cstheme="minorHAnsi"/>
          <w:sz w:val="24"/>
          <w:szCs w:val="24"/>
        </w:rPr>
        <w:t>), death/</w:t>
      </w:r>
      <w:r w:rsidR="008F7B12">
        <w:rPr>
          <w:rFonts w:asciiTheme="minorHAnsi" w:hAnsiTheme="minorHAnsi" w:cstheme="minorHAnsi"/>
          <w:sz w:val="24"/>
          <w:szCs w:val="24"/>
        </w:rPr>
        <w:t>re-AMI</w:t>
      </w:r>
      <w:r>
        <w:rPr>
          <w:rFonts w:asciiTheme="minorHAnsi" w:hAnsiTheme="minorHAnsi" w:cstheme="minorHAnsi"/>
          <w:sz w:val="24"/>
          <w:szCs w:val="24"/>
        </w:rPr>
        <w:t xml:space="preserve"> and death/HF</w:t>
      </w:r>
      <w:r w:rsidRPr="00616ED9">
        <w:rPr>
          <w:rFonts w:asciiTheme="minorHAnsi" w:hAnsiTheme="minorHAnsi" w:cstheme="minorHAnsi"/>
          <w:sz w:val="24"/>
          <w:szCs w:val="24"/>
        </w:rPr>
        <w:t>.  GRACE scor</w:t>
      </w:r>
      <w:r>
        <w:rPr>
          <w:rFonts w:asciiTheme="minorHAnsi" w:hAnsiTheme="minorHAnsi" w:cstheme="minorHAnsi"/>
          <w:sz w:val="24"/>
          <w:szCs w:val="24"/>
        </w:rPr>
        <w:t xml:space="preserve">es were compared </w:t>
      </w:r>
      <w:r w:rsidRPr="00616ED9">
        <w:rPr>
          <w:rFonts w:asciiTheme="minorHAnsi" w:hAnsiTheme="minorHAnsi" w:cstheme="minorHAnsi"/>
          <w:sz w:val="24"/>
          <w:szCs w:val="24"/>
        </w:rPr>
        <w:t xml:space="preserve">with </w:t>
      </w:r>
      <w:proofErr w:type="spellStart"/>
      <w:r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616ED9">
        <w:rPr>
          <w:rFonts w:asciiTheme="minorHAnsi" w:hAnsiTheme="minorHAnsi" w:cstheme="minorHAnsi"/>
          <w:sz w:val="24"/>
          <w:szCs w:val="24"/>
        </w:rPr>
        <w:t xml:space="preserve"> for the death and/or </w:t>
      </w:r>
      <w:r w:rsidR="008F7B12">
        <w:rPr>
          <w:rFonts w:asciiTheme="minorHAnsi" w:hAnsiTheme="minorHAnsi" w:cstheme="minorHAnsi"/>
          <w:sz w:val="24"/>
          <w:szCs w:val="24"/>
        </w:rPr>
        <w:t>re-AMI</w:t>
      </w:r>
      <w:r w:rsidRPr="00616ED9">
        <w:rPr>
          <w:rFonts w:asciiTheme="minorHAnsi" w:hAnsiTheme="minorHAnsi" w:cstheme="minorHAnsi"/>
          <w:sz w:val="24"/>
          <w:szCs w:val="24"/>
        </w:rPr>
        <w:t xml:space="preserve"> endpoint at 6 months. </w:t>
      </w:r>
    </w:p>
    <w:p w:rsidR="00E80713" w:rsidRPr="00616ED9" w:rsidRDefault="00E80713" w:rsidP="00E64B5D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E80713" w:rsidRPr="00E64B5D" w:rsidRDefault="00E80713" w:rsidP="00E64B5D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64B5D">
        <w:rPr>
          <w:rFonts w:asciiTheme="minorHAnsi" w:hAnsiTheme="minorHAnsi" w:cstheme="minorHAnsi"/>
          <w:b/>
          <w:sz w:val="24"/>
          <w:szCs w:val="24"/>
        </w:rPr>
        <w:t>Results</w:t>
      </w:r>
    </w:p>
    <w:p w:rsidR="00E80713" w:rsidRPr="0056179B" w:rsidRDefault="00E80713" w:rsidP="00E64B5D">
      <w:pPr>
        <w:pStyle w:val="NoSpacing"/>
        <w:spacing w:line="480" w:lineRule="auto"/>
        <w:rPr>
          <w:rFonts w:asciiTheme="minorHAnsi" w:hAnsiTheme="minorHAnsi" w:cstheme="minorHAnsi"/>
          <w:color w:val="FF0000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 xml:space="preserve">During </w:t>
      </w:r>
      <w:r>
        <w:rPr>
          <w:rFonts w:asciiTheme="minorHAnsi" w:hAnsiTheme="minorHAnsi" w:cstheme="minorHAnsi"/>
          <w:sz w:val="24"/>
          <w:szCs w:val="24"/>
        </w:rPr>
        <w:t xml:space="preserve">2 years </w:t>
      </w:r>
      <w:r w:rsidRPr="00616ED9">
        <w:rPr>
          <w:rFonts w:asciiTheme="minorHAnsi" w:hAnsiTheme="minorHAnsi" w:cstheme="minorHAnsi"/>
          <w:sz w:val="24"/>
          <w:szCs w:val="24"/>
        </w:rPr>
        <w:t>follow-up</w:t>
      </w:r>
      <w:r>
        <w:rPr>
          <w:rFonts w:asciiTheme="minorHAnsi" w:hAnsiTheme="minorHAnsi" w:cstheme="minorHAnsi"/>
          <w:sz w:val="24"/>
          <w:szCs w:val="24"/>
        </w:rPr>
        <w:t>, endpoints were 140</w:t>
      </w:r>
      <w:r w:rsidR="00C46A3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deaths</w:t>
      </w:r>
      <w:r w:rsidRPr="00616ED9">
        <w:rPr>
          <w:rFonts w:asciiTheme="minorHAnsi" w:hAnsiTheme="minorHAnsi" w:cstheme="minorHAnsi"/>
          <w:sz w:val="24"/>
          <w:szCs w:val="24"/>
        </w:rPr>
        <w:t xml:space="preserve">, 112 HF hospitalisations and </w:t>
      </w:r>
      <w:proofErr w:type="gramStart"/>
      <w:r w:rsidRPr="00616ED9">
        <w:rPr>
          <w:rFonts w:asciiTheme="minorHAnsi" w:hAnsiTheme="minorHAnsi" w:cstheme="minorHAnsi"/>
          <w:sz w:val="24"/>
          <w:szCs w:val="24"/>
        </w:rPr>
        <w:t>149 re</w:t>
      </w:r>
      <w:r w:rsidR="00C46A3F">
        <w:rPr>
          <w:rFonts w:asciiTheme="minorHAnsi" w:hAnsiTheme="minorHAnsi" w:cstheme="minorHAnsi"/>
          <w:sz w:val="24"/>
          <w:szCs w:val="24"/>
        </w:rPr>
        <w:t>-</w:t>
      </w:r>
      <w:r w:rsidRPr="00616ED9">
        <w:rPr>
          <w:rFonts w:asciiTheme="minorHAnsi" w:hAnsiTheme="minorHAnsi" w:cstheme="minorHAnsi"/>
          <w:sz w:val="24"/>
          <w:szCs w:val="24"/>
        </w:rPr>
        <w:t>AMIs</w:t>
      </w:r>
      <w:proofErr w:type="gramEnd"/>
      <w:r w:rsidRPr="00616ED9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616ED9">
        <w:rPr>
          <w:rFonts w:asciiTheme="minorHAnsi" w:hAnsiTheme="minorHAnsi" w:cstheme="minorHAnsi"/>
          <w:sz w:val="24"/>
          <w:szCs w:val="24"/>
        </w:rPr>
        <w:t xml:space="preserve"> levels were highest on </w:t>
      </w:r>
      <w:r>
        <w:rPr>
          <w:rFonts w:asciiTheme="minorHAnsi" w:hAnsiTheme="minorHAnsi" w:cstheme="minorHAnsi"/>
          <w:sz w:val="24"/>
          <w:szCs w:val="24"/>
        </w:rPr>
        <w:t xml:space="preserve">the first 2 days following </w:t>
      </w:r>
      <w:r w:rsidRPr="00616ED9">
        <w:rPr>
          <w:rFonts w:asciiTheme="minorHAnsi" w:hAnsiTheme="minorHAnsi" w:cstheme="minorHAnsi"/>
          <w:sz w:val="24"/>
          <w:szCs w:val="24"/>
        </w:rPr>
        <w:t xml:space="preserve">admission and related to </w:t>
      </w:r>
      <w:proofErr w:type="spellStart"/>
      <w:r w:rsidRPr="00616ED9">
        <w:rPr>
          <w:rFonts w:asciiTheme="minorHAnsi" w:hAnsiTheme="minorHAnsi" w:cstheme="minorHAnsi"/>
          <w:sz w:val="24"/>
          <w:szCs w:val="24"/>
        </w:rPr>
        <w:t>eGFR</w:t>
      </w:r>
      <w:proofErr w:type="spellEnd"/>
      <w:r w:rsidRPr="00616ED9">
        <w:rPr>
          <w:rFonts w:asciiTheme="minorHAnsi" w:hAnsiTheme="minorHAnsi" w:cstheme="minorHAnsi"/>
          <w:sz w:val="24"/>
          <w:szCs w:val="24"/>
        </w:rPr>
        <w:t xml:space="preserve">, </w:t>
      </w:r>
      <w:r>
        <w:rPr>
          <w:rFonts w:asciiTheme="minorHAnsi" w:hAnsiTheme="minorHAnsi" w:cstheme="minorHAnsi"/>
          <w:sz w:val="24"/>
          <w:szCs w:val="24"/>
        </w:rPr>
        <w:t xml:space="preserve">age, history of diabetes, IHD or hypertension, </w:t>
      </w:r>
      <w:proofErr w:type="spellStart"/>
      <w:r>
        <w:rPr>
          <w:rFonts w:asciiTheme="minorHAnsi" w:hAnsiTheme="minorHAnsi" w:cstheme="minorHAnsi"/>
          <w:sz w:val="24"/>
          <w:szCs w:val="24"/>
        </w:rPr>
        <w:t>Killip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class, LV wall motion index and </w:t>
      </w:r>
      <w:r w:rsidR="00746D8B">
        <w:rPr>
          <w:rFonts w:asciiTheme="minorHAnsi" w:hAnsiTheme="minorHAnsi" w:cstheme="minorHAnsi"/>
          <w:sz w:val="24"/>
          <w:szCs w:val="24"/>
        </w:rPr>
        <w:t>sex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616ED9">
        <w:rPr>
          <w:rFonts w:asciiTheme="minorHAnsi" w:hAnsiTheme="minorHAnsi" w:cstheme="minorHAnsi"/>
          <w:sz w:val="24"/>
          <w:szCs w:val="24"/>
        </w:rPr>
        <w:t xml:space="preserve"> Multivariate Cox regression models showed </w:t>
      </w:r>
      <w:proofErr w:type="spellStart"/>
      <w:r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616ED9">
        <w:rPr>
          <w:rFonts w:asciiTheme="minorHAnsi" w:hAnsiTheme="minorHAnsi" w:cstheme="minorHAnsi"/>
          <w:sz w:val="24"/>
          <w:szCs w:val="24"/>
        </w:rPr>
        <w:t xml:space="preserve"> level was a predictor of major adverse </w:t>
      </w:r>
      <w:r w:rsidRPr="000F3B9C">
        <w:rPr>
          <w:rFonts w:asciiTheme="minorHAnsi" w:hAnsiTheme="minorHAnsi" w:cstheme="minorHAnsi"/>
          <w:sz w:val="24"/>
          <w:szCs w:val="24"/>
        </w:rPr>
        <w:t>events (hazard ratio HR 1.</w:t>
      </w:r>
      <w:r w:rsidR="0056179B" w:rsidRPr="000F3B9C">
        <w:rPr>
          <w:rFonts w:asciiTheme="minorHAnsi" w:hAnsiTheme="minorHAnsi" w:cstheme="minorHAnsi"/>
          <w:sz w:val="24"/>
          <w:szCs w:val="24"/>
        </w:rPr>
        <w:t>30</w:t>
      </w:r>
      <w:r w:rsidRPr="000F3B9C">
        <w:rPr>
          <w:rFonts w:asciiTheme="minorHAnsi" w:hAnsiTheme="minorHAnsi" w:cstheme="minorHAnsi"/>
          <w:sz w:val="24"/>
          <w:szCs w:val="24"/>
        </w:rPr>
        <w:t>(95%CI 1.</w:t>
      </w:r>
      <w:r w:rsidR="0056179B" w:rsidRPr="000F3B9C">
        <w:rPr>
          <w:rFonts w:asciiTheme="minorHAnsi" w:hAnsiTheme="minorHAnsi" w:cstheme="minorHAnsi"/>
          <w:sz w:val="24"/>
          <w:szCs w:val="24"/>
        </w:rPr>
        <w:t>10</w:t>
      </w:r>
      <w:r w:rsidRPr="000F3B9C">
        <w:rPr>
          <w:rFonts w:asciiTheme="minorHAnsi" w:hAnsiTheme="minorHAnsi" w:cstheme="minorHAnsi"/>
          <w:sz w:val="24"/>
          <w:szCs w:val="24"/>
        </w:rPr>
        <w:t>-1.</w:t>
      </w:r>
      <w:r w:rsidR="0056179B" w:rsidRPr="000F3B9C">
        <w:rPr>
          <w:rFonts w:asciiTheme="minorHAnsi" w:hAnsiTheme="minorHAnsi" w:cstheme="minorHAnsi"/>
          <w:sz w:val="24"/>
          <w:szCs w:val="24"/>
        </w:rPr>
        <w:t>54</w:t>
      </w:r>
      <w:proofErr w:type="gramStart"/>
      <w:r w:rsidRPr="000F3B9C">
        <w:rPr>
          <w:rFonts w:asciiTheme="minorHAnsi" w:hAnsiTheme="minorHAnsi" w:cstheme="minorHAnsi"/>
          <w:sz w:val="24"/>
          <w:szCs w:val="24"/>
        </w:rPr>
        <w:t>,p</w:t>
      </w:r>
      <w:proofErr w:type="gramEnd"/>
      <w:r w:rsidRPr="000F3B9C">
        <w:rPr>
          <w:rFonts w:asciiTheme="minorHAnsi" w:hAnsiTheme="minorHAnsi" w:cstheme="minorHAnsi"/>
          <w:sz w:val="24"/>
          <w:szCs w:val="24"/>
        </w:rPr>
        <w:t>&lt;0.0</w:t>
      </w:r>
      <w:r w:rsidR="0056179B" w:rsidRPr="000F3B9C">
        <w:rPr>
          <w:rFonts w:asciiTheme="minorHAnsi" w:hAnsiTheme="minorHAnsi" w:cstheme="minorHAnsi"/>
          <w:sz w:val="24"/>
          <w:szCs w:val="24"/>
        </w:rPr>
        <w:t>02</w:t>
      </w:r>
      <w:r w:rsidRPr="000F3B9C">
        <w:rPr>
          <w:rFonts w:asciiTheme="minorHAnsi" w:hAnsiTheme="minorHAnsi" w:cstheme="minorHAnsi"/>
          <w:sz w:val="24"/>
          <w:szCs w:val="24"/>
        </w:rPr>
        <w:t>)), death and/or AMI (HR 1.</w:t>
      </w:r>
      <w:r w:rsidR="0056179B" w:rsidRPr="000F3B9C">
        <w:rPr>
          <w:rFonts w:asciiTheme="minorHAnsi" w:hAnsiTheme="minorHAnsi" w:cstheme="minorHAnsi"/>
          <w:sz w:val="24"/>
          <w:szCs w:val="24"/>
        </w:rPr>
        <w:t>42</w:t>
      </w:r>
      <w:r w:rsidRPr="000F3B9C">
        <w:rPr>
          <w:rFonts w:asciiTheme="minorHAnsi" w:hAnsiTheme="minorHAnsi" w:cstheme="minorHAnsi"/>
          <w:sz w:val="24"/>
          <w:szCs w:val="24"/>
        </w:rPr>
        <w:t>(1.</w:t>
      </w:r>
      <w:r w:rsidR="0056179B" w:rsidRPr="000F3B9C">
        <w:rPr>
          <w:rFonts w:asciiTheme="minorHAnsi" w:hAnsiTheme="minorHAnsi" w:cstheme="minorHAnsi"/>
          <w:sz w:val="24"/>
          <w:szCs w:val="24"/>
        </w:rPr>
        <w:t>20</w:t>
      </w:r>
      <w:r w:rsidRPr="000F3B9C">
        <w:rPr>
          <w:rFonts w:asciiTheme="minorHAnsi" w:hAnsiTheme="minorHAnsi" w:cstheme="minorHAnsi"/>
          <w:sz w:val="24"/>
          <w:szCs w:val="24"/>
        </w:rPr>
        <w:t>-1.6</w:t>
      </w:r>
      <w:r w:rsidR="0056179B" w:rsidRPr="000F3B9C">
        <w:rPr>
          <w:rFonts w:asciiTheme="minorHAnsi" w:hAnsiTheme="minorHAnsi" w:cstheme="minorHAnsi"/>
          <w:sz w:val="24"/>
          <w:szCs w:val="24"/>
        </w:rPr>
        <w:t>8</w:t>
      </w:r>
      <w:r w:rsidRPr="000F3B9C">
        <w:rPr>
          <w:rFonts w:asciiTheme="minorHAnsi" w:hAnsiTheme="minorHAnsi" w:cstheme="minorHAnsi"/>
          <w:sz w:val="24"/>
          <w:szCs w:val="24"/>
        </w:rPr>
        <w:t>,p&lt;0.0005)), death and/or HF (HR 1.</w:t>
      </w:r>
      <w:r w:rsidR="0056179B" w:rsidRPr="000F3B9C">
        <w:rPr>
          <w:rFonts w:asciiTheme="minorHAnsi" w:hAnsiTheme="minorHAnsi" w:cstheme="minorHAnsi"/>
          <w:sz w:val="24"/>
          <w:szCs w:val="24"/>
        </w:rPr>
        <w:t>38</w:t>
      </w:r>
      <w:r w:rsidRPr="000F3B9C">
        <w:rPr>
          <w:rFonts w:asciiTheme="minorHAnsi" w:hAnsiTheme="minorHAnsi" w:cstheme="minorHAnsi"/>
          <w:sz w:val="24"/>
          <w:szCs w:val="24"/>
        </w:rPr>
        <w:t>(1.</w:t>
      </w:r>
      <w:r w:rsidR="0056179B" w:rsidRPr="000F3B9C">
        <w:rPr>
          <w:rFonts w:asciiTheme="minorHAnsi" w:hAnsiTheme="minorHAnsi" w:cstheme="minorHAnsi"/>
          <w:sz w:val="24"/>
          <w:szCs w:val="24"/>
        </w:rPr>
        <w:t>14</w:t>
      </w:r>
      <w:r w:rsidRPr="000F3B9C">
        <w:rPr>
          <w:rFonts w:asciiTheme="minorHAnsi" w:hAnsiTheme="minorHAnsi" w:cstheme="minorHAnsi"/>
          <w:sz w:val="24"/>
          <w:szCs w:val="24"/>
        </w:rPr>
        <w:t>-1.</w:t>
      </w:r>
      <w:r w:rsidR="0056179B" w:rsidRPr="000F3B9C">
        <w:rPr>
          <w:rFonts w:asciiTheme="minorHAnsi" w:hAnsiTheme="minorHAnsi" w:cstheme="minorHAnsi"/>
          <w:sz w:val="24"/>
          <w:szCs w:val="24"/>
        </w:rPr>
        <w:t>67</w:t>
      </w:r>
      <w:r w:rsidRPr="000F3B9C">
        <w:rPr>
          <w:rFonts w:asciiTheme="minorHAnsi" w:hAnsiTheme="minorHAnsi" w:cstheme="minorHAnsi"/>
          <w:sz w:val="24"/>
          <w:szCs w:val="24"/>
        </w:rPr>
        <w:t>,p&lt;0.00</w:t>
      </w:r>
      <w:r w:rsidR="0056179B" w:rsidRPr="000F3B9C">
        <w:rPr>
          <w:rFonts w:asciiTheme="minorHAnsi" w:hAnsiTheme="minorHAnsi" w:cstheme="minorHAnsi"/>
          <w:sz w:val="24"/>
          <w:szCs w:val="24"/>
        </w:rPr>
        <w:t>1</w:t>
      </w:r>
      <w:r w:rsidRPr="000F3B9C">
        <w:rPr>
          <w:rFonts w:asciiTheme="minorHAnsi" w:hAnsiTheme="minorHAnsi" w:cstheme="minorHAnsi"/>
          <w:sz w:val="24"/>
          <w:szCs w:val="24"/>
        </w:rPr>
        <w:t xml:space="preserve">)). </w:t>
      </w:r>
      <w:proofErr w:type="spellStart"/>
      <w:r w:rsidRPr="000F3B9C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0F3B9C">
        <w:rPr>
          <w:rFonts w:asciiTheme="minorHAnsi" w:hAnsiTheme="minorHAnsi" w:cstheme="minorHAnsi"/>
          <w:sz w:val="24"/>
          <w:szCs w:val="24"/>
        </w:rPr>
        <w:t xml:space="preserve"> levels were </w:t>
      </w:r>
      <w:r w:rsidRPr="000F3B9C">
        <w:rPr>
          <w:rFonts w:asciiTheme="minorHAnsi" w:hAnsiTheme="minorHAnsi" w:cstheme="minorHAnsi"/>
          <w:sz w:val="24"/>
          <w:szCs w:val="24"/>
        </w:rPr>
        <w:lastRenderedPageBreak/>
        <w:t xml:space="preserve">independent predictors of 6 month death and/or </w:t>
      </w:r>
      <w:r w:rsidR="008F7B12" w:rsidRPr="000F3B9C">
        <w:rPr>
          <w:rFonts w:asciiTheme="minorHAnsi" w:hAnsiTheme="minorHAnsi" w:cstheme="minorHAnsi"/>
          <w:sz w:val="24"/>
          <w:szCs w:val="24"/>
        </w:rPr>
        <w:t>re-AMI</w:t>
      </w:r>
      <w:r w:rsidR="001148D0" w:rsidRPr="000F3B9C">
        <w:rPr>
          <w:rFonts w:asciiTheme="minorHAnsi" w:hAnsiTheme="minorHAnsi" w:cstheme="minorHAnsi"/>
          <w:sz w:val="24"/>
          <w:szCs w:val="24"/>
        </w:rPr>
        <w:t xml:space="preserve"> </w:t>
      </w:r>
      <w:r w:rsidRPr="000F3B9C">
        <w:rPr>
          <w:rFonts w:asciiTheme="minorHAnsi" w:hAnsiTheme="minorHAnsi" w:cstheme="minorHAnsi"/>
          <w:sz w:val="24"/>
          <w:szCs w:val="24"/>
        </w:rPr>
        <w:t xml:space="preserve">together with GRACE </w:t>
      </w:r>
      <w:proofErr w:type="gramStart"/>
      <w:r w:rsidRPr="000F3B9C">
        <w:rPr>
          <w:rFonts w:asciiTheme="minorHAnsi" w:hAnsiTheme="minorHAnsi" w:cstheme="minorHAnsi"/>
          <w:sz w:val="24"/>
          <w:szCs w:val="24"/>
        </w:rPr>
        <w:t>scores(</w:t>
      </w:r>
      <w:proofErr w:type="gramEnd"/>
      <w:r w:rsidRPr="000F3B9C">
        <w:rPr>
          <w:rFonts w:asciiTheme="minorHAnsi" w:hAnsiTheme="minorHAnsi" w:cstheme="minorHAnsi"/>
          <w:sz w:val="24"/>
          <w:szCs w:val="24"/>
        </w:rPr>
        <w:t xml:space="preserve">p&lt;0.0005 for both). </w:t>
      </w:r>
      <w:proofErr w:type="spellStart"/>
      <w:r w:rsidRPr="000F3B9C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0F3B9C">
        <w:rPr>
          <w:rFonts w:asciiTheme="minorHAnsi" w:hAnsiTheme="minorHAnsi" w:cstheme="minorHAnsi"/>
          <w:sz w:val="24"/>
          <w:szCs w:val="24"/>
        </w:rPr>
        <w:t xml:space="preserve">-adjusted GRACE scores reclassified patients significantly (overall category-free net reclassification improvement NRI (&gt;0) of 31.6(95%CI 14.3-49.0, P&lt;0.0005)) mainly by </w:t>
      </w:r>
      <w:proofErr w:type="spellStart"/>
      <w:r w:rsidRPr="000F3B9C">
        <w:rPr>
          <w:rFonts w:asciiTheme="minorHAnsi" w:hAnsiTheme="minorHAnsi" w:cstheme="minorHAnsi"/>
          <w:sz w:val="24"/>
          <w:szCs w:val="24"/>
        </w:rPr>
        <w:t>downclassifying</w:t>
      </w:r>
      <w:proofErr w:type="spellEnd"/>
      <w:r w:rsidRPr="000F3B9C">
        <w:rPr>
          <w:rFonts w:asciiTheme="minorHAnsi" w:hAnsiTheme="minorHAnsi" w:cstheme="minorHAnsi"/>
          <w:sz w:val="24"/>
          <w:szCs w:val="24"/>
        </w:rPr>
        <w:t xml:space="preserve"> those without endpoints.</w:t>
      </w:r>
      <w:r w:rsidRPr="0056179B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:rsidR="00E80713" w:rsidRPr="00616ED9" w:rsidRDefault="00E80713" w:rsidP="00E64B5D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E80713" w:rsidRPr="00E64B5D" w:rsidRDefault="00E80713" w:rsidP="00E64B5D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64B5D">
        <w:rPr>
          <w:rFonts w:asciiTheme="minorHAnsi" w:hAnsiTheme="minorHAnsi" w:cstheme="minorHAnsi"/>
          <w:b/>
          <w:sz w:val="24"/>
          <w:szCs w:val="24"/>
        </w:rPr>
        <w:t>Conclusions</w:t>
      </w:r>
    </w:p>
    <w:p w:rsidR="00E80713" w:rsidRPr="000F3B9C" w:rsidRDefault="00E80713" w:rsidP="00E64B5D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616ED9">
        <w:rPr>
          <w:rFonts w:asciiTheme="minorHAnsi" w:hAnsiTheme="minorHAnsi" w:cstheme="minorHAnsi"/>
          <w:sz w:val="24"/>
          <w:szCs w:val="24"/>
        </w:rPr>
        <w:t xml:space="preserve"> levels post-AMI </w:t>
      </w:r>
      <w:proofErr w:type="gramStart"/>
      <w:r w:rsidRPr="00616ED9">
        <w:rPr>
          <w:rFonts w:asciiTheme="minorHAnsi" w:hAnsiTheme="minorHAnsi" w:cstheme="minorHAnsi"/>
          <w:sz w:val="24"/>
          <w:szCs w:val="24"/>
        </w:rPr>
        <w:t>are</w:t>
      </w:r>
      <w:proofErr w:type="gramEnd"/>
      <w:r w:rsidRPr="00616ED9">
        <w:rPr>
          <w:rFonts w:asciiTheme="minorHAnsi" w:hAnsiTheme="minorHAnsi" w:cstheme="minorHAnsi"/>
          <w:sz w:val="24"/>
          <w:szCs w:val="24"/>
        </w:rPr>
        <w:t xml:space="preserve"> prognostic for death, recurrent AMI or HF</w:t>
      </w:r>
      <w:r>
        <w:rPr>
          <w:rFonts w:asciiTheme="minorHAnsi" w:hAnsiTheme="minorHAnsi" w:cstheme="minorHAnsi"/>
          <w:sz w:val="24"/>
          <w:szCs w:val="24"/>
        </w:rPr>
        <w:t xml:space="preserve"> and</w:t>
      </w:r>
      <w:r w:rsidRPr="00616ED9">
        <w:rPr>
          <w:rFonts w:asciiTheme="minorHAnsi" w:hAnsiTheme="minorHAnsi" w:cstheme="minorHAnsi"/>
          <w:sz w:val="24"/>
          <w:szCs w:val="24"/>
        </w:rPr>
        <w:t xml:space="preserve"> improve risk prediction of GRACE scores</w:t>
      </w:r>
      <w:r>
        <w:rPr>
          <w:rFonts w:asciiTheme="minorHAnsi" w:hAnsiTheme="minorHAnsi" w:cstheme="minorHAnsi"/>
          <w:sz w:val="24"/>
          <w:szCs w:val="24"/>
        </w:rPr>
        <w:t xml:space="preserve"> predominantly by </w:t>
      </w:r>
      <w:proofErr w:type="spellStart"/>
      <w:r>
        <w:rPr>
          <w:rFonts w:asciiTheme="minorHAnsi" w:hAnsiTheme="minorHAnsi" w:cstheme="minorHAnsi"/>
          <w:sz w:val="24"/>
          <w:szCs w:val="24"/>
        </w:rPr>
        <w:t>downclassifying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risk in those without events</w:t>
      </w:r>
      <w:r w:rsidRPr="00616ED9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F3B9C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Pr="000F3B9C">
        <w:rPr>
          <w:rFonts w:asciiTheme="minorHAnsi" w:hAnsiTheme="minorHAnsi" w:cstheme="minorHAnsi"/>
          <w:sz w:val="24"/>
          <w:szCs w:val="24"/>
        </w:rPr>
        <w:t>tachykinin</w:t>
      </w:r>
      <w:proofErr w:type="spellEnd"/>
      <w:r w:rsidRPr="000F3B9C">
        <w:rPr>
          <w:rFonts w:asciiTheme="minorHAnsi" w:hAnsiTheme="minorHAnsi" w:cstheme="minorHAnsi"/>
          <w:sz w:val="24"/>
          <w:szCs w:val="24"/>
        </w:rPr>
        <w:t xml:space="preserve"> system may be </w:t>
      </w:r>
      <w:r w:rsidR="001148D0" w:rsidRPr="000F3B9C">
        <w:rPr>
          <w:rFonts w:asciiTheme="minorHAnsi" w:hAnsiTheme="minorHAnsi" w:cstheme="minorHAnsi"/>
          <w:sz w:val="24"/>
          <w:szCs w:val="24"/>
        </w:rPr>
        <w:t>important in determining outcomes</w:t>
      </w:r>
      <w:r w:rsidRPr="000F3B9C">
        <w:rPr>
          <w:rFonts w:asciiTheme="minorHAnsi" w:hAnsiTheme="minorHAnsi" w:cstheme="minorHAnsi"/>
          <w:sz w:val="24"/>
          <w:szCs w:val="24"/>
        </w:rPr>
        <w:t xml:space="preserve"> in post-AMI patients.</w:t>
      </w:r>
    </w:p>
    <w:p w:rsidR="00E53F28" w:rsidRPr="00616ED9" w:rsidRDefault="00E53F28" w:rsidP="00E64B5D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E53F28" w:rsidRPr="00616ED9" w:rsidRDefault="00E53F28" w:rsidP="008C6E83">
      <w:pPr>
        <w:spacing w:line="240" w:lineRule="auto"/>
        <w:rPr>
          <w:rFonts w:cstheme="minorHAnsi"/>
          <w:sz w:val="24"/>
          <w:szCs w:val="24"/>
        </w:rPr>
      </w:pPr>
    </w:p>
    <w:p w:rsidR="001760E0" w:rsidRPr="00616ED9" w:rsidRDefault="001760E0" w:rsidP="008C6E83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br w:type="page"/>
      </w:r>
      <w:r w:rsidRPr="00616ED9">
        <w:rPr>
          <w:rFonts w:asciiTheme="minorHAnsi" w:hAnsiTheme="minorHAnsi" w:cstheme="minorHAnsi"/>
          <w:b/>
          <w:sz w:val="24"/>
          <w:szCs w:val="24"/>
        </w:rPr>
        <w:lastRenderedPageBreak/>
        <w:t>ABBREVIATIONS AND ACRONYMS</w:t>
      </w: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>AMI = Acute Myocardial Infarction</w:t>
      </w: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D560A0" w:rsidRPr="00616ED9" w:rsidRDefault="00D560A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proofErr w:type="spellStart"/>
      <w:proofErr w:type="gramStart"/>
      <w:r w:rsidRPr="00616ED9">
        <w:rPr>
          <w:rFonts w:asciiTheme="minorHAnsi" w:hAnsiTheme="minorHAnsi" w:cstheme="minorHAnsi"/>
          <w:sz w:val="24"/>
          <w:szCs w:val="24"/>
        </w:rPr>
        <w:t>eGFR</w:t>
      </w:r>
      <w:proofErr w:type="spellEnd"/>
      <w:proofErr w:type="gramEnd"/>
      <w:r w:rsidRPr="00616ED9">
        <w:rPr>
          <w:rFonts w:asciiTheme="minorHAnsi" w:hAnsiTheme="minorHAnsi" w:cstheme="minorHAnsi"/>
          <w:sz w:val="24"/>
          <w:szCs w:val="24"/>
        </w:rPr>
        <w:t xml:space="preserve"> = estimated glomerular filtration rate</w:t>
      </w:r>
    </w:p>
    <w:p w:rsidR="00D560A0" w:rsidRPr="00616ED9" w:rsidRDefault="00D560A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 xml:space="preserve">MACE = Major Adverse Cardiac Events                </w:t>
      </w: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>Re-AMI = Recurrent Myocardial Infarction</w:t>
      </w: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>HF = Heart Failure</w:t>
      </w: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>NSTEMI = Non–ST-segment Elevation Myocardial Infarction</w:t>
      </w: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proofErr w:type="spellStart"/>
      <w:r w:rsidRPr="00616ED9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Pr="00616ED9">
        <w:rPr>
          <w:rFonts w:asciiTheme="minorHAnsi" w:hAnsiTheme="minorHAnsi" w:cstheme="minorHAnsi"/>
          <w:sz w:val="24"/>
          <w:szCs w:val="24"/>
        </w:rPr>
        <w:t xml:space="preserve"> = N-terminal Pro-B-type Natriuretic Peptide</w:t>
      </w:r>
    </w:p>
    <w:p w:rsidR="00D560A0" w:rsidRPr="00616ED9" w:rsidRDefault="00D560A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D560A0" w:rsidRDefault="00576876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D560A0" w:rsidRPr="00616ED9">
        <w:rPr>
          <w:rFonts w:asciiTheme="minorHAnsi" w:hAnsiTheme="minorHAnsi" w:cstheme="minorHAnsi"/>
          <w:sz w:val="24"/>
          <w:szCs w:val="24"/>
        </w:rPr>
        <w:t xml:space="preserve"> = Pro</w:t>
      </w:r>
      <w:r w:rsidR="00015ABC">
        <w:rPr>
          <w:rFonts w:asciiTheme="minorHAnsi" w:hAnsiTheme="minorHAnsi" w:cstheme="minorHAnsi"/>
          <w:sz w:val="24"/>
          <w:szCs w:val="24"/>
        </w:rPr>
        <w:t>-substance P</w:t>
      </w:r>
    </w:p>
    <w:p w:rsidR="00E80713" w:rsidRDefault="00E80713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E80713" w:rsidRPr="00616ED9" w:rsidRDefault="00E80713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 = Substance P</w:t>
      </w: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>STEMI = ST-segment Elevation Myocardial Infarction</w:t>
      </w:r>
    </w:p>
    <w:p w:rsidR="00F4569E" w:rsidRPr="00616ED9" w:rsidRDefault="00F4569E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F4569E" w:rsidRPr="00616ED9" w:rsidRDefault="00F4569E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>IHD = Ischemic heart disease</w:t>
      </w:r>
    </w:p>
    <w:p w:rsidR="001760E0" w:rsidRPr="00616ED9" w:rsidRDefault="001760E0" w:rsidP="008C6E83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1760E0" w:rsidRPr="00616ED9" w:rsidRDefault="00E53F28" w:rsidP="008C6E83">
      <w:pPr>
        <w:spacing w:line="240" w:lineRule="auto"/>
        <w:rPr>
          <w:rFonts w:cstheme="minorHAnsi"/>
          <w:sz w:val="24"/>
          <w:szCs w:val="24"/>
        </w:rPr>
      </w:pPr>
      <w:r w:rsidRPr="00616ED9">
        <w:rPr>
          <w:rFonts w:cstheme="minorHAnsi"/>
          <w:sz w:val="24"/>
          <w:szCs w:val="24"/>
        </w:rPr>
        <w:t>NRI = Net reclassification improvement</w:t>
      </w:r>
    </w:p>
    <w:p w:rsidR="005A235E" w:rsidRPr="0011686C" w:rsidRDefault="00E53F28" w:rsidP="00171B2A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cstheme="minorHAnsi"/>
          <w:b/>
          <w:sz w:val="24"/>
          <w:szCs w:val="24"/>
        </w:rPr>
        <w:br w:type="page"/>
      </w:r>
    </w:p>
    <w:p w:rsidR="00D042E6" w:rsidRPr="00616ED9" w:rsidRDefault="001039C5" w:rsidP="008C6E83">
      <w:pPr>
        <w:spacing w:line="240" w:lineRule="auto"/>
        <w:rPr>
          <w:rFonts w:cstheme="minorHAnsi"/>
          <w:b/>
          <w:sz w:val="24"/>
          <w:szCs w:val="24"/>
        </w:rPr>
      </w:pPr>
      <w:r w:rsidRPr="00616ED9">
        <w:rPr>
          <w:rFonts w:cstheme="minorHAnsi"/>
          <w:b/>
          <w:sz w:val="24"/>
          <w:szCs w:val="24"/>
        </w:rPr>
        <w:lastRenderedPageBreak/>
        <w:t>Introduction</w:t>
      </w:r>
    </w:p>
    <w:p w:rsidR="00D84777" w:rsidRDefault="00D84777" w:rsidP="004C1DEE">
      <w:pPr>
        <w:spacing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Over the last few decades, the treatment of acute myocardial infarction has improved the prognosis of patients substantially, with introduction of thrombolysis, percutaneous coronary intervention, beta-blockers, ACE inhibitors and angiotensin receptor antagonists, statins, anti-platelet agents (such as aspirin and ADP receptor antagonists) and aldosterone antagonists. There is a need to identify new pathways that </w:t>
      </w:r>
      <w:r w:rsidR="001019C2">
        <w:rPr>
          <w:rFonts w:cstheme="minorHAnsi"/>
          <w:sz w:val="24"/>
          <w:szCs w:val="24"/>
        </w:rPr>
        <w:t xml:space="preserve">may </w:t>
      </w:r>
      <w:r>
        <w:rPr>
          <w:rFonts w:cstheme="minorHAnsi"/>
          <w:sz w:val="24"/>
          <w:szCs w:val="24"/>
        </w:rPr>
        <w:t>affect outcomes</w:t>
      </w:r>
      <w:r w:rsidR="001019C2">
        <w:rPr>
          <w:rFonts w:cstheme="minorHAnsi"/>
          <w:sz w:val="24"/>
          <w:szCs w:val="24"/>
        </w:rPr>
        <w:t xml:space="preserve"> post infarction</w:t>
      </w:r>
      <w:r>
        <w:rPr>
          <w:rFonts w:cstheme="minorHAnsi"/>
          <w:sz w:val="24"/>
          <w:szCs w:val="24"/>
        </w:rPr>
        <w:t>.</w:t>
      </w:r>
    </w:p>
    <w:p w:rsidR="00265D95" w:rsidRDefault="006D74D0" w:rsidP="004C1DEE">
      <w:pPr>
        <w:spacing w:after="0" w:line="480" w:lineRule="auto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Subtance</w:t>
      </w:r>
      <w:proofErr w:type="spellEnd"/>
      <w:r>
        <w:rPr>
          <w:rFonts w:cstheme="minorHAnsi"/>
          <w:sz w:val="24"/>
          <w:szCs w:val="24"/>
        </w:rPr>
        <w:t xml:space="preserve"> P (SP) and the </w:t>
      </w:r>
      <w:proofErr w:type="spellStart"/>
      <w:r>
        <w:rPr>
          <w:rFonts w:cstheme="minorHAnsi"/>
          <w:sz w:val="24"/>
          <w:szCs w:val="24"/>
        </w:rPr>
        <w:t>neurokinins</w:t>
      </w:r>
      <w:proofErr w:type="spellEnd"/>
      <w:r>
        <w:rPr>
          <w:rFonts w:cstheme="minorHAnsi"/>
          <w:sz w:val="24"/>
          <w:szCs w:val="24"/>
        </w:rPr>
        <w:t xml:space="preserve"> belong to the </w:t>
      </w:r>
      <w:proofErr w:type="spellStart"/>
      <w:r>
        <w:rPr>
          <w:rFonts w:cstheme="minorHAnsi"/>
          <w:sz w:val="24"/>
          <w:szCs w:val="24"/>
        </w:rPr>
        <w:t>tachykinin</w:t>
      </w:r>
      <w:proofErr w:type="spellEnd"/>
      <w:r>
        <w:rPr>
          <w:rFonts w:cstheme="minorHAnsi"/>
          <w:sz w:val="24"/>
          <w:szCs w:val="24"/>
        </w:rPr>
        <w:t xml:space="preserve"> family and are widely distributed in the central and peripheral nervous system (1). Low levels are present in myocardium, and mainly in nerve fibres (1). SP plays a role in nociception, inflammation, plasma extravasation, platelet and leukocyte aggregation in post-capillary </w:t>
      </w:r>
      <w:proofErr w:type="spellStart"/>
      <w:r>
        <w:rPr>
          <w:rFonts w:cstheme="minorHAnsi"/>
          <w:sz w:val="24"/>
          <w:szCs w:val="24"/>
        </w:rPr>
        <w:t>venules</w:t>
      </w:r>
      <w:proofErr w:type="spellEnd"/>
      <w:r>
        <w:rPr>
          <w:rFonts w:cstheme="minorHAnsi"/>
          <w:sz w:val="24"/>
          <w:szCs w:val="24"/>
        </w:rPr>
        <w:t xml:space="preserve">, and leukocyte chemotactic migration through vessel walls (1). </w:t>
      </w:r>
      <w:proofErr w:type="spellStart"/>
      <w:r w:rsidR="005D2A8E">
        <w:rPr>
          <w:rFonts w:cstheme="minorHAnsi"/>
          <w:sz w:val="24"/>
          <w:szCs w:val="24"/>
        </w:rPr>
        <w:t>Neurokinin</w:t>
      </w:r>
      <w:proofErr w:type="spellEnd"/>
      <w:r w:rsidR="005D2A8E">
        <w:rPr>
          <w:rFonts w:cstheme="minorHAnsi"/>
          <w:sz w:val="24"/>
          <w:szCs w:val="24"/>
        </w:rPr>
        <w:t xml:space="preserve"> (NK) receptors are mainly present in coronary vessels and </w:t>
      </w:r>
      <w:proofErr w:type="spellStart"/>
      <w:r w:rsidR="005D2A8E">
        <w:rPr>
          <w:rFonts w:cstheme="minorHAnsi"/>
          <w:sz w:val="24"/>
          <w:szCs w:val="24"/>
        </w:rPr>
        <w:t>intracardiac</w:t>
      </w:r>
      <w:proofErr w:type="spellEnd"/>
      <w:r w:rsidR="005D2A8E">
        <w:rPr>
          <w:rFonts w:cstheme="minorHAnsi"/>
          <w:sz w:val="24"/>
          <w:szCs w:val="24"/>
        </w:rPr>
        <w:t xml:space="preserve"> ganglia, and not on ventricular or atrial myocardium (2). </w:t>
      </w:r>
      <w:r>
        <w:rPr>
          <w:rFonts w:cstheme="minorHAnsi"/>
          <w:sz w:val="24"/>
          <w:szCs w:val="24"/>
        </w:rPr>
        <w:t>A direct action on the NK1 receptor in coronary arteries may cause NO-mediated vasodilatation (1), although this effect may be impaired in patients with coronary artery disease (</w:t>
      </w:r>
      <w:r w:rsidR="005D2A8E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 xml:space="preserve">), leading to a dominant NK2 mediated </w:t>
      </w:r>
      <w:proofErr w:type="spellStart"/>
      <w:r>
        <w:rPr>
          <w:rFonts w:cstheme="minorHAnsi"/>
          <w:sz w:val="24"/>
          <w:szCs w:val="24"/>
        </w:rPr>
        <w:t>vascoconstriction</w:t>
      </w:r>
      <w:proofErr w:type="spellEnd"/>
      <w:r>
        <w:rPr>
          <w:rFonts w:cstheme="minorHAnsi"/>
          <w:sz w:val="24"/>
          <w:szCs w:val="24"/>
        </w:rPr>
        <w:t>.</w:t>
      </w:r>
      <w:r w:rsidR="000C2982">
        <w:rPr>
          <w:rFonts w:cstheme="minorHAnsi"/>
          <w:sz w:val="24"/>
          <w:szCs w:val="24"/>
        </w:rPr>
        <w:t xml:space="preserve">  </w:t>
      </w:r>
      <w:r w:rsidR="005D2A8E">
        <w:rPr>
          <w:rFonts w:cstheme="minorHAnsi"/>
          <w:sz w:val="24"/>
          <w:szCs w:val="24"/>
        </w:rPr>
        <w:t xml:space="preserve">SP and </w:t>
      </w:r>
      <w:proofErr w:type="spellStart"/>
      <w:r w:rsidR="005D2A8E">
        <w:rPr>
          <w:rFonts w:cstheme="minorHAnsi"/>
          <w:sz w:val="24"/>
          <w:szCs w:val="24"/>
        </w:rPr>
        <w:t>neurokinin</w:t>
      </w:r>
      <w:proofErr w:type="spellEnd"/>
      <w:r w:rsidR="000C2982">
        <w:rPr>
          <w:rFonts w:cstheme="minorHAnsi"/>
          <w:sz w:val="24"/>
          <w:szCs w:val="24"/>
        </w:rPr>
        <w:t xml:space="preserve"> </w:t>
      </w:r>
      <w:proofErr w:type="gramStart"/>
      <w:r w:rsidR="005D2A8E">
        <w:rPr>
          <w:rFonts w:cstheme="minorHAnsi"/>
          <w:sz w:val="24"/>
          <w:szCs w:val="24"/>
        </w:rPr>
        <w:t>A</w:t>
      </w:r>
      <w:proofErr w:type="gramEnd"/>
      <w:r w:rsidR="005D2A8E">
        <w:rPr>
          <w:rFonts w:cstheme="minorHAnsi"/>
          <w:sz w:val="24"/>
          <w:szCs w:val="24"/>
        </w:rPr>
        <w:t xml:space="preserve"> are negatively inotropic and </w:t>
      </w:r>
      <w:proofErr w:type="spellStart"/>
      <w:r w:rsidR="005D2A8E">
        <w:rPr>
          <w:rFonts w:cstheme="minorHAnsi"/>
          <w:sz w:val="24"/>
          <w:szCs w:val="24"/>
        </w:rPr>
        <w:t>chronotropic</w:t>
      </w:r>
      <w:proofErr w:type="spellEnd"/>
      <w:r w:rsidR="005D2A8E">
        <w:rPr>
          <w:rFonts w:cstheme="minorHAnsi"/>
          <w:sz w:val="24"/>
          <w:szCs w:val="24"/>
        </w:rPr>
        <w:t xml:space="preserve">, acting via cholinergic neurons (2). In contrast, NK1 antagonists improve </w:t>
      </w:r>
      <w:proofErr w:type="spellStart"/>
      <w:r w:rsidR="005D2A8E">
        <w:rPr>
          <w:rFonts w:cstheme="minorHAnsi"/>
          <w:sz w:val="24"/>
          <w:szCs w:val="24"/>
        </w:rPr>
        <w:t>inotropy</w:t>
      </w:r>
      <w:proofErr w:type="spellEnd"/>
      <w:r w:rsidR="005D2A8E">
        <w:rPr>
          <w:rFonts w:cstheme="minorHAnsi"/>
          <w:sz w:val="24"/>
          <w:szCs w:val="24"/>
        </w:rPr>
        <w:t xml:space="preserve"> and </w:t>
      </w:r>
      <w:proofErr w:type="spellStart"/>
      <w:r w:rsidR="005D2A8E">
        <w:rPr>
          <w:rFonts w:cstheme="minorHAnsi"/>
          <w:sz w:val="24"/>
          <w:szCs w:val="24"/>
        </w:rPr>
        <w:t>lusitropy</w:t>
      </w:r>
      <w:proofErr w:type="spellEnd"/>
      <w:r w:rsidR="005D2A8E">
        <w:rPr>
          <w:rFonts w:cstheme="minorHAnsi"/>
          <w:sz w:val="24"/>
          <w:szCs w:val="24"/>
        </w:rPr>
        <w:t xml:space="preserve"> in rat myocardial infarction (AMI) models whilst SP attenuates the positive inotropic effect of norepinephrine (4).</w:t>
      </w:r>
      <w:r w:rsidR="00A25098">
        <w:rPr>
          <w:rFonts w:cstheme="minorHAnsi"/>
          <w:sz w:val="24"/>
          <w:szCs w:val="24"/>
        </w:rPr>
        <w:t xml:space="preserve"> SP (via the NK1 receptor) has been implicated in myocardial stunning post-AMI</w:t>
      </w:r>
      <w:r w:rsidR="00FB56A3">
        <w:rPr>
          <w:rFonts w:cstheme="minorHAnsi"/>
          <w:sz w:val="24"/>
          <w:szCs w:val="24"/>
        </w:rPr>
        <w:t xml:space="preserve"> in guinea pigs (5).</w:t>
      </w:r>
    </w:p>
    <w:p w:rsidR="0074443B" w:rsidRPr="00B51AE9" w:rsidRDefault="0074443B" w:rsidP="004C1DEE">
      <w:pPr>
        <w:pStyle w:val="HTMLPreformatted"/>
        <w:spacing w:line="48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 is also expressed in platelets, has a pro-</w:t>
      </w:r>
      <w:proofErr w:type="spellStart"/>
      <w:r>
        <w:rPr>
          <w:rFonts w:asciiTheme="minorHAnsi" w:hAnsiTheme="minorHAnsi" w:cstheme="minorHAnsi"/>
          <w:sz w:val="24"/>
          <w:szCs w:val="24"/>
        </w:rPr>
        <w:t>aggregatory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effect on platelets (6). Furthermore, NK1 receptor inhibition reduces thrombus formation.  Administration of a NK1 receptor antagonist reduced </w:t>
      </w:r>
      <w:proofErr w:type="spellStart"/>
      <w:r>
        <w:rPr>
          <w:rFonts w:asciiTheme="minorHAnsi" w:hAnsiTheme="minorHAnsi" w:cstheme="minorHAnsi"/>
          <w:sz w:val="24"/>
          <w:szCs w:val="24"/>
        </w:rPr>
        <w:t>fibrinous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adhesion formation and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increased </w:t>
      </w:r>
      <w:r>
        <w:rPr>
          <w:rFonts w:asciiTheme="minorHAnsi" w:hAnsiTheme="minorHAnsi"/>
          <w:sz w:val="24"/>
          <w:szCs w:val="24"/>
        </w:rPr>
        <w:t xml:space="preserve"> tissue</w:t>
      </w:r>
      <w:proofErr w:type="gramEnd"/>
      <w:r>
        <w:rPr>
          <w:rFonts w:asciiTheme="minorHAnsi" w:hAnsiTheme="minorHAnsi"/>
          <w:sz w:val="24"/>
          <w:szCs w:val="24"/>
        </w:rPr>
        <w:t xml:space="preserve"> plasminogen </w:t>
      </w:r>
      <w:r>
        <w:rPr>
          <w:rFonts w:asciiTheme="minorHAnsi" w:hAnsiTheme="minorHAnsi"/>
          <w:sz w:val="24"/>
          <w:szCs w:val="24"/>
        </w:rPr>
        <w:lastRenderedPageBreak/>
        <w:t xml:space="preserve">activator mRNA and activity, suggesting a role of SP in fibrinolysis(7). SP also strengthens the clot formed in blood, </w:t>
      </w:r>
      <w:r w:rsidR="00945B8C">
        <w:rPr>
          <w:rFonts w:asciiTheme="minorHAnsi" w:hAnsiTheme="minorHAnsi"/>
          <w:sz w:val="24"/>
          <w:szCs w:val="24"/>
        </w:rPr>
        <w:t xml:space="preserve">an effect that may be mediated via leucocytes and the magnitude of which is dependent on full length or truncated NK1 receptor isoform </w:t>
      </w:r>
      <w:proofErr w:type="gramStart"/>
      <w:r w:rsidR="00945B8C">
        <w:rPr>
          <w:rFonts w:asciiTheme="minorHAnsi" w:hAnsiTheme="minorHAnsi"/>
          <w:sz w:val="24"/>
          <w:szCs w:val="24"/>
        </w:rPr>
        <w:t>expression(</w:t>
      </w:r>
      <w:proofErr w:type="gramEnd"/>
      <w:r w:rsidR="00945B8C">
        <w:rPr>
          <w:rFonts w:asciiTheme="minorHAnsi" w:hAnsiTheme="minorHAnsi"/>
          <w:sz w:val="24"/>
          <w:szCs w:val="24"/>
        </w:rPr>
        <w:t>8).</w:t>
      </w:r>
    </w:p>
    <w:p w:rsidR="000E33AC" w:rsidRDefault="000E33AC" w:rsidP="004C1DEE">
      <w:pPr>
        <w:spacing w:after="0" w:line="480" w:lineRule="auto"/>
        <w:rPr>
          <w:rFonts w:cstheme="minorHAnsi"/>
          <w:sz w:val="24"/>
          <w:szCs w:val="24"/>
        </w:rPr>
      </w:pPr>
    </w:p>
    <w:p w:rsidR="000E33AC" w:rsidRDefault="00265D95" w:rsidP="004C1DEE">
      <w:pPr>
        <w:spacing w:after="0" w:line="480" w:lineRule="auto"/>
        <w:rPr>
          <w:rFonts w:eastAsia="Times New Roman" w:cstheme="minorHAnsi"/>
          <w:sz w:val="24"/>
          <w:szCs w:val="24"/>
          <w:lang w:eastAsia="en-GB"/>
        </w:rPr>
      </w:pPr>
      <w:r>
        <w:rPr>
          <w:rFonts w:cstheme="minorHAnsi"/>
          <w:sz w:val="24"/>
          <w:szCs w:val="24"/>
        </w:rPr>
        <w:t>Myocardial (</w:t>
      </w:r>
      <w:r w:rsidR="00F4189D"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</w:rPr>
        <w:t>) and pulmonary (</w:t>
      </w:r>
      <w:r w:rsidR="00F4189D">
        <w:rPr>
          <w:rFonts w:cstheme="minorHAnsi"/>
          <w:sz w:val="24"/>
          <w:szCs w:val="24"/>
        </w:rPr>
        <w:t>10</w:t>
      </w:r>
      <w:r>
        <w:rPr>
          <w:rFonts w:cstheme="minorHAnsi"/>
          <w:sz w:val="24"/>
          <w:szCs w:val="24"/>
        </w:rPr>
        <w:t>) SP has been observed to be increased in animal models of AMI suggesti</w:t>
      </w:r>
      <w:r w:rsidR="00F4189D">
        <w:rPr>
          <w:rFonts w:cstheme="minorHAnsi"/>
          <w:sz w:val="24"/>
          <w:szCs w:val="24"/>
        </w:rPr>
        <w:t xml:space="preserve">ng </w:t>
      </w:r>
      <w:r>
        <w:rPr>
          <w:rFonts w:cstheme="minorHAnsi"/>
          <w:sz w:val="24"/>
          <w:szCs w:val="24"/>
        </w:rPr>
        <w:t xml:space="preserve">a </w:t>
      </w:r>
      <w:r w:rsidR="00F4189D">
        <w:rPr>
          <w:rFonts w:cstheme="minorHAnsi"/>
          <w:sz w:val="24"/>
          <w:szCs w:val="24"/>
        </w:rPr>
        <w:t>role in AMI. Investigations in man have been hampered by the very short half life of SP (12 min</w:t>
      </w:r>
      <w:proofErr w:type="gramStart"/>
      <w:r w:rsidR="00F4189D">
        <w:rPr>
          <w:rFonts w:cstheme="minorHAnsi"/>
          <w:sz w:val="24"/>
          <w:szCs w:val="24"/>
        </w:rPr>
        <w:t>)(</w:t>
      </w:r>
      <w:proofErr w:type="gramEnd"/>
      <w:r w:rsidR="00F4189D">
        <w:rPr>
          <w:rFonts w:cstheme="minorHAnsi"/>
          <w:sz w:val="24"/>
          <w:szCs w:val="24"/>
        </w:rPr>
        <w:t>11)</w:t>
      </w:r>
      <w:r w:rsidR="000E33AC">
        <w:rPr>
          <w:rFonts w:cstheme="minorHAnsi"/>
          <w:sz w:val="24"/>
          <w:szCs w:val="24"/>
        </w:rPr>
        <w:t xml:space="preserve"> and there are no large studies examining the role of SP in AMI</w:t>
      </w:r>
      <w:r w:rsidR="00F4189D">
        <w:rPr>
          <w:rFonts w:cstheme="minorHAnsi"/>
          <w:sz w:val="24"/>
          <w:szCs w:val="24"/>
        </w:rPr>
        <w:t xml:space="preserve">. The recent development of an assay for stable </w:t>
      </w:r>
      <w:proofErr w:type="spellStart"/>
      <w:r w:rsidR="00F4189D">
        <w:rPr>
          <w:rFonts w:cstheme="minorHAnsi"/>
          <w:sz w:val="24"/>
          <w:szCs w:val="24"/>
        </w:rPr>
        <w:t>protachykinin</w:t>
      </w:r>
      <w:proofErr w:type="spellEnd"/>
      <w:r w:rsidR="00F4189D">
        <w:rPr>
          <w:rFonts w:cstheme="minorHAnsi"/>
          <w:sz w:val="24"/>
          <w:szCs w:val="24"/>
        </w:rPr>
        <w:t xml:space="preserve"> A</w:t>
      </w:r>
      <w:r w:rsidR="00CC4659">
        <w:rPr>
          <w:rFonts w:cstheme="minorHAnsi"/>
          <w:sz w:val="24"/>
          <w:szCs w:val="24"/>
        </w:rPr>
        <w:t xml:space="preserve"> (</w:t>
      </w:r>
      <w:proofErr w:type="spellStart"/>
      <w:r w:rsidR="00576876">
        <w:rPr>
          <w:rFonts w:cstheme="minorHAnsi"/>
          <w:sz w:val="24"/>
          <w:szCs w:val="24"/>
        </w:rPr>
        <w:t>ProSP</w:t>
      </w:r>
      <w:proofErr w:type="spellEnd"/>
      <w:r w:rsidR="00CC4659">
        <w:rPr>
          <w:rFonts w:cstheme="minorHAnsi"/>
          <w:sz w:val="24"/>
          <w:szCs w:val="24"/>
        </w:rPr>
        <w:t>)</w:t>
      </w:r>
      <w:r w:rsidR="00F4189D">
        <w:rPr>
          <w:rFonts w:cstheme="minorHAnsi"/>
          <w:sz w:val="24"/>
          <w:szCs w:val="24"/>
        </w:rPr>
        <w:t xml:space="preserve"> which is a surrogate for labile SP</w:t>
      </w:r>
      <w:r w:rsidR="00CC4659">
        <w:rPr>
          <w:rFonts w:cstheme="minorHAnsi"/>
          <w:sz w:val="24"/>
          <w:szCs w:val="24"/>
        </w:rPr>
        <w:t>(12)</w:t>
      </w:r>
      <w:r w:rsidR="00F4189D">
        <w:rPr>
          <w:rFonts w:cstheme="minorHAnsi"/>
          <w:sz w:val="24"/>
          <w:szCs w:val="24"/>
        </w:rPr>
        <w:t xml:space="preserve">, has enabled studies on the role of this </w:t>
      </w:r>
      <w:proofErr w:type="spellStart"/>
      <w:r w:rsidR="00F4189D">
        <w:rPr>
          <w:rFonts w:cstheme="minorHAnsi"/>
          <w:sz w:val="24"/>
          <w:szCs w:val="24"/>
        </w:rPr>
        <w:t>tachykinin</w:t>
      </w:r>
      <w:proofErr w:type="spellEnd"/>
      <w:r w:rsidR="00F4189D">
        <w:rPr>
          <w:rFonts w:cstheme="minorHAnsi"/>
          <w:sz w:val="24"/>
          <w:szCs w:val="24"/>
        </w:rPr>
        <w:t xml:space="preserve"> system in human disease.</w:t>
      </w:r>
      <w:r w:rsidR="00CC4659">
        <w:rPr>
          <w:rFonts w:cstheme="minorHAnsi"/>
          <w:sz w:val="24"/>
          <w:szCs w:val="24"/>
        </w:rPr>
        <w:t xml:space="preserve"> We therefore investigated the </w:t>
      </w:r>
      <w:r w:rsidR="000E33AC">
        <w:rPr>
          <w:rFonts w:cstheme="minorHAnsi"/>
          <w:sz w:val="24"/>
          <w:szCs w:val="24"/>
        </w:rPr>
        <w:t xml:space="preserve">potential role of SP in AMI, by measuring </w:t>
      </w:r>
      <w:proofErr w:type="spellStart"/>
      <w:r w:rsidR="000E33AC">
        <w:rPr>
          <w:rFonts w:cstheme="minorHAnsi"/>
          <w:sz w:val="24"/>
          <w:szCs w:val="24"/>
        </w:rPr>
        <w:t>ProSP</w:t>
      </w:r>
      <w:proofErr w:type="spellEnd"/>
      <w:r w:rsidR="000E33AC">
        <w:rPr>
          <w:rFonts w:cstheme="minorHAnsi"/>
          <w:sz w:val="24"/>
          <w:szCs w:val="24"/>
        </w:rPr>
        <w:t xml:space="preserve"> and studying its association with major adverse cardiac events (MACE) such as death, heart fail</w:t>
      </w:r>
      <w:r w:rsidR="000E33AC">
        <w:rPr>
          <w:rFonts w:eastAsia="Times New Roman" w:cstheme="minorHAnsi"/>
          <w:sz w:val="24"/>
          <w:szCs w:val="24"/>
          <w:lang w:eastAsia="en-GB"/>
        </w:rPr>
        <w:t xml:space="preserve">ure (HF) or readmission with AMI (re-AMI). </w:t>
      </w:r>
    </w:p>
    <w:p w:rsidR="000E33AC" w:rsidRDefault="000E33AC" w:rsidP="004C1DEE">
      <w:pPr>
        <w:spacing w:after="0" w:line="480" w:lineRule="auto"/>
        <w:rPr>
          <w:rFonts w:eastAsia="Times New Roman" w:cstheme="minorHAnsi"/>
          <w:sz w:val="24"/>
          <w:szCs w:val="24"/>
          <w:lang w:eastAsia="en-GB"/>
        </w:rPr>
      </w:pPr>
    </w:p>
    <w:p w:rsidR="000E33AC" w:rsidRDefault="000E33AC" w:rsidP="004C1DEE">
      <w:pPr>
        <w:spacing w:after="0" w:line="480" w:lineRule="auto"/>
        <w:rPr>
          <w:rFonts w:eastAsia="Times New Roman" w:cstheme="minorHAnsi"/>
          <w:sz w:val="24"/>
          <w:szCs w:val="24"/>
          <w:lang w:eastAsia="en-GB"/>
        </w:rPr>
      </w:pPr>
    </w:p>
    <w:p w:rsidR="000133BA" w:rsidRPr="00692A69" w:rsidRDefault="000133BA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</w:p>
    <w:p w:rsidR="0009040A" w:rsidRDefault="0009040A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</w:p>
    <w:p w:rsidR="00692A69" w:rsidRDefault="00692A69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</w:p>
    <w:p w:rsidR="00692A69" w:rsidRPr="00616ED9" w:rsidRDefault="00692A69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</w:p>
    <w:p w:rsidR="00CC4659" w:rsidRDefault="00CC4659" w:rsidP="004C1DEE">
      <w:pPr>
        <w:spacing w:line="480" w:lineRule="auto"/>
        <w:rPr>
          <w:rFonts w:eastAsia="Calibri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:rsidR="00BF2809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b/>
          <w:sz w:val="24"/>
          <w:szCs w:val="24"/>
        </w:rPr>
        <w:lastRenderedPageBreak/>
        <w:t>Methods</w:t>
      </w:r>
    </w:p>
    <w:p w:rsidR="00BF2809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bCs/>
          <w:sz w:val="24"/>
          <w:szCs w:val="24"/>
        </w:rPr>
      </w:pPr>
      <w:r w:rsidRPr="00692A69">
        <w:rPr>
          <w:rFonts w:asciiTheme="minorHAnsi" w:hAnsiTheme="minorHAnsi" w:cstheme="minorHAnsi"/>
          <w:b/>
          <w:sz w:val="24"/>
          <w:szCs w:val="24"/>
        </w:rPr>
        <w:t>Study Population.</w:t>
      </w:r>
      <w:r w:rsidRPr="00692A69">
        <w:rPr>
          <w:rFonts w:asciiTheme="minorHAnsi" w:hAnsiTheme="minorHAnsi" w:cstheme="minorHAnsi"/>
          <w:sz w:val="24"/>
          <w:szCs w:val="24"/>
        </w:rPr>
        <w:t xml:space="preserve">  We studied </w:t>
      </w:r>
      <w:r w:rsidR="00D560A0" w:rsidRPr="00692A69">
        <w:rPr>
          <w:rFonts w:asciiTheme="minorHAnsi" w:hAnsiTheme="minorHAnsi" w:cstheme="minorHAnsi"/>
          <w:sz w:val="24"/>
          <w:szCs w:val="24"/>
        </w:rPr>
        <w:t>114</w:t>
      </w:r>
      <w:r w:rsidR="001E519B">
        <w:rPr>
          <w:rFonts w:asciiTheme="minorHAnsi" w:hAnsiTheme="minorHAnsi" w:cstheme="minorHAnsi"/>
          <w:sz w:val="24"/>
          <w:szCs w:val="24"/>
        </w:rPr>
        <w:t>8</w:t>
      </w:r>
      <w:r w:rsidR="00D042E6" w:rsidRPr="00692A69">
        <w:rPr>
          <w:rFonts w:asciiTheme="minorHAnsi" w:hAnsiTheme="minorHAnsi" w:cstheme="minorHAnsi"/>
          <w:sz w:val="24"/>
          <w:szCs w:val="24"/>
        </w:rPr>
        <w:t xml:space="preserve"> STEMI and </w:t>
      </w:r>
      <w:r w:rsidRPr="00692A69">
        <w:rPr>
          <w:rFonts w:asciiTheme="minorHAnsi" w:hAnsiTheme="minorHAnsi" w:cstheme="minorHAnsi"/>
          <w:sz w:val="24"/>
          <w:szCs w:val="24"/>
        </w:rPr>
        <w:t xml:space="preserve">NSTEMI patients admitted to University Hospitals of Leicester NHS trust </w:t>
      </w:r>
      <w:r w:rsidR="00D042E6" w:rsidRPr="00692A69">
        <w:rPr>
          <w:rFonts w:asciiTheme="minorHAnsi" w:hAnsiTheme="minorHAnsi" w:cstheme="minorHAnsi"/>
          <w:sz w:val="24"/>
          <w:szCs w:val="24"/>
        </w:rPr>
        <w:t>between August 200</w:t>
      </w:r>
      <w:r w:rsidR="007D7E22" w:rsidRPr="00692A69">
        <w:rPr>
          <w:rFonts w:asciiTheme="minorHAnsi" w:hAnsiTheme="minorHAnsi" w:cstheme="minorHAnsi"/>
          <w:sz w:val="24"/>
          <w:szCs w:val="24"/>
        </w:rPr>
        <w:t>4</w:t>
      </w:r>
      <w:r w:rsidRPr="00692A69">
        <w:rPr>
          <w:rFonts w:asciiTheme="minorHAnsi" w:hAnsiTheme="minorHAnsi" w:cstheme="minorHAnsi"/>
          <w:sz w:val="24"/>
          <w:szCs w:val="24"/>
        </w:rPr>
        <w:t xml:space="preserve"> and April 2007. Th</w:t>
      </w:r>
      <w:r w:rsidR="00832141" w:rsidRPr="00692A69">
        <w:rPr>
          <w:rFonts w:asciiTheme="minorHAnsi" w:hAnsiTheme="minorHAnsi" w:cstheme="minorHAnsi"/>
          <w:sz w:val="24"/>
          <w:szCs w:val="24"/>
        </w:rPr>
        <w:t>is observational cohort</w:t>
      </w:r>
      <w:r w:rsidRPr="00692A69">
        <w:rPr>
          <w:rFonts w:asciiTheme="minorHAnsi" w:hAnsiTheme="minorHAnsi" w:cstheme="minorHAnsi"/>
          <w:sz w:val="24"/>
          <w:szCs w:val="24"/>
        </w:rPr>
        <w:t xml:space="preserve"> study complied with the Declaration of Helsinki and was approved by the local ethics committee; written informed consent was obtained from patients. </w:t>
      </w:r>
      <w:r w:rsidR="00102121">
        <w:rPr>
          <w:rFonts w:asciiTheme="minorHAnsi" w:hAnsiTheme="minorHAnsi" w:cstheme="minorHAnsi"/>
          <w:sz w:val="24"/>
          <w:szCs w:val="24"/>
        </w:rPr>
        <w:t xml:space="preserve"> </w:t>
      </w:r>
      <w:r w:rsidRPr="00692A69">
        <w:rPr>
          <w:rFonts w:asciiTheme="minorHAnsi" w:hAnsiTheme="minorHAnsi" w:cstheme="minorHAnsi"/>
          <w:sz w:val="24"/>
          <w:szCs w:val="24"/>
        </w:rPr>
        <w:t>AMI was diagnosed if a patient had a cardiac troponin I level above the 99</w:t>
      </w:r>
      <w:r w:rsidRPr="00692A69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692A69">
        <w:rPr>
          <w:rFonts w:asciiTheme="minorHAnsi" w:hAnsiTheme="minorHAnsi" w:cstheme="minorHAnsi"/>
          <w:sz w:val="24"/>
          <w:szCs w:val="24"/>
        </w:rPr>
        <w:t xml:space="preserve"> centile with at least one of the following</w:t>
      </w:r>
      <w:proofErr w:type="gramStart"/>
      <w:r w:rsidR="007D7E22" w:rsidRPr="00692A69">
        <w:rPr>
          <w:rFonts w:asciiTheme="minorHAnsi" w:hAnsiTheme="minorHAnsi" w:cstheme="minorHAnsi"/>
          <w:sz w:val="24"/>
          <w:szCs w:val="24"/>
        </w:rPr>
        <w:t>:-</w:t>
      </w:r>
      <w:proofErr w:type="gramEnd"/>
      <w:r w:rsidRPr="00692A69">
        <w:rPr>
          <w:rFonts w:asciiTheme="minorHAnsi" w:hAnsiTheme="minorHAnsi" w:cstheme="minorHAnsi"/>
          <w:sz w:val="24"/>
          <w:szCs w:val="24"/>
        </w:rPr>
        <w:t xml:space="preserve"> chest pain lasting &gt;20 minutes or diagnostic serial electrocardiographic changes consisting of new pathological Q waves or S</w:t>
      </w:r>
      <w:r w:rsidR="007D7E22" w:rsidRPr="00692A69">
        <w:rPr>
          <w:rFonts w:asciiTheme="minorHAnsi" w:hAnsiTheme="minorHAnsi" w:cstheme="minorHAnsi"/>
          <w:sz w:val="24"/>
          <w:szCs w:val="24"/>
        </w:rPr>
        <w:t>T-segment and T-wave changes (1</w:t>
      </w:r>
      <w:r w:rsidR="004C694C">
        <w:rPr>
          <w:rFonts w:asciiTheme="minorHAnsi" w:hAnsiTheme="minorHAnsi" w:cstheme="minorHAnsi"/>
          <w:sz w:val="24"/>
          <w:szCs w:val="24"/>
        </w:rPr>
        <w:t>3</w:t>
      </w:r>
      <w:r w:rsidRPr="00692A69">
        <w:rPr>
          <w:rFonts w:asciiTheme="minorHAnsi" w:hAnsiTheme="minorHAnsi" w:cstheme="minorHAnsi"/>
          <w:sz w:val="24"/>
          <w:szCs w:val="24"/>
        </w:rPr>
        <w:t xml:space="preserve">). </w:t>
      </w:r>
      <w:r w:rsidR="007D7E22" w:rsidRPr="00692A69">
        <w:rPr>
          <w:rFonts w:asciiTheme="minorHAnsi" w:hAnsiTheme="minorHAnsi" w:cstheme="minorHAnsi"/>
          <w:sz w:val="24"/>
          <w:szCs w:val="24"/>
        </w:rPr>
        <w:t xml:space="preserve">Patients with </w:t>
      </w:r>
      <w:r w:rsidRPr="00692A69">
        <w:rPr>
          <w:rFonts w:asciiTheme="minorHAnsi" w:hAnsiTheme="minorHAnsi" w:cstheme="minorHAnsi"/>
          <w:sz w:val="24"/>
          <w:szCs w:val="24"/>
        </w:rPr>
        <w:t>known malignancy, renal replacement therapy or surgery in the previous month</w:t>
      </w:r>
      <w:r w:rsidR="007D7E22" w:rsidRPr="00692A69">
        <w:rPr>
          <w:rFonts w:asciiTheme="minorHAnsi" w:hAnsiTheme="minorHAnsi" w:cstheme="minorHAnsi"/>
          <w:sz w:val="24"/>
          <w:szCs w:val="24"/>
        </w:rPr>
        <w:t xml:space="preserve"> were excluded</w:t>
      </w:r>
      <w:r w:rsidRPr="00692A69">
        <w:rPr>
          <w:rFonts w:asciiTheme="minorHAnsi" w:hAnsiTheme="minorHAnsi" w:cstheme="minorHAnsi"/>
          <w:sz w:val="24"/>
          <w:szCs w:val="24"/>
        </w:rPr>
        <w:t xml:space="preserve">. </w:t>
      </w:r>
      <w:r w:rsidR="007D7E22" w:rsidRPr="00692A69">
        <w:rPr>
          <w:rFonts w:asciiTheme="minorHAnsi" w:hAnsiTheme="minorHAnsi" w:cstheme="minorHAnsi"/>
          <w:sz w:val="24"/>
          <w:szCs w:val="24"/>
        </w:rPr>
        <w:t>E</w:t>
      </w:r>
      <w:r w:rsidRPr="00692A69">
        <w:rPr>
          <w:rFonts w:asciiTheme="minorHAnsi" w:hAnsiTheme="minorHAnsi" w:cstheme="minorHAnsi"/>
          <w:sz w:val="24"/>
          <w:szCs w:val="24"/>
        </w:rPr>
        <w:t xml:space="preserve">stimated </w:t>
      </w:r>
      <w:r w:rsidR="00A951AB" w:rsidRPr="00692A69">
        <w:rPr>
          <w:rFonts w:asciiTheme="minorHAnsi" w:hAnsiTheme="minorHAnsi" w:cstheme="minorHAnsi"/>
          <w:sz w:val="24"/>
          <w:szCs w:val="24"/>
        </w:rPr>
        <w:t>glomerular filtration rate</w:t>
      </w:r>
      <w:r w:rsidRPr="00692A69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eGFR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) was calculated from the simplified </w:t>
      </w:r>
      <w:r w:rsidR="007D7E22" w:rsidRPr="00692A69">
        <w:rPr>
          <w:rFonts w:asciiTheme="minorHAnsi" w:hAnsiTheme="minorHAnsi" w:cstheme="minorHAnsi"/>
          <w:sz w:val="24"/>
          <w:szCs w:val="24"/>
        </w:rPr>
        <w:t xml:space="preserve">Modification of Diet in Renal Disease </w:t>
      </w:r>
      <w:r w:rsidRPr="00692A69">
        <w:rPr>
          <w:rFonts w:asciiTheme="minorHAnsi" w:hAnsiTheme="minorHAnsi" w:cstheme="minorHAnsi"/>
          <w:sz w:val="24"/>
          <w:szCs w:val="24"/>
        </w:rPr>
        <w:t>formula</w:t>
      </w:r>
      <w:r w:rsidR="007D7E22" w:rsidRPr="00692A69">
        <w:rPr>
          <w:rFonts w:asciiTheme="minorHAnsi" w:hAnsiTheme="minorHAnsi" w:cstheme="minorHAnsi"/>
          <w:sz w:val="24"/>
          <w:szCs w:val="24"/>
        </w:rPr>
        <w:t xml:space="preserve"> (1</w:t>
      </w:r>
      <w:r w:rsidR="004C694C">
        <w:rPr>
          <w:rFonts w:asciiTheme="minorHAnsi" w:hAnsiTheme="minorHAnsi" w:cstheme="minorHAnsi"/>
          <w:sz w:val="24"/>
          <w:szCs w:val="24"/>
        </w:rPr>
        <w:t>4</w:t>
      </w:r>
      <w:r w:rsidRPr="00692A69">
        <w:rPr>
          <w:rFonts w:asciiTheme="minorHAnsi" w:hAnsiTheme="minorHAnsi" w:cstheme="minorHAnsi"/>
          <w:sz w:val="24"/>
          <w:szCs w:val="24"/>
        </w:rPr>
        <w:t>). All patients received standard medical treatment and revascularisation at the discretion of the attending physician.</w:t>
      </w:r>
    </w:p>
    <w:p w:rsidR="00BF2809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</w:p>
    <w:p w:rsidR="00D80102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692A69">
        <w:rPr>
          <w:rFonts w:asciiTheme="minorHAnsi" w:hAnsiTheme="minorHAnsi" w:cstheme="minorHAnsi"/>
          <w:b/>
          <w:sz w:val="24"/>
          <w:szCs w:val="24"/>
        </w:rPr>
        <w:t>Plasma samples.</w:t>
      </w:r>
      <w:proofErr w:type="gramEnd"/>
      <w:r w:rsidRPr="00692A69">
        <w:rPr>
          <w:rFonts w:asciiTheme="minorHAnsi" w:hAnsiTheme="minorHAnsi" w:cstheme="minorHAnsi"/>
          <w:sz w:val="24"/>
          <w:szCs w:val="24"/>
        </w:rPr>
        <w:t xml:space="preserve">  Blood samples</w:t>
      </w:r>
      <w:r w:rsidR="00D80102" w:rsidRPr="00692A69">
        <w:rPr>
          <w:rFonts w:asciiTheme="minorHAnsi" w:hAnsiTheme="minorHAnsi" w:cstheme="minorHAnsi"/>
          <w:sz w:val="24"/>
          <w:szCs w:val="24"/>
        </w:rPr>
        <w:t xml:space="preserve"> (</w:t>
      </w:r>
      <w:proofErr w:type="spellStart"/>
      <w:r w:rsidR="00D80102" w:rsidRPr="00692A69">
        <w:rPr>
          <w:rFonts w:asciiTheme="minorHAnsi" w:hAnsiTheme="minorHAnsi" w:cstheme="minorHAnsi"/>
          <w:sz w:val="24"/>
          <w:szCs w:val="24"/>
        </w:rPr>
        <w:t>anticoagulated</w:t>
      </w:r>
      <w:proofErr w:type="spellEnd"/>
      <w:r w:rsidR="00D80102" w:rsidRPr="00692A69">
        <w:rPr>
          <w:rFonts w:asciiTheme="minorHAnsi" w:hAnsiTheme="minorHAnsi" w:cstheme="minorHAnsi"/>
          <w:sz w:val="24"/>
          <w:szCs w:val="24"/>
        </w:rPr>
        <w:t xml:space="preserve"> with EDTA and </w:t>
      </w:r>
      <w:proofErr w:type="spellStart"/>
      <w:r w:rsidR="00D80102" w:rsidRPr="00692A69">
        <w:rPr>
          <w:rFonts w:asciiTheme="minorHAnsi" w:hAnsiTheme="minorHAnsi" w:cstheme="minorHAnsi"/>
          <w:sz w:val="24"/>
          <w:szCs w:val="24"/>
        </w:rPr>
        <w:t>aprotinin</w:t>
      </w:r>
      <w:proofErr w:type="spellEnd"/>
      <w:r w:rsidR="00D80102" w:rsidRPr="00692A69">
        <w:rPr>
          <w:rFonts w:asciiTheme="minorHAnsi" w:hAnsiTheme="minorHAnsi" w:cstheme="minorHAnsi"/>
          <w:sz w:val="24"/>
          <w:szCs w:val="24"/>
        </w:rPr>
        <w:t>)</w:t>
      </w:r>
      <w:r w:rsidRPr="00692A69">
        <w:rPr>
          <w:rFonts w:asciiTheme="minorHAnsi" w:hAnsiTheme="minorHAnsi" w:cstheme="minorHAnsi"/>
          <w:sz w:val="24"/>
          <w:szCs w:val="24"/>
        </w:rPr>
        <w:t xml:space="preserve"> were drawn after 15 minutes bed rest</w:t>
      </w:r>
      <w:r w:rsidR="00D80102" w:rsidRPr="00692A69">
        <w:rPr>
          <w:rFonts w:asciiTheme="minorHAnsi" w:hAnsiTheme="minorHAnsi" w:cstheme="minorHAnsi"/>
          <w:sz w:val="24"/>
          <w:szCs w:val="24"/>
        </w:rPr>
        <w:t xml:space="preserve">, immediately after diagnosis and within 36 h of symptom onset. </w:t>
      </w:r>
    </w:p>
    <w:p w:rsidR="00D80102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sz w:val="24"/>
          <w:szCs w:val="24"/>
        </w:rPr>
        <w:t xml:space="preserve">Plasma was stored at -80°C until assayed in a single batch for </w:t>
      </w:r>
      <w:r w:rsidR="00D80102" w:rsidRPr="00692A69">
        <w:rPr>
          <w:rFonts w:asciiTheme="minorHAnsi" w:hAnsiTheme="minorHAnsi" w:cstheme="minorHAnsi"/>
          <w:sz w:val="24"/>
          <w:szCs w:val="24"/>
        </w:rPr>
        <w:t xml:space="preserve">blinded </w:t>
      </w:r>
      <w:r w:rsidRPr="00692A69">
        <w:rPr>
          <w:rFonts w:asciiTheme="minorHAnsi" w:hAnsiTheme="minorHAnsi" w:cstheme="minorHAnsi"/>
          <w:sz w:val="24"/>
          <w:szCs w:val="24"/>
        </w:rPr>
        <w:t xml:space="preserve">determination of plasma </w:t>
      </w:r>
      <w:proofErr w:type="spellStart"/>
      <w:r w:rsidR="00D80102" w:rsidRPr="00692A69">
        <w:rPr>
          <w:rFonts w:asciiTheme="minorHAnsi" w:hAnsiTheme="minorHAnsi" w:cstheme="minorHAnsi"/>
          <w:sz w:val="24"/>
          <w:szCs w:val="24"/>
        </w:rPr>
        <w:t>P</w:t>
      </w:r>
      <w:r w:rsidR="00785939">
        <w:rPr>
          <w:rFonts w:asciiTheme="minorHAnsi" w:hAnsiTheme="minorHAnsi" w:cstheme="minorHAnsi"/>
          <w:sz w:val="24"/>
          <w:szCs w:val="24"/>
        </w:rPr>
        <w:t>roSP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D80102" w:rsidRPr="00692A69">
        <w:rPr>
          <w:rFonts w:asciiTheme="minorHAnsi" w:hAnsiTheme="minorHAnsi" w:cstheme="minorHAnsi"/>
          <w:sz w:val="24"/>
          <w:szCs w:val="24"/>
        </w:rPr>
        <w:t>.</w:t>
      </w:r>
    </w:p>
    <w:p w:rsidR="00D80102" w:rsidRPr="00692A69" w:rsidRDefault="00D80102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BF2809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692A69">
        <w:rPr>
          <w:rFonts w:asciiTheme="minorHAnsi" w:hAnsiTheme="minorHAnsi" w:cstheme="minorHAnsi"/>
          <w:b/>
          <w:sz w:val="24"/>
          <w:szCs w:val="24"/>
        </w:rPr>
        <w:t>Echocardiography.</w:t>
      </w:r>
      <w:proofErr w:type="gramEnd"/>
      <w:r w:rsidR="000C298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92A69">
        <w:rPr>
          <w:rFonts w:asciiTheme="minorHAnsi" w:hAnsiTheme="minorHAnsi" w:cstheme="minorHAnsi"/>
          <w:sz w:val="24"/>
          <w:szCs w:val="24"/>
        </w:rPr>
        <w:t xml:space="preserve">Transthoracic echocardiography was performed in </w:t>
      </w:r>
      <w:r w:rsidR="00D80102" w:rsidRPr="00692A69">
        <w:rPr>
          <w:rFonts w:asciiTheme="minorHAnsi" w:hAnsiTheme="minorHAnsi" w:cstheme="minorHAnsi"/>
          <w:sz w:val="24"/>
          <w:szCs w:val="24"/>
        </w:rPr>
        <w:t>895</w:t>
      </w:r>
      <w:r w:rsidR="006A40EB" w:rsidRPr="00692A69">
        <w:rPr>
          <w:rFonts w:asciiTheme="minorHAnsi" w:hAnsiTheme="minorHAnsi" w:cstheme="minorHAnsi"/>
          <w:sz w:val="24"/>
          <w:szCs w:val="24"/>
        </w:rPr>
        <w:t>(7</w:t>
      </w:r>
      <w:r w:rsidR="006A40EB">
        <w:rPr>
          <w:rFonts w:asciiTheme="minorHAnsi" w:hAnsiTheme="minorHAnsi" w:cstheme="minorHAnsi"/>
          <w:sz w:val="24"/>
          <w:szCs w:val="24"/>
        </w:rPr>
        <w:t>7.9</w:t>
      </w:r>
      <w:r w:rsidR="006A40EB" w:rsidRPr="00692A69">
        <w:rPr>
          <w:rFonts w:asciiTheme="minorHAnsi" w:hAnsiTheme="minorHAnsi" w:cstheme="minorHAnsi"/>
          <w:sz w:val="24"/>
          <w:szCs w:val="24"/>
        </w:rPr>
        <w:t xml:space="preserve">%) </w:t>
      </w:r>
      <w:r w:rsidRPr="00692A69">
        <w:rPr>
          <w:rFonts w:asciiTheme="minorHAnsi" w:hAnsiTheme="minorHAnsi" w:cstheme="minorHAnsi"/>
          <w:sz w:val="24"/>
          <w:szCs w:val="24"/>
        </w:rPr>
        <w:t>patients during the index admission</w:t>
      </w:r>
      <w:r w:rsidR="00D80102" w:rsidRPr="00692A69">
        <w:rPr>
          <w:rFonts w:asciiTheme="minorHAnsi" w:hAnsiTheme="minorHAnsi" w:cstheme="minorHAnsi"/>
          <w:sz w:val="24"/>
          <w:szCs w:val="24"/>
        </w:rPr>
        <w:t xml:space="preserve">, </w:t>
      </w:r>
      <w:r w:rsidRPr="00692A69">
        <w:rPr>
          <w:rFonts w:asciiTheme="minorHAnsi" w:hAnsiTheme="minorHAnsi" w:cstheme="minorHAnsi"/>
          <w:sz w:val="24"/>
          <w:szCs w:val="24"/>
        </w:rPr>
        <w:t xml:space="preserve">using either a 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Sonos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5500 or IE 33 instrument (Philips Medical Systems, Reigate, UK). A 16-segment left ventricular wall motion index (LVWMI) score was performed based on the American Society of Echocardiography</w:t>
      </w:r>
      <w:bookmarkStart w:id="1" w:name="bbib15"/>
      <w:bookmarkEnd w:id="1"/>
      <w:r w:rsidR="000C2982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92A69">
        <w:rPr>
          <w:rFonts w:asciiTheme="minorHAnsi" w:hAnsiTheme="minorHAnsi" w:cstheme="minorHAnsi"/>
          <w:sz w:val="24"/>
          <w:szCs w:val="24"/>
        </w:rPr>
        <w:t>method</w:t>
      </w:r>
      <w:r w:rsidR="003B4B7B" w:rsidRPr="00692A69">
        <w:rPr>
          <w:rFonts w:asciiTheme="minorHAnsi" w:hAnsiTheme="minorHAnsi" w:cstheme="minorHAnsi"/>
          <w:sz w:val="24"/>
          <w:szCs w:val="24"/>
        </w:rPr>
        <w:t>(</w:t>
      </w:r>
      <w:proofErr w:type="gramEnd"/>
      <w:r w:rsidR="003B4B7B" w:rsidRPr="00692A69">
        <w:rPr>
          <w:rFonts w:asciiTheme="minorHAnsi" w:hAnsiTheme="minorHAnsi" w:cstheme="minorHAnsi"/>
          <w:sz w:val="24"/>
          <w:szCs w:val="24"/>
        </w:rPr>
        <w:t>1</w:t>
      </w:r>
      <w:r w:rsidR="004C694C">
        <w:rPr>
          <w:rFonts w:asciiTheme="minorHAnsi" w:hAnsiTheme="minorHAnsi" w:cstheme="minorHAnsi"/>
          <w:sz w:val="24"/>
          <w:szCs w:val="24"/>
        </w:rPr>
        <w:t>5</w:t>
      </w:r>
      <w:r w:rsidR="003B4B7B" w:rsidRPr="00692A69">
        <w:rPr>
          <w:rFonts w:asciiTheme="minorHAnsi" w:hAnsiTheme="minorHAnsi" w:cstheme="minorHAnsi"/>
          <w:sz w:val="24"/>
          <w:szCs w:val="24"/>
        </w:rPr>
        <w:t>)</w:t>
      </w:r>
      <w:r w:rsidRPr="00692A69">
        <w:rPr>
          <w:rFonts w:asciiTheme="minorHAnsi" w:hAnsiTheme="minorHAnsi" w:cstheme="minorHAnsi"/>
          <w:sz w:val="24"/>
          <w:szCs w:val="24"/>
        </w:rPr>
        <w:t xml:space="preserve">. In suitable patients left ventricular ejection fraction (LVEF) was calculated using the biplane method of </w:t>
      </w:r>
      <w:r w:rsidRPr="00692A69">
        <w:rPr>
          <w:rFonts w:asciiTheme="minorHAnsi" w:hAnsiTheme="minorHAnsi" w:cstheme="minorHAnsi"/>
          <w:sz w:val="24"/>
          <w:szCs w:val="24"/>
        </w:rPr>
        <w:lastRenderedPageBreak/>
        <w:t xml:space="preserve">discs formula. </w:t>
      </w:r>
      <w:r w:rsidR="0067066E" w:rsidRPr="00692A69">
        <w:rPr>
          <w:rFonts w:asciiTheme="minorHAnsi" w:hAnsiTheme="minorHAnsi" w:cstheme="minorHAnsi"/>
          <w:sz w:val="24"/>
          <w:szCs w:val="24"/>
        </w:rPr>
        <w:t xml:space="preserve">LV systolic dysfunction (LVSD) </w:t>
      </w:r>
      <w:r w:rsidRPr="00692A69">
        <w:rPr>
          <w:rFonts w:asciiTheme="minorHAnsi" w:hAnsiTheme="minorHAnsi" w:cstheme="minorHAnsi"/>
          <w:sz w:val="24"/>
          <w:szCs w:val="24"/>
        </w:rPr>
        <w:t xml:space="preserve">was defined as either an LVEF&lt;40% or a LVWMI &gt;1.8. </w:t>
      </w:r>
    </w:p>
    <w:p w:rsidR="00BF2809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BF2809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b/>
          <w:bCs/>
          <w:sz w:val="24"/>
          <w:szCs w:val="24"/>
        </w:rPr>
        <w:t>Global Registry of Acute Coronary Events (GRACE) Scoring.</w:t>
      </w:r>
      <w:r w:rsidR="000C298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692A69">
        <w:rPr>
          <w:rFonts w:asciiTheme="minorHAnsi" w:hAnsiTheme="minorHAnsi" w:cstheme="minorHAnsi"/>
          <w:sz w:val="24"/>
          <w:szCs w:val="24"/>
        </w:rPr>
        <w:t xml:space="preserve">Based on an international observational database of </w:t>
      </w:r>
      <w:r w:rsidR="005E0AF5" w:rsidRPr="00692A69">
        <w:rPr>
          <w:rFonts w:asciiTheme="minorHAnsi" w:hAnsiTheme="minorHAnsi" w:cstheme="minorHAnsi"/>
          <w:sz w:val="24"/>
          <w:szCs w:val="24"/>
        </w:rPr>
        <w:t>acute coronary syndrome</w:t>
      </w:r>
      <w:r w:rsidR="00DF2A66">
        <w:rPr>
          <w:rFonts w:asciiTheme="minorHAnsi" w:hAnsiTheme="minorHAnsi" w:cstheme="minorHAnsi"/>
          <w:sz w:val="24"/>
          <w:szCs w:val="24"/>
        </w:rPr>
        <w:t xml:space="preserve"> </w:t>
      </w:r>
      <w:r w:rsidRPr="00692A69">
        <w:rPr>
          <w:rFonts w:asciiTheme="minorHAnsi" w:hAnsiTheme="minorHAnsi" w:cstheme="minorHAnsi"/>
          <w:sz w:val="24"/>
          <w:szCs w:val="24"/>
        </w:rPr>
        <w:t>patients</w:t>
      </w:r>
      <w:r w:rsidR="00E74866" w:rsidRPr="00692A69">
        <w:rPr>
          <w:rFonts w:asciiTheme="minorHAnsi" w:hAnsiTheme="minorHAnsi" w:cstheme="minorHAnsi"/>
          <w:sz w:val="24"/>
          <w:szCs w:val="24"/>
        </w:rPr>
        <w:t>,</w:t>
      </w:r>
      <w:r w:rsidRPr="00692A69">
        <w:rPr>
          <w:rFonts w:asciiTheme="minorHAnsi" w:hAnsiTheme="minorHAnsi" w:cstheme="minorHAnsi"/>
          <w:sz w:val="24"/>
          <w:szCs w:val="24"/>
        </w:rPr>
        <w:t xml:space="preserve"> GRACE scores can be calculated on initial presentation to predict in-hospital </w:t>
      </w:r>
      <w:proofErr w:type="gramStart"/>
      <w:r w:rsidRPr="00692A69">
        <w:rPr>
          <w:rFonts w:asciiTheme="minorHAnsi" w:hAnsiTheme="minorHAnsi" w:cstheme="minorHAnsi"/>
          <w:sz w:val="24"/>
          <w:szCs w:val="24"/>
        </w:rPr>
        <w:t>mortality(</w:t>
      </w:r>
      <w:proofErr w:type="gramEnd"/>
      <w:r w:rsidR="004C694C">
        <w:rPr>
          <w:rFonts w:asciiTheme="minorHAnsi" w:hAnsiTheme="minorHAnsi" w:cstheme="minorHAnsi"/>
          <w:sz w:val="24"/>
          <w:szCs w:val="24"/>
        </w:rPr>
        <w:t>16</w:t>
      </w:r>
      <w:r w:rsidRPr="00692A69">
        <w:rPr>
          <w:rFonts w:asciiTheme="minorHAnsi" w:hAnsiTheme="minorHAnsi" w:cstheme="minorHAnsi"/>
          <w:sz w:val="24"/>
          <w:szCs w:val="24"/>
        </w:rPr>
        <w:t>)</w:t>
      </w:r>
      <w:r w:rsidR="00952613" w:rsidRPr="00692A69">
        <w:rPr>
          <w:rFonts w:asciiTheme="minorHAnsi" w:hAnsiTheme="minorHAnsi" w:cstheme="minorHAnsi"/>
          <w:sz w:val="24"/>
          <w:szCs w:val="24"/>
        </w:rPr>
        <w:t xml:space="preserve"> or for 6 month major adverse cardiac events (MACE)</w:t>
      </w:r>
      <w:r w:rsidR="004A66B0" w:rsidRPr="00692A69">
        <w:rPr>
          <w:rFonts w:asciiTheme="minorHAnsi" w:hAnsiTheme="minorHAnsi" w:cstheme="minorHAnsi"/>
          <w:sz w:val="24"/>
          <w:szCs w:val="24"/>
        </w:rPr>
        <w:t>, defined as death and/or re-</w:t>
      </w:r>
      <w:r w:rsidR="00630C28">
        <w:rPr>
          <w:rFonts w:asciiTheme="minorHAnsi" w:hAnsiTheme="minorHAnsi" w:cstheme="minorHAnsi"/>
          <w:sz w:val="24"/>
          <w:szCs w:val="24"/>
        </w:rPr>
        <w:t>A</w:t>
      </w:r>
      <w:r w:rsidR="004A66B0" w:rsidRPr="00692A69">
        <w:rPr>
          <w:rFonts w:asciiTheme="minorHAnsi" w:hAnsiTheme="minorHAnsi" w:cstheme="minorHAnsi"/>
          <w:sz w:val="24"/>
          <w:szCs w:val="24"/>
        </w:rPr>
        <w:t>MI</w:t>
      </w:r>
      <w:r w:rsidR="00952613" w:rsidRPr="00692A69">
        <w:rPr>
          <w:rFonts w:asciiTheme="minorHAnsi" w:hAnsiTheme="minorHAnsi" w:cstheme="minorHAnsi"/>
          <w:sz w:val="24"/>
          <w:szCs w:val="24"/>
        </w:rPr>
        <w:t>(</w:t>
      </w:r>
      <w:r w:rsidR="004C694C">
        <w:rPr>
          <w:rFonts w:asciiTheme="minorHAnsi" w:hAnsiTheme="minorHAnsi" w:cstheme="minorHAnsi"/>
          <w:sz w:val="24"/>
          <w:szCs w:val="24"/>
        </w:rPr>
        <w:t>17</w:t>
      </w:r>
      <w:r w:rsidR="00952613" w:rsidRPr="00692A69">
        <w:rPr>
          <w:rFonts w:asciiTheme="minorHAnsi" w:hAnsiTheme="minorHAnsi" w:cstheme="minorHAnsi"/>
          <w:sz w:val="24"/>
          <w:szCs w:val="24"/>
        </w:rPr>
        <w:t xml:space="preserve">) </w:t>
      </w:r>
      <w:r w:rsidRPr="00692A69">
        <w:rPr>
          <w:rFonts w:asciiTheme="minorHAnsi" w:hAnsiTheme="minorHAnsi" w:cstheme="minorHAnsi"/>
          <w:sz w:val="24"/>
          <w:szCs w:val="24"/>
        </w:rPr>
        <w:t xml:space="preserve">. We used </w:t>
      </w:r>
      <w:r w:rsidR="000F4892" w:rsidRPr="00692A69">
        <w:rPr>
          <w:rFonts w:asciiTheme="minorHAnsi" w:hAnsiTheme="minorHAnsi" w:cstheme="minorHAnsi"/>
          <w:sz w:val="24"/>
          <w:szCs w:val="24"/>
        </w:rPr>
        <w:t xml:space="preserve">GRACE </w:t>
      </w:r>
      <w:r w:rsidRPr="00692A69">
        <w:rPr>
          <w:rFonts w:asciiTheme="minorHAnsi" w:hAnsiTheme="minorHAnsi" w:cstheme="minorHAnsi"/>
          <w:sz w:val="24"/>
          <w:szCs w:val="24"/>
        </w:rPr>
        <w:t>scores on</w:t>
      </w:r>
      <w:r w:rsidR="00952613" w:rsidRPr="00692A69">
        <w:rPr>
          <w:rFonts w:asciiTheme="minorHAnsi" w:hAnsiTheme="minorHAnsi" w:cstheme="minorHAnsi"/>
          <w:sz w:val="24"/>
          <w:szCs w:val="24"/>
        </w:rPr>
        <w:t xml:space="preserve"> discharge for comparison with 6 month</w:t>
      </w:r>
      <w:r w:rsidR="000C2982">
        <w:rPr>
          <w:rFonts w:asciiTheme="minorHAnsi" w:hAnsiTheme="minorHAnsi" w:cstheme="minorHAnsi"/>
          <w:sz w:val="24"/>
          <w:szCs w:val="24"/>
        </w:rPr>
        <w:t xml:space="preserve"> </w:t>
      </w:r>
      <w:r w:rsidR="00E72B19" w:rsidRPr="00692A69">
        <w:rPr>
          <w:rFonts w:asciiTheme="minorHAnsi" w:hAnsiTheme="minorHAnsi" w:cstheme="minorHAnsi"/>
          <w:sz w:val="24"/>
          <w:szCs w:val="24"/>
        </w:rPr>
        <w:t>death and/or re-AMI</w:t>
      </w:r>
      <w:r w:rsidRPr="00692A69">
        <w:rPr>
          <w:rFonts w:asciiTheme="minorHAnsi" w:hAnsiTheme="minorHAnsi" w:cstheme="minorHAnsi"/>
          <w:sz w:val="24"/>
          <w:szCs w:val="24"/>
        </w:rPr>
        <w:t>.</w:t>
      </w:r>
    </w:p>
    <w:p w:rsidR="00805072" w:rsidRPr="00692A69" w:rsidRDefault="00805072" w:rsidP="004C1DEE">
      <w:pPr>
        <w:pStyle w:val="NoSpacing"/>
        <w:spacing w:before="240"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b/>
          <w:sz w:val="24"/>
          <w:szCs w:val="24"/>
        </w:rPr>
        <w:t>Biomarker assays</w:t>
      </w:r>
      <w:r w:rsidRPr="00692A69">
        <w:rPr>
          <w:rFonts w:asciiTheme="minorHAnsi" w:hAnsiTheme="minorHAnsi" w:cstheme="minorHAnsi"/>
          <w:sz w:val="24"/>
          <w:szCs w:val="24"/>
        </w:rPr>
        <w:t xml:space="preserve">.  The 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assay was based on a non-competitive assay as </w:t>
      </w:r>
      <w:r w:rsidR="004C694C">
        <w:rPr>
          <w:rFonts w:asciiTheme="minorHAnsi" w:hAnsiTheme="minorHAnsi" w:cstheme="minorHAnsi"/>
          <w:sz w:val="24"/>
          <w:szCs w:val="24"/>
        </w:rPr>
        <w:t>previously published (18</w:t>
      </w:r>
      <w:r w:rsidRPr="00E571FE">
        <w:rPr>
          <w:rFonts w:asciiTheme="minorHAnsi" w:hAnsiTheme="minorHAnsi" w:cstheme="minorHAnsi"/>
          <w:sz w:val="24"/>
          <w:szCs w:val="24"/>
        </w:rPr>
        <w:t xml:space="preserve">).  </w:t>
      </w:r>
      <w:r w:rsidR="00906E2A">
        <w:rPr>
          <w:rFonts w:asciiTheme="minorHAnsi" w:hAnsiTheme="minorHAnsi" w:cstheme="minorHAnsi"/>
          <w:sz w:val="24"/>
          <w:szCs w:val="24"/>
        </w:rPr>
        <w:t>Troponin I was measured using the</w:t>
      </w:r>
      <w:r w:rsidR="00906E2A" w:rsidRPr="0011686C">
        <w:rPr>
          <w:rFonts w:cs="StempelGaramond-Roman"/>
          <w:sz w:val="24"/>
          <w:szCs w:val="24"/>
        </w:rPr>
        <w:t xml:space="preserve"> Centaur </w:t>
      </w:r>
      <w:proofErr w:type="spellStart"/>
      <w:r w:rsidR="00906E2A" w:rsidRPr="0011686C">
        <w:rPr>
          <w:rFonts w:cs="StempelGaramond-Roman"/>
          <w:sz w:val="24"/>
          <w:szCs w:val="24"/>
        </w:rPr>
        <w:t>cTnI</w:t>
      </w:r>
      <w:proofErr w:type="spellEnd"/>
      <w:r w:rsidR="00906E2A" w:rsidRPr="0011686C">
        <w:rPr>
          <w:rFonts w:cs="StempelGaramond-Roman"/>
          <w:sz w:val="24"/>
          <w:szCs w:val="24"/>
        </w:rPr>
        <w:t xml:space="preserve"> Ultra immunoassay (Siemens Healthcare Diagnostics), which has a CV (coefficient of variation) of 10% at 0.03 </w:t>
      </w:r>
      <w:proofErr w:type="spellStart"/>
      <w:r w:rsidR="00906E2A" w:rsidRPr="0011686C">
        <w:rPr>
          <w:rFonts w:cstheme="minorHAnsi"/>
          <w:sz w:val="24"/>
          <w:szCs w:val="24"/>
        </w:rPr>
        <w:t>μg</w:t>
      </w:r>
      <w:proofErr w:type="spellEnd"/>
      <w:r w:rsidR="00906E2A" w:rsidRPr="0011686C">
        <w:rPr>
          <w:rFonts w:cstheme="minorHAnsi"/>
          <w:sz w:val="24"/>
          <w:szCs w:val="24"/>
        </w:rPr>
        <w:t>/L</w:t>
      </w:r>
      <w:r w:rsidR="00906E2A" w:rsidRPr="0011686C">
        <w:rPr>
          <w:rFonts w:cs="StempelGaramond-Roman"/>
          <w:sz w:val="24"/>
          <w:szCs w:val="24"/>
        </w:rPr>
        <w:t xml:space="preserve"> with a 99th percentile of 0.04 </w:t>
      </w:r>
      <w:proofErr w:type="spellStart"/>
      <w:r w:rsidR="00906E2A" w:rsidRPr="0011686C">
        <w:rPr>
          <w:rFonts w:cstheme="minorHAnsi"/>
          <w:sz w:val="24"/>
          <w:szCs w:val="24"/>
        </w:rPr>
        <w:t>μg</w:t>
      </w:r>
      <w:proofErr w:type="spellEnd"/>
      <w:r w:rsidR="00906E2A" w:rsidRPr="0011686C">
        <w:rPr>
          <w:rFonts w:cstheme="minorHAnsi"/>
          <w:sz w:val="24"/>
          <w:szCs w:val="24"/>
        </w:rPr>
        <w:t>/L</w:t>
      </w:r>
      <w:r w:rsidR="00906E2A" w:rsidRPr="0011686C">
        <w:rPr>
          <w:rFonts w:cs="StempelGaramond-Roman"/>
          <w:sz w:val="24"/>
          <w:szCs w:val="24"/>
        </w:rPr>
        <w:t xml:space="preserve">.  </w:t>
      </w:r>
      <w:r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An assay for stable </w:t>
      </w:r>
      <w:proofErr w:type="spellStart"/>
      <w:r w:rsidR="00576876">
        <w:rPr>
          <w:rFonts w:asciiTheme="minorHAnsi" w:hAnsiTheme="minorHAnsi" w:cstheme="minorHAnsi"/>
          <w:color w:val="000000"/>
          <w:sz w:val="24"/>
          <w:szCs w:val="24"/>
        </w:rPr>
        <w:t>ProSP</w:t>
      </w:r>
      <w:proofErr w:type="spellEnd"/>
      <w:r w:rsidR="000C298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has been previously reported in </w:t>
      </w:r>
      <w:proofErr w:type="gramStart"/>
      <w:r w:rsidRPr="00E571FE">
        <w:rPr>
          <w:rFonts w:asciiTheme="minorHAnsi" w:hAnsiTheme="minorHAnsi" w:cstheme="minorHAnsi"/>
          <w:color w:val="000000"/>
          <w:sz w:val="24"/>
          <w:szCs w:val="24"/>
        </w:rPr>
        <w:t>detail(</w:t>
      </w:r>
      <w:proofErr w:type="gramEnd"/>
      <w:r w:rsidRPr="00E571FE">
        <w:rPr>
          <w:rFonts w:asciiTheme="minorHAnsi" w:hAnsiTheme="minorHAnsi" w:cstheme="minorHAnsi"/>
          <w:color w:val="000000"/>
          <w:sz w:val="24"/>
          <w:szCs w:val="24"/>
        </w:rPr>
        <w:t>1</w:t>
      </w:r>
      <w:r w:rsidR="007E753B" w:rsidRPr="00E571FE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) and was modified as follows: in brief, </w:t>
      </w:r>
      <w:r w:rsidR="00E571FE"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a </w:t>
      </w:r>
      <w:r w:rsidRPr="00E571FE">
        <w:rPr>
          <w:rFonts w:asciiTheme="minorHAnsi" w:hAnsiTheme="minorHAnsi" w:cstheme="minorHAnsi"/>
          <w:color w:val="000000"/>
          <w:sz w:val="24"/>
          <w:szCs w:val="24"/>
        </w:rPr>
        <w:t>mouse monoclonal anti-</w:t>
      </w:r>
      <w:proofErr w:type="spellStart"/>
      <w:r w:rsidR="00576876">
        <w:rPr>
          <w:rFonts w:asciiTheme="minorHAnsi" w:hAnsiTheme="minorHAnsi" w:cstheme="minorHAnsi"/>
          <w:color w:val="000000"/>
          <w:sz w:val="24"/>
          <w:szCs w:val="24"/>
        </w:rPr>
        <w:t>ProSP</w:t>
      </w:r>
      <w:proofErr w:type="spellEnd"/>
      <w:r w:rsidR="00E571FE"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 antibody (against amino acid sequence 21-36 of </w:t>
      </w:r>
      <w:proofErr w:type="spellStart"/>
      <w:r w:rsidR="00576876">
        <w:rPr>
          <w:rFonts w:asciiTheme="minorHAnsi" w:hAnsiTheme="minorHAnsi" w:cstheme="minorHAnsi"/>
          <w:color w:val="000000"/>
          <w:sz w:val="24"/>
          <w:szCs w:val="24"/>
        </w:rPr>
        <w:t>ProSP</w:t>
      </w:r>
      <w:proofErr w:type="spellEnd"/>
      <w:r w:rsidR="00E571FE" w:rsidRPr="00E571FE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 was used to coat polystyrene tubes. </w:t>
      </w:r>
      <w:r w:rsidR="00E571FE"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Polyclonal antibodies against amino acids 3-22 of the </w:t>
      </w:r>
      <w:proofErr w:type="spellStart"/>
      <w:r w:rsidR="00576876">
        <w:rPr>
          <w:rFonts w:asciiTheme="minorHAnsi" w:hAnsiTheme="minorHAnsi" w:cstheme="minorHAnsi"/>
          <w:color w:val="000000"/>
          <w:sz w:val="24"/>
          <w:szCs w:val="24"/>
        </w:rPr>
        <w:t>ProSP</w:t>
      </w:r>
      <w:proofErr w:type="spellEnd"/>
      <w:r w:rsidR="00E571FE"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 sequence were </w:t>
      </w:r>
      <w:r w:rsidRPr="00E571FE">
        <w:rPr>
          <w:rFonts w:asciiTheme="minorHAnsi" w:hAnsiTheme="minorHAnsi" w:cstheme="minorHAnsi"/>
          <w:color w:val="000000"/>
          <w:sz w:val="24"/>
          <w:szCs w:val="24"/>
        </w:rPr>
        <w:t>labelled with methyl-</w:t>
      </w:r>
      <w:proofErr w:type="spellStart"/>
      <w:r w:rsidRPr="00E571FE">
        <w:rPr>
          <w:rFonts w:asciiTheme="minorHAnsi" w:hAnsiTheme="minorHAnsi" w:cstheme="minorHAnsi"/>
          <w:color w:val="000000"/>
          <w:sz w:val="24"/>
          <w:szCs w:val="24"/>
        </w:rPr>
        <w:t>acridinium</w:t>
      </w:r>
      <w:proofErr w:type="spellEnd"/>
      <w:r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 ester </w:t>
      </w:r>
      <w:r w:rsidR="00E571FE"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and </w:t>
      </w:r>
      <w:r w:rsidRPr="00E571FE">
        <w:rPr>
          <w:rFonts w:asciiTheme="minorHAnsi" w:hAnsiTheme="minorHAnsi" w:cstheme="minorHAnsi"/>
          <w:color w:val="000000"/>
          <w:sz w:val="24"/>
          <w:szCs w:val="24"/>
        </w:rPr>
        <w:t>served as the detector antibody. Standards (</w:t>
      </w:r>
      <w:proofErr w:type="spellStart"/>
      <w:r w:rsidR="00576876">
        <w:rPr>
          <w:rFonts w:asciiTheme="minorHAnsi" w:hAnsiTheme="minorHAnsi" w:cstheme="minorHAnsi"/>
          <w:color w:val="000000"/>
          <w:sz w:val="24"/>
          <w:szCs w:val="24"/>
        </w:rPr>
        <w:t>ProSP</w:t>
      </w:r>
      <w:proofErr w:type="spellEnd"/>
      <w:r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 peptide; amino acids </w:t>
      </w:r>
      <w:r w:rsidR="00E571FE" w:rsidRPr="00E571FE">
        <w:rPr>
          <w:rFonts w:asciiTheme="minorHAnsi" w:hAnsiTheme="minorHAnsi" w:cstheme="minorHAnsi"/>
          <w:color w:val="000000"/>
          <w:sz w:val="24"/>
          <w:szCs w:val="24"/>
        </w:rPr>
        <w:t>1-37</w:t>
      </w:r>
      <w:r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 of </w:t>
      </w:r>
      <w:proofErr w:type="spellStart"/>
      <w:r w:rsidR="00576876">
        <w:rPr>
          <w:rFonts w:asciiTheme="minorHAnsi" w:hAnsiTheme="minorHAnsi" w:cstheme="minorHAnsi"/>
          <w:color w:val="000000"/>
          <w:sz w:val="24"/>
          <w:szCs w:val="24"/>
        </w:rPr>
        <w:t>ProSP</w:t>
      </w:r>
      <w:proofErr w:type="spellEnd"/>
      <w:r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) and samples (50 </w:t>
      </w:r>
      <w:proofErr w:type="spellStart"/>
      <w:r w:rsidRPr="00E571FE">
        <w:rPr>
          <w:rFonts w:asciiTheme="minorHAnsi" w:hAnsiTheme="minorHAnsi" w:cstheme="minorHAnsi"/>
          <w:color w:val="000000"/>
          <w:sz w:val="24"/>
          <w:szCs w:val="24"/>
        </w:rPr>
        <w:t>μL</w:t>
      </w:r>
      <w:proofErr w:type="spellEnd"/>
      <w:r w:rsidRPr="00E571FE">
        <w:rPr>
          <w:rFonts w:asciiTheme="minorHAnsi" w:hAnsiTheme="minorHAnsi" w:cstheme="minorHAnsi"/>
          <w:color w:val="000000"/>
          <w:sz w:val="24"/>
          <w:szCs w:val="24"/>
        </w:rPr>
        <w:t>) were incubated in tubes with the detector antibody (</w:t>
      </w:r>
      <w:r w:rsidR="00E571FE" w:rsidRPr="00E571FE">
        <w:rPr>
          <w:rFonts w:asciiTheme="minorHAnsi" w:hAnsiTheme="minorHAnsi" w:cstheme="minorHAnsi"/>
          <w:color w:val="000000"/>
          <w:sz w:val="24"/>
          <w:szCs w:val="24"/>
        </w:rPr>
        <w:t>20</w:t>
      </w:r>
      <w:r w:rsidRPr="00E571FE">
        <w:rPr>
          <w:rFonts w:asciiTheme="minorHAnsi" w:hAnsiTheme="minorHAnsi" w:cstheme="minorHAnsi"/>
          <w:color w:val="000000"/>
          <w:sz w:val="24"/>
          <w:szCs w:val="24"/>
        </w:rPr>
        <w:t xml:space="preserve">0 µl). After equilibration, tubes were washed and bound </w:t>
      </w:r>
      <w:proofErr w:type="spellStart"/>
      <w:r w:rsidRPr="00E571FE">
        <w:rPr>
          <w:rFonts w:asciiTheme="minorHAnsi" w:hAnsiTheme="minorHAnsi" w:cstheme="minorHAnsi"/>
          <w:sz w:val="24"/>
          <w:szCs w:val="24"/>
        </w:rPr>
        <w:t>chemiluminescence</w:t>
      </w:r>
      <w:proofErr w:type="spellEnd"/>
      <w:r w:rsidRPr="00E571FE">
        <w:rPr>
          <w:rFonts w:asciiTheme="minorHAnsi" w:hAnsiTheme="minorHAnsi" w:cstheme="minorHAnsi"/>
          <w:sz w:val="24"/>
          <w:szCs w:val="24"/>
        </w:rPr>
        <w:t xml:space="preserve"> was detected</w:t>
      </w:r>
      <w:r w:rsidRPr="00692A69">
        <w:rPr>
          <w:rFonts w:asciiTheme="minorHAnsi" w:hAnsiTheme="minorHAnsi" w:cstheme="minorHAnsi"/>
          <w:sz w:val="24"/>
          <w:szCs w:val="24"/>
        </w:rPr>
        <w:t xml:space="preserve"> with a 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luminometer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LB952T/16 (Berthold, Wildbad, Germany).The lower detection limit of the immunoassay was </w:t>
      </w:r>
      <w:proofErr w:type="gramStart"/>
      <w:r w:rsidR="0098223B">
        <w:rPr>
          <w:rFonts w:asciiTheme="minorHAnsi" w:hAnsiTheme="minorHAnsi" w:cstheme="minorHAnsi"/>
          <w:sz w:val="24"/>
          <w:szCs w:val="24"/>
        </w:rPr>
        <w:t xml:space="preserve">4.4 </w:t>
      </w:r>
      <w:proofErr w:type="spellStart"/>
      <w:r w:rsidR="00437D4F" w:rsidRPr="00692A69">
        <w:rPr>
          <w:rFonts w:asciiTheme="minorHAnsi" w:hAnsiTheme="minorHAnsi" w:cstheme="minorHAnsi"/>
          <w:sz w:val="24"/>
          <w:szCs w:val="24"/>
        </w:rPr>
        <w:t>pmol</w:t>
      </w:r>
      <w:proofErr w:type="spellEnd"/>
      <w:r w:rsidR="00437D4F" w:rsidRPr="00692A69">
        <w:rPr>
          <w:rFonts w:asciiTheme="minorHAnsi" w:hAnsiTheme="minorHAnsi" w:cstheme="minorHAnsi"/>
          <w:sz w:val="24"/>
          <w:szCs w:val="24"/>
        </w:rPr>
        <w:t>/L.</w:t>
      </w:r>
      <w:proofErr w:type="gramEnd"/>
    </w:p>
    <w:p w:rsidR="00805072" w:rsidRPr="00692A69" w:rsidRDefault="00805072" w:rsidP="004C1DEE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</w:p>
    <w:p w:rsidR="003F41C9" w:rsidRPr="00692A69" w:rsidRDefault="003F41C9" w:rsidP="004C1DEE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</w:p>
    <w:p w:rsidR="00BF2809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692A69">
        <w:rPr>
          <w:rFonts w:asciiTheme="minorHAnsi" w:hAnsiTheme="minorHAnsi" w:cstheme="minorHAnsi"/>
          <w:b/>
          <w:sz w:val="24"/>
          <w:szCs w:val="24"/>
        </w:rPr>
        <w:lastRenderedPageBreak/>
        <w:t>End points.</w:t>
      </w:r>
      <w:proofErr w:type="gramEnd"/>
      <w:r w:rsidR="00952613" w:rsidRPr="00692A69">
        <w:rPr>
          <w:rFonts w:asciiTheme="minorHAnsi" w:hAnsiTheme="minorHAnsi" w:cstheme="minorHAnsi"/>
          <w:sz w:val="24"/>
          <w:szCs w:val="24"/>
        </w:rPr>
        <w:t xml:space="preserve"> The p</w:t>
      </w:r>
      <w:r w:rsidRPr="00692A69">
        <w:rPr>
          <w:rFonts w:asciiTheme="minorHAnsi" w:hAnsiTheme="minorHAnsi" w:cstheme="minorHAnsi"/>
          <w:sz w:val="24"/>
          <w:szCs w:val="24"/>
        </w:rPr>
        <w:t xml:space="preserve">rimary composite endpoint was major adverse cardiac events (MACE) </w:t>
      </w:r>
      <w:r w:rsidR="00A56E7C">
        <w:rPr>
          <w:rFonts w:asciiTheme="minorHAnsi" w:hAnsiTheme="minorHAnsi" w:cstheme="minorHAnsi"/>
          <w:sz w:val="24"/>
          <w:szCs w:val="24"/>
        </w:rPr>
        <w:t xml:space="preserve">which included </w:t>
      </w:r>
      <w:r w:rsidRPr="00692A69">
        <w:rPr>
          <w:rFonts w:asciiTheme="minorHAnsi" w:hAnsiTheme="minorHAnsi" w:cstheme="minorHAnsi"/>
          <w:sz w:val="24"/>
          <w:szCs w:val="24"/>
        </w:rPr>
        <w:t xml:space="preserve">all-cause mortality, </w:t>
      </w:r>
      <w:r w:rsidR="00952613" w:rsidRPr="00692A69">
        <w:rPr>
          <w:rFonts w:asciiTheme="minorHAnsi" w:hAnsiTheme="minorHAnsi" w:cstheme="minorHAnsi"/>
          <w:sz w:val="24"/>
          <w:szCs w:val="24"/>
        </w:rPr>
        <w:t>heart failure (</w:t>
      </w:r>
      <w:r w:rsidRPr="00692A69">
        <w:rPr>
          <w:rFonts w:asciiTheme="minorHAnsi" w:hAnsiTheme="minorHAnsi" w:cstheme="minorHAnsi"/>
          <w:sz w:val="24"/>
          <w:szCs w:val="24"/>
        </w:rPr>
        <w:t>HF</w:t>
      </w:r>
      <w:proofErr w:type="gramStart"/>
      <w:r w:rsidR="00952613" w:rsidRPr="00692A69">
        <w:rPr>
          <w:rFonts w:asciiTheme="minorHAnsi" w:hAnsiTheme="minorHAnsi" w:cstheme="minorHAnsi"/>
          <w:sz w:val="24"/>
          <w:szCs w:val="24"/>
        </w:rPr>
        <w:t>)</w:t>
      </w:r>
      <w:r w:rsidR="00905378">
        <w:rPr>
          <w:rFonts w:asciiTheme="minorHAnsi" w:hAnsiTheme="minorHAnsi" w:cstheme="minorHAnsi"/>
          <w:sz w:val="24"/>
          <w:szCs w:val="24"/>
        </w:rPr>
        <w:t>hospitalization</w:t>
      </w:r>
      <w:proofErr w:type="gramEnd"/>
      <w:r w:rsidRPr="00692A69">
        <w:rPr>
          <w:rFonts w:asciiTheme="minorHAnsi" w:hAnsiTheme="minorHAnsi" w:cstheme="minorHAnsi"/>
          <w:sz w:val="24"/>
          <w:szCs w:val="24"/>
        </w:rPr>
        <w:t xml:space="preserve"> or </w:t>
      </w:r>
      <w:r w:rsidR="00832141" w:rsidRPr="00692A69">
        <w:rPr>
          <w:rFonts w:asciiTheme="minorHAnsi" w:hAnsiTheme="minorHAnsi" w:cstheme="minorHAnsi"/>
          <w:sz w:val="24"/>
          <w:szCs w:val="24"/>
        </w:rPr>
        <w:t>recurrent AMI (</w:t>
      </w:r>
      <w:r w:rsidRPr="00692A69">
        <w:rPr>
          <w:rFonts w:asciiTheme="minorHAnsi" w:hAnsiTheme="minorHAnsi" w:cstheme="minorHAnsi"/>
          <w:sz w:val="24"/>
          <w:szCs w:val="24"/>
        </w:rPr>
        <w:t>re-AMI</w:t>
      </w:r>
      <w:r w:rsidR="00832141" w:rsidRPr="00692A69">
        <w:rPr>
          <w:rFonts w:asciiTheme="minorHAnsi" w:hAnsiTheme="minorHAnsi" w:cstheme="minorHAnsi"/>
          <w:sz w:val="24"/>
          <w:szCs w:val="24"/>
        </w:rPr>
        <w:t>)</w:t>
      </w:r>
      <w:r w:rsidR="00952613" w:rsidRPr="00692A69">
        <w:rPr>
          <w:rFonts w:asciiTheme="minorHAnsi" w:hAnsiTheme="minorHAnsi" w:cstheme="minorHAnsi"/>
          <w:sz w:val="24"/>
          <w:szCs w:val="24"/>
        </w:rPr>
        <w:t xml:space="preserve">, </w:t>
      </w:r>
      <w:r w:rsidRPr="00692A69">
        <w:rPr>
          <w:rFonts w:asciiTheme="minorHAnsi" w:hAnsiTheme="minorHAnsi" w:cstheme="minorHAnsi"/>
          <w:sz w:val="24"/>
          <w:szCs w:val="24"/>
        </w:rPr>
        <w:t>within 2 years</w:t>
      </w:r>
      <w:r w:rsidR="00A56E7C">
        <w:rPr>
          <w:rFonts w:asciiTheme="minorHAnsi" w:hAnsiTheme="minorHAnsi" w:cstheme="minorHAnsi"/>
          <w:sz w:val="24"/>
          <w:szCs w:val="24"/>
        </w:rPr>
        <w:t xml:space="preserve"> of the index event</w:t>
      </w:r>
      <w:r w:rsidRPr="00692A69">
        <w:rPr>
          <w:rFonts w:asciiTheme="minorHAnsi" w:hAnsiTheme="minorHAnsi" w:cstheme="minorHAnsi"/>
          <w:sz w:val="24"/>
          <w:szCs w:val="24"/>
        </w:rPr>
        <w:t xml:space="preserve">. Hospitalization for HF was defined as a hospital readmission for which HF was the primary reason requiring treatment with high dose diuretics, inotropes or intravenous nitrate. Recurrent AMI </w:t>
      </w:r>
      <w:r w:rsidR="00832141" w:rsidRPr="00692A69">
        <w:rPr>
          <w:rFonts w:asciiTheme="minorHAnsi" w:hAnsiTheme="minorHAnsi" w:cstheme="minorHAnsi"/>
          <w:sz w:val="24"/>
          <w:szCs w:val="24"/>
        </w:rPr>
        <w:t>was diagnosed using the universal definition (1</w:t>
      </w:r>
      <w:r w:rsidR="002F78B6">
        <w:rPr>
          <w:rFonts w:asciiTheme="minorHAnsi" w:hAnsiTheme="minorHAnsi" w:cstheme="minorHAnsi"/>
          <w:sz w:val="24"/>
          <w:szCs w:val="24"/>
        </w:rPr>
        <w:t>3</w:t>
      </w:r>
      <w:r w:rsidR="00832141" w:rsidRPr="00692A69">
        <w:rPr>
          <w:rFonts w:asciiTheme="minorHAnsi" w:hAnsiTheme="minorHAnsi" w:cstheme="minorHAnsi"/>
          <w:sz w:val="24"/>
          <w:szCs w:val="24"/>
        </w:rPr>
        <w:t>).</w:t>
      </w:r>
      <w:r w:rsidR="000C2982">
        <w:rPr>
          <w:rFonts w:asciiTheme="minorHAnsi" w:hAnsiTheme="minorHAnsi" w:cstheme="minorHAnsi"/>
          <w:sz w:val="24"/>
          <w:szCs w:val="24"/>
        </w:rPr>
        <w:t xml:space="preserve"> </w:t>
      </w:r>
      <w:r w:rsidR="00FD4D88">
        <w:rPr>
          <w:rFonts w:asciiTheme="minorHAnsi" w:hAnsiTheme="minorHAnsi" w:cstheme="minorHAnsi"/>
          <w:sz w:val="24"/>
          <w:szCs w:val="24"/>
        </w:rPr>
        <w:t>Other s</w:t>
      </w:r>
      <w:r w:rsidR="00654C05" w:rsidRPr="00692A69">
        <w:rPr>
          <w:rFonts w:asciiTheme="minorHAnsi" w:hAnsiTheme="minorHAnsi" w:cstheme="minorHAnsi"/>
          <w:sz w:val="24"/>
          <w:szCs w:val="24"/>
        </w:rPr>
        <w:t xml:space="preserve">econdary </w:t>
      </w:r>
      <w:r w:rsidR="00FD4D88">
        <w:rPr>
          <w:rFonts w:asciiTheme="minorHAnsi" w:hAnsiTheme="minorHAnsi" w:cstheme="minorHAnsi"/>
          <w:sz w:val="24"/>
          <w:szCs w:val="24"/>
        </w:rPr>
        <w:t xml:space="preserve">composite </w:t>
      </w:r>
      <w:r w:rsidR="00654C05" w:rsidRPr="00692A69">
        <w:rPr>
          <w:rFonts w:asciiTheme="minorHAnsi" w:hAnsiTheme="minorHAnsi" w:cstheme="minorHAnsi"/>
          <w:sz w:val="24"/>
          <w:szCs w:val="24"/>
        </w:rPr>
        <w:t xml:space="preserve">endpoints were death and/or re-AMI and death and/or HF readmission. The endpoint of death and/or re-AMI at 6 months was used in analyses involving the GRACE score as this time-point was used in development of the risk score. </w:t>
      </w:r>
      <w:r w:rsidRPr="00692A69">
        <w:rPr>
          <w:rFonts w:asciiTheme="minorHAnsi" w:hAnsiTheme="minorHAnsi" w:cstheme="minorHAnsi"/>
          <w:sz w:val="24"/>
          <w:szCs w:val="24"/>
        </w:rPr>
        <w:t>Endpoints were obtained by reviewing the local hospital databases</w:t>
      </w:r>
      <w:r w:rsidR="003E1D87">
        <w:rPr>
          <w:rFonts w:asciiTheme="minorHAnsi" w:hAnsiTheme="minorHAnsi" w:cstheme="minorHAnsi"/>
          <w:sz w:val="24"/>
          <w:szCs w:val="24"/>
        </w:rPr>
        <w:t xml:space="preserve"> and patients’ </w:t>
      </w:r>
      <w:r w:rsidR="00FA7CE6">
        <w:rPr>
          <w:rFonts w:asciiTheme="minorHAnsi" w:hAnsiTheme="minorHAnsi" w:cstheme="minorHAnsi"/>
          <w:sz w:val="24"/>
          <w:szCs w:val="24"/>
        </w:rPr>
        <w:t>records</w:t>
      </w:r>
      <w:r w:rsidR="003E1D87">
        <w:rPr>
          <w:rFonts w:asciiTheme="minorHAnsi" w:hAnsiTheme="minorHAnsi" w:cstheme="minorHAnsi"/>
          <w:sz w:val="24"/>
          <w:szCs w:val="24"/>
        </w:rPr>
        <w:t>,</w:t>
      </w:r>
      <w:r w:rsidRPr="00692A69">
        <w:rPr>
          <w:rFonts w:asciiTheme="minorHAnsi" w:hAnsiTheme="minorHAnsi" w:cstheme="minorHAnsi"/>
          <w:sz w:val="24"/>
          <w:szCs w:val="24"/>
        </w:rPr>
        <w:t xml:space="preserve"> the Office of National Statistics Registry and phone calls to patients. We achieved 100% follow-up. </w:t>
      </w:r>
    </w:p>
    <w:p w:rsidR="00BF2809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</w:p>
    <w:p w:rsidR="00EF53C5" w:rsidRPr="00692A69" w:rsidRDefault="00BF2809" w:rsidP="00EC016C">
      <w:pPr>
        <w:spacing w:line="480" w:lineRule="auto"/>
        <w:rPr>
          <w:rFonts w:cstheme="minorHAnsi"/>
          <w:sz w:val="24"/>
          <w:szCs w:val="24"/>
        </w:rPr>
      </w:pPr>
      <w:proofErr w:type="gramStart"/>
      <w:r w:rsidRPr="00692A69">
        <w:rPr>
          <w:rFonts w:cstheme="minorHAnsi"/>
          <w:b/>
          <w:sz w:val="24"/>
          <w:szCs w:val="24"/>
        </w:rPr>
        <w:t>Statistical analysis.</w:t>
      </w:r>
      <w:proofErr w:type="gramEnd"/>
      <w:r w:rsidR="000C2982">
        <w:rPr>
          <w:rFonts w:cstheme="minorHAnsi"/>
          <w:b/>
          <w:sz w:val="24"/>
          <w:szCs w:val="24"/>
        </w:rPr>
        <w:t xml:space="preserve"> </w:t>
      </w:r>
      <w:r w:rsidRPr="00692A69">
        <w:rPr>
          <w:rFonts w:cstheme="minorHAnsi"/>
          <w:sz w:val="24"/>
          <w:szCs w:val="24"/>
        </w:rPr>
        <w:t xml:space="preserve">Statistical analyses were performed on SPSS Version </w:t>
      </w:r>
      <w:r w:rsidR="00774A18" w:rsidRPr="00692A69">
        <w:rPr>
          <w:rFonts w:cstheme="minorHAnsi"/>
          <w:sz w:val="24"/>
          <w:szCs w:val="24"/>
        </w:rPr>
        <w:t>20</w:t>
      </w:r>
      <w:r w:rsidRPr="00692A69">
        <w:rPr>
          <w:rFonts w:cstheme="minorHAnsi"/>
          <w:sz w:val="24"/>
          <w:szCs w:val="24"/>
        </w:rPr>
        <w:t xml:space="preserve"> (SPSS Inc, Chicago, Illinois)</w:t>
      </w:r>
      <w:r w:rsidR="00B70EF3" w:rsidRPr="00692A69">
        <w:rPr>
          <w:rFonts w:cstheme="minorHAnsi"/>
          <w:sz w:val="24"/>
          <w:szCs w:val="24"/>
        </w:rPr>
        <w:t xml:space="preserve"> and </w:t>
      </w:r>
      <w:proofErr w:type="spellStart"/>
      <w:r w:rsidR="00B70EF3" w:rsidRPr="00692A69">
        <w:rPr>
          <w:rFonts w:cstheme="minorHAnsi"/>
          <w:sz w:val="24"/>
          <w:szCs w:val="24"/>
        </w:rPr>
        <w:t>Stata</w:t>
      </w:r>
      <w:proofErr w:type="spellEnd"/>
      <w:r w:rsidR="00C26E4E" w:rsidRPr="00692A69">
        <w:rPr>
          <w:rFonts w:cstheme="minorHAnsi"/>
          <w:sz w:val="24"/>
          <w:szCs w:val="24"/>
        </w:rPr>
        <w:t xml:space="preserve"> 12.1 (</w:t>
      </w:r>
      <w:proofErr w:type="spellStart"/>
      <w:r w:rsidR="00C26E4E" w:rsidRPr="00692A69">
        <w:rPr>
          <w:rFonts w:cstheme="minorHAnsi"/>
          <w:sz w:val="24"/>
          <w:szCs w:val="24"/>
        </w:rPr>
        <w:t>Texas</w:t>
      </w:r>
      <w:proofErr w:type="gramStart"/>
      <w:r w:rsidR="00C26E4E" w:rsidRPr="00692A69">
        <w:rPr>
          <w:rFonts w:cstheme="minorHAnsi"/>
          <w:sz w:val="24"/>
          <w:szCs w:val="24"/>
        </w:rPr>
        <w:t>,USA</w:t>
      </w:r>
      <w:proofErr w:type="spellEnd"/>
      <w:proofErr w:type="gramEnd"/>
      <w:r w:rsidR="00C26E4E" w:rsidRPr="00692A69">
        <w:rPr>
          <w:rFonts w:cstheme="minorHAnsi"/>
          <w:sz w:val="24"/>
          <w:szCs w:val="24"/>
        </w:rPr>
        <w:t>)</w:t>
      </w:r>
      <w:r w:rsidRPr="00692A69">
        <w:rPr>
          <w:rFonts w:cstheme="minorHAnsi"/>
          <w:sz w:val="24"/>
          <w:szCs w:val="24"/>
        </w:rPr>
        <w:t xml:space="preserve">. </w:t>
      </w:r>
      <w:r w:rsidR="00774A18" w:rsidRPr="00692A69">
        <w:rPr>
          <w:rFonts w:cstheme="minorHAnsi"/>
          <w:sz w:val="24"/>
          <w:szCs w:val="24"/>
        </w:rPr>
        <w:t>Biomarker</w:t>
      </w:r>
      <w:r w:rsidRPr="00692A69">
        <w:rPr>
          <w:rFonts w:cstheme="minorHAnsi"/>
          <w:sz w:val="24"/>
          <w:szCs w:val="24"/>
        </w:rPr>
        <w:t xml:space="preserve"> levels were log</w:t>
      </w:r>
      <w:r w:rsidRPr="00692A69">
        <w:rPr>
          <w:rFonts w:cstheme="minorHAnsi"/>
          <w:sz w:val="24"/>
          <w:szCs w:val="24"/>
          <w:vertAlign w:val="subscript"/>
        </w:rPr>
        <w:t>10</w:t>
      </w:r>
      <w:r w:rsidRPr="00692A69">
        <w:rPr>
          <w:rFonts w:cstheme="minorHAnsi"/>
          <w:sz w:val="24"/>
          <w:szCs w:val="24"/>
        </w:rPr>
        <w:t xml:space="preserve"> transformed and </w:t>
      </w:r>
      <w:r w:rsidR="003E1D87">
        <w:rPr>
          <w:rFonts w:cstheme="minorHAnsi"/>
          <w:sz w:val="24"/>
          <w:szCs w:val="24"/>
        </w:rPr>
        <w:t>h</w:t>
      </w:r>
      <w:r w:rsidR="003E1D87" w:rsidRPr="0011686C">
        <w:rPr>
          <w:rFonts w:cstheme="minorHAnsi"/>
          <w:sz w:val="24"/>
          <w:szCs w:val="24"/>
        </w:rPr>
        <w:t xml:space="preserve">azard ratios for these refer to 1 SD </w:t>
      </w:r>
      <w:r w:rsidR="003E1D87">
        <w:rPr>
          <w:rFonts w:cstheme="minorHAnsi"/>
          <w:sz w:val="24"/>
          <w:szCs w:val="24"/>
        </w:rPr>
        <w:t>increment</w:t>
      </w:r>
      <w:r w:rsidR="003E1D87" w:rsidRPr="0011686C">
        <w:rPr>
          <w:rFonts w:cstheme="minorHAnsi"/>
          <w:sz w:val="24"/>
          <w:szCs w:val="24"/>
        </w:rPr>
        <w:t xml:space="preserve"> of the log</w:t>
      </w:r>
      <w:r w:rsidR="003E1D87" w:rsidRPr="0011686C">
        <w:rPr>
          <w:rFonts w:cstheme="minorHAnsi"/>
          <w:sz w:val="24"/>
          <w:szCs w:val="24"/>
          <w:vertAlign w:val="subscript"/>
        </w:rPr>
        <w:t>10</w:t>
      </w:r>
      <w:r w:rsidR="003E1D87" w:rsidRPr="0011686C">
        <w:rPr>
          <w:rFonts w:cstheme="minorHAnsi"/>
          <w:sz w:val="24"/>
          <w:szCs w:val="24"/>
        </w:rPr>
        <w:t xml:space="preserve"> transformed biomarker. </w:t>
      </w:r>
      <w:r w:rsidRPr="00692A69">
        <w:rPr>
          <w:rFonts w:cstheme="minorHAnsi"/>
          <w:sz w:val="24"/>
          <w:szCs w:val="24"/>
        </w:rPr>
        <w:t xml:space="preserve">GRACE scores were used as the original scores. Non-parametric tests were employed </w:t>
      </w:r>
      <w:r w:rsidR="003E1D87">
        <w:rPr>
          <w:rFonts w:cstheme="minorHAnsi"/>
          <w:sz w:val="24"/>
          <w:szCs w:val="24"/>
        </w:rPr>
        <w:t>for data analysis</w:t>
      </w:r>
      <w:r w:rsidRPr="00692A69">
        <w:rPr>
          <w:rFonts w:cstheme="minorHAnsi"/>
          <w:sz w:val="24"/>
          <w:szCs w:val="24"/>
        </w:rPr>
        <w:t xml:space="preserve"> (</w:t>
      </w:r>
      <w:r w:rsidR="00CB0BCB">
        <w:rPr>
          <w:rFonts w:cstheme="minorHAnsi"/>
          <w:sz w:val="24"/>
          <w:szCs w:val="24"/>
        </w:rPr>
        <w:t>Chi-squared test</w:t>
      </w:r>
      <w:r w:rsidRPr="00692A69">
        <w:rPr>
          <w:rFonts w:cstheme="minorHAnsi"/>
          <w:sz w:val="24"/>
          <w:szCs w:val="24"/>
        </w:rPr>
        <w:t xml:space="preserve">, </w:t>
      </w:r>
      <w:proofErr w:type="spellStart"/>
      <w:r w:rsidRPr="00692A69">
        <w:rPr>
          <w:rFonts w:cstheme="minorHAnsi"/>
          <w:sz w:val="24"/>
          <w:szCs w:val="24"/>
        </w:rPr>
        <w:t>Kruskal</w:t>
      </w:r>
      <w:proofErr w:type="spellEnd"/>
      <w:r w:rsidRPr="00692A69">
        <w:rPr>
          <w:rFonts w:cstheme="minorHAnsi"/>
          <w:sz w:val="24"/>
          <w:szCs w:val="24"/>
        </w:rPr>
        <w:t xml:space="preserve"> Wallis test and Spearman (</w:t>
      </w:r>
      <w:proofErr w:type="spellStart"/>
      <w:r w:rsidRPr="00692A69">
        <w:rPr>
          <w:rFonts w:cstheme="minorHAnsi"/>
          <w:sz w:val="24"/>
          <w:szCs w:val="24"/>
        </w:rPr>
        <w:t>r</w:t>
      </w:r>
      <w:r w:rsidRPr="00692A69">
        <w:rPr>
          <w:rFonts w:cstheme="minorHAnsi"/>
          <w:sz w:val="24"/>
          <w:szCs w:val="24"/>
          <w:vertAlign w:val="subscript"/>
        </w:rPr>
        <w:t>s</w:t>
      </w:r>
      <w:proofErr w:type="spellEnd"/>
      <w:r w:rsidRPr="00692A69">
        <w:rPr>
          <w:rFonts w:cstheme="minorHAnsi"/>
          <w:sz w:val="24"/>
          <w:szCs w:val="24"/>
        </w:rPr>
        <w:t xml:space="preserve">) correlations). Independent predictors of </w:t>
      </w:r>
      <w:proofErr w:type="spellStart"/>
      <w:r w:rsidR="00576876">
        <w:rPr>
          <w:rFonts w:cstheme="minorHAnsi"/>
          <w:sz w:val="24"/>
          <w:szCs w:val="24"/>
        </w:rPr>
        <w:t>ProSP</w:t>
      </w:r>
      <w:proofErr w:type="spellEnd"/>
      <w:r w:rsidRPr="00692A69">
        <w:rPr>
          <w:rFonts w:cstheme="minorHAnsi"/>
          <w:sz w:val="24"/>
          <w:szCs w:val="24"/>
        </w:rPr>
        <w:t xml:space="preserve"> levels were assessed using general linear models</w:t>
      </w:r>
      <w:r w:rsidR="00AF2E90">
        <w:rPr>
          <w:rFonts w:cstheme="minorHAnsi"/>
          <w:sz w:val="24"/>
          <w:szCs w:val="24"/>
        </w:rPr>
        <w:t>, with coefficients and P values reported for 2000 bootstrap samples</w:t>
      </w:r>
      <w:r w:rsidRPr="00692A69">
        <w:rPr>
          <w:rFonts w:cstheme="minorHAnsi"/>
          <w:sz w:val="24"/>
          <w:szCs w:val="24"/>
        </w:rPr>
        <w:t xml:space="preserve">. To assess prognostic value of </w:t>
      </w:r>
      <w:r w:rsidR="00774A18" w:rsidRPr="00692A69">
        <w:rPr>
          <w:rFonts w:cstheme="minorHAnsi"/>
          <w:sz w:val="24"/>
          <w:szCs w:val="24"/>
        </w:rPr>
        <w:t xml:space="preserve">biomarkers, a </w:t>
      </w:r>
      <w:r w:rsidRPr="00692A69">
        <w:rPr>
          <w:rFonts w:cstheme="minorHAnsi"/>
          <w:sz w:val="24"/>
          <w:szCs w:val="24"/>
        </w:rPr>
        <w:t xml:space="preserve">‘base’ model was generated </w:t>
      </w:r>
      <w:r w:rsidR="00774A18" w:rsidRPr="00692A69">
        <w:rPr>
          <w:rFonts w:cstheme="minorHAnsi"/>
          <w:sz w:val="24"/>
          <w:szCs w:val="24"/>
        </w:rPr>
        <w:t xml:space="preserve">using Cox survival analysis, </w:t>
      </w:r>
      <w:r w:rsidRPr="00692A69">
        <w:rPr>
          <w:rFonts w:cstheme="minorHAnsi"/>
          <w:sz w:val="24"/>
          <w:szCs w:val="24"/>
        </w:rPr>
        <w:t>which included variables that were significantly (p&lt;0.</w:t>
      </w:r>
      <w:r w:rsidR="00774A18" w:rsidRPr="00692A69">
        <w:rPr>
          <w:rFonts w:cstheme="minorHAnsi"/>
          <w:sz w:val="24"/>
          <w:szCs w:val="24"/>
        </w:rPr>
        <w:t>1</w:t>
      </w:r>
      <w:r w:rsidRPr="00692A69">
        <w:rPr>
          <w:rFonts w:cstheme="minorHAnsi"/>
          <w:sz w:val="24"/>
          <w:szCs w:val="24"/>
        </w:rPr>
        <w:t xml:space="preserve">0) associated with any of the study end points on </w:t>
      </w:r>
      <w:proofErr w:type="spellStart"/>
      <w:r w:rsidRPr="00692A69">
        <w:rPr>
          <w:rFonts w:cstheme="minorHAnsi"/>
          <w:sz w:val="24"/>
          <w:szCs w:val="24"/>
        </w:rPr>
        <w:t>univariate</w:t>
      </w:r>
      <w:proofErr w:type="spellEnd"/>
      <w:r w:rsidRPr="00692A69">
        <w:rPr>
          <w:rFonts w:cstheme="minorHAnsi"/>
          <w:sz w:val="24"/>
          <w:szCs w:val="24"/>
        </w:rPr>
        <w:t xml:space="preserve"> analysis (age, </w:t>
      </w:r>
      <w:r w:rsidR="00746D8B">
        <w:rPr>
          <w:rFonts w:cstheme="minorHAnsi"/>
          <w:sz w:val="24"/>
          <w:szCs w:val="24"/>
        </w:rPr>
        <w:t>sex</w:t>
      </w:r>
      <w:r w:rsidRPr="00692A69">
        <w:rPr>
          <w:rFonts w:cstheme="minorHAnsi"/>
          <w:sz w:val="24"/>
          <w:szCs w:val="24"/>
        </w:rPr>
        <w:t xml:space="preserve">, previous history of </w:t>
      </w:r>
      <w:r w:rsidR="00774A18" w:rsidRPr="00692A69">
        <w:rPr>
          <w:rFonts w:cstheme="minorHAnsi"/>
          <w:sz w:val="24"/>
          <w:szCs w:val="24"/>
        </w:rPr>
        <w:t>ischemic heart disease (IHD)</w:t>
      </w:r>
      <w:r w:rsidRPr="00692A69">
        <w:rPr>
          <w:rFonts w:cstheme="minorHAnsi"/>
          <w:sz w:val="24"/>
          <w:szCs w:val="24"/>
        </w:rPr>
        <w:t xml:space="preserve">, hypertension or diabetes, </w:t>
      </w:r>
      <w:proofErr w:type="spellStart"/>
      <w:r w:rsidRPr="00692A69">
        <w:rPr>
          <w:rFonts w:cstheme="minorHAnsi"/>
          <w:sz w:val="24"/>
          <w:szCs w:val="24"/>
        </w:rPr>
        <w:t>Killip</w:t>
      </w:r>
      <w:proofErr w:type="spellEnd"/>
      <w:r w:rsidRPr="00692A69">
        <w:rPr>
          <w:rFonts w:cstheme="minorHAnsi"/>
          <w:sz w:val="24"/>
          <w:szCs w:val="24"/>
        </w:rPr>
        <w:t xml:space="preserve"> Class, </w:t>
      </w:r>
      <w:proofErr w:type="spellStart"/>
      <w:r w:rsidRPr="00692A69">
        <w:rPr>
          <w:rFonts w:cstheme="minorHAnsi"/>
          <w:sz w:val="24"/>
          <w:szCs w:val="24"/>
        </w:rPr>
        <w:t>eGFR</w:t>
      </w:r>
      <w:proofErr w:type="spellEnd"/>
      <w:r w:rsidRPr="00692A69">
        <w:rPr>
          <w:rFonts w:cstheme="minorHAnsi"/>
          <w:sz w:val="24"/>
          <w:szCs w:val="24"/>
        </w:rPr>
        <w:t xml:space="preserve">, </w:t>
      </w:r>
      <w:r w:rsidR="00CB0BCB" w:rsidRPr="0011686C">
        <w:rPr>
          <w:rFonts w:cstheme="minorHAnsi"/>
          <w:sz w:val="24"/>
          <w:szCs w:val="24"/>
        </w:rPr>
        <w:t xml:space="preserve">and biomarkers (log troponin I and log </w:t>
      </w:r>
      <w:proofErr w:type="spellStart"/>
      <w:r w:rsidR="00CB0BCB" w:rsidRPr="0011686C">
        <w:rPr>
          <w:rFonts w:cstheme="minorHAnsi"/>
          <w:sz w:val="24"/>
          <w:szCs w:val="24"/>
        </w:rPr>
        <w:t>NTproBNP</w:t>
      </w:r>
      <w:proofErr w:type="spellEnd"/>
      <w:r w:rsidR="00CB0BCB" w:rsidRPr="0011686C">
        <w:rPr>
          <w:rFonts w:cstheme="minorHAnsi"/>
          <w:sz w:val="24"/>
          <w:szCs w:val="24"/>
        </w:rPr>
        <w:t>)</w:t>
      </w:r>
      <w:r w:rsidR="00D13E46">
        <w:rPr>
          <w:rFonts w:cstheme="minorHAnsi"/>
          <w:sz w:val="24"/>
          <w:szCs w:val="24"/>
        </w:rPr>
        <w:t>)</w:t>
      </w:r>
      <w:r w:rsidR="00CB0BCB" w:rsidRPr="0011686C">
        <w:rPr>
          <w:rFonts w:cstheme="minorHAnsi"/>
          <w:sz w:val="24"/>
          <w:szCs w:val="24"/>
        </w:rPr>
        <w:t xml:space="preserve">. </w:t>
      </w:r>
      <w:proofErr w:type="spellStart"/>
      <w:r w:rsidR="00CB0BCB">
        <w:rPr>
          <w:rFonts w:cstheme="minorHAnsi"/>
          <w:sz w:val="24"/>
          <w:szCs w:val="24"/>
        </w:rPr>
        <w:t>ProSP</w:t>
      </w:r>
      <w:proofErr w:type="spellEnd"/>
      <w:r w:rsidR="00CB0BCB">
        <w:rPr>
          <w:rFonts w:cstheme="minorHAnsi"/>
          <w:sz w:val="24"/>
          <w:szCs w:val="24"/>
        </w:rPr>
        <w:t xml:space="preserve"> was</w:t>
      </w:r>
      <w:r w:rsidRPr="00692A69">
        <w:rPr>
          <w:rFonts w:cstheme="minorHAnsi"/>
          <w:sz w:val="24"/>
          <w:szCs w:val="24"/>
        </w:rPr>
        <w:t xml:space="preserve"> added to this </w:t>
      </w:r>
      <w:r w:rsidR="00774A18" w:rsidRPr="00692A69">
        <w:rPr>
          <w:rFonts w:cstheme="minorHAnsi"/>
          <w:sz w:val="24"/>
          <w:szCs w:val="24"/>
        </w:rPr>
        <w:t xml:space="preserve">base </w:t>
      </w:r>
      <w:r w:rsidRPr="00692A69">
        <w:rPr>
          <w:rFonts w:cstheme="minorHAnsi"/>
          <w:sz w:val="24"/>
          <w:szCs w:val="24"/>
        </w:rPr>
        <w:lastRenderedPageBreak/>
        <w:t xml:space="preserve">model to evaluate </w:t>
      </w:r>
      <w:r w:rsidR="00CB0BCB">
        <w:rPr>
          <w:rFonts w:cstheme="minorHAnsi"/>
          <w:sz w:val="24"/>
          <w:szCs w:val="24"/>
        </w:rPr>
        <w:t xml:space="preserve">its added </w:t>
      </w:r>
      <w:r w:rsidRPr="00692A69">
        <w:rPr>
          <w:rFonts w:cstheme="minorHAnsi"/>
          <w:sz w:val="24"/>
          <w:szCs w:val="24"/>
        </w:rPr>
        <w:t xml:space="preserve">prognostic value. A </w:t>
      </w:r>
      <w:r w:rsidRPr="000C2982">
        <w:rPr>
          <w:rFonts w:cstheme="minorHAnsi"/>
          <w:sz w:val="24"/>
          <w:szCs w:val="24"/>
        </w:rPr>
        <w:t xml:space="preserve">second ‘comparative’ Cox </w:t>
      </w:r>
      <w:proofErr w:type="gramStart"/>
      <w:r w:rsidRPr="000C2982">
        <w:rPr>
          <w:rFonts w:cstheme="minorHAnsi"/>
          <w:sz w:val="24"/>
          <w:szCs w:val="24"/>
        </w:rPr>
        <w:t>model,</w:t>
      </w:r>
      <w:proofErr w:type="gramEnd"/>
      <w:r w:rsidRPr="000C2982">
        <w:rPr>
          <w:rFonts w:cstheme="minorHAnsi"/>
          <w:sz w:val="24"/>
          <w:szCs w:val="24"/>
        </w:rPr>
        <w:t xml:space="preserve"> was used to assess the relative prognostic power of </w:t>
      </w:r>
      <w:proofErr w:type="spellStart"/>
      <w:r w:rsidR="00E2625B" w:rsidRPr="00DF2A66">
        <w:rPr>
          <w:rFonts w:cstheme="minorHAnsi"/>
          <w:sz w:val="24"/>
          <w:szCs w:val="24"/>
        </w:rPr>
        <w:t>NTproBNP</w:t>
      </w:r>
      <w:proofErr w:type="spellEnd"/>
      <w:r w:rsidR="00E2625B" w:rsidRPr="00DF2A66">
        <w:rPr>
          <w:rFonts w:cstheme="minorHAnsi"/>
          <w:sz w:val="24"/>
          <w:szCs w:val="24"/>
        </w:rPr>
        <w:t xml:space="preserve"> and </w:t>
      </w:r>
      <w:proofErr w:type="spellStart"/>
      <w:r w:rsidR="00E2625B" w:rsidRPr="00DF2A66">
        <w:rPr>
          <w:rFonts w:cstheme="minorHAnsi"/>
          <w:sz w:val="24"/>
          <w:szCs w:val="24"/>
        </w:rPr>
        <w:t>ProSP</w:t>
      </w:r>
      <w:proofErr w:type="spellEnd"/>
      <w:r w:rsidR="000C2982" w:rsidRPr="00DF2A66">
        <w:rPr>
          <w:rFonts w:cstheme="minorHAnsi"/>
          <w:sz w:val="24"/>
          <w:szCs w:val="24"/>
        </w:rPr>
        <w:t xml:space="preserve"> </w:t>
      </w:r>
      <w:r w:rsidR="00774A18" w:rsidRPr="00DF2A66">
        <w:rPr>
          <w:rFonts w:cstheme="minorHAnsi"/>
          <w:sz w:val="24"/>
          <w:szCs w:val="24"/>
        </w:rPr>
        <w:t>and the</w:t>
      </w:r>
      <w:r w:rsidRPr="00DF2A66">
        <w:rPr>
          <w:rFonts w:cstheme="minorHAnsi"/>
          <w:sz w:val="24"/>
          <w:szCs w:val="24"/>
        </w:rPr>
        <w:t xml:space="preserve"> GRACE score. </w:t>
      </w:r>
      <w:r w:rsidR="000C2982" w:rsidRPr="00DF2A66">
        <w:rPr>
          <w:rFonts w:cstheme="minorHAnsi"/>
          <w:sz w:val="24"/>
          <w:szCs w:val="24"/>
        </w:rPr>
        <w:t xml:space="preserve"> </w:t>
      </w:r>
      <w:r w:rsidR="000C2982" w:rsidRPr="00DF2A66">
        <w:rPr>
          <w:rFonts w:ascii="Calibri" w:hAnsi="Calibri" w:cs="Segoe UI"/>
          <w:sz w:val="24"/>
          <w:szCs w:val="24"/>
        </w:rPr>
        <w:t xml:space="preserve">To demonstrate independence from clinical variables and </w:t>
      </w:r>
      <w:proofErr w:type="spellStart"/>
      <w:r w:rsidR="000C2982" w:rsidRPr="00DF2A66">
        <w:rPr>
          <w:rFonts w:ascii="Calibri" w:hAnsi="Calibri" w:cs="Segoe UI"/>
          <w:sz w:val="24"/>
          <w:szCs w:val="24"/>
        </w:rPr>
        <w:t>NTproBNP</w:t>
      </w:r>
      <w:proofErr w:type="spellEnd"/>
      <w:r w:rsidR="000C2982" w:rsidRPr="00DF2A66">
        <w:rPr>
          <w:rFonts w:ascii="Calibri" w:hAnsi="Calibri" w:cs="Segoe UI"/>
          <w:sz w:val="24"/>
          <w:szCs w:val="24"/>
        </w:rPr>
        <w:t xml:space="preserve"> or the GRACE score with and without </w:t>
      </w:r>
      <w:proofErr w:type="spellStart"/>
      <w:r w:rsidR="000C2982" w:rsidRPr="00DF2A66">
        <w:rPr>
          <w:rFonts w:ascii="Calibri" w:hAnsi="Calibri" w:cs="Segoe UI"/>
          <w:sz w:val="24"/>
          <w:szCs w:val="24"/>
        </w:rPr>
        <w:t>NTproBNP</w:t>
      </w:r>
      <w:proofErr w:type="spellEnd"/>
      <w:r w:rsidR="000C2982" w:rsidRPr="00DF2A66">
        <w:rPr>
          <w:rFonts w:ascii="Calibri" w:hAnsi="Calibri" w:cs="Segoe UI"/>
          <w:sz w:val="24"/>
          <w:szCs w:val="24"/>
        </w:rPr>
        <w:t xml:space="preserve">, the added value of </w:t>
      </w:r>
      <w:proofErr w:type="spellStart"/>
      <w:r w:rsidR="000C2982" w:rsidRPr="00DF2A66">
        <w:rPr>
          <w:rFonts w:ascii="Calibri" w:hAnsi="Calibri" w:cs="Segoe UI"/>
          <w:sz w:val="24"/>
          <w:szCs w:val="24"/>
        </w:rPr>
        <w:t>ProSP</w:t>
      </w:r>
      <w:proofErr w:type="spellEnd"/>
      <w:r w:rsidR="000C2982" w:rsidRPr="00DF2A66">
        <w:rPr>
          <w:rFonts w:ascii="Calibri" w:hAnsi="Calibri" w:cs="Segoe UI"/>
          <w:sz w:val="24"/>
          <w:szCs w:val="24"/>
        </w:rPr>
        <w:t xml:space="preserve"> was evaluated based on the likelihood ratio </w:t>
      </w:r>
      <w:r w:rsidR="000C2982" w:rsidRPr="00DF2A66">
        <w:rPr>
          <w:rFonts w:ascii="Calibri" w:hAnsi="Calibri" w:cs="Calibri"/>
          <w:sz w:val="24"/>
          <w:szCs w:val="24"/>
        </w:rPr>
        <w:t>χ</w:t>
      </w:r>
      <w:r w:rsidR="00EC016C" w:rsidRPr="00DF2A66">
        <w:rPr>
          <w:rFonts w:ascii="Calibri" w:hAnsi="Calibri" w:cs="Calibri"/>
          <w:sz w:val="24"/>
          <w:szCs w:val="24"/>
          <w:vertAlign w:val="superscript"/>
        </w:rPr>
        <w:t>2</w:t>
      </w:r>
      <w:r w:rsidR="00EC016C" w:rsidRPr="00DF2A66">
        <w:rPr>
          <w:rFonts w:ascii="Calibri" w:hAnsi="Calibri" w:cs="Segoe UI"/>
          <w:sz w:val="24"/>
          <w:szCs w:val="24"/>
        </w:rPr>
        <w:t xml:space="preserve"> </w:t>
      </w:r>
      <w:r w:rsidR="000C2982" w:rsidRPr="00DF2A66">
        <w:rPr>
          <w:rFonts w:ascii="Calibri" w:hAnsi="Calibri" w:cs="Segoe UI"/>
          <w:sz w:val="24"/>
          <w:szCs w:val="24"/>
        </w:rPr>
        <w:t>test for nested regression models.</w:t>
      </w:r>
      <w:r w:rsidR="00EC016C" w:rsidRPr="00DF2A66">
        <w:rPr>
          <w:rFonts w:ascii="Calibri" w:hAnsi="Calibri" w:cs="Segoe UI"/>
          <w:sz w:val="24"/>
          <w:szCs w:val="24"/>
        </w:rPr>
        <w:t xml:space="preserve">  </w:t>
      </w:r>
      <w:r w:rsidRPr="00DF2A66">
        <w:rPr>
          <w:rFonts w:cstheme="minorHAnsi"/>
          <w:bCs/>
          <w:sz w:val="24"/>
          <w:szCs w:val="24"/>
        </w:rPr>
        <w:t xml:space="preserve">The additional prognostic value of </w:t>
      </w:r>
      <w:proofErr w:type="spellStart"/>
      <w:r w:rsidR="00576876" w:rsidRPr="00DF2A66">
        <w:rPr>
          <w:rFonts w:cstheme="minorHAnsi"/>
          <w:bCs/>
          <w:sz w:val="24"/>
          <w:szCs w:val="24"/>
        </w:rPr>
        <w:t>ProSP</w:t>
      </w:r>
      <w:proofErr w:type="spellEnd"/>
      <w:r w:rsidRPr="00DF2A66">
        <w:rPr>
          <w:rFonts w:cstheme="minorHAnsi"/>
          <w:bCs/>
          <w:sz w:val="24"/>
          <w:szCs w:val="24"/>
        </w:rPr>
        <w:t xml:space="preserve"> </w:t>
      </w:r>
      <w:r w:rsidR="000C2982" w:rsidRPr="00DF2A66">
        <w:rPr>
          <w:rFonts w:cstheme="minorHAnsi"/>
          <w:bCs/>
          <w:sz w:val="24"/>
          <w:szCs w:val="24"/>
        </w:rPr>
        <w:t xml:space="preserve">in the base and comparative Cox models </w:t>
      </w:r>
      <w:r w:rsidRPr="00DF2A66">
        <w:rPr>
          <w:rFonts w:cstheme="minorHAnsi"/>
          <w:bCs/>
          <w:sz w:val="24"/>
          <w:szCs w:val="24"/>
        </w:rPr>
        <w:t xml:space="preserve">was </w:t>
      </w:r>
      <w:r w:rsidR="00EC016C" w:rsidRPr="00DF2A66">
        <w:rPr>
          <w:rFonts w:cstheme="minorHAnsi"/>
          <w:bCs/>
          <w:sz w:val="24"/>
          <w:szCs w:val="24"/>
        </w:rPr>
        <w:t xml:space="preserve">further </w:t>
      </w:r>
      <w:r w:rsidRPr="00DF2A66">
        <w:rPr>
          <w:rFonts w:cstheme="minorHAnsi"/>
          <w:bCs/>
          <w:sz w:val="24"/>
          <w:szCs w:val="24"/>
        </w:rPr>
        <w:t xml:space="preserve">evaluated by reclassification analysis with calculation of </w:t>
      </w:r>
      <w:r w:rsidR="00620773" w:rsidRPr="00DF2A66">
        <w:rPr>
          <w:rFonts w:cstheme="minorHAnsi"/>
          <w:bCs/>
          <w:sz w:val="24"/>
          <w:szCs w:val="24"/>
        </w:rPr>
        <w:t xml:space="preserve">category-free </w:t>
      </w:r>
      <w:r w:rsidRPr="00DF2A66">
        <w:rPr>
          <w:rFonts w:cstheme="minorHAnsi"/>
          <w:bCs/>
          <w:sz w:val="24"/>
          <w:szCs w:val="24"/>
        </w:rPr>
        <w:t>net</w:t>
      </w:r>
      <w:r w:rsidRPr="000C2982">
        <w:rPr>
          <w:rFonts w:cstheme="minorHAnsi"/>
          <w:bCs/>
          <w:sz w:val="24"/>
          <w:szCs w:val="24"/>
        </w:rPr>
        <w:t xml:space="preserve"> reclassification improvement</w:t>
      </w:r>
      <w:r w:rsidRPr="00692A69">
        <w:rPr>
          <w:rFonts w:cstheme="minorHAnsi"/>
          <w:bCs/>
          <w:sz w:val="24"/>
          <w:szCs w:val="24"/>
        </w:rPr>
        <w:t xml:space="preserve"> (NRI) as described by </w:t>
      </w:r>
      <w:proofErr w:type="spellStart"/>
      <w:r w:rsidRPr="00692A69">
        <w:rPr>
          <w:rFonts w:cstheme="minorHAnsi"/>
          <w:bCs/>
          <w:sz w:val="24"/>
          <w:szCs w:val="24"/>
        </w:rPr>
        <w:t>Pencina</w:t>
      </w:r>
      <w:proofErr w:type="spellEnd"/>
      <w:r w:rsidR="00845C43">
        <w:rPr>
          <w:rFonts w:cstheme="minorHAnsi"/>
          <w:bCs/>
          <w:sz w:val="24"/>
          <w:szCs w:val="24"/>
        </w:rPr>
        <w:t xml:space="preserve"> </w:t>
      </w:r>
      <w:r w:rsidRPr="00692A69">
        <w:rPr>
          <w:rFonts w:cstheme="minorHAnsi"/>
          <w:bCs/>
          <w:i/>
          <w:sz w:val="24"/>
          <w:szCs w:val="24"/>
        </w:rPr>
        <w:t>et al</w:t>
      </w:r>
      <w:r w:rsidRPr="00692A69">
        <w:rPr>
          <w:rFonts w:cstheme="minorHAnsi"/>
          <w:bCs/>
          <w:sz w:val="24"/>
          <w:szCs w:val="24"/>
        </w:rPr>
        <w:t xml:space="preserve"> (</w:t>
      </w:r>
      <w:r w:rsidR="002F78B6">
        <w:rPr>
          <w:rFonts w:cstheme="minorHAnsi"/>
          <w:bCs/>
          <w:sz w:val="24"/>
          <w:szCs w:val="24"/>
        </w:rPr>
        <w:t>19</w:t>
      </w:r>
      <w:r w:rsidRPr="00692A69">
        <w:rPr>
          <w:rFonts w:cstheme="minorHAnsi"/>
          <w:bCs/>
          <w:sz w:val="24"/>
          <w:szCs w:val="24"/>
        </w:rPr>
        <w:t xml:space="preserve">).  </w:t>
      </w:r>
      <w:r w:rsidR="00A47D38" w:rsidRPr="00692A69">
        <w:rPr>
          <w:rFonts w:cstheme="minorHAnsi"/>
          <w:sz w:val="24"/>
          <w:szCs w:val="24"/>
        </w:rPr>
        <w:t xml:space="preserve">We constructed classification trees </w:t>
      </w:r>
      <w:r w:rsidR="00EF53C5" w:rsidRPr="00692A69">
        <w:rPr>
          <w:rFonts w:cstheme="minorHAnsi"/>
          <w:sz w:val="24"/>
          <w:szCs w:val="24"/>
        </w:rPr>
        <w:t xml:space="preserve">using Chi-squared Automatic Interaction Detection (CHAID, analysis performed using SPSS), which </w:t>
      </w:r>
      <w:r w:rsidR="00E2625B">
        <w:rPr>
          <w:rFonts w:cstheme="minorHAnsi"/>
          <w:sz w:val="24"/>
          <w:szCs w:val="24"/>
        </w:rPr>
        <w:t xml:space="preserve">detects which </w:t>
      </w:r>
      <w:r w:rsidR="00EF53C5" w:rsidRPr="00692A69">
        <w:rPr>
          <w:rFonts w:cstheme="minorHAnsi"/>
          <w:sz w:val="24"/>
          <w:szCs w:val="24"/>
        </w:rPr>
        <w:t>biomarker has the strongest interaction with the dependent variable</w:t>
      </w:r>
      <w:r w:rsidR="009C2113">
        <w:rPr>
          <w:rFonts w:cstheme="minorHAnsi"/>
          <w:sz w:val="24"/>
          <w:szCs w:val="24"/>
        </w:rPr>
        <w:t xml:space="preserve"> in step-wise analysis</w:t>
      </w:r>
      <w:r w:rsidR="00EF53C5" w:rsidRPr="00692A69">
        <w:rPr>
          <w:rFonts w:cstheme="minorHAnsi"/>
          <w:sz w:val="24"/>
          <w:szCs w:val="24"/>
        </w:rPr>
        <w:t>.</w:t>
      </w:r>
    </w:p>
    <w:p w:rsidR="00EF53C5" w:rsidRPr="00692A69" w:rsidRDefault="00EF53C5" w:rsidP="004C1DEE">
      <w:pPr>
        <w:autoSpaceDE w:val="0"/>
        <w:autoSpaceDN w:val="0"/>
        <w:adjustRightInd w:val="0"/>
        <w:spacing w:after="0" w:line="480" w:lineRule="auto"/>
        <w:rPr>
          <w:rFonts w:cstheme="minorHAnsi"/>
          <w:sz w:val="24"/>
          <w:szCs w:val="24"/>
        </w:rPr>
      </w:pPr>
    </w:p>
    <w:p w:rsidR="002C4BE8" w:rsidRDefault="002C4BE8" w:rsidP="004C1DEE">
      <w:pPr>
        <w:spacing w:line="480" w:lineRule="auto"/>
        <w:rPr>
          <w:rFonts w:ascii="Calibri" w:hAnsi="Calibri" w:cs="Segoe UI"/>
          <w:color w:val="FF0000"/>
        </w:rPr>
      </w:pPr>
      <w:r>
        <w:rPr>
          <w:rFonts w:cstheme="minorHAnsi"/>
          <w:b/>
          <w:sz w:val="24"/>
          <w:szCs w:val="24"/>
        </w:rPr>
        <w:br w:type="page"/>
      </w:r>
    </w:p>
    <w:p w:rsidR="00BF2809" w:rsidRPr="00692A69" w:rsidRDefault="00BF2809" w:rsidP="004C1DEE">
      <w:pPr>
        <w:spacing w:line="480" w:lineRule="auto"/>
        <w:rPr>
          <w:rFonts w:cstheme="minorHAnsi"/>
          <w:sz w:val="24"/>
          <w:szCs w:val="24"/>
        </w:rPr>
      </w:pPr>
      <w:r w:rsidRPr="00692A69">
        <w:rPr>
          <w:rFonts w:cstheme="minorHAnsi"/>
          <w:b/>
          <w:sz w:val="24"/>
          <w:szCs w:val="24"/>
        </w:rPr>
        <w:lastRenderedPageBreak/>
        <w:t>Results</w:t>
      </w:r>
    </w:p>
    <w:p w:rsidR="00BF2809" w:rsidRPr="00692A69" w:rsidRDefault="00BF2809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692A69">
        <w:rPr>
          <w:rFonts w:asciiTheme="minorHAnsi" w:hAnsiTheme="minorHAnsi" w:cstheme="minorHAnsi"/>
          <w:b/>
          <w:sz w:val="24"/>
          <w:szCs w:val="24"/>
        </w:rPr>
        <w:t xml:space="preserve">Patient Characteristics </w:t>
      </w:r>
    </w:p>
    <w:p w:rsidR="00AA270A" w:rsidRDefault="00BF280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sz w:val="24"/>
          <w:szCs w:val="24"/>
        </w:rPr>
        <w:t>The characteristics of the study population are shown in Table 1</w:t>
      </w:r>
      <w:r w:rsidR="00751E4B" w:rsidRPr="00692A69">
        <w:rPr>
          <w:rFonts w:asciiTheme="minorHAnsi" w:hAnsiTheme="minorHAnsi" w:cstheme="minorHAnsi"/>
          <w:sz w:val="24"/>
          <w:szCs w:val="24"/>
        </w:rPr>
        <w:t xml:space="preserve">, according to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751E4B" w:rsidRPr="00692A69">
        <w:rPr>
          <w:rFonts w:asciiTheme="minorHAnsi" w:hAnsiTheme="minorHAnsi" w:cstheme="minorHAnsi"/>
          <w:sz w:val="24"/>
          <w:szCs w:val="24"/>
        </w:rPr>
        <w:t xml:space="preserve"> quartiles. Patients with higher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751E4B" w:rsidRPr="00692A69">
        <w:rPr>
          <w:rFonts w:asciiTheme="minorHAnsi" w:hAnsiTheme="minorHAnsi" w:cstheme="minorHAnsi"/>
          <w:sz w:val="24"/>
          <w:szCs w:val="24"/>
        </w:rPr>
        <w:t xml:space="preserve"> levels were older, female, with </w:t>
      </w:r>
      <w:r w:rsidR="00AA270A">
        <w:rPr>
          <w:rFonts w:asciiTheme="minorHAnsi" w:hAnsiTheme="minorHAnsi" w:cstheme="minorHAnsi"/>
          <w:sz w:val="24"/>
          <w:szCs w:val="24"/>
        </w:rPr>
        <w:t xml:space="preserve">more having </w:t>
      </w:r>
      <w:r w:rsidR="00751E4B" w:rsidRPr="00692A69">
        <w:rPr>
          <w:rFonts w:asciiTheme="minorHAnsi" w:hAnsiTheme="minorHAnsi" w:cstheme="minorHAnsi"/>
          <w:sz w:val="24"/>
          <w:szCs w:val="24"/>
        </w:rPr>
        <w:t>past histories of hypertension, IHD, diabetes, HF</w:t>
      </w:r>
      <w:r w:rsidR="00AA270A">
        <w:rPr>
          <w:rFonts w:asciiTheme="minorHAnsi" w:hAnsiTheme="minorHAnsi" w:cstheme="minorHAnsi"/>
          <w:sz w:val="24"/>
          <w:szCs w:val="24"/>
        </w:rPr>
        <w:t xml:space="preserve">. They had </w:t>
      </w:r>
      <w:r w:rsidR="00751E4B" w:rsidRPr="00692A69">
        <w:rPr>
          <w:rFonts w:asciiTheme="minorHAnsi" w:hAnsiTheme="minorHAnsi" w:cstheme="minorHAnsi"/>
          <w:sz w:val="24"/>
          <w:szCs w:val="24"/>
        </w:rPr>
        <w:t xml:space="preserve">higher </w:t>
      </w:r>
      <w:r w:rsidR="00AE78C2" w:rsidRPr="00692A69">
        <w:rPr>
          <w:rFonts w:asciiTheme="minorHAnsi" w:hAnsiTheme="minorHAnsi" w:cstheme="minorHAnsi"/>
          <w:sz w:val="24"/>
          <w:szCs w:val="24"/>
        </w:rPr>
        <w:t>GRACE scores</w:t>
      </w:r>
      <w:r w:rsidR="001F133A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C606F1" w:rsidRPr="00692A69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1F133A">
        <w:rPr>
          <w:rFonts w:asciiTheme="minorHAnsi" w:hAnsiTheme="minorHAnsi" w:cstheme="minorHAnsi"/>
          <w:sz w:val="24"/>
          <w:szCs w:val="24"/>
        </w:rPr>
        <w:t xml:space="preserve"> and glucose </w:t>
      </w:r>
      <w:r w:rsidR="00751E4B" w:rsidRPr="00692A69">
        <w:rPr>
          <w:rFonts w:asciiTheme="minorHAnsi" w:hAnsiTheme="minorHAnsi" w:cstheme="minorHAnsi"/>
          <w:sz w:val="24"/>
          <w:szCs w:val="24"/>
        </w:rPr>
        <w:t>levels</w:t>
      </w:r>
      <w:r w:rsidR="00AA270A">
        <w:rPr>
          <w:rFonts w:asciiTheme="minorHAnsi" w:hAnsiTheme="minorHAnsi" w:cstheme="minorHAnsi"/>
          <w:sz w:val="24"/>
          <w:szCs w:val="24"/>
        </w:rPr>
        <w:t xml:space="preserve"> and lower ejection fractions and </w:t>
      </w:r>
      <w:proofErr w:type="spellStart"/>
      <w:r w:rsidR="00AA270A">
        <w:rPr>
          <w:rFonts w:asciiTheme="minorHAnsi" w:hAnsiTheme="minorHAnsi" w:cstheme="minorHAnsi"/>
          <w:sz w:val="24"/>
          <w:szCs w:val="24"/>
        </w:rPr>
        <w:t>eGFR</w:t>
      </w:r>
      <w:proofErr w:type="spellEnd"/>
      <w:r w:rsidR="00751E4B" w:rsidRPr="00692A69">
        <w:rPr>
          <w:rFonts w:asciiTheme="minorHAnsi" w:hAnsiTheme="minorHAnsi" w:cstheme="minorHAnsi"/>
          <w:sz w:val="24"/>
          <w:szCs w:val="24"/>
        </w:rPr>
        <w:t>.</w:t>
      </w:r>
    </w:p>
    <w:p w:rsidR="004922EB" w:rsidRDefault="004922EB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9B527D" w:rsidRPr="00692A69" w:rsidRDefault="009B527D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692A69">
        <w:rPr>
          <w:rFonts w:asciiTheme="minorHAnsi" w:hAnsiTheme="minorHAnsi" w:cstheme="minorHAnsi"/>
          <w:b/>
          <w:sz w:val="24"/>
          <w:szCs w:val="24"/>
        </w:rPr>
        <w:t>Correlation analysis</w:t>
      </w:r>
    </w:p>
    <w:p w:rsidR="001A6142" w:rsidRPr="00692A69" w:rsidRDefault="001A6142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sz w:val="24"/>
          <w:szCs w:val="24"/>
        </w:rPr>
        <w:t xml:space="preserve">Spearman </w:t>
      </w:r>
      <w:r w:rsidR="004B28EB">
        <w:rPr>
          <w:rFonts w:asciiTheme="minorHAnsi" w:hAnsiTheme="minorHAnsi" w:cstheme="minorHAnsi"/>
          <w:sz w:val="24"/>
          <w:szCs w:val="24"/>
        </w:rPr>
        <w:t xml:space="preserve">correlation </w:t>
      </w:r>
      <w:r w:rsidRPr="00692A69">
        <w:rPr>
          <w:rFonts w:asciiTheme="minorHAnsi" w:hAnsiTheme="minorHAnsi" w:cstheme="minorHAnsi"/>
          <w:sz w:val="24"/>
          <w:szCs w:val="24"/>
        </w:rPr>
        <w:t>analysis (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r</w:t>
      </w:r>
      <w:r w:rsidRPr="00692A69">
        <w:rPr>
          <w:rFonts w:asciiTheme="minorHAnsi" w:hAnsiTheme="minorHAnsi" w:cstheme="minorHAnsi"/>
          <w:sz w:val="24"/>
          <w:szCs w:val="24"/>
          <w:vertAlign w:val="subscript"/>
        </w:rPr>
        <w:t>s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) </w:t>
      </w:r>
      <w:r w:rsidR="004B28EB">
        <w:rPr>
          <w:rFonts w:asciiTheme="minorHAnsi" w:hAnsiTheme="minorHAnsi" w:cstheme="minorHAnsi"/>
          <w:sz w:val="24"/>
          <w:szCs w:val="24"/>
        </w:rPr>
        <w:t>showed</w:t>
      </w:r>
      <w:r w:rsidR="00845C4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was significantly correlated to age (</w:t>
      </w:r>
      <w:r w:rsidR="00653D6B" w:rsidRPr="00692A69">
        <w:rPr>
          <w:rFonts w:asciiTheme="minorHAnsi" w:hAnsiTheme="minorHAnsi" w:cstheme="minorHAnsi"/>
          <w:sz w:val="24"/>
          <w:szCs w:val="24"/>
        </w:rPr>
        <w:t>0.</w:t>
      </w:r>
      <w:r w:rsidR="009E01AF">
        <w:rPr>
          <w:rFonts w:asciiTheme="minorHAnsi" w:hAnsiTheme="minorHAnsi" w:cstheme="minorHAnsi"/>
          <w:sz w:val="24"/>
          <w:szCs w:val="24"/>
        </w:rPr>
        <w:t>521</w:t>
      </w:r>
      <w:r w:rsidR="00653D6B" w:rsidRPr="00692A69">
        <w:rPr>
          <w:rFonts w:asciiTheme="minorHAnsi" w:hAnsiTheme="minorHAnsi" w:cstheme="minorHAnsi"/>
          <w:sz w:val="24"/>
          <w:szCs w:val="24"/>
        </w:rPr>
        <w:t xml:space="preserve">), </w:t>
      </w:r>
      <w:proofErr w:type="spellStart"/>
      <w:r w:rsidR="00653D6B" w:rsidRPr="00692A69">
        <w:rPr>
          <w:rFonts w:asciiTheme="minorHAnsi" w:hAnsiTheme="minorHAnsi" w:cstheme="minorHAnsi"/>
          <w:sz w:val="24"/>
          <w:szCs w:val="24"/>
        </w:rPr>
        <w:t>eGFR</w:t>
      </w:r>
      <w:proofErr w:type="spellEnd"/>
      <w:r w:rsidR="00C71C11">
        <w:rPr>
          <w:rFonts w:asciiTheme="minorHAnsi" w:hAnsiTheme="minorHAnsi" w:cstheme="minorHAnsi"/>
          <w:sz w:val="24"/>
          <w:szCs w:val="24"/>
        </w:rPr>
        <w:t xml:space="preserve"> </w:t>
      </w:r>
      <w:r w:rsidR="00653D6B" w:rsidRPr="00692A69">
        <w:rPr>
          <w:rFonts w:asciiTheme="minorHAnsi" w:hAnsiTheme="minorHAnsi" w:cstheme="minorHAnsi"/>
          <w:sz w:val="24"/>
          <w:szCs w:val="24"/>
        </w:rPr>
        <w:t>(-0.</w:t>
      </w:r>
      <w:r w:rsidR="009E01AF">
        <w:rPr>
          <w:rFonts w:asciiTheme="minorHAnsi" w:hAnsiTheme="minorHAnsi" w:cstheme="minorHAnsi"/>
          <w:sz w:val="24"/>
          <w:szCs w:val="24"/>
        </w:rPr>
        <w:t>555</w:t>
      </w:r>
      <w:r w:rsidR="00A407C6">
        <w:rPr>
          <w:rFonts w:asciiTheme="minorHAnsi" w:hAnsiTheme="minorHAnsi" w:cstheme="minorHAnsi"/>
          <w:sz w:val="24"/>
          <w:szCs w:val="24"/>
        </w:rPr>
        <w:t xml:space="preserve">), </w:t>
      </w:r>
      <w:r w:rsidR="00653D6B" w:rsidRPr="00692A69">
        <w:rPr>
          <w:rFonts w:asciiTheme="minorHAnsi" w:hAnsiTheme="minorHAnsi" w:cstheme="minorHAnsi"/>
          <w:sz w:val="24"/>
          <w:szCs w:val="24"/>
        </w:rPr>
        <w:t>diastolic BP (-0.1</w:t>
      </w:r>
      <w:r w:rsidR="009E01AF">
        <w:rPr>
          <w:rFonts w:asciiTheme="minorHAnsi" w:hAnsiTheme="minorHAnsi" w:cstheme="minorHAnsi"/>
          <w:sz w:val="24"/>
          <w:szCs w:val="24"/>
        </w:rPr>
        <w:t>7</w:t>
      </w:r>
      <w:r w:rsidR="009A734F">
        <w:rPr>
          <w:rFonts w:asciiTheme="minorHAnsi" w:hAnsiTheme="minorHAnsi" w:cstheme="minorHAnsi"/>
          <w:sz w:val="24"/>
          <w:szCs w:val="24"/>
        </w:rPr>
        <w:t>8</w:t>
      </w:r>
      <w:r w:rsidR="00653D6B" w:rsidRPr="00692A69">
        <w:rPr>
          <w:rFonts w:asciiTheme="minorHAnsi" w:hAnsiTheme="minorHAnsi" w:cstheme="minorHAnsi"/>
          <w:sz w:val="24"/>
          <w:szCs w:val="24"/>
        </w:rPr>
        <w:t>),</w:t>
      </w:r>
      <w:r w:rsidR="00C71C1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53D6B" w:rsidRPr="00692A69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653D6B" w:rsidRPr="00692A69">
        <w:rPr>
          <w:rFonts w:asciiTheme="minorHAnsi" w:hAnsiTheme="minorHAnsi" w:cstheme="minorHAnsi"/>
          <w:sz w:val="24"/>
          <w:szCs w:val="24"/>
        </w:rPr>
        <w:t xml:space="preserve"> (0.</w:t>
      </w:r>
      <w:r w:rsidR="009E01AF">
        <w:rPr>
          <w:rFonts w:asciiTheme="minorHAnsi" w:hAnsiTheme="minorHAnsi" w:cstheme="minorHAnsi"/>
          <w:sz w:val="24"/>
          <w:szCs w:val="24"/>
        </w:rPr>
        <w:t>428</w:t>
      </w:r>
      <w:r w:rsidR="00653D6B" w:rsidRPr="00692A69">
        <w:rPr>
          <w:rFonts w:asciiTheme="minorHAnsi" w:hAnsiTheme="minorHAnsi" w:cstheme="minorHAnsi"/>
          <w:sz w:val="24"/>
          <w:szCs w:val="24"/>
        </w:rPr>
        <w:t xml:space="preserve">), </w:t>
      </w:r>
      <w:r w:rsidR="00697797">
        <w:rPr>
          <w:rFonts w:asciiTheme="minorHAnsi" w:hAnsiTheme="minorHAnsi" w:cstheme="minorHAnsi"/>
          <w:sz w:val="24"/>
          <w:szCs w:val="24"/>
        </w:rPr>
        <w:t>wall motion score index</w:t>
      </w:r>
      <w:r w:rsidR="00C71C11">
        <w:rPr>
          <w:rFonts w:asciiTheme="minorHAnsi" w:hAnsiTheme="minorHAnsi" w:cstheme="minorHAnsi"/>
          <w:sz w:val="24"/>
          <w:szCs w:val="24"/>
        </w:rPr>
        <w:t xml:space="preserve"> </w:t>
      </w:r>
      <w:r w:rsidR="00653D6B" w:rsidRPr="00692A69">
        <w:rPr>
          <w:rFonts w:asciiTheme="minorHAnsi" w:hAnsiTheme="minorHAnsi" w:cstheme="minorHAnsi"/>
          <w:sz w:val="24"/>
          <w:szCs w:val="24"/>
        </w:rPr>
        <w:t>(</w:t>
      </w:r>
      <w:r w:rsidR="00382F84" w:rsidRPr="00692A69">
        <w:rPr>
          <w:rFonts w:asciiTheme="minorHAnsi" w:hAnsiTheme="minorHAnsi" w:cstheme="minorHAnsi"/>
          <w:sz w:val="24"/>
          <w:szCs w:val="24"/>
        </w:rPr>
        <w:t>0.1</w:t>
      </w:r>
      <w:r w:rsidR="009E01AF">
        <w:rPr>
          <w:rFonts w:asciiTheme="minorHAnsi" w:hAnsiTheme="minorHAnsi" w:cstheme="minorHAnsi"/>
          <w:sz w:val="24"/>
          <w:szCs w:val="24"/>
        </w:rPr>
        <w:t>7</w:t>
      </w:r>
      <w:r w:rsidR="00697797">
        <w:rPr>
          <w:rFonts w:asciiTheme="minorHAnsi" w:hAnsiTheme="minorHAnsi" w:cstheme="minorHAnsi"/>
          <w:sz w:val="24"/>
          <w:szCs w:val="24"/>
        </w:rPr>
        <w:t>3</w:t>
      </w:r>
      <w:r w:rsidR="00653D6B" w:rsidRPr="00692A69">
        <w:rPr>
          <w:rFonts w:asciiTheme="minorHAnsi" w:hAnsiTheme="minorHAnsi" w:cstheme="minorHAnsi"/>
          <w:sz w:val="24"/>
          <w:szCs w:val="24"/>
        </w:rPr>
        <w:t xml:space="preserve">) </w:t>
      </w:r>
      <w:r w:rsidR="009E01AF">
        <w:rPr>
          <w:rFonts w:asciiTheme="minorHAnsi" w:hAnsiTheme="minorHAnsi" w:cstheme="minorHAnsi"/>
          <w:sz w:val="24"/>
          <w:szCs w:val="24"/>
        </w:rPr>
        <w:t>and heart rate (0.1</w:t>
      </w:r>
      <w:r w:rsidR="009A734F">
        <w:rPr>
          <w:rFonts w:asciiTheme="minorHAnsi" w:hAnsiTheme="minorHAnsi" w:cstheme="minorHAnsi"/>
          <w:sz w:val="24"/>
          <w:szCs w:val="24"/>
        </w:rPr>
        <w:t>72</w:t>
      </w:r>
      <w:r w:rsidR="00AF30F7">
        <w:rPr>
          <w:rFonts w:asciiTheme="minorHAnsi" w:hAnsiTheme="minorHAnsi" w:cstheme="minorHAnsi"/>
          <w:sz w:val="24"/>
          <w:szCs w:val="24"/>
        </w:rPr>
        <w:t xml:space="preserve">) </w:t>
      </w:r>
      <w:r w:rsidR="00AF30F7" w:rsidRPr="00692A69">
        <w:rPr>
          <w:rFonts w:asciiTheme="minorHAnsi" w:hAnsiTheme="minorHAnsi" w:cstheme="minorHAnsi"/>
          <w:sz w:val="24"/>
          <w:szCs w:val="24"/>
        </w:rPr>
        <w:t>(all P&lt;0.0005)</w:t>
      </w:r>
      <w:r w:rsidRPr="00692A69">
        <w:rPr>
          <w:rFonts w:asciiTheme="minorHAnsi" w:hAnsiTheme="minorHAnsi" w:cstheme="minorHAnsi"/>
          <w:sz w:val="24"/>
          <w:szCs w:val="24"/>
        </w:rPr>
        <w:t>.</w:t>
      </w:r>
      <w:r w:rsidR="00845C43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653D6B" w:rsidRPr="00692A69">
        <w:rPr>
          <w:rFonts w:asciiTheme="minorHAnsi" w:hAnsiTheme="minorHAnsi" w:cstheme="minorHAnsi"/>
          <w:sz w:val="24"/>
          <w:szCs w:val="24"/>
        </w:rPr>
        <w:t xml:space="preserve"> was not correlated to troponin or peak </w:t>
      </w:r>
      <w:proofErr w:type="spellStart"/>
      <w:r w:rsidR="00653D6B" w:rsidRPr="00692A69">
        <w:rPr>
          <w:rFonts w:asciiTheme="minorHAnsi" w:hAnsiTheme="minorHAnsi" w:cstheme="minorHAnsi"/>
          <w:sz w:val="24"/>
          <w:szCs w:val="24"/>
        </w:rPr>
        <w:t>creatine</w:t>
      </w:r>
      <w:proofErr w:type="spellEnd"/>
      <w:r w:rsidR="00653D6B" w:rsidRPr="00692A69">
        <w:rPr>
          <w:rFonts w:asciiTheme="minorHAnsi" w:hAnsiTheme="minorHAnsi" w:cstheme="minorHAnsi"/>
          <w:sz w:val="24"/>
          <w:szCs w:val="24"/>
        </w:rPr>
        <w:t xml:space="preserve"> kinase levels.</w:t>
      </w:r>
    </w:p>
    <w:p w:rsidR="00F605DC" w:rsidRDefault="00BD4A5E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sz w:val="24"/>
          <w:szCs w:val="24"/>
        </w:rPr>
        <w:t xml:space="preserve">A general linear model </w:t>
      </w:r>
      <w:r w:rsidR="00F605DC">
        <w:rPr>
          <w:rFonts w:asciiTheme="minorHAnsi" w:hAnsiTheme="minorHAnsi" w:cstheme="minorHAnsi"/>
          <w:sz w:val="24"/>
          <w:szCs w:val="24"/>
        </w:rPr>
        <w:t xml:space="preserve">with 2000 bootstrap samples </w:t>
      </w:r>
      <w:r w:rsidR="004B28EB">
        <w:rPr>
          <w:rFonts w:asciiTheme="minorHAnsi" w:hAnsiTheme="minorHAnsi" w:cstheme="minorHAnsi"/>
          <w:sz w:val="24"/>
          <w:szCs w:val="24"/>
        </w:rPr>
        <w:t>showed</w:t>
      </w:r>
      <w:r w:rsidRPr="00692A6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605DC">
        <w:rPr>
          <w:rFonts w:asciiTheme="minorHAnsi" w:hAnsiTheme="minorHAnsi" w:cstheme="minorHAnsi"/>
          <w:sz w:val="24"/>
          <w:szCs w:val="24"/>
        </w:rPr>
        <w:t>eGFR</w:t>
      </w:r>
      <w:proofErr w:type="spellEnd"/>
      <w:r w:rsidR="00F605DC">
        <w:rPr>
          <w:rFonts w:asciiTheme="minorHAnsi" w:hAnsiTheme="minorHAnsi" w:cstheme="minorHAnsi"/>
          <w:sz w:val="24"/>
          <w:szCs w:val="24"/>
        </w:rPr>
        <w:t xml:space="preserve">, age and </w:t>
      </w:r>
      <w:proofErr w:type="spellStart"/>
      <w:r w:rsidR="00F605DC">
        <w:rPr>
          <w:rFonts w:asciiTheme="minorHAnsi" w:hAnsiTheme="minorHAnsi" w:cstheme="minorHAnsi"/>
          <w:sz w:val="24"/>
          <w:szCs w:val="24"/>
        </w:rPr>
        <w:t>Killip</w:t>
      </w:r>
      <w:proofErr w:type="spellEnd"/>
      <w:r w:rsidR="00F605DC">
        <w:rPr>
          <w:rFonts w:asciiTheme="minorHAnsi" w:hAnsiTheme="minorHAnsi" w:cstheme="minorHAnsi"/>
          <w:sz w:val="24"/>
          <w:szCs w:val="24"/>
        </w:rPr>
        <w:t xml:space="preserve"> class above 1 as </w:t>
      </w:r>
      <w:r w:rsidRPr="00692A69">
        <w:rPr>
          <w:rFonts w:asciiTheme="minorHAnsi" w:hAnsiTheme="minorHAnsi" w:cstheme="minorHAnsi"/>
          <w:sz w:val="24"/>
          <w:szCs w:val="24"/>
        </w:rPr>
        <w:t>indepe</w:t>
      </w:r>
      <w:r w:rsidR="00615723" w:rsidRPr="00692A69">
        <w:rPr>
          <w:rFonts w:asciiTheme="minorHAnsi" w:hAnsiTheme="minorHAnsi" w:cstheme="minorHAnsi"/>
          <w:sz w:val="24"/>
          <w:szCs w:val="24"/>
        </w:rPr>
        <w:t xml:space="preserve">ndent predictors of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615723" w:rsidRPr="00692A69">
        <w:rPr>
          <w:rFonts w:asciiTheme="minorHAnsi" w:hAnsiTheme="minorHAnsi" w:cstheme="minorHAnsi"/>
          <w:sz w:val="24"/>
          <w:szCs w:val="24"/>
        </w:rPr>
        <w:t xml:space="preserve"> level</w:t>
      </w:r>
      <w:r w:rsidR="00F605DC">
        <w:rPr>
          <w:rFonts w:asciiTheme="minorHAnsi" w:hAnsiTheme="minorHAnsi" w:cstheme="minorHAnsi"/>
          <w:sz w:val="24"/>
          <w:szCs w:val="24"/>
        </w:rPr>
        <w:t xml:space="preserve"> (Table 2).</w:t>
      </w:r>
    </w:p>
    <w:p w:rsidR="00284546" w:rsidRPr="00692A69" w:rsidRDefault="00284546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956990" w:rsidRPr="00692A69" w:rsidRDefault="00956990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692A69">
        <w:rPr>
          <w:rFonts w:asciiTheme="minorHAnsi" w:hAnsiTheme="minorHAnsi" w:cstheme="minorHAnsi"/>
          <w:b/>
          <w:sz w:val="24"/>
          <w:szCs w:val="24"/>
        </w:rPr>
        <w:t xml:space="preserve">Day curves for </w:t>
      </w:r>
      <w:proofErr w:type="spellStart"/>
      <w:r w:rsidR="00576876">
        <w:rPr>
          <w:rFonts w:asciiTheme="minorHAnsi" w:hAnsiTheme="minorHAnsi" w:cstheme="minorHAnsi"/>
          <w:b/>
          <w:sz w:val="24"/>
          <w:szCs w:val="24"/>
        </w:rPr>
        <w:t>ProSP</w:t>
      </w:r>
      <w:proofErr w:type="spellEnd"/>
    </w:p>
    <w:p w:rsidR="00B3117F" w:rsidRPr="00692A69" w:rsidRDefault="00956990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sz w:val="24"/>
          <w:szCs w:val="24"/>
        </w:rPr>
        <w:t>Sequential plasma sampl</w:t>
      </w:r>
      <w:r w:rsidR="00EB2FF1">
        <w:rPr>
          <w:rFonts w:asciiTheme="minorHAnsi" w:hAnsiTheme="minorHAnsi" w:cstheme="minorHAnsi"/>
          <w:sz w:val="24"/>
          <w:szCs w:val="24"/>
        </w:rPr>
        <w:t xml:space="preserve">ing over </w:t>
      </w:r>
      <w:r w:rsidRPr="00692A69">
        <w:rPr>
          <w:rFonts w:asciiTheme="minorHAnsi" w:hAnsiTheme="minorHAnsi" w:cstheme="minorHAnsi"/>
          <w:sz w:val="24"/>
          <w:szCs w:val="24"/>
        </w:rPr>
        <w:t>5 days w</w:t>
      </w:r>
      <w:r w:rsidR="00EB2FF1">
        <w:rPr>
          <w:rFonts w:asciiTheme="minorHAnsi" w:hAnsiTheme="minorHAnsi" w:cstheme="minorHAnsi"/>
          <w:sz w:val="24"/>
          <w:szCs w:val="24"/>
        </w:rPr>
        <w:t>as</w:t>
      </w:r>
      <w:r w:rsidRPr="00692A69">
        <w:rPr>
          <w:rFonts w:asciiTheme="minorHAnsi" w:hAnsiTheme="minorHAnsi" w:cstheme="minorHAnsi"/>
          <w:sz w:val="24"/>
          <w:szCs w:val="24"/>
        </w:rPr>
        <w:t xml:space="preserve"> available for </w:t>
      </w:r>
      <w:r w:rsidR="004E7341">
        <w:rPr>
          <w:rFonts w:asciiTheme="minorHAnsi" w:hAnsiTheme="minorHAnsi" w:cstheme="minorHAnsi"/>
          <w:sz w:val="24"/>
          <w:szCs w:val="24"/>
        </w:rPr>
        <w:t>110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 patients, of which 2</w:t>
      </w:r>
      <w:r w:rsidR="004E7341">
        <w:rPr>
          <w:rFonts w:asciiTheme="minorHAnsi" w:hAnsiTheme="minorHAnsi" w:cstheme="minorHAnsi"/>
          <w:sz w:val="24"/>
          <w:szCs w:val="24"/>
        </w:rPr>
        <w:t>9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 had a MACE within 2 years. Figure 1 </w:t>
      </w:r>
      <w:r w:rsidR="007010FF" w:rsidRPr="00692A69">
        <w:rPr>
          <w:rFonts w:asciiTheme="minorHAnsi" w:hAnsiTheme="minorHAnsi" w:cstheme="minorHAnsi"/>
          <w:sz w:val="24"/>
          <w:szCs w:val="24"/>
        </w:rPr>
        <w:t xml:space="preserve">demonstrates </w:t>
      </w:r>
      <w:r w:rsidR="00B3117F" w:rsidRPr="00692A69">
        <w:rPr>
          <w:rFonts w:asciiTheme="minorHAnsi" w:hAnsiTheme="minorHAnsi" w:cstheme="minorHAnsi"/>
          <w:sz w:val="24"/>
          <w:szCs w:val="24"/>
        </w:rPr>
        <w:t>the plasma profile</w:t>
      </w:r>
      <w:r w:rsidR="007010FF" w:rsidRPr="00692A69">
        <w:rPr>
          <w:rFonts w:asciiTheme="minorHAnsi" w:hAnsiTheme="minorHAnsi" w:cstheme="minorHAnsi"/>
          <w:sz w:val="24"/>
          <w:szCs w:val="24"/>
        </w:rPr>
        <w:t xml:space="preserve"> along with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 a general linear model with repeated measures </w:t>
      </w:r>
      <w:r w:rsidR="007010FF" w:rsidRPr="00692A69">
        <w:rPr>
          <w:rFonts w:asciiTheme="minorHAnsi" w:hAnsiTheme="minorHAnsi" w:cstheme="minorHAnsi"/>
          <w:sz w:val="24"/>
          <w:szCs w:val="24"/>
        </w:rPr>
        <w:t xml:space="preserve">that </w:t>
      </w:r>
      <w:r w:rsidR="00B3117F" w:rsidRPr="00692A69">
        <w:rPr>
          <w:rFonts w:asciiTheme="minorHAnsi" w:hAnsiTheme="minorHAnsi" w:cstheme="minorHAnsi"/>
          <w:sz w:val="24"/>
          <w:szCs w:val="24"/>
        </w:rPr>
        <w:t>show</w:t>
      </w:r>
      <w:r w:rsidR="007010FF" w:rsidRPr="00692A69">
        <w:rPr>
          <w:rFonts w:asciiTheme="minorHAnsi" w:hAnsiTheme="minorHAnsi" w:cstheme="minorHAnsi"/>
          <w:sz w:val="24"/>
          <w:szCs w:val="24"/>
        </w:rPr>
        <w:t>s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 significant changes in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B3117F" w:rsidRPr="00692A69">
        <w:rPr>
          <w:rFonts w:asciiTheme="minorHAnsi" w:hAnsiTheme="minorHAnsi" w:cstheme="minorHAnsi"/>
          <w:sz w:val="24"/>
          <w:szCs w:val="24"/>
        </w:rPr>
        <w:t xml:space="preserve"> over time (</w:t>
      </w:r>
      <w:r w:rsidR="00AB2EC5" w:rsidRPr="00692A69">
        <w:rPr>
          <w:rFonts w:asciiTheme="minorHAnsi" w:hAnsiTheme="minorHAnsi" w:cstheme="minorHAnsi"/>
          <w:sz w:val="24"/>
          <w:szCs w:val="24"/>
        </w:rPr>
        <w:t>p</w:t>
      </w:r>
      <w:r w:rsidR="00B3117F" w:rsidRPr="00692A69">
        <w:rPr>
          <w:rFonts w:asciiTheme="minorHAnsi" w:hAnsiTheme="minorHAnsi" w:cstheme="minorHAnsi"/>
          <w:sz w:val="24"/>
          <w:szCs w:val="24"/>
        </w:rPr>
        <w:t>&lt;0.001)</w:t>
      </w:r>
      <w:r w:rsidR="00CF2F7D" w:rsidRPr="00692A69">
        <w:rPr>
          <w:rFonts w:asciiTheme="minorHAnsi" w:hAnsiTheme="minorHAnsi" w:cstheme="minorHAnsi"/>
          <w:sz w:val="24"/>
          <w:szCs w:val="24"/>
        </w:rPr>
        <w:t xml:space="preserve">, and </w:t>
      </w:r>
      <w:r w:rsidR="0002272A" w:rsidRPr="00692A69">
        <w:rPr>
          <w:rFonts w:asciiTheme="minorHAnsi" w:hAnsiTheme="minorHAnsi" w:cstheme="minorHAnsi"/>
          <w:sz w:val="24"/>
          <w:szCs w:val="24"/>
        </w:rPr>
        <w:t xml:space="preserve"> higher levels in  </w:t>
      </w:r>
      <w:r w:rsidR="00CF2F7D" w:rsidRPr="00692A69">
        <w:rPr>
          <w:rFonts w:asciiTheme="minorHAnsi" w:hAnsiTheme="minorHAnsi" w:cstheme="minorHAnsi"/>
          <w:sz w:val="24"/>
          <w:szCs w:val="24"/>
        </w:rPr>
        <w:t xml:space="preserve">those with MACE </w:t>
      </w:r>
      <w:r w:rsidR="00AB2EC5" w:rsidRPr="00692A69">
        <w:rPr>
          <w:rFonts w:asciiTheme="minorHAnsi" w:hAnsiTheme="minorHAnsi" w:cstheme="minorHAnsi"/>
          <w:sz w:val="24"/>
          <w:szCs w:val="24"/>
        </w:rPr>
        <w:t>p</w:t>
      </w:r>
      <w:r w:rsidR="00CF2F7D" w:rsidRPr="00692A69">
        <w:rPr>
          <w:rFonts w:asciiTheme="minorHAnsi" w:hAnsiTheme="minorHAnsi" w:cstheme="minorHAnsi"/>
          <w:sz w:val="24"/>
          <w:szCs w:val="24"/>
        </w:rPr>
        <w:t>&lt;0.0</w:t>
      </w:r>
      <w:r w:rsidR="004E7341">
        <w:rPr>
          <w:rFonts w:asciiTheme="minorHAnsi" w:hAnsiTheme="minorHAnsi" w:cstheme="minorHAnsi"/>
          <w:sz w:val="24"/>
          <w:szCs w:val="24"/>
        </w:rPr>
        <w:t>3</w:t>
      </w:r>
      <w:r w:rsidR="00CF2F7D" w:rsidRPr="00692A69">
        <w:rPr>
          <w:rFonts w:asciiTheme="minorHAnsi" w:hAnsiTheme="minorHAnsi" w:cstheme="minorHAnsi"/>
          <w:sz w:val="24"/>
          <w:szCs w:val="24"/>
        </w:rPr>
        <w:t>)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.  In post-hoc testing,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B3117F" w:rsidRPr="00692A69">
        <w:rPr>
          <w:rFonts w:asciiTheme="minorHAnsi" w:hAnsiTheme="minorHAnsi" w:cstheme="minorHAnsi"/>
          <w:sz w:val="24"/>
          <w:szCs w:val="24"/>
        </w:rPr>
        <w:t xml:space="preserve"> levels on day 1</w:t>
      </w:r>
      <w:r w:rsidR="004E7341">
        <w:rPr>
          <w:rFonts w:asciiTheme="minorHAnsi" w:hAnsiTheme="minorHAnsi" w:cstheme="minorHAnsi"/>
          <w:sz w:val="24"/>
          <w:szCs w:val="24"/>
        </w:rPr>
        <w:t xml:space="preserve"> was 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higher than </w:t>
      </w:r>
      <w:r w:rsidR="004E7341">
        <w:rPr>
          <w:rFonts w:asciiTheme="minorHAnsi" w:hAnsiTheme="minorHAnsi" w:cstheme="minorHAnsi"/>
          <w:sz w:val="24"/>
          <w:szCs w:val="24"/>
        </w:rPr>
        <w:t>days 3, 4 or 5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 (</w:t>
      </w:r>
      <w:r w:rsidR="00AB2EC5" w:rsidRPr="00692A69">
        <w:rPr>
          <w:rFonts w:asciiTheme="minorHAnsi" w:hAnsiTheme="minorHAnsi" w:cstheme="minorHAnsi"/>
          <w:sz w:val="24"/>
          <w:szCs w:val="24"/>
        </w:rPr>
        <w:t>p</w:t>
      </w:r>
      <w:r w:rsidR="00B3117F" w:rsidRPr="00692A69">
        <w:rPr>
          <w:rFonts w:asciiTheme="minorHAnsi" w:hAnsiTheme="minorHAnsi" w:cstheme="minorHAnsi"/>
          <w:sz w:val="24"/>
          <w:szCs w:val="24"/>
        </w:rPr>
        <w:t>&lt;0.001</w:t>
      </w:r>
      <w:r w:rsidR="004E7341">
        <w:rPr>
          <w:rFonts w:asciiTheme="minorHAnsi" w:hAnsiTheme="minorHAnsi" w:cstheme="minorHAnsi"/>
          <w:sz w:val="24"/>
          <w:szCs w:val="24"/>
        </w:rPr>
        <w:t>, 0.004 and 0.002 respectively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B3117F" w:rsidRPr="00692A69">
        <w:rPr>
          <w:rFonts w:asciiTheme="minorHAnsi" w:hAnsiTheme="minorHAnsi" w:cstheme="minorHAnsi"/>
          <w:sz w:val="24"/>
          <w:szCs w:val="24"/>
        </w:rPr>
        <w:t>Bonferroni</w:t>
      </w:r>
      <w:proofErr w:type="spellEnd"/>
      <w:r w:rsidR="00B3117F" w:rsidRPr="00692A69">
        <w:rPr>
          <w:rFonts w:asciiTheme="minorHAnsi" w:hAnsiTheme="minorHAnsi" w:cstheme="minorHAnsi"/>
          <w:sz w:val="24"/>
          <w:szCs w:val="24"/>
        </w:rPr>
        <w:t xml:space="preserve"> corrected for multiple comparisons).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B3117F" w:rsidRPr="00692A69">
        <w:rPr>
          <w:rFonts w:asciiTheme="minorHAnsi" w:hAnsiTheme="minorHAnsi" w:cstheme="minorHAnsi"/>
          <w:sz w:val="24"/>
          <w:szCs w:val="24"/>
        </w:rPr>
        <w:t xml:space="preserve"> levels on days </w:t>
      </w:r>
      <w:r w:rsidR="004E7341">
        <w:rPr>
          <w:rFonts w:asciiTheme="minorHAnsi" w:hAnsiTheme="minorHAnsi" w:cstheme="minorHAnsi"/>
          <w:sz w:val="24"/>
          <w:szCs w:val="24"/>
        </w:rPr>
        <w:t>1 and 2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 were </w:t>
      </w:r>
      <w:r w:rsidR="00AB2EC5" w:rsidRPr="00692A69">
        <w:rPr>
          <w:rFonts w:asciiTheme="minorHAnsi" w:hAnsiTheme="minorHAnsi" w:cstheme="minorHAnsi"/>
          <w:sz w:val="24"/>
          <w:szCs w:val="24"/>
        </w:rPr>
        <w:t>similar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. There was no </w:t>
      </w:r>
      <w:r w:rsidR="00AB2EC5" w:rsidRPr="00692A69">
        <w:rPr>
          <w:rFonts w:asciiTheme="minorHAnsi" w:hAnsiTheme="minorHAnsi" w:cstheme="minorHAnsi"/>
          <w:sz w:val="24"/>
          <w:szCs w:val="24"/>
        </w:rPr>
        <w:t xml:space="preserve">statistically </w:t>
      </w:r>
      <w:r w:rsidR="00B3117F" w:rsidRPr="00692A69">
        <w:rPr>
          <w:rFonts w:asciiTheme="minorHAnsi" w:hAnsiTheme="minorHAnsi" w:cstheme="minorHAnsi"/>
          <w:sz w:val="24"/>
          <w:szCs w:val="24"/>
        </w:rPr>
        <w:t xml:space="preserve">significant interaction of </w:t>
      </w:r>
      <w:r w:rsidR="00B9098E" w:rsidRPr="00692A69">
        <w:rPr>
          <w:rFonts w:asciiTheme="minorHAnsi" w:hAnsiTheme="minorHAnsi" w:cstheme="minorHAnsi"/>
          <w:sz w:val="24"/>
          <w:szCs w:val="24"/>
        </w:rPr>
        <w:t xml:space="preserve">the </w:t>
      </w:r>
      <w:r w:rsidR="001F133A">
        <w:rPr>
          <w:rFonts w:asciiTheme="minorHAnsi" w:hAnsiTheme="minorHAnsi" w:cstheme="minorHAnsi"/>
          <w:sz w:val="24"/>
          <w:szCs w:val="24"/>
        </w:rPr>
        <w:t xml:space="preserve">time profile of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56179B">
        <w:rPr>
          <w:rFonts w:asciiTheme="minorHAnsi" w:hAnsiTheme="minorHAnsi" w:cstheme="minorHAnsi"/>
          <w:sz w:val="24"/>
          <w:szCs w:val="24"/>
        </w:rPr>
        <w:t xml:space="preserve"> </w:t>
      </w:r>
      <w:r w:rsidR="001F133A">
        <w:rPr>
          <w:rFonts w:asciiTheme="minorHAnsi" w:hAnsiTheme="minorHAnsi" w:cstheme="minorHAnsi"/>
          <w:sz w:val="24"/>
          <w:szCs w:val="24"/>
        </w:rPr>
        <w:t xml:space="preserve">with </w:t>
      </w:r>
      <w:r w:rsidR="00B3117F" w:rsidRPr="00692A69">
        <w:rPr>
          <w:rFonts w:asciiTheme="minorHAnsi" w:hAnsiTheme="minorHAnsi" w:cstheme="minorHAnsi"/>
          <w:sz w:val="24"/>
          <w:szCs w:val="24"/>
        </w:rPr>
        <w:t>MACE.</w:t>
      </w:r>
    </w:p>
    <w:p w:rsidR="00B3117F" w:rsidRPr="00692A69" w:rsidRDefault="00B3117F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F91FA4" w:rsidRPr="00692A69" w:rsidRDefault="00F91FA4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692A69">
        <w:rPr>
          <w:rFonts w:asciiTheme="minorHAnsi" w:hAnsiTheme="minorHAnsi" w:cstheme="minorHAnsi"/>
          <w:b/>
          <w:sz w:val="24"/>
          <w:szCs w:val="24"/>
        </w:rPr>
        <w:t>Survival analysis</w:t>
      </w:r>
    </w:p>
    <w:p w:rsidR="00D74D94" w:rsidRDefault="00F91FA4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sz w:val="24"/>
          <w:szCs w:val="24"/>
        </w:rPr>
        <w:t xml:space="preserve">During follow-up over 2 years, patients with elevated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levels (log</w:t>
      </w:r>
      <w:r w:rsidRPr="00692A69">
        <w:rPr>
          <w:rFonts w:asciiTheme="minorHAnsi" w:hAnsiTheme="minorHAnsi" w:cstheme="minorHAnsi"/>
          <w:sz w:val="24"/>
          <w:szCs w:val="24"/>
          <w:vertAlign w:val="subscript"/>
        </w:rPr>
        <w:t>10</w:t>
      </w:r>
      <w:r w:rsidRPr="00692A69">
        <w:rPr>
          <w:rFonts w:asciiTheme="minorHAnsi" w:hAnsiTheme="minorHAnsi" w:cstheme="minorHAnsi"/>
          <w:sz w:val="24"/>
          <w:szCs w:val="24"/>
        </w:rPr>
        <w:t xml:space="preserve"> transformed and </w:t>
      </w:r>
      <w:r w:rsidR="00DE353E">
        <w:rPr>
          <w:rFonts w:asciiTheme="minorHAnsi" w:hAnsiTheme="minorHAnsi" w:cstheme="minorHAnsi"/>
          <w:sz w:val="24"/>
          <w:szCs w:val="24"/>
        </w:rPr>
        <w:t>standardised by 1 SD</w:t>
      </w:r>
      <w:r w:rsidRPr="00692A69">
        <w:rPr>
          <w:rFonts w:asciiTheme="minorHAnsi" w:hAnsiTheme="minorHAnsi" w:cstheme="minorHAnsi"/>
          <w:sz w:val="24"/>
          <w:szCs w:val="24"/>
        </w:rPr>
        <w:t>) had more MACE, deaths,</w:t>
      </w:r>
      <w:r w:rsidR="00845C43">
        <w:rPr>
          <w:rFonts w:asciiTheme="minorHAnsi" w:hAnsiTheme="minorHAnsi" w:cstheme="minorHAnsi"/>
          <w:sz w:val="24"/>
          <w:szCs w:val="24"/>
        </w:rPr>
        <w:t xml:space="preserve"> </w:t>
      </w:r>
      <w:r w:rsidRPr="00692A69">
        <w:rPr>
          <w:rFonts w:asciiTheme="minorHAnsi" w:hAnsiTheme="minorHAnsi" w:cstheme="minorHAnsi"/>
          <w:sz w:val="24"/>
          <w:szCs w:val="24"/>
        </w:rPr>
        <w:t xml:space="preserve">and 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rehospitalizations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with HF or re-AMI (Table 1).</w:t>
      </w:r>
      <w:r w:rsidR="00845C43">
        <w:rPr>
          <w:rFonts w:asciiTheme="minorHAnsi" w:hAnsiTheme="minorHAnsi" w:cstheme="minorHAnsi"/>
          <w:sz w:val="24"/>
          <w:szCs w:val="24"/>
        </w:rPr>
        <w:t xml:space="preserve"> </w:t>
      </w:r>
      <w:r w:rsidRPr="00692A69">
        <w:rPr>
          <w:rFonts w:asciiTheme="minorHAnsi" w:hAnsiTheme="minorHAnsi" w:cstheme="minorHAnsi"/>
          <w:sz w:val="24"/>
          <w:szCs w:val="24"/>
        </w:rPr>
        <w:t xml:space="preserve">Table 3 reports the 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univariate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hazard ratios of various factors that affected</w:t>
      </w:r>
      <w:r w:rsidR="00845C43">
        <w:rPr>
          <w:rFonts w:asciiTheme="minorHAnsi" w:hAnsiTheme="minorHAnsi" w:cstheme="minorHAnsi"/>
          <w:sz w:val="24"/>
          <w:szCs w:val="24"/>
        </w:rPr>
        <w:t xml:space="preserve"> </w:t>
      </w:r>
      <w:r w:rsidRPr="00692A69">
        <w:rPr>
          <w:rFonts w:asciiTheme="minorHAnsi" w:hAnsiTheme="minorHAnsi" w:cstheme="minorHAnsi"/>
          <w:sz w:val="24"/>
          <w:szCs w:val="24"/>
        </w:rPr>
        <w:t xml:space="preserve">the outcome of MACE at 2 years. In multivariate analysis for predicting MACE at 2 years, significant independent predictors included age, 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Killip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class above 1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D74D94">
        <w:rPr>
          <w:rFonts w:asciiTheme="minorHAnsi" w:hAnsiTheme="minorHAnsi" w:cstheme="minorHAnsi"/>
          <w:sz w:val="24"/>
          <w:szCs w:val="24"/>
        </w:rPr>
        <w:t>eGFR</w:t>
      </w:r>
      <w:proofErr w:type="spellEnd"/>
      <w:r w:rsidR="00D74D94">
        <w:rPr>
          <w:rFonts w:asciiTheme="minorHAnsi" w:hAnsiTheme="minorHAnsi" w:cstheme="minorHAnsi"/>
          <w:sz w:val="24"/>
          <w:szCs w:val="24"/>
        </w:rPr>
        <w:t xml:space="preserve">, </w:t>
      </w:r>
      <w:r w:rsidRPr="00692A69">
        <w:rPr>
          <w:rFonts w:asciiTheme="minorHAnsi" w:hAnsiTheme="minorHAnsi" w:cstheme="minorHAnsi"/>
          <w:sz w:val="24"/>
          <w:szCs w:val="24"/>
        </w:rPr>
        <w:t xml:space="preserve">and </w:t>
      </w:r>
      <w:proofErr w:type="spellStart"/>
      <w:r w:rsidR="00D74D94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>.</w:t>
      </w:r>
      <w:r w:rsidR="00CE1126">
        <w:rPr>
          <w:rFonts w:asciiTheme="minorHAnsi" w:hAnsiTheme="minorHAnsi" w:cstheme="minorHAnsi"/>
          <w:sz w:val="24"/>
          <w:szCs w:val="24"/>
        </w:rPr>
        <w:t xml:space="preserve">  </w:t>
      </w:r>
      <w:r w:rsidR="00D74D94" w:rsidRPr="008B4C11">
        <w:rPr>
          <w:rFonts w:asciiTheme="minorHAnsi" w:hAnsiTheme="minorHAnsi" w:cstheme="minorHAnsi"/>
          <w:sz w:val="24"/>
          <w:szCs w:val="24"/>
        </w:rPr>
        <w:t xml:space="preserve">Addition of </w:t>
      </w:r>
      <w:proofErr w:type="spellStart"/>
      <w:r w:rsidR="00D74D94" w:rsidRPr="008B4C11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D74D94" w:rsidRPr="008B4C11">
        <w:rPr>
          <w:rFonts w:asciiTheme="minorHAnsi" w:hAnsiTheme="minorHAnsi" w:cstheme="minorHAnsi"/>
          <w:sz w:val="24"/>
          <w:szCs w:val="24"/>
        </w:rPr>
        <w:t xml:space="preserve"> to</w:t>
      </w:r>
      <w:r w:rsidR="00CE1126" w:rsidRPr="008B4C11">
        <w:rPr>
          <w:rFonts w:asciiTheme="minorHAnsi" w:hAnsiTheme="minorHAnsi" w:cstheme="minorHAnsi"/>
          <w:sz w:val="24"/>
          <w:szCs w:val="24"/>
        </w:rPr>
        <w:t xml:space="preserve"> the model (model 2 in Table 3) showed </w:t>
      </w:r>
      <w:proofErr w:type="spellStart"/>
      <w:r w:rsidR="00CE1126" w:rsidRPr="008B4C11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CE1126" w:rsidRPr="008B4C11">
        <w:rPr>
          <w:rFonts w:asciiTheme="minorHAnsi" w:hAnsiTheme="minorHAnsi" w:cstheme="minorHAnsi"/>
          <w:sz w:val="24"/>
          <w:szCs w:val="24"/>
        </w:rPr>
        <w:t xml:space="preserve"> had independent predictive value </w:t>
      </w:r>
      <w:r w:rsidR="00D74D94" w:rsidRPr="008B4C11">
        <w:rPr>
          <w:rFonts w:asciiTheme="minorHAnsi" w:hAnsiTheme="minorHAnsi" w:cstheme="minorHAnsi"/>
          <w:sz w:val="24"/>
          <w:szCs w:val="24"/>
        </w:rPr>
        <w:t xml:space="preserve">with a hazard ratio (HR(95% confidence interval) of </w:t>
      </w:r>
      <w:r w:rsidR="00D74D94" w:rsidRPr="008B4C11">
        <w:rPr>
          <w:rFonts w:asciiTheme="minorHAnsi" w:hAnsiTheme="minorHAnsi"/>
          <w:sz w:val="24"/>
          <w:szCs w:val="24"/>
        </w:rPr>
        <w:t>1.</w:t>
      </w:r>
      <w:r w:rsidR="00CE1126" w:rsidRPr="008B4C11">
        <w:rPr>
          <w:rFonts w:asciiTheme="minorHAnsi" w:hAnsiTheme="minorHAnsi"/>
          <w:sz w:val="24"/>
          <w:szCs w:val="24"/>
        </w:rPr>
        <w:t>30(1.10</w:t>
      </w:r>
      <w:r w:rsidR="00D74D94" w:rsidRPr="008B4C11">
        <w:rPr>
          <w:rFonts w:asciiTheme="minorHAnsi" w:hAnsiTheme="minorHAnsi"/>
          <w:sz w:val="24"/>
          <w:szCs w:val="24"/>
        </w:rPr>
        <w:t xml:space="preserve"> -1.</w:t>
      </w:r>
      <w:r w:rsidR="00CE1126" w:rsidRPr="008B4C11">
        <w:rPr>
          <w:rFonts w:asciiTheme="minorHAnsi" w:hAnsiTheme="minorHAnsi"/>
          <w:sz w:val="24"/>
          <w:szCs w:val="24"/>
        </w:rPr>
        <w:t>54</w:t>
      </w:r>
      <w:r w:rsidR="00D74D94" w:rsidRPr="008B4C11">
        <w:rPr>
          <w:rFonts w:asciiTheme="minorHAnsi" w:hAnsiTheme="minorHAnsi"/>
          <w:sz w:val="24"/>
          <w:szCs w:val="24"/>
        </w:rPr>
        <w:t>)</w:t>
      </w:r>
      <w:r w:rsidR="000B463A" w:rsidRPr="008B4C11">
        <w:rPr>
          <w:rFonts w:asciiTheme="minorHAnsi" w:hAnsiTheme="minorHAnsi"/>
          <w:sz w:val="24"/>
          <w:szCs w:val="24"/>
        </w:rPr>
        <w:t>, p</w:t>
      </w:r>
      <w:r w:rsidR="00D74D94" w:rsidRPr="008B4C11">
        <w:rPr>
          <w:rFonts w:asciiTheme="minorHAnsi" w:hAnsiTheme="minorHAnsi"/>
          <w:sz w:val="24"/>
          <w:szCs w:val="24"/>
        </w:rPr>
        <w:t>&lt;0.0</w:t>
      </w:r>
      <w:r w:rsidR="00CE1126" w:rsidRPr="008B4C11">
        <w:rPr>
          <w:rFonts w:asciiTheme="minorHAnsi" w:hAnsiTheme="minorHAnsi"/>
          <w:sz w:val="24"/>
          <w:szCs w:val="24"/>
        </w:rPr>
        <w:t>02</w:t>
      </w:r>
      <w:r w:rsidR="000E2E68" w:rsidRPr="008B4C11">
        <w:rPr>
          <w:rFonts w:asciiTheme="minorHAnsi" w:hAnsiTheme="minorHAnsi"/>
          <w:sz w:val="24"/>
          <w:szCs w:val="24"/>
        </w:rPr>
        <w:t xml:space="preserve">, and </w:t>
      </w:r>
      <w:r w:rsidR="000E2E68" w:rsidRPr="008B4C11">
        <w:rPr>
          <w:rFonts w:cs="Segoe UI"/>
          <w:sz w:val="24"/>
          <w:szCs w:val="24"/>
        </w:rPr>
        <w:t xml:space="preserve">the added value of </w:t>
      </w:r>
      <w:proofErr w:type="spellStart"/>
      <w:r w:rsidR="000E2E68" w:rsidRPr="008B4C11">
        <w:rPr>
          <w:rFonts w:cs="Segoe UI"/>
          <w:sz w:val="24"/>
          <w:szCs w:val="24"/>
        </w:rPr>
        <w:t>ProSP</w:t>
      </w:r>
      <w:proofErr w:type="spellEnd"/>
      <w:r w:rsidR="000E2E68" w:rsidRPr="008B4C11">
        <w:rPr>
          <w:rFonts w:cs="Segoe UI"/>
          <w:sz w:val="24"/>
          <w:szCs w:val="24"/>
        </w:rPr>
        <w:t xml:space="preserve"> as evaluated by the likelihood ratio </w:t>
      </w:r>
      <w:r w:rsidR="000E2E68" w:rsidRPr="008B4C11">
        <w:rPr>
          <w:rFonts w:cs="Calibri"/>
          <w:sz w:val="24"/>
          <w:szCs w:val="24"/>
        </w:rPr>
        <w:t>χ</w:t>
      </w:r>
      <w:r w:rsidR="000E2E68" w:rsidRPr="008B4C11">
        <w:rPr>
          <w:rFonts w:cs="Calibri"/>
          <w:sz w:val="24"/>
          <w:szCs w:val="24"/>
          <w:vertAlign w:val="superscript"/>
        </w:rPr>
        <w:t>2</w:t>
      </w:r>
      <w:r w:rsidR="000E2E68" w:rsidRPr="008B4C11">
        <w:rPr>
          <w:rFonts w:cs="Segoe UI"/>
          <w:sz w:val="24"/>
          <w:szCs w:val="24"/>
        </w:rPr>
        <w:t xml:space="preserve"> test for nested regression models was p&lt;0.0001</w:t>
      </w:r>
      <w:r w:rsidR="00D74D94" w:rsidRPr="008B4C11">
        <w:rPr>
          <w:rFonts w:asciiTheme="minorHAnsi" w:hAnsiTheme="minorHAnsi"/>
          <w:sz w:val="24"/>
          <w:szCs w:val="24"/>
        </w:rPr>
        <w:t>.</w:t>
      </w:r>
      <w:r w:rsidR="0098223B" w:rsidRPr="008B4C11">
        <w:rPr>
          <w:rFonts w:asciiTheme="minorHAnsi" w:hAnsiTheme="minorHAnsi"/>
          <w:sz w:val="24"/>
          <w:szCs w:val="24"/>
        </w:rPr>
        <w:t xml:space="preserve">  Kaplan-Meier survival analysis visualises the MACE rates</w:t>
      </w:r>
      <w:r w:rsidR="0098223B">
        <w:rPr>
          <w:rFonts w:asciiTheme="minorHAnsi" w:hAnsiTheme="minorHAnsi"/>
          <w:sz w:val="24"/>
          <w:szCs w:val="24"/>
        </w:rPr>
        <w:t xml:space="preserve"> in </w:t>
      </w:r>
      <w:proofErr w:type="spellStart"/>
      <w:r w:rsidR="0098223B">
        <w:rPr>
          <w:rFonts w:asciiTheme="minorHAnsi" w:hAnsiTheme="minorHAnsi"/>
          <w:sz w:val="24"/>
          <w:szCs w:val="24"/>
        </w:rPr>
        <w:t>ProSP</w:t>
      </w:r>
      <w:proofErr w:type="spellEnd"/>
      <w:r w:rsidR="0098223B">
        <w:rPr>
          <w:rFonts w:asciiTheme="minorHAnsi" w:hAnsiTheme="minorHAnsi"/>
          <w:sz w:val="24"/>
          <w:szCs w:val="24"/>
        </w:rPr>
        <w:t xml:space="preserve"> quartiles (Figure 2), </w:t>
      </w:r>
      <w:r w:rsidR="00C978BC">
        <w:rPr>
          <w:rFonts w:asciiTheme="minorHAnsi" w:hAnsiTheme="minorHAnsi"/>
          <w:sz w:val="24"/>
          <w:szCs w:val="24"/>
        </w:rPr>
        <w:t>showing quartile 4 was significantly different from all other quartiles (p&lt;0.0005, log rank test (Mantel-Cox)), and quartile 3 was significantly different from 4(p&lt;0.0005), 2(p&lt;0.022) and 1(p&lt;0.001).</w:t>
      </w:r>
    </w:p>
    <w:p w:rsidR="0047571F" w:rsidRPr="008B4C11" w:rsidRDefault="0047571F" w:rsidP="0047571F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8B4C11">
        <w:rPr>
          <w:rFonts w:asciiTheme="minorHAnsi" w:hAnsiTheme="minorHAnsi" w:cstheme="minorHAnsi"/>
          <w:sz w:val="24"/>
          <w:szCs w:val="24"/>
        </w:rPr>
        <w:t xml:space="preserve">Inclusion of glucose in Cox survival models for MACE showed the hazard ratio HR (95% confidence interval) of glucose was 1.11 (0.97-1.26) (p non-significant) with the HR of </w:t>
      </w:r>
      <w:proofErr w:type="spellStart"/>
      <w:r w:rsidRPr="008B4C11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8B4C11">
        <w:rPr>
          <w:rFonts w:asciiTheme="minorHAnsi" w:hAnsiTheme="minorHAnsi" w:cstheme="minorHAnsi"/>
          <w:sz w:val="24"/>
          <w:szCs w:val="24"/>
        </w:rPr>
        <w:t xml:space="preserve"> being 1.24 (1.03-1.49), p=0.02.  Inclusion of white cell count in survival models for MACE showed white cell count had a HR of 0.98 (0.95-1.01) (p non-significant) whilst that of </w:t>
      </w:r>
      <w:proofErr w:type="spellStart"/>
      <w:r w:rsidRPr="008B4C11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8B4C11">
        <w:rPr>
          <w:rFonts w:asciiTheme="minorHAnsi" w:hAnsiTheme="minorHAnsi" w:cstheme="minorHAnsi"/>
          <w:sz w:val="24"/>
          <w:szCs w:val="24"/>
        </w:rPr>
        <w:t xml:space="preserve"> was 1.27 (1.06-1.53), p=0.01.  </w:t>
      </w:r>
    </w:p>
    <w:p w:rsidR="00D74D94" w:rsidRDefault="00D74D94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0B463A" w:rsidRPr="008B4C11" w:rsidRDefault="00F91FA4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sz w:val="24"/>
          <w:szCs w:val="24"/>
        </w:rPr>
        <w:t>In other models for prediction of the secondary composite endpoints of death and/or re-</w:t>
      </w:r>
      <w:r w:rsidRPr="008B4C11">
        <w:rPr>
          <w:rFonts w:asciiTheme="minorHAnsi" w:hAnsiTheme="minorHAnsi" w:cstheme="minorHAnsi"/>
          <w:sz w:val="24"/>
          <w:szCs w:val="24"/>
        </w:rPr>
        <w:t>AMI (</w:t>
      </w:r>
      <w:r w:rsidR="00DB1E7E" w:rsidRPr="008B4C11">
        <w:rPr>
          <w:rFonts w:asciiTheme="minorHAnsi" w:hAnsiTheme="minorHAnsi" w:cstheme="minorHAnsi"/>
          <w:sz w:val="24"/>
          <w:szCs w:val="24"/>
        </w:rPr>
        <w:t xml:space="preserve">Table </w:t>
      </w:r>
      <w:r w:rsidR="000B463A" w:rsidRPr="008B4C11">
        <w:rPr>
          <w:rFonts w:asciiTheme="minorHAnsi" w:hAnsiTheme="minorHAnsi" w:cstheme="minorHAnsi"/>
          <w:sz w:val="24"/>
          <w:szCs w:val="24"/>
        </w:rPr>
        <w:t>4</w:t>
      </w:r>
      <w:r w:rsidRPr="008B4C11">
        <w:rPr>
          <w:rFonts w:asciiTheme="minorHAnsi" w:hAnsiTheme="minorHAnsi" w:cstheme="minorHAnsi"/>
          <w:sz w:val="24"/>
          <w:szCs w:val="24"/>
        </w:rPr>
        <w:t>) and death and/or HF readmission (</w:t>
      </w:r>
      <w:r w:rsidR="00DB1E7E" w:rsidRPr="008B4C11">
        <w:rPr>
          <w:rFonts w:asciiTheme="minorHAnsi" w:hAnsiTheme="minorHAnsi" w:cstheme="minorHAnsi"/>
          <w:sz w:val="24"/>
          <w:szCs w:val="24"/>
        </w:rPr>
        <w:t xml:space="preserve">Table </w:t>
      </w:r>
      <w:r w:rsidR="000B463A" w:rsidRPr="008B4C11">
        <w:rPr>
          <w:rFonts w:asciiTheme="minorHAnsi" w:hAnsiTheme="minorHAnsi" w:cstheme="minorHAnsi"/>
          <w:sz w:val="24"/>
          <w:szCs w:val="24"/>
        </w:rPr>
        <w:t>5</w:t>
      </w:r>
      <w:r w:rsidRPr="008B4C11">
        <w:rPr>
          <w:rFonts w:asciiTheme="minorHAnsi" w:hAnsiTheme="minorHAnsi" w:cstheme="minorHAnsi"/>
          <w:sz w:val="24"/>
          <w:szCs w:val="24"/>
        </w:rPr>
        <w:t xml:space="preserve">), </w:t>
      </w:r>
      <w:proofErr w:type="spellStart"/>
      <w:r w:rsidR="00576876" w:rsidRPr="008B4C11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8B4C11">
        <w:rPr>
          <w:rFonts w:asciiTheme="minorHAnsi" w:hAnsiTheme="minorHAnsi" w:cstheme="minorHAnsi"/>
          <w:sz w:val="24"/>
          <w:szCs w:val="24"/>
        </w:rPr>
        <w:t xml:space="preserve"> remained an independent predictor (p&lt;0.0005 and p&lt;0.00</w:t>
      </w:r>
      <w:r w:rsidR="000E2E68" w:rsidRPr="008B4C11">
        <w:rPr>
          <w:rFonts w:asciiTheme="minorHAnsi" w:hAnsiTheme="minorHAnsi" w:cstheme="minorHAnsi"/>
          <w:sz w:val="24"/>
          <w:szCs w:val="24"/>
        </w:rPr>
        <w:t>1</w:t>
      </w:r>
      <w:r w:rsidRPr="008B4C11">
        <w:rPr>
          <w:rFonts w:asciiTheme="minorHAnsi" w:hAnsiTheme="minorHAnsi" w:cstheme="minorHAnsi"/>
          <w:sz w:val="24"/>
          <w:szCs w:val="24"/>
        </w:rPr>
        <w:t xml:space="preserve"> respectively)</w:t>
      </w:r>
      <w:r w:rsidR="000B463A" w:rsidRPr="008B4C11">
        <w:rPr>
          <w:rFonts w:asciiTheme="minorHAnsi" w:hAnsiTheme="minorHAnsi" w:cstheme="minorHAnsi"/>
          <w:sz w:val="24"/>
          <w:szCs w:val="24"/>
        </w:rPr>
        <w:t xml:space="preserve"> of these endpoints, </w:t>
      </w:r>
      <w:r w:rsidR="000E2E68" w:rsidRPr="008B4C11">
        <w:rPr>
          <w:rFonts w:asciiTheme="minorHAnsi" w:hAnsiTheme="minorHAnsi" w:cstheme="minorHAnsi"/>
          <w:sz w:val="24"/>
          <w:szCs w:val="24"/>
        </w:rPr>
        <w:t xml:space="preserve">and in both models, </w:t>
      </w:r>
      <w:proofErr w:type="spellStart"/>
      <w:r w:rsidR="000E2E68" w:rsidRPr="008B4C11">
        <w:rPr>
          <w:rFonts w:asciiTheme="minorHAnsi" w:hAnsiTheme="minorHAnsi" w:cstheme="minorHAnsi"/>
          <w:sz w:val="24"/>
          <w:szCs w:val="24"/>
        </w:rPr>
        <w:lastRenderedPageBreak/>
        <w:t>ProSP</w:t>
      </w:r>
      <w:proofErr w:type="spellEnd"/>
      <w:r w:rsidR="000E2E68" w:rsidRPr="008B4C11">
        <w:rPr>
          <w:rFonts w:asciiTheme="minorHAnsi" w:hAnsiTheme="minorHAnsi" w:cstheme="minorHAnsi"/>
          <w:sz w:val="24"/>
          <w:szCs w:val="24"/>
        </w:rPr>
        <w:t xml:space="preserve"> showed added value to the clinical variables and </w:t>
      </w:r>
      <w:proofErr w:type="spellStart"/>
      <w:r w:rsidR="000E2E68" w:rsidRPr="008B4C11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0E2E68" w:rsidRPr="008B4C11">
        <w:rPr>
          <w:rFonts w:asciiTheme="minorHAnsi" w:hAnsiTheme="minorHAnsi" w:cstheme="minorHAnsi"/>
          <w:sz w:val="24"/>
          <w:szCs w:val="24"/>
        </w:rPr>
        <w:t xml:space="preserve"> (log </w:t>
      </w:r>
      <w:proofErr w:type="gramStart"/>
      <w:r w:rsidR="000E2E68" w:rsidRPr="008B4C11">
        <w:rPr>
          <w:rFonts w:asciiTheme="minorHAnsi" w:hAnsiTheme="minorHAnsi" w:cstheme="minorHAnsi"/>
          <w:sz w:val="24"/>
          <w:szCs w:val="24"/>
        </w:rPr>
        <w:t xml:space="preserve">likelihood </w:t>
      </w:r>
      <w:r w:rsidRPr="008B4C11">
        <w:rPr>
          <w:rFonts w:asciiTheme="minorHAnsi" w:hAnsiTheme="minorHAnsi" w:cstheme="minorHAnsi"/>
          <w:sz w:val="24"/>
          <w:szCs w:val="24"/>
        </w:rPr>
        <w:t xml:space="preserve"> </w:t>
      </w:r>
      <w:r w:rsidR="000E2E68" w:rsidRPr="008B4C11">
        <w:rPr>
          <w:rFonts w:asciiTheme="minorHAnsi" w:hAnsiTheme="minorHAnsi" w:cstheme="minorHAnsi"/>
          <w:sz w:val="24"/>
          <w:szCs w:val="24"/>
        </w:rPr>
        <w:t>χ</w:t>
      </w:r>
      <w:r w:rsidR="000E2E68" w:rsidRPr="008B4C11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proofErr w:type="gramEnd"/>
      <w:r w:rsidR="000E2E68" w:rsidRPr="008B4C11">
        <w:rPr>
          <w:rFonts w:asciiTheme="minorHAnsi" w:hAnsiTheme="minorHAnsi" w:cstheme="minorHAnsi"/>
          <w:sz w:val="24"/>
          <w:szCs w:val="24"/>
        </w:rPr>
        <w:t xml:space="preserve"> test p value &lt;0.0001 for both</w:t>
      </w:r>
      <w:r w:rsidR="008B4C11">
        <w:rPr>
          <w:rFonts w:asciiTheme="minorHAnsi" w:hAnsiTheme="minorHAnsi" w:cstheme="minorHAnsi"/>
          <w:sz w:val="24"/>
          <w:szCs w:val="24"/>
        </w:rPr>
        <w:t xml:space="preserve"> composite endpoints</w:t>
      </w:r>
      <w:r w:rsidR="000E2E68" w:rsidRPr="008B4C11">
        <w:rPr>
          <w:rFonts w:asciiTheme="minorHAnsi" w:hAnsiTheme="minorHAnsi" w:cstheme="minorHAnsi"/>
          <w:sz w:val="24"/>
          <w:szCs w:val="24"/>
        </w:rPr>
        <w:t>).</w:t>
      </w:r>
    </w:p>
    <w:p w:rsidR="00CC2C98" w:rsidRDefault="00CC2C98" w:rsidP="00CC2C98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C818CD" w:rsidRPr="00692A69" w:rsidRDefault="00C818CD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692A69">
        <w:rPr>
          <w:rFonts w:asciiTheme="minorHAnsi" w:hAnsiTheme="minorHAnsi" w:cstheme="minorHAnsi"/>
          <w:b/>
          <w:sz w:val="24"/>
          <w:szCs w:val="24"/>
        </w:rPr>
        <w:t>Comparison with GRACE scores</w:t>
      </w:r>
    </w:p>
    <w:p w:rsidR="00265E37" w:rsidRPr="00FD1AFB" w:rsidRDefault="00C818CD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sz w:val="24"/>
          <w:szCs w:val="24"/>
        </w:rPr>
        <w:t>The GRACE risk score (</w:t>
      </w:r>
      <w:r w:rsidR="00A407C6">
        <w:rPr>
          <w:rFonts w:asciiTheme="minorHAnsi" w:hAnsiTheme="minorHAnsi" w:cstheme="minorHAnsi"/>
          <w:sz w:val="24"/>
          <w:szCs w:val="24"/>
        </w:rPr>
        <w:t>17</w:t>
      </w:r>
      <w:r w:rsidRPr="00692A69">
        <w:rPr>
          <w:rFonts w:asciiTheme="minorHAnsi" w:hAnsiTheme="minorHAnsi" w:cstheme="minorHAnsi"/>
          <w:sz w:val="24"/>
          <w:szCs w:val="24"/>
        </w:rPr>
        <w:t xml:space="preserve">) was originally derived for prediction of death and/or </w:t>
      </w:r>
      <w:r w:rsidR="008F7B12">
        <w:rPr>
          <w:rFonts w:asciiTheme="minorHAnsi" w:hAnsiTheme="minorHAnsi" w:cstheme="minorHAnsi"/>
          <w:sz w:val="24"/>
          <w:szCs w:val="24"/>
        </w:rPr>
        <w:t>re-AMI</w:t>
      </w:r>
      <w:r w:rsidRPr="00692A69">
        <w:rPr>
          <w:rFonts w:asciiTheme="minorHAnsi" w:hAnsiTheme="minorHAnsi" w:cstheme="minorHAnsi"/>
          <w:sz w:val="24"/>
          <w:szCs w:val="24"/>
        </w:rPr>
        <w:t xml:space="preserve"> at 6 months. </w:t>
      </w:r>
      <w:r w:rsidR="00935E66">
        <w:rPr>
          <w:rFonts w:asciiTheme="minorHAnsi" w:hAnsiTheme="minorHAnsi" w:cstheme="minorHAnsi"/>
          <w:sz w:val="24"/>
          <w:szCs w:val="24"/>
        </w:rPr>
        <w:t xml:space="preserve"> We investigated the utility of the biomarkers </w:t>
      </w:r>
      <w:proofErr w:type="spellStart"/>
      <w:r w:rsidR="00935E66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935E66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="00935E6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935E66">
        <w:rPr>
          <w:rFonts w:asciiTheme="minorHAnsi" w:hAnsiTheme="minorHAnsi" w:cstheme="minorHAnsi"/>
          <w:sz w:val="24"/>
          <w:szCs w:val="24"/>
        </w:rPr>
        <w:t xml:space="preserve"> for prediction of </w:t>
      </w:r>
      <w:r w:rsidR="005561D1">
        <w:rPr>
          <w:rFonts w:asciiTheme="minorHAnsi" w:hAnsiTheme="minorHAnsi" w:cstheme="minorHAnsi"/>
          <w:sz w:val="24"/>
          <w:szCs w:val="24"/>
        </w:rPr>
        <w:t xml:space="preserve">death and/or </w:t>
      </w:r>
      <w:r w:rsidR="008F7B12">
        <w:rPr>
          <w:rFonts w:asciiTheme="minorHAnsi" w:hAnsiTheme="minorHAnsi" w:cstheme="minorHAnsi"/>
          <w:sz w:val="24"/>
          <w:szCs w:val="24"/>
        </w:rPr>
        <w:t>re-AMI</w:t>
      </w:r>
      <w:r w:rsidR="005561D1">
        <w:rPr>
          <w:rFonts w:asciiTheme="minorHAnsi" w:hAnsiTheme="minorHAnsi" w:cstheme="minorHAnsi"/>
          <w:sz w:val="24"/>
          <w:szCs w:val="24"/>
        </w:rPr>
        <w:t xml:space="preserve"> as well as </w:t>
      </w:r>
      <w:r w:rsidR="00DE353E">
        <w:rPr>
          <w:rFonts w:asciiTheme="minorHAnsi" w:hAnsiTheme="minorHAnsi" w:cstheme="minorHAnsi"/>
          <w:sz w:val="24"/>
          <w:szCs w:val="24"/>
        </w:rPr>
        <w:t>other</w:t>
      </w:r>
      <w:r w:rsidR="00935E66">
        <w:rPr>
          <w:rFonts w:asciiTheme="minorHAnsi" w:hAnsiTheme="minorHAnsi" w:cstheme="minorHAnsi"/>
          <w:sz w:val="24"/>
          <w:szCs w:val="24"/>
        </w:rPr>
        <w:t xml:space="preserve"> composite endpoints (MACE, death and/or HF). </w:t>
      </w:r>
      <w:r w:rsidRPr="00FD1AFB">
        <w:rPr>
          <w:rFonts w:asciiTheme="minorHAnsi" w:hAnsiTheme="minorHAnsi" w:cstheme="minorHAnsi"/>
          <w:sz w:val="24"/>
          <w:szCs w:val="24"/>
        </w:rPr>
        <w:t xml:space="preserve">GRACE scores and the biomarkers </w:t>
      </w:r>
      <w:proofErr w:type="spellStart"/>
      <w:r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Pr="00FD1AFB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="00576876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FD1AFB">
        <w:rPr>
          <w:rFonts w:asciiTheme="minorHAnsi" w:hAnsiTheme="minorHAnsi" w:cstheme="minorHAnsi"/>
          <w:sz w:val="24"/>
          <w:szCs w:val="24"/>
        </w:rPr>
        <w:t xml:space="preserve"> were predictors of </w:t>
      </w:r>
      <w:r w:rsidR="005561D1" w:rsidRPr="00FD1AFB">
        <w:rPr>
          <w:rFonts w:asciiTheme="minorHAnsi" w:hAnsiTheme="minorHAnsi" w:cstheme="minorHAnsi"/>
          <w:sz w:val="24"/>
          <w:szCs w:val="24"/>
        </w:rPr>
        <w:t>all composite endpoints</w:t>
      </w:r>
      <w:r w:rsidRPr="00FD1AFB">
        <w:rPr>
          <w:rFonts w:asciiTheme="minorHAnsi" w:hAnsiTheme="minorHAnsi" w:cstheme="minorHAnsi"/>
          <w:sz w:val="24"/>
          <w:szCs w:val="24"/>
        </w:rPr>
        <w:t xml:space="preserve"> in </w:t>
      </w:r>
      <w:proofErr w:type="spellStart"/>
      <w:r w:rsidRPr="00FD1AFB">
        <w:rPr>
          <w:rFonts w:asciiTheme="minorHAnsi" w:hAnsiTheme="minorHAnsi" w:cstheme="minorHAnsi"/>
          <w:sz w:val="24"/>
          <w:szCs w:val="24"/>
        </w:rPr>
        <w:t>univariate</w:t>
      </w:r>
      <w:proofErr w:type="spellEnd"/>
      <w:r w:rsidRPr="00FD1AFB">
        <w:rPr>
          <w:rFonts w:asciiTheme="minorHAnsi" w:hAnsiTheme="minorHAnsi" w:cstheme="minorHAnsi"/>
          <w:sz w:val="24"/>
          <w:szCs w:val="24"/>
        </w:rPr>
        <w:t xml:space="preserve"> analysis (Table </w:t>
      </w:r>
      <w:r w:rsidR="007C1F59" w:rsidRPr="00FD1AFB">
        <w:rPr>
          <w:rFonts w:asciiTheme="minorHAnsi" w:hAnsiTheme="minorHAnsi" w:cstheme="minorHAnsi"/>
          <w:sz w:val="24"/>
          <w:szCs w:val="24"/>
        </w:rPr>
        <w:t>6</w:t>
      </w:r>
      <w:r w:rsidRPr="00FD1AFB">
        <w:rPr>
          <w:rFonts w:asciiTheme="minorHAnsi" w:hAnsiTheme="minorHAnsi" w:cstheme="minorHAnsi"/>
          <w:sz w:val="24"/>
          <w:szCs w:val="24"/>
        </w:rPr>
        <w:t xml:space="preserve">). In multivariate analysis for MACE, death and/or </w:t>
      </w:r>
      <w:r w:rsidR="008F7B12" w:rsidRPr="00FD1AFB">
        <w:rPr>
          <w:rFonts w:asciiTheme="minorHAnsi" w:hAnsiTheme="minorHAnsi" w:cstheme="minorHAnsi"/>
          <w:sz w:val="24"/>
          <w:szCs w:val="24"/>
        </w:rPr>
        <w:t>re-AMI</w:t>
      </w:r>
      <w:r w:rsidRPr="00FD1AFB">
        <w:rPr>
          <w:rFonts w:asciiTheme="minorHAnsi" w:hAnsiTheme="minorHAnsi" w:cstheme="minorHAnsi"/>
          <w:sz w:val="24"/>
          <w:szCs w:val="24"/>
        </w:rPr>
        <w:t xml:space="preserve"> and death and/or HF at 6 months, </w:t>
      </w:r>
      <w:r w:rsidR="00265E37" w:rsidRPr="00FD1AFB">
        <w:rPr>
          <w:rFonts w:asciiTheme="minorHAnsi" w:hAnsiTheme="minorHAnsi" w:cstheme="minorHAnsi"/>
          <w:sz w:val="24"/>
          <w:szCs w:val="24"/>
        </w:rPr>
        <w:t xml:space="preserve">both </w:t>
      </w:r>
      <w:proofErr w:type="spellStart"/>
      <w:r w:rsidR="00265E37"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265E37" w:rsidRPr="00FD1AFB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="00576876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="00265E37" w:rsidRPr="00FD1AFB">
        <w:rPr>
          <w:rFonts w:asciiTheme="minorHAnsi" w:hAnsiTheme="minorHAnsi" w:cstheme="minorHAnsi"/>
          <w:sz w:val="24"/>
          <w:szCs w:val="24"/>
        </w:rPr>
        <w:t xml:space="preserve">demonstrated added value to the GRACE score, and in addition, </w:t>
      </w:r>
      <w:proofErr w:type="spellStart"/>
      <w:r w:rsidR="00265E37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265E37" w:rsidRPr="00FD1AFB">
        <w:rPr>
          <w:rFonts w:asciiTheme="minorHAnsi" w:hAnsiTheme="minorHAnsi" w:cstheme="minorHAnsi"/>
          <w:sz w:val="24"/>
          <w:szCs w:val="24"/>
        </w:rPr>
        <w:t xml:space="preserve"> showed added value to models with GRACE and </w:t>
      </w:r>
      <w:proofErr w:type="spellStart"/>
      <w:r w:rsidR="00265E37"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265E37" w:rsidRPr="00FD1AFB">
        <w:rPr>
          <w:rFonts w:asciiTheme="minorHAnsi" w:hAnsiTheme="minorHAnsi" w:cstheme="minorHAnsi"/>
          <w:sz w:val="24"/>
          <w:szCs w:val="24"/>
        </w:rPr>
        <w:t xml:space="preserve"> for all composite endpoints analysed (p&lt;0.0001 for all, Table 6).</w:t>
      </w:r>
    </w:p>
    <w:p w:rsidR="00CA79AF" w:rsidRPr="00692A69" w:rsidRDefault="00CA79AF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1321A2" w:rsidRPr="00FD1AFB" w:rsidRDefault="00C747EE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FD1AFB">
        <w:rPr>
          <w:rFonts w:asciiTheme="minorHAnsi" w:hAnsiTheme="minorHAnsi" w:cstheme="minorHAnsi"/>
          <w:sz w:val="24"/>
          <w:szCs w:val="24"/>
        </w:rPr>
        <w:t xml:space="preserve">Using receiver operating characteristic curve (ROC) analysis </w:t>
      </w:r>
      <w:r w:rsidR="00381B30" w:rsidRPr="00FD1AFB">
        <w:rPr>
          <w:rFonts w:asciiTheme="minorHAnsi" w:hAnsiTheme="minorHAnsi" w:cstheme="minorHAnsi"/>
          <w:sz w:val="24"/>
          <w:szCs w:val="24"/>
        </w:rPr>
        <w:t xml:space="preserve">for death and/or </w:t>
      </w:r>
      <w:r w:rsidR="008F7B12" w:rsidRPr="00FD1AFB">
        <w:rPr>
          <w:rFonts w:asciiTheme="minorHAnsi" w:hAnsiTheme="minorHAnsi" w:cstheme="minorHAnsi"/>
          <w:sz w:val="24"/>
          <w:szCs w:val="24"/>
        </w:rPr>
        <w:t>re-AMI</w:t>
      </w:r>
      <w:r w:rsidR="00935E66" w:rsidRPr="00FD1AFB">
        <w:rPr>
          <w:rFonts w:asciiTheme="minorHAnsi" w:hAnsiTheme="minorHAnsi" w:cstheme="minorHAnsi"/>
          <w:sz w:val="24"/>
          <w:szCs w:val="24"/>
        </w:rPr>
        <w:t xml:space="preserve"> at 6 months, the area under the curve (AUC) increased from </w:t>
      </w:r>
      <w:r w:rsidR="00381B30" w:rsidRPr="00FD1AFB">
        <w:rPr>
          <w:rFonts w:asciiTheme="minorHAnsi" w:hAnsiTheme="minorHAnsi" w:cstheme="minorHAnsi"/>
          <w:sz w:val="24"/>
          <w:szCs w:val="24"/>
        </w:rPr>
        <w:t>0.69</w:t>
      </w:r>
      <w:r w:rsidR="00935E66" w:rsidRPr="00FD1AFB">
        <w:rPr>
          <w:rFonts w:asciiTheme="minorHAnsi" w:hAnsiTheme="minorHAnsi" w:cstheme="minorHAnsi"/>
          <w:sz w:val="24"/>
          <w:szCs w:val="24"/>
        </w:rPr>
        <w:t xml:space="preserve">(95% CI </w:t>
      </w:r>
      <w:r w:rsidR="00381B30" w:rsidRPr="00FD1AFB">
        <w:rPr>
          <w:rFonts w:asciiTheme="minorHAnsi" w:hAnsiTheme="minorHAnsi" w:cstheme="minorHAnsi"/>
          <w:sz w:val="24"/>
          <w:szCs w:val="24"/>
        </w:rPr>
        <w:t>0.65-0.74</w:t>
      </w:r>
      <w:r w:rsidR="00935E66" w:rsidRPr="00FD1AFB">
        <w:rPr>
          <w:rFonts w:asciiTheme="minorHAnsi" w:hAnsiTheme="minorHAnsi" w:cstheme="minorHAnsi"/>
          <w:sz w:val="24"/>
          <w:szCs w:val="24"/>
        </w:rPr>
        <w:t>) for GRACE scoring only to 0.</w:t>
      </w:r>
      <w:r w:rsidR="00381B30" w:rsidRPr="00FD1AFB">
        <w:rPr>
          <w:rFonts w:asciiTheme="minorHAnsi" w:hAnsiTheme="minorHAnsi" w:cstheme="minorHAnsi"/>
          <w:sz w:val="24"/>
          <w:szCs w:val="24"/>
        </w:rPr>
        <w:t>72</w:t>
      </w:r>
      <w:r w:rsidR="00935E66" w:rsidRPr="00FD1AFB">
        <w:rPr>
          <w:rFonts w:asciiTheme="minorHAnsi" w:hAnsiTheme="minorHAnsi" w:cstheme="minorHAnsi"/>
          <w:sz w:val="24"/>
          <w:szCs w:val="24"/>
        </w:rPr>
        <w:t xml:space="preserve"> (</w:t>
      </w:r>
      <w:r w:rsidR="00381B30" w:rsidRPr="00FD1AFB">
        <w:rPr>
          <w:rFonts w:asciiTheme="minorHAnsi" w:hAnsiTheme="minorHAnsi" w:cstheme="minorHAnsi"/>
          <w:sz w:val="24"/>
          <w:szCs w:val="24"/>
        </w:rPr>
        <w:t>0.68-0.77</w:t>
      </w:r>
      <w:r w:rsidR="00935E66" w:rsidRPr="00FD1AFB">
        <w:rPr>
          <w:rFonts w:asciiTheme="minorHAnsi" w:hAnsiTheme="minorHAnsi" w:cstheme="minorHAnsi"/>
          <w:sz w:val="24"/>
          <w:szCs w:val="24"/>
        </w:rPr>
        <w:t xml:space="preserve">) with the addition of </w:t>
      </w:r>
      <w:proofErr w:type="spellStart"/>
      <w:r w:rsidR="00935E66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935E66" w:rsidRPr="00FD1AFB">
        <w:rPr>
          <w:rFonts w:asciiTheme="minorHAnsi" w:hAnsiTheme="minorHAnsi" w:cstheme="minorHAnsi"/>
          <w:sz w:val="24"/>
          <w:szCs w:val="24"/>
        </w:rPr>
        <w:t xml:space="preserve"> (P=0.0</w:t>
      </w:r>
      <w:r w:rsidR="00381B30" w:rsidRPr="00FD1AFB">
        <w:rPr>
          <w:rFonts w:asciiTheme="minorHAnsi" w:hAnsiTheme="minorHAnsi" w:cstheme="minorHAnsi"/>
          <w:sz w:val="24"/>
          <w:szCs w:val="24"/>
        </w:rPr>
        <w:t>1</w:t>
      </w:r>
      <w:r w:rsidR="00935E66" w:rsidRPr="00FD1AFB">
        <w:rPr>
          <w:rFonts w:asciiTheme="minorHAnsi" w:hAnsiTheme="minorHAnsi" w:cstheme="minorHAnsi"/>
          <w:sz w:val="24"/>
          <w:szCs w:val="24"/>
        </w:rPr>
        <w:t xml:space="preserve">). Addition of </w:t>
      </w:r>
      <w:proofErr w:type="spellStart"/>
      <w:r w:rsidR="00935E66"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935E66"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="001321A2" w:rsidRPr="00FD1AFB">
        <w:rPr>
          <w:rFonts w:asciiTheme="minorHAnsi" w:hAnsiTheme="minorHAnsi" w:cstheme="minorHAnsi"/>
          <w:sz w:val="24"/>
          <w:szCs w:val="24"/>
        </w:rPr>
        <w:t xml:space="preserve">to GRACE score yielded a higher area (0.70 (0.65-0.75) (p not significant)).  Comparison of the areas for GRACE score and </w:t>
      </w:r>
      <w:proofErr w:type="spellStart"/>
      <w:r w:rsidR="001321A2"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1321A2" w:rsidRPr="00FD1AFB">
        <w:rPr>
          <w:rFonts w:asciiTheme="minorHAnsi" w:hAnsiTheme="minorHAnsi" w:cstheme="minorHAnsi"/>
          <w:sz w:val="24"/>
          <w:szCs w:val="24"/>
        </w:rPr>
        <w:t xml:space="preserve"> (0.70 (0.65-0.75)) and that of GRACE score, </w:t>
      </w:r>
      <w:proofErr w:type="spellStart"/>
      <w:r w:rsidR="001321A2"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1321A2" w:rsidRPr="00FD1AFB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="001321A2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1321A2" w:rsidRPr="00FD1AFB">
        <w:rPr>
          <w:rFonts w:asciiTheme="minorHAnsi" w:hAnsiTheme="minorHAnsi" w:cstheme="minorHAnsi"/>
          <w:sz w:val="24"/>
          <w:szCs w:val="24"/>
        </w:rPr>
        <w:t xml:space="preserve"> (0.72 (0.68-0.77)) was not significant (p=0.06).</w:t>
      </w:r>
    </w:p>
    <w:p w:rsidR="001321A2" w:rsidRDefault="001321A2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2F3CE2" w:rsidRPr="00FE3317" w:rsidRDefault="00FE3317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FE3317">
        <w:rPr>
          <w:rFonts w:asciiTheme="minorHAnsi" w:hAnsiTheme="minorHAnsi" w:cstheme="minorHAnsi"/>
          <w:b/>
          <w:sz w:val="24"/>
          <w:szCs w:val="24"/>
        </w:rPr>
        <w:t>Reclassification Analysis</w:t>
      </w:r>
    </w:p>
    <w:p w:rsidR="00866F9E" w:rsidRPr="00FD1AFB" w:rsidRDefault="00E04EC2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FD1AFB">
        <w:rPr>
          <w:rFonts w:asciiTheme="minorHAnsi" w:hAnsiTheme="minorHAnsi" w:cstheme="minorHAnsi"/>
          <w:sz w:val="24"/>
          <w:szCs w:val="24"/>
        </w:rPr>
        <w:t xml:space="preserve">Category-free reclassification analysis </w:t>
      </w:r>
      <w:r w:rsidR="00507F8F" w:rsidRPr="00FD1AFB">
        <w:rPr>
          <w:rFonts w:asciiTheme="minorHAnsi" w:hAnsiTheme="minorHAnsi" w:cstheme="minorHAnsi"/>
          <w:sz w:val="24"/>
          <w:szCs w:val="24"/>
        </w:rPr>
        <w:t>(with no arbitrary cut-off probabilit</w:t>
      </w:r>
      <w:r w:rsidR="0048511C">
        <w:rPr>
          <w:rFonts w:asciiTheme="minorHAnsi" w:hAnsiTheme="minorHAnsi" w:cstheme="minorHAnsi"/>
          <w:sz w:val="24"/>
          <w:szCs w:val="24"/>
        </w:rPr>
        <w:t>i</w:t>
      </w:r>
      <w:r w:rsidR="00507F8F" w:rsidRPr="00FD1AFB">
        <w:rPr>
          <w:rFonts w:asciiTheme="minorHAnsi" w:hAnsiTheme="minorHAnsi" w:cstheme="minorHAnsi"/>
          <w:sz w:val="24"/>
          <w:szCs w:val="24"/>
        </w:rPr>
        <w:t xml:space="preserve">es) </w:t>
      </w:r>
      <w:r w:rsidRPr="00FD1AFB">
        <w:rPr>
          <w:rFonts w:asciiTheme="minorHAnsi" w:hAnsiTheme="minorHAnsi" w:cstheme="minorHAnsi"/>
          <w:sz w:val="24"/>
          <w:szCs w:val="24"/>
        </w:rPr>
        <w:t xml:space="preserve">was employed as described by </w:t>
      </w:r>
      <w:proofErr w:type="spellStart"/>
      <w:r w:rsidRPr="00FD1AFB">
        <w:rPr>
          <w:rFonts w:asciiTheme="minorHAnsi" w:hAnsiTheme="minorHAnsi" w:cstheme="minorHAnsi"/>
          <w:sz w:val="24"/>
          <w:szCs w:val="24"/>
        </w:rPr>
        <w:t>Pencina</w:t>
      </w:r>
      <w:proofErr w:type="spellEnd"/>
      <w:r w:rsidR="001B1663"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Pr="00FD1AFB">
        <w:rPr>
          <w:rFonts w:asciiTheme="minorHAnsi" w:hAnsiTheme="minorHAnsi" w:cstheme="minorHAnsi"/>
          <w:i/>
          <w:sz w:val="24"/>
          <w:szCs w:val="24"/>
        </w:rPr>
        <w:t>et al</w:t>
      </w:r>
      <w:r w:rsidRPr="00FD1AFB">
        <w:rPr>
          <w:rFonts w:asciiTheme="minorHAnsi" w:hAnsiTheme="minorHAnsi" w:cstheme="minorHAnsi"/>
          <w:sz w:val="24"/>
          <w:szCs w:val="24"/>
        </w:rPr>
        <w:t xml:space="preserve"> (</w:t>
      </w:r>
      <w:r w:rsidR="00A407C6" w:rsidRPr="00FD1AFB">
        <w:rPr>
          <w:rFonts w:asciiTheme="minorHAnsi" w:hAnsiTheme="minorHAnsi" w:cstheme="minorHAnsi"/>
          <w:sz w:val="24"/>
          <w:szCs w:val="24"/>
        </w:rPr>
        <w:t>19</w:t>
      </w:r>
      <w:r w:rsidR="00507F8F" w:rsidRPr="00FD1AFB">
        <w:rPr>
          <w:rFonts w:asciiTheme="minorHAnsi" w:hAnsiTheme="minorHAnsi" w:cstheme="minorHAnsi"/>
          <w:sz w:val="24"/>
          <w:szCs w:val="24"/>
        </w:rPr>
        <w:t>) to calculate the NRI (&gt;0)</w:t>
      </w:r>
      <w:r w:rsidR="0045584B" w:rsidRPr="00FD1AFB">
        <w:rPr>
          <w:rFonts w:asciiTheme="minorHAnsi" w:hAnsiTheme="minorHAnsi" w:cstheme="minorHAnsi"/>
          <w:sz w:val="24"/>
          <w:szCs w:val="24"/>
        </w:rPr>
        <w:t xml:space="preserve">, for the effect of addition of </w:t>
      </w:r>
      <w:proofErr w:type="spellStart"/>
      <w:r w:rsidR="005237B6" w:rsidRPr="00FD1AFB">
        <w:rPr>
          <w:rFonts w:asciiTheme="minorHAnsi" w:hAnsiTheme="minorHAnsi" w:cstheme="minorHAnsi"/>
          <w:sz w:val="24"/>
          <w:szCs w:val="24"/>
        </w:rPr>
        <w:lastRenderedPageBreak/>
        <w:t>NTproBNP</w:t>
      </w:r>
      <w:proofErr w:type="spellEnd"/>
      <w:r w:rsidR="005237B6" w:rsidRPr="00FD1AFB">
        <w:rPr>
          <w:rFonts w:asciiTheme="minorHAnsi" w:hAnsiTheme="minorHAnsi" w:cstheme="minorHAnsi"/>
          <w:sz w:val="24"/>
          <w:szCs w:val="24"/>
        </w:rPr>
        <w:t xml:space="preserve"> or </w:t>
      </w:r>
      <w:proofErr w:type="spellStart"/>
      <w:r w:rsidR="0045584B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45584B" w:rsidRPr="00FD1AFB">
        <w:rPr>
          <w:rFonts w:asciiTheme="minorHAnsi" w:hAnsiTheme="minorHAnsi" w:cstheme="minorHAnsi"/>
          <w:sz w:val="24"/>
          <w:szCs w:val="24"/>
        </w:rPr>
        <w:t xml:space="preserve"> to the probabilit</w:t>
      </w:r>
      <w:r w:rsidR="0048511C">
        <w:rPr>
          <w:rFonts w:asciiTheme="minorHAnsi" w:hAnsiTheme="minorHAnsi" w:cstheme="minorHAnsi"/>
          <w:sz w:val="24"/>
          <w:szCs w:val="24"/>
        </w:rPr>
        <w:t>i</w:t>
      </w:r>
      <w:r w:rsidR="0045584B" w:rsidRPr="00FD1AFB">
        <w:rPr>
          <w:rFonts w:asciiTheme="minorHAnsi" w:hAnsiTheme="minorHAnsi" w:cstheme="minorHAnsi"/>
          <w:sz w:val="24"/>
          <w:szCs w:val="24"/>
        </w:rPr>
        <w:t>es derived from the GRACE score in predicting the endpoint</w:t>
      </w:r>
      <w:r w:rsidR="005237B6" w:rsidRPr="00FD1AFB">
        <w:rPr>
          <w:rFonts w:asciiTheme="minorHAnsi" w:hAnsiTheme="minorHAnsi" w:cstheme="minorHAnsi"/>
          <w:sz w:val="24"/>
          <w:szCs w:val="24"/>
        </w:rPr>
        <w:t>s</w:t>
      </w:r>
      <w:r w:rsidR="0045584B" w:rsidRPr="00FD1AFB">
        <w:rPr>
          <w:rFonts w:asciiTheme="minorHAnsi" w:hAnsiTheme="minorHAnsi" w:cstheme="minorHAnsi"/>
          <w:sz w:val="24"/>
          <w:szCs w:val="24"/>
        </w:rPr>
        <w:t xml:space="preserve"> of death and/or </w:t>
      </w:r>
      <w:r w:rsidR="008F7B12" w:rsidRPr="00FD1AFB">
        <w:rPr>
          <w:rFonts w:asciiTheme="minorHAnsi" w:hAnsiTheme="minorHAnsi" w:cstheme="minorHAnsi"/>
          <w:sz w:val="24"/>
          <w:szCs w:val="24"/>
        </w:rPr>
        <w:t>re-AMI</w:t>
      </w:r>
      <w:r w:rsidR="005237B6" w:rsidRPr="00FD1AFB">
        <w:rPr>
          <w:rFonts w:asciiTheme="minorHAnsi" w:hAnsiTheme="minorHAnsi" w:cstheme="minorHAnsi"/>
          <w:sz w:val="24"/>
          <w:szCs w:val="24"/>
        </w:rPr>
        <w:t>, MACE and death and/or HF</w:t>
      </w:r>
      <w:r w:rsidR="0045584B" w:rsidRPr="00FD1AFB">
        <w:rPr>
          <w:rFonts w:asciiTheme="minorHAnsi" w:hAnsiTheme="minorHAnsi" w:cstheme="minorHAnsi"/>
          <w:sz w:val="24"/>
          <w:szCs w:val="24"/>
        </w:rPr>
        <w:t xml:space="preserve"> (Table 7).  </w:t>
      </w:r>
      <w:proofErr w:type="spellStart"/>
      <w:proofErr w:type="gramStart"/>
      <w:r w:rsidR="00866F9E"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866F9E" w:rsidRPr="00FD1AF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866F9E" w:rsidRPr="00FD1AFB">
        <w:rPr>
          <w:rFonts w:asciiTheme="minorHAnsi" w:hAnsiTheme="minorHAnsi" w:cstheme="minorHAnsi"/>
          <w:sz w:val="24"/>
          <w:szCs w:val="24"/>
        </w:rPr>
        <w:t>up</w:t>
      </w:r>
      <w:r w:rsidR="004E1299">
        <w:rPr>
          <w:rFonts w:asciiTheme="minorHAnsi" w:hAnsiTheme="minorHAnsi" w:cstheme="minorHAnsi"/>
          <w:sz w:val="24"/>
          <w:szCs w:val="24"/>
        </w:rPr>
        <w:t>classified</w:t>
      </w:r>
      <w:proofErr w:type="spellEnd"/>
      <w:r w:rsidR="004E1299">
        <w:rPr>
          <w:rFonts w:asciiTheme="minorHAnsi" w:hAnsiTheme="minorHAnsi" w:cstheme="minorHAnsi"/>
          <w:sz w:val="24"/>
          <w:szCs w:val="24"/>
        </w:rPr>
        <w:t xml:space="preserve"> risk in all those with events for all these composite endpoints.</w:t>
      </w:r>
      <w:proofErr w:type="gramEnd"/>
      <w:r w:rsidR="004E1299">
        <w:rPr>
          <w:rFonts w:asciiTheme="minorHAnsi" w:hAnsiTheme="minorHAnsi" w:cstheme="minorHAnsi"/>
          <w:sz w:val="24"/>
          <w:szCs w:val="24"/>
        </w:rPr>
        <w:t xml:space="preserve"> </w:t>
      </w:r>
      <w:r w:rsidR="00BD5970">
        <w:rPr>
          <w:rFonts w:asciiTheme="minorHAnsi" w:hAnsiTheme="minorHAnsi" w:cstheme="minorHAnsi"/>
          <w:sz w:val="24"/>
          <w:szCs w:val="24"/>
        </w:rPr>
        <w:t xml:space="preserve"> </w:t>
      </w:r>
      <w:r w:rsidR="004E1299">
        <w:rPr>
          <w:rFonts w:asciiTheme="minorHAnsi" w:hAnsiTheme="minorHAnsi" w:cstheme="minorHAnsi"/>
          <w:sz w:val="24"/>
          <w:szCs w:val="24"/>
        </w:rPr>
        <w:t xml:space="preserve">However, it wrongly (and significantly) </w:t>
      </w:r>
      <w:proofErr w:type="spellStart"/>
      <w:r w:rsidR="004E1299">
        <w:rPr>
          <w:rFonts w:asciiTheme="minorHAnsi" w:hAnsiTheme="minorHAnsi" w:cstheme="minorHAnsi"/>
          <w:sz w:val="24"/>
          <w:szCs w:val="24"/>
        </w:rPr>
        <w:t>upclassified</w:t>
      </w:r>
      <w:proofErr w:type="spellEnd"/>
      <w:r w:rsidR="004E1299">
        <w:rPr>
          <w:rFonts w:asciiTheme="minorHAnsi" w:hAnsiTheme="minorHAnsi" w:cstheme="minorHAnsi"/>
          <w:sz w:val="24"/>
          <w:szCs w:val="24"/>
        </w:rPr>
        <w:t xml:space="preserve"> risk in those without events for the death and/or re-AMI and MACE endpoints, although correctly </w:t>
      </w:r>
      <w:proofErr w:type="spellStart"/>
      <w:r w:rsidR="004E1299">
        <w:rPr>
          <w:rFonts w:asciiTheme="minorHAnsi" w:hAnsiTheme="minorHAnsi" w:cstheme="minorHAnsi"/>
          <w:sz w:val="24"/>
          <w:szCs w:val="24"/>
        </w:rPr>
        <w:t>downclassifying</w:t>
      </w:r>
      <w:proofErr w:type="spellEnd"/>
      <w:r w:rsidR="004E1299">
        <w:rPr>
          <w:rFonts w:asciiTheme="minorHAnsi" w:hAnsiTheme="minorHAnsi" w:cstheme="minorHAnsi"/>
          <w:sz w:val="24"/>
          <w:szCs w:val="24"/>
        </w:rPr>
        <w:t xml:space="preserve"> risk in those without events for the death and/or HF endpoint. However</w:t>
      </w:r>
      <w:proofErr w:type="gramStart"/>
      <w:r w:rsidR="004E1299">
        <w:rPr>
          <w:rFonts w:asciiTheme="minorHAnsi" w:hAnsiTheme="minorHAnsi" w:cstheme="minorHAnsi"/>
          <w:sz w:val="24"/>
          <w:szCs w:val="24"/>
        </w:rPr>
        <w:t xml:space="preserve">,  </w:t>
      </w:r>
      <w:proofErr w:type="spellStart"/>
      <w:r w:rsidR="00866F9E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proofErr w:type="gramEnd"/>
      <w:r w:rsidR="00866F9E"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="004E1299">
        <w:rPr>
          <w:rFonts w:asciiTheme="minorHAnsi" w:hAnsiTheme="minorHAnsi" w:cstheme="minorHAnsi"/>
          <w:sz w:val="24"/>
          <w:szCs w:val="24"/>
        </w:rPr>
        <w:t xml:space="preserve">correctly </w:t>
      </w:r>
      <w:proofErr w:type="spellStart"/>
      <w:r w:rsidR="009C3B30" w:rsidRPr="00FD1AFB">
        <w:rPr>
          <w:rFonts w:asciiTheme="minorHAnsi" w:hAnsiTheme="minorHAnsi" w:cstheme="minorHAnsi"/>
          <w:sz w:val="24"/>
          <w:szCs w:val="24"/>
        </w:rPr>
        <w:t>downclassif</w:t>
      </w:r>
      <w:r w:rsidR="00866F9E" w:rsidRPr="00FD1AFB">
        <w:rPr>
          <w:rFonts w:asciiTheme="minorHAnsi" w:hAnsiTheme="minorHAnsi" w:cstheme="minorHAnsi"/>
          <w:sz w:val="24"/>
          <w:szCs w:val="24"/>
        </w:rPr>
        <w:t>ied</w:t>
      </w:r>
      <w:proofErr w:type="spellEnd"/>
      <w:r w:rsidR="00866F9E"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="009C3B30" w:rsidRPr="00FD1AFB">
        <w:rPr>
          <w:rFonts w:asciiTheme="minorHAnsi" w:hAnsiTheme="minorHAnsi" w:cstheme="minorHAnsi"/>
          <w:sz w:val="24"/>
          <w:szCs w:val="24"/>
        </w:rPr>
        <w:t>risk in those without e</w:t>
      </w:r>
      <w:r w:rsidR="004E1299">
        <w:rPr>
          <w:rFonts w:asciiTheme="minorHAnsi" w:hAnsiTheme="minorHAnsi" w:cstheme="minorHAnsi"/>
          <w:sz w:val="24"/>
          <w:szCs w:val="24"/>
        </w:rPr>
        <w:t>vents for all composite e</w:t>
      </w:r>
      <w:r w:rsidR="009C3B30" w:rsidRPr="00FD1AFB">
        <w:rPr>
          <w:rFonts w:asciiTheme="minorHAnsi" w:hAnsiTheme="minorHAnsi" w:cstheme="minorHAnsi"/>
          <w:sz w:val="24"/>
          <w:szCs w:val="24"/>
        </w:rPr>
        <w:t>ndpoints</w:t>
      </w:r>
      <w:r w:rsidR="00866F9E" w:rsidRPr="00FD1AFB">
        <w:rPr>
          <w:rFonts w:asciiTheme="minorHAnsi" w:hAnsiTheme="minorHAnsi" w:cstheme="minorHAnsi"/>
          <w:sz w:val="24"/>
          <w:szCs w:val="24"/>
        </w:rPr>
        <w:t xml:space="preserve">.  When </w:t>
      </w:r>
      <w:proofErr w:type="spellStart"/>
      <w:r w:rsidR="00866F9E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866F9E" w:rsidRPr="00FD1AFB">
        <w:rPr>
          <w:rFonts w:asciiTheme="minorHAnsi" w:hAnsiTheme="minorHAnsi" w:cstheme="minorHAnsi"/>
          <w:sz w:val="24"/>
          <w:szCs w:val="24"/>
        </w:rPr>
        <w:t xml:space="preserve"> was added to a </w:t>
      </w:r>
      <w:r w:rsidR="00C2629A">
        <w:rPr>
          <w:rFonts w:asciiTheme="minorHAnsi" w:hAnsiTheme="minorHAnsi" w:cstheme="minorHAnsi"/>
          <w:sz w:val="24"/>
          <w:szCs w:val="24"/>
        </w:rPr>
        <w:t xml:space="preserve">composite </w:t>
      </w:r>
      <w:r w:rsidR="00866F9E" w:rsidRPr="00FD1AFB">
        <w:rPr>
          <w:rFonts w:asciiTheme="minorHAnsi" w:hAnsiTheme="minorHAnsi" w:cstheme="minorHAnsi"/>
          <w:sz w:val="24"/>
          <w:szCs w:val="24"/>
        </w:rPr>
        <w:t xml:space="preserve">risk score comprised of GRACE and </w:t>
      </w:r>
      <w:proofErr w:type="spellStart"/>
      <w:r w:rsidR="00866F9E"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proofErr w:type="gramStart"/>
      <w:r w:rsidR="00866F9E" w:rsidRPr="00FD1AFB">
        <w:rPr>
          <w:rFonts w:asciiTheme="minorHAnsi" w:hAnsiTheme="minorHAnsi" w:cstheme="minorHAnsi"/>
          <w:sz w:val="24"/>
          <w:szCs w:val="24"/>
        </w:rPr>
        <w:t xml:space="preserve">, </w:t>
      </w:r>
      <w:r w:rsidR="00C2629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866F9E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proofErr w:type="gramEnd"/>
      <w:r w:rsidR="00866F9E" w:rsidRPr="00FD1AF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866F9E" w:rsidRPr="00FD1AFB">
        <w:rPr>
          <w:rFonts w:asciiTheme="minorHAnsi" w:hAnsiTheme="minorHAnsi" w:cstheme="minorHAnsi"/>
          <w:sz w:val="24"/>
          <w:szCs w:val="24"/>
        </w:rPr>
        <w:t>downclassified</w:t>
      </w:r>
      <w:proofErr w:type="spellEnd"/>
      <w:r w:rsidR="00866F9E" w:rsidRPr="00FD1AFB">
        <w:rPr>
          <w:rFonts w:asciiTheme="minorHAnsi" w:hAnsiTheme="minorHAnsi" w:cstheme="minorHAnsi"/>
          <w:sz w:val="24"/>
          <w:szCs w:val="24"/>
        </w:rPr>
        <w:t xml:space="preserve"> risk in those with</w:t>
      </w:r>
      <w:r w:rsidR="00BD5970">
        <w:rPr>
          <w:rFonts w:asciiTheme="minorHAnsi" w:hAnsiTheme="minorHAnsi" w:cstheme="minorHAnsi"/>
          <w:sz w:val="24"/>
          <w:szCs w:val="24"/>
        </w:rPr>
        <w:t xml:space="preserve">out events for </w:t>
      </w:r>
      <w:r w:rsidR="00866F9E" w:rsidRPr="00FD1AFB">
        <w:rPr>
          <w:rFonts w:asciiTheme="minorHAnsi" w:hAnsiTheme="minorHAnsi" w:cstheme="minorHAnsi"/>
          <w:sz w:val="24"/>
          <w:szCs w:val="24"/>
        </w:rPr>
        <w:t>the endpoints of MACE, and death and/or MI, and had no significant reclassification of those with the death and/or HF endpoint (Table 7).</w:t>
      </w:r>
    </w:p>
    <w:p w:rsidR="00B955F5" w:rsidRDefault="00B955F5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E04EC2" w:rsidRPr="00692A69" w:rsidRDefault="00E04EC2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692A69">
        <w:rPr>
          <w:rFonts w:asciiTheme="minorHAnsi" w:hAnsiTheme="minorHAnsi" w:cstheme="minorHAnsi"/>
          <w:b/>
          <w:sz w:val="24"/>
          <w:szCs w:val="24"/>
        </w:rPr>
        <w:t>Decision tree analysis</w:t>
      </w:r>
    </w:p>
    <w:p w:rsidR="00FE3317" w:rsidRDefault="00E04EC2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92A69">
        <w:rPr>
          <w:rFonts w:asciiTheme="minorHAnsi" w:hAnsiTheme="minorHAnsi" w:cstheme="minorHAnsi"/>
          <w:sz w:val="24"/>
          <w:szCs w:val="24"/>
        </w:rPr>
        <w:t>In order to determine optimal cut-points for biomarkers, we constructed decision tree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692A69">
        <w:rPr>
          <w:rFonts w:asciiTheme="minorHAnsi" w:hAnsiTheme="minorHAnsi" w:cstheme="minorHAnsi"/>
          <w:sz w:val="24"/>
          <w:szCs w:val="24"/>
        </w:rPr>
        <w:t xml:space="preserve"> (using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Pr="00692A69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Pr="00692A69">
        <w:rPr>
          <w:rFonts w:asciiTheme="minorHAnsi" w:hAnsiTheme="minorHAnsi" w:cstheme="minorHAnsi"/>
          <w:sz w:val="24"/>
          <w:szCs w:val="24"/>
        </w:rPr>
        <w:t xml:space="preserve"> levels and GRACE scores) to classify patients into survivors or those with </w:t>
      </w:r>
      <w:r w:rsidR="00FE3317">
        <w:rPr>
          <w:rFonts w:asciiTheme="minorHAnsi" w:hAnsiTheme="minorHAnsi" w:cstheme="minorHAnsi"/>
          <w:sz w:val="24"/>
          <w:szCs w:val="24"/>
        </w:rPr>
        <w:t xml:space="preserve">the endpoint of death and/or </w:t>
      </w:r>
      <w:r w:rsidR="008F7B12">
        <w:rPr>
          <w:rFonts w:asciiTheme="minorHAnsi" w:hAnsiTheme="minorHAnsi" w:cstheme="minorHAnsi"/>
          <w:sz w:val="24"/>
          <w:szCs w:val="24"/>
        </w:rPr>
        <w:t>re-AMI</w:t>
      </w:r>
      <w:r w:rsidR="00FE3317">
        <w:rPr>
          <w:rFonts w:asciiTheme="minorHAnsi" w:hAnsiTheme="minorHAnsi" w:cstheme="minorHAnsi"/>
          <w:sz w:val="24"/>
          <w:szCs w:val="24"/>
        </w:rPr>
        <w:t xml:space="preserve"> at 6 months</w:t>
      </w:r>
      <w:r w:rsidRPr="00692A69">
        <w:rPr>
          <w:rFonts w:asciiTheme="minorHAnsi" w:hAnsiTheme="minorHAnsi" w:cstheme="minorHAnsi"/>
          <w:sz w:val="24"/>
          <w:szCs w:val="24"/>
        </w:rPr>
        <w:t>.</w:t>
      </w:r>
      <w:r w:rsidR="00FE3317">
        <w:rPr>
          <w:rFonts w:asciiTheme="minorHAnsi" w:hAnsiTheme="minorHAnsi" w:cstheme="minorHAnsi"/>
          <w:sz w:val="24"/>
          <w:szCs w:val="24"/>
        </w:rPr>
        <w:t xml:space="preserve">  Using </w:t>
      </w:r>
      <w:proofErr w:type="spellStart"/>
      <w:r w:rsidR="00FE3317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FE3317">
        <w:rPr>
          <w:rFonts w:asciiTheme="minorHAnsi" w:hAnsiTheme="minorHAnsi" w:cstheme="minorHAnsi"/>
          <w:sz w:val="24"/>
          <w:szCs w:val="24"/>
        </w:rPr>
        <w:t xml:space="preserve"> as an initial classifier (figure 3) a </w:t>
      </w:r>
      <w:proofErr w:type="spellStart"/>
      <w:r w:rsidR="00FE3317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FE3317">
        <w:rPr>
          <w:rFonts w:asciiTheme="minorHAnsi" w:hAnsiTheme="minorHAnsi" w:cstheme="minorHAnsi"/>
          <w:sz w:val="24"/>
          <w:szCs w:val="24"/>
        </w:rPr>
        <w:t xml:space="preserve"> level under 72.08pmol/L and GRACE score under 137 defines a low risk group of patients (n=512, 44.6% of the total) in whom the event rate was 3.0%.  Of these, only 3 patients (0.26%) had died within 6 months, and 1 (0.09%) had died within 30 days.  </w:t>
      </w:r>
      <w:proofErr w:type="spellStart"/>
      <w:r w:rsidR="00FE3317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FE3317">
        <w:rPr>
          <w:rFonts w:asciiTheme="minorHAnsi" w:hAnsiTheme="minorHAnsi" w:cstheme="minorHAnsi"/>
          <w:sz w:val="24"/>
          <w:szCs w:val="24"/>
        </w:rPr>
        <w:t xml:space="preserve"> levels </w:t>
      </w:r>
      <w:proofErr w:type="gramStart"/>
      <w:r w:rsidR="00FE3317">
        <w:rPr>
          <w:rFonts w:asciiTheme="minorHAnsi" w:hAnsiTheme="minorHAnsi" w:cstheme="minorHAnsi"/>
          <w:sz w:val="24"/>
          <w:szCs w:val="24"/>
        </w:rPr>
        <w:t xml:space="preserve">above 121.6 </w:t>
      </w:r>
      <w:proofErr w:type="spellStart"/>
      <w:r w:rsidR="00FE3317">
        <w:rPr>
          <w:rFonts w:asciiTheme="minorHAnsi" w:hAnsiTheme="minorHAnsi" w:cstheme="minorHAnsi"/>
          <w:sz w:val="24"/>
          <w:szCs w:val="24"/>
        </w:rPr>
        <w:t>pmol</w:t>
      </w:r>
      <w:proofErr w:type="spellEnd"/>
      <w:r w:rsidR="00FE3317">
        <w:rPr>
          <w:rFonts w:asciiTheme="minorHAnsi" w:hAnsiTheme="minorHAnsi" w:cstheme="minorHAnsi"/>
          <w:sz w:val="24"/>
          <w:szCs w:val="24"/>
        </w:rPr>
        <w:t>/L</w:t>
      </w:r>
      <w:proofErr w:type="gramEnd"/>
      <w:r w:rsidR="00FE3317">
        <w:rPr>
          <w:rFonts w:asciiTheme="minorHAnsi" w:hAnsiTheme="minorHAnsi" w:cstheme="minorHAnsi"/>
          <w:sz w:val="24"/>
          <w:szCs w:val="24"/>
        </w:rPr>
        <w:t xml:space="preserve"> defined a high risk group of patients with a death/</w:t>
      </w:r>
      <w:r w:rsidR="008F7B12">
        <w:rPr>
          <w:rFonts w:asciiTheme="minorHAnsi" w:hAnsiTheme="minorHAnsi" w:cstheme="minorHAnsi"/>
          <w:sz w:val="24"/>
          <w:szCs w:val="24"/>
        </w:rPr>
        <w:t>re-AMI</w:t>
      </w:r>
      <w:r w:rsidR="00FE3317">
        <w:rPr>
          <w:rFonts w:asciiTheme="minorHAnsi" w:hAnsiTheme="minorHAnsi" w:cstheme="minorHAnsi"/>
          <w:sz w:val="24"/>
          <w:szCs w:val="24"/>
        </w:rPr>
        <w:t xml:space="preserve"> rate of 37.7% and a death rate of 30.7% (figure 3).</w:t>
      </w:r>
    </w:p>
    <w:p w:rsidR="00214DBA" w:rsidRPr="009E2C8C" w:rsidRDefault="00214DBA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9E2C8C">
        <w:rPr>
          <w:rFonts w:asciiTheme="minorHAnsi" w:hAnsiTheme="minorHAnsi" w:cstheme="minorHAnsi"/>
          <w:b/>
          <w:sz w:val="24"/>
          <w:szCs w:val="24"/>
        </w:rPr>
        <w:t>Discussion</w:t>
      </w:r>
    </w:p>
    <w:p w:rsidR="003D4C19" w:rsidRDefault="003D4C1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 addition to the known effects of SP on pain and inflammatory pathways, SP may also have important effects on platelet aggregation</w:t>
      </w:r>
      <w:r w:rsidR="00414034">
        <w:rPr>
          <w:rFonts w:asciiTheme="minorHAnsi" w:hAnsiTheme="minorHAnsi" w:cstheme="minorHAnsi"/>
          <w:sz w:val="24"/>
          <w:szCs w:val="24"/>
        </w:rPr>
        <w:t xml:space="preserve"> (6),fibrinolysis (7) and strengthening of clot </w:t>
      </w:r>
      <w:r w:rsidR="00414034">
        <w:rPr>
          <w:rFonts w:asciiTheme="minorHAnsi" w:hAnsiTheme="minorHAnsi" w:cstheme="minorHAnsi"/>
          <w:sz w:val="24"/>
          <w:szCs w:val="24"/>
        </w:rPr>
        <w:lastRenderedPageBreak/>
        <w:t xml:space="preserve">(8),which may suggest a potential role in affecting outcomes after AMI. SP </w:t>
      </w:r>
      <w:proofErr w:type="gramStart"/>
      <w:r w:rsidR="00414034">
        <w:rPr>
          <w:rFonts w:asciiTheme="minorHAnsi" w:hAnsiTheme="minorHAnsi" w:cstheme="minorHAnsi"/>
          <w:sz w:val="24"/>
          <w:szCs w:val="24"/>
        </w:rPr>
        <w:t>itself</w:t>
      </w:r>
      <w:proofErr w:type="gramEnd"/>
      <w:r w:rsidR="00414034">
        <w:rPr>
          <w:rFonts w:asciiTheme="minorHAnsi" w:hAnsiTheme="minorHAnsi" w:cstheme="minorHAnsi"/>
          <w:sz w:val="24"/>
          <w:szCs w:val="24"/>
        </w:rPr>
        <w:t xml:space="preserve"> is very labile and difficult to measure in plasma. A novel </w:t>
      </w:r>
      <w:proofErr w:type="spellStart"/>
      <w:r w:rsidR="00414034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414034">
        <w:rPr>
          <w:rFonts w:asciiTheme="minorHAnsi" w:hAnsiTheme="minorHAnsi" w:cstheme="minorHAnsi"/>
          <w:sz w:val="24"/>
          <w:szCs w:val="24"/>
        </w:rPr>
        <w:t xml:space="preserve"> assay (12) has therefore enabled us to examine the hypothesis that SP may play a role following AMI.</w:t>
      </w:r>
    </w:p>
    <w:p w:rsidR="003D4C19" w:rsidRDefault="003D4C1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C91244" w:rsidRDefault="00A407C6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 our cohort of AMI patients,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was </w:t>
      </w:r>
      <w:r w:rsidR="00F77049">
        <w:rPr>
          <w:rFonts w:asciiTheme="minorHAnsi" w:hAnsiTheme="minorHAnsi" w:cstheme="minorHAnsi"/>
          <w:sz w:val="24"/>
          <w:szCs w:val="24"/>
        </w:rPr>
        <w:t xml:space="preserve">most strongly correlated with renal function, and </w:t>
      </w:r>
      <w:r w:rsidR="00414034">
        <w:rPr>
          <w:rFonts w:asciiTheme="minorHAnsi" w:hAnsiTheme="minorHAnsi" w:cstheme="minorHAnsi"/>
          <w:sz w:val="24"/>
          <w:szCs w:val="24"/>
        </w:rPr>
        <w:t xml:space="preserve">was also influenced by </w:t>
      </w:r>
      <w:r w:rsidR="00F77049">
        <w:rPr>
          <w:rFonts w:asciiTheme="minorHAnsi" w:hAnsiTheme="minorHAnsi" w:cstheme="minorHAnsi"/>
          <w:sz w:val="24"/>
          <w:szCs w:val="24"/>
        </w:rPr>
        <w:t xml:space="preserve">age, past history of diabetes and IHD, </w:t>
      </w:r>
      <w:proofErr w:type="spellStart"/>
      <w:r w:rsidR="00F77049">
        <w:rPr>
          <w:rFonts w:asciiTheme="minorHAnsi" w:hAnsiTheme="minorHAnsi" w:cstheme="minorHAnsi"/>
          <w:sz w:val="24"/>
          <w:szCs w:val="24"/>
        </w:rPr>
        <w:t>Killip</w:t>
      </w:r>
      <w:proofErr w:type="spellEnd"/>
      <w:r w:rsidR="00F77049">
        <w:rPr>
          <w:rFonts w:asciiTheme="minorHAnsi" w:hAnsiTheme="minorHAnsi" w:cstheme="minorHAnsi"/>
          <w:sz w:val="24"/>
          <w:szCs w:val="24"/>
        </w:rPr>
        <w:t xml:space="preserve"> class, wall motion index, </w:t>
      </w:r>
      <w:r w:rsidR="00746D8B">
        <w:rPr>
          <w:rFonts w:asciiTheme="minorHAnsi" w:hAnsiTheme="minorHAnsi" w:cstheme="minorHAnsi"/>
          <w:sz w:val="24"/>
          <w:szCs w:val="24"/>
        </w:rPr>
        <w:t>sex</w:t>
      </w:r>
      <w:r w:rsidR="00F77049">
        <w:rPr>
          <w:rFonts w:asciiTheme="minorHAnsi" w:hAnsiTheme="minorHAnsi" w:cstheme="minorHAnsi"/>
          <w:sz w:val="24"/>
          <w:szCs w:val="24"/>
        </w:rPr>
        <w:t xml:space="preserve"> and blood pressure. </w:t>
      </w:r>
      <w:r w:rsidR="00C91244">
        <w:rPr>
          <w:rFonts w:asciiTheme="minorHAnsi" w:hAnsiTheme="minorHAnsi" w:cstheme="minorHAnsi"/>
          <w:sz w:val="24"/>
          <w:szCs w:val="24"/>
        </w:rPr>
        <w:t xml:space="preserve">There was no relation to infarct size.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EA78E9">
        <w:rPr>
          <w:rFonts w:asciiTheme="minorHAnsi" w:hAnsiTheme="minorHAnsi" w:cstheme="minorHAnsi"/>
          <w:sz w:val="24"/>
          <w:szCs w:val="24"/>
        </w:rPr>
        <w:t xml:space="preserve"> </w:t>
      </w:r>
      <w:r w:rsidR="007F44D4" w:rsidRPr="009E2C8C">
        <w:rPr>
          <w:rFonts w:asciiTheme="minorHAnsi" w:hAnsiTheme="minorHAnsi" w:cstheme="minorHAnsi"/>
          <w:sz w:val="24"/>
          <w:szCs w:val="24"/>
        </w:rPr>
        <w:t xml:space="preserve">may therefore closely integrate </w:t>
      </w:r>
      <w:r w:rsidR="00414034">
        <w:rPr>
          <w:rFonts w:asciiTheme="minorHAnsi" w:hAnsiTheme="minorHAnsi" w:cstheme="minorHAnsi"/>
          <w:sz w:val="24"/>
          <w:szCs w:val="24"/>
        </w:rPr>
        <w:t xml:space="preserve">a patient's previous history with renal function </w:t>
      </w:r>
      <w:r w:rsidR="00C91244">
        <w:rPr>
          <w:rFonts w:asciiTheme="minorHAnsi" w:hAnsiTheme="minorHAnsi" w:cstheme="minorHAnsi"/>
          <w:sz w:val="24"/>
          <w:szCs w:val="24"/>
        </w:rPr>
        <w:t xml:space="preserve">at AMI presentation. </w:t>
      </w:r>
      <w:r w:rsidR="00EA78E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C91244">
        <w:rPr>
          <w:rFonts w:asciiTheme="minorHAnsi" w:hAnsiTheme="minorHAnsi" w:cstheme="minorHAnsi"/>
          <w:sz w:val="24"/>
          <w:szCs w:val="24"/>
        </w:rPr>
        <w:t xml:space="preserve"> levels peaked at days 1 and 2 following chest pain onset, permitting an early assessment of risk.</w:t>
      </w:r>
    </w:p>
    <w:p w:rsidR="00C91244" w:rsidRDefault="00C91244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87644A" w:rsidRPr="00FD1AFB" w:rsidRDefault="00C91244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FD1AFB">
        <w:rPr>
          <w:rFonts w:asciiTheme="minorHAnsi" w:hAnsiTheme="minorHAnsi" w:cstheme="minorHAnsi"/>
          <w:sz w:val="24"/>
          <w:szCs w:val="24"/>
        </w:rPr>
        <w:t xml:space="preserve">During follow-up, </w:t>
      </w:r>
      <w:proofErr w:type="spellStart"/>
      <w:r w:rsidR="00576876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FD1AFB">
        <w:rPr>
          <w:rFonts w:asciiTheme="minorHAnsi" w:hAnsiTheme="minorHAnsi" w:cstheme="minorHAnsi"/>
          <w:sz w:val="24"/>
          <w:szCs w:val="24"/>
        </w:rPr>
        <w:t xml:space="preserve"> was associated with</w:t>
      </w:r>
      <w:r w:rsidR="00501E80" w:rsidRPr="00FD1AFB">
        <w:rPr>
          <w:rFonts w:asciiTheme="minorHAnsi" w:hAnsiTheme="minorHAnsi" w:cstheme="minorHAnsi"/>
          <w:sz w:val="24"/>
          <w:szCs w:val="24"/>
        </w:rPr>
        <w:t xml:space="preserve"> cardiovascular outcomes such as death, recurrent AMI and HF </w:t>
      </w:r>
      <w:proofErr w:type="spellStart"/>
      <w:r w:rsidR="00087AD8" w:rsidRPr="00FD1AFB">
        <w:rPr>
          <w:rFonts w:asciiTheme="minorHAnsi" w:hAnsiTheme="minorHAnsi" w:cstheme="minorHAnsi"/>
          <w:sz w:val="24"/>
          <w:szCs w:val="24"/>
        </w:rPr>
        <w:t>rehospitalization</w:t>
      </w:r>
      <w:proofErr w:type="spellEnd"/>
      <w:r w:rsidR="00501E80" w:rsidRPr="00FD1AFB">
        <w:rPr>
          <w:rFonts w:asciiTheme="minorHAnsi" w:hAnsiTheme="minorHAnsi" w:cstheme="minorHAnsi"/>
          <w:sz w:val="24"/>
          <w:szCs w:val="24"/>
        </w:rPr>
        <w:t xml:space="preserve">. Existing biomarkers such as </w:t>
      </w:r>
      <w:proofErr w:type="spellStart"/>
      <w:r w:rsidR="00501E80"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501E80" w:rsidRPr="00FD1AFB">
        <w:rPr>
          <w:rFonts w:asciiTheme="minorHAnsi" w:hAnsiTheme="minorHAnsi" w:cstheme="minorHAnsi"/>
          <w:sz w:val="24"/>
          <w:szCs w:val="24"/>
        </w:rPr>
        <w:t xml:space="preserve"> were mainly predictive of mortality and HF, with poorer </w:t>
      </w:r>
      <w:r w:rsidR="0087644A" w:rsidRPr="00FD1AFB">
        <w:rPr>
          <w:rFonts w:asciiTheme="minorHAnsi" w:hAnsiTheme="minorHAnsi" w:cstheme="minorHAnsi"/>
          <w:sz w:val="24"/>
          <w:szCs w:val="24"/>
        </w:rPr>
        <w:t xml:space="preserve">detection of death and/or </w:t>
      </w:r>
      <w:r w:rsidR="00501E80" w:rsidRPr="00FD1AFB">
        <w:rPr>
          <w:rFonts w:asciiTheme="minorHAnsi" w:hAnsiTheme="minorHAnsi" w:cstheme="minorHAnsi"/>
          <w:sz w:val="24"/>
          <w:szCs w:val="24"/>
        </w:rPr>
        <w:t>recurrent AMI.</w:t>
      </w:r>
      <w:r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="00EA78E9"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Pr="00FD1AFB">
        <w:rPr>
          <w:rFonts w:asciiTheme="minorHAnsi" w:hAnsiTheme="minorHAnsi" w:cstheme="minorHAnsi"/>
          <w:sz w:val="24"/>
          <w:szCs w:val="24"/>
        </w:rPr>
        <w:t xml:space="preserve">In contrast, </w:t>
      </w:r>
      <w:proofErr w:type="spellStart"/>
      <w:r w:rsidR="00576876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FD1AFB">
        <w:rPr>
          <w:rFonts w:asciiTheme="minorHAnsi" w:hAnsiTheme="minorHAnsi" w:cstheme="minorHAnsi"/>
          <w:sz w:val="24"/>
          <w:szCs w:val="24"/>
        </w:rPr>
        <w:t xml:space="preserve"> provided independent prognostic information for the composite of MACE, death and/or </w:t>
      </w:r>
      <w:r w:rsidR="008F7B12" w:rsidRPr="00FD1AFB">
        <w:rPr>
          <w:rFonts w:asciiTheme="minorHAnsi" w:hAnsiTheme="minorHAnsi" w:cstheme="minorHAnsi"/>
          <w:sz w:val="24"/>
          <w:szCs w:val="24"/>
        </w:rPr>
        <w:t>re-AMI</w:t>
      </w:r>
      <w:r w:rsidRPr="00FD1AFB">
        <w:rPr>
          <w:rFonts w:asciiTheme="minorHAnsi" w:hAnsiTheme="minorHAnsi" w:cstheme="minorHAnsi"/>
          <w:sz w:val="24"/>
          <w:szCs w:val="24"/>
        </w:rPr>
        <w:t>, and also death and/or HF.</w:t>
      </w:r>
      <w:r w:rsidR="00EA78E9"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="008C6CBD" w:rsidRPr="00FD1AFB">
        <w:rPr>
          <w:rFonts w:asciiTheme="minorHAnsi" w:hAnsiTheme="minorHAnsi" w:cstheme="minorHAnsi"/>
          <w:sz w:val="24"/>
          <w:szCs w:val="24"/>
        </w:rPr>
        <w:t xml:space="preserve">These analyses suggest that </w:t>
      </w:r>
      <w:r w:rsidR="00AC2D60" w:rsidRPr="00FD1AFB">
        <w:rPr>
          <w:rFonts w:asciiTheme="minorHAnsi" w:hAnsiTheme="minorHAnsi" w:cstheme="minorHAnsi"/>
          <w:sz w:val="24"/>
          <w:szCs w:val="24"/>
        </w:rPr>
        <w:t xml:space="preserve">SP may potentially </w:t>
      </w:r>
      <w:r w:rsidR="00EA78E9" w:rsidRPr="00FD1AFB">
        <w:rPr>
          <w:rFonts w:asciiTheme="minorHAnsi" w:hAnsiTheme="minorHAnsi" w:cstheme="minorHAnsi"/>
          <w:sz w:val="24"/>
          <w:szCs w:val="24"/>
        </w:rPr>
        <w:t xml:space="preserve">have a role in the </w:t>
      </w:r>
      <w:proofErr w:type="gramStart"/>
      <w:r w:rsidR="00EA78E9" w:rsidRPr="00FD1AFB">
        <w:rPr>
          <w:rFonts w:asciiTheme="minorHAnsi" w:hAnsiTheme="minorHAnsi" w:cstheme="minorHAnsi"/>
          <w:sz w:val="24"/>
          <w:szCs w:val="24"/>
        </w:rPr>
        <w:t xml:space="preserve">pathophysiology </w:t>
      </w:r>
      <w:r w:rsidR="00AC2D60"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="00EA78E9" w:rsidRPr="00FD1AFB">
        <w:rPr>
          <w:rFonts w:asciiTheme="minorHAnsi" w:hAnsiTheme="minorHAnsi" w:cstheme="minorHAnsi"/>
          <w:sz w:val="24"/>
          <w:szCs w:val="24"/>
        </w:rPr>
        <w:t>of</w:t>
      </w:r>
      <w:proofErr w:type="gramEnd"/>
      <w:r w:rsidR="00EA78E9" w:rsidRPr="00FD1AFB">
        <w:rPr>
          <w:rFonts w:asciiTheme="minorHAnsi" w:hAnsiTheme="minorHAnsi" w:cstheme="minorHAnsi"/>
          <w:sz w:val="24"/>
          <w:szCs w:val="24"/>
        </w:rPr>
        <w:t xml:space="preserve"> outcomes </w:t>
      </w:r>
      <w:r w:rsidR="00AC2D60" w:rsidRPr="00FD1AFB">
        <w:rPr>
          <w:rFonts w:asciiTheme="minorHAnsi" w:hAnsiTheme="minorHAnsi" w:cstheme="minorHAnsi"/>
          <w:sz w:val="24"/>
          <w:szCs w:val="24"/>
        </w:rPr>
        <w:t>post-AMI.</w:t>
      </w:r>
    </w:p>
    <w:p w:rsidR="008C6CBD" w:rsidRDefault="008C6CBD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97758A" w:rsidRPr="002863AE" w:rsidRDefault="00896E98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FD1AFB">
        <w:rPr>
          <w:rFonts w:asciiTheme="minorHAnsi" w:hAnsiTheme="minorHAnsi" w:cstheme="minorHAnsi"/>
          <w:sz w:val="24"/>
          <w:szCs w:val="24"/>
        </w:rPr>
        <w:t xml:space="preserve">Analysis of the increment in ROC AUC showed that addition of </w:t>
      </w:r>
      <w:proofErr w:type="spellStart"/>
      <w:r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FD1AFB">
        <w:rPr>
          <w:rFonts w:asciiTheme="minorHAnsi" w:hAnsiTheme="minorHAnsi" w:cstheme="minorHAnsi"/>
          <w:sz w:val="24"/>
          <w:szCs w:val="24"/>
        </w:rPr>
        <w:t xml:space="preserve"> had small effects on this area. However, it is recognised that such analyses are relatively insensitive to the addition of novel biomarkers (20)</w:t>
      </w:r>
      <w:r w:rsidR="00260D4C" w:rsidRPr="00FD1AFB">
        <w:rPr>
          <w:rFonts w:asciiTheme="minorHAnsi" w:hAnsiTheme="minorHAnsi" w:cstheme="minorHAnsi"/>
          <w:sz w:val="24"/>
          <w:szCs w:val="24"/>
        </w:rPr>
        <w:t xml:space="preserve"> and reclassification analyses</w:t>
      </w:r>
      <w:r w:rsidR="00644CA9" w:rsidRPr="00FD1AFB">
        <w:rPr>
          <w:rFonts w:asciiTheme="minorHAnsi" w:hAnsiTheme="minorHAnsi" w:cstheme="minorHAnsi"/>
          <w:sz w:val="24"/>
          <w:szCs w:val="24"/>
        </w:rPr>
        <w:t xml:space="preserve"> should also be performed</w:t>
      </w:r>
      <w:r w:rsidRPr="00FD1AFB">
        <w:rPr>
          <w:rFonts w:asciiTheme="minorHAnsi" w:hAnsiTheme="minorHAnsi" w:cstheme="minorHAnsi"/>
          <w:sz w:val="24"/>
          <w:szCs w:val="24"/>
        </w:rPr>
        <w:t xml:space="preserve">.  </w:t>
      </w:r>
      <w:r w:rsidR="0056179B" w:rsidRPr="00FD1AFB">
        <w:rPr>
          <w:rFonts w:asciiTheme="minorHAnsi" w:hAnsiTheme="minorHAnsi" w:cstheme="minorHAnsi"/>
          <w:sz w:val="24"/>
          <w:szCs w:val="24"/>
        </w:rPr>
        <w:t xml:space="preserve">For example, </w:t>
      </w:r>
      <w:proofErr w:type="spellStart"/>
      <w:r w:rsidR="0056179B" w:rsidRPr="00FD1AFB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="0056179B" w:rsidRPr="00FD1AFB">
        <w:rPr>
          <w:rFonts w:asciiTheme="minorHAnsi" w:hAnsiTheme="minorHAnsi" w:cstheme="minorHAnsi"/>
          <w:sz w:val="24"/>
          <w:szCs w:val="24"/>
        </w:rPr>
        <w:t xml:space="preserve"> demonstrated a small non-significant increase in ROC AUC, whereas it showed added value in reclassification analyses for both up and down classifying risk in those with MACE, death and/or MI and death and/or HF.  </w:t>
      </w:r>
      <w:r w:rsidR="00F67FE6" w:rsidRPr="00FD1AFB">
        <w:rPr>
          <w:rFonts w:asciiTheme="minorHAnsi" w:hAnsiTheme="minorHAnsi" w:cstheme="minorHAnsi"/>
          <w:sz w:val="24"/>
          <w:szCs w:val="24"/>
        </w:rPr>
        <w:t xml:space="preserve">In reclassification analysis, </w:t>
      </w:r>
      <w:proofErr w:type="spellStart"/>
      <w:r w:rsidR="00576876" w:rsidRPr="00FD1AFB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F67FE6" w:rsidRPr="00FD1AFB">
        <w:rPr>
          <w:rFonts w:asciiTheme="minorHAnsi" w:hAnsiTheme="minorHAnsi" w:cstheme="minorHAnsi"/>
          <w:sz w:val="24"/>
          <w:szCs w:val="24"/>
        </w:rPr>
        <w:t xml:space="preserve"> </w:t>
      </w:r>
      <w:r w:rsidR="00F67FE6" w:rsidRPr="00FD1AFB">
        <w:rPr>
          <w:rFonts w:asciiTheme="minorHAnsi" w:hAnsiTheme="minorHAnsi" w:cstheme="minorHAnsi"/>
          <w:sz w:val="24"/>
          <w:szCs w:val="24"/>
        </w:rPr>
        <w:lastRenderedPageBreak/>
        <w:t>demonstrated additional utility to the GRACE score, used as a standard risk classification tool in AMI, mainly by down</w:t>
      </w:r>
      <w:r w:rsidR="00AC2D60" w:rsidRPr="00FD1AFB">
        <w:rPr>
          <w:rFonts w:asciiTheme="minorHAnsi" w:hAnsiTheme="minorHAnsi" w:cstheme="minorHAnsi"/>
          <w:sz w:val="24"/>
          <w:szCs w:val="24"/>
        </w:rPr>
        <w:t>-</w:t>
      </w:r>
      <w:r w:rsidR="00F67FE6" w:rsidRPr="00FD1AFB">
        <w:rPr>
          <w:rFonts w:asciiTheme="minorHAnsi" w:hAnsiTheme="minorHAnsi" w:cstheme="minorHAnsi"/>
          <w:sz w:val="24"/>
          <w:szCs w:val="24"/>
        </w:rPr>
        <w:t xml:space="preserve">classifying risk in those without endpoints. Such a biomarker </w:t>
      </w:r>
      <w:r w:rsidR="00F67FE6" w:rsidRPr="002863AE">
        <w:rPr>
          <w:rFonts w:asciiTheme="minorHAnsi" w:hAnsiTheme="minorHAnsi" w:cstheme="minorHAnsi"/>
          <w:sz w:val="24"/>
          <w:szCs w:val="24"/>
        </w:rPr>
        <w:t>would be especially useful in detecting patients with low risk, and this was confi</w:t>
      </w:r>
      <w:r w:rsidR="00E31A1F" w:rsidRPr="002863AE">
        <w:rPr>
          <w:rFonts w:asciiTheme="minorHAnsi" w:hAnsiTheme="minorHAnsi" w:cstheme="minorHAnsi"/>
          <w:sz w:val="24"/>
          <w:szCs w:val="24"/>
        </w:rPr>
        <w:t>rmed on decision tree analysis.</w:t>
      </w:r>
      <w:r w:rsidR="00644CA9" w:rsidRPr="002863AE">
        <w:rPr>
          <w:rFonts w:asciiTheme="minorHAnsi" w:hAnsiTheme="minorHAnsi" w:cstheme="minorHAnsi"/>
          <w:sz w:val="24"/>
          <w:szCs w:val="24"/>
        </w:rPr>
        <w:t xml:space="preserve"> </w:t>
      </w:r>
      <w:r w:rsidR="00E31A1F" w:rsidRPr="002863AE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576876" w:rsidRPr="002863AE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E31A1F" w:rsidRPr="002863AE">
        <w:rPr>
          <w:rFonts w:asciiTheme="minorHAnsi" w:hAnsiTheme="minorHAnsi" w:cstheme="minorHAnsi"/>
          <w:sz w:val="24"/>
          <w:szCs w:val="24"/>
        </w:rPr>
        <w:t xml:space="preserve"> levels</w:t>
      </w:r>
      <w:r w:rsidR="00644CA9" w:rsidRPr="002863AE">
        <w:rPr>
          <w:rFonts w:asciiTheme="minorHAnsi" w:hAnsiTheme="minorHAnsi" w:cstheme="minorHAnsi"/>
          <w:sz w:val="24"/>
          <w:szCs w:val="24"/>
        </w:rPr>
        <w:t xml:space="preserve"> </w:t>
      </w:r>
      <w:r w:rsidR="0097758A" w:rsidRPr="002863AE">
        <w:rPr>
          <w:rFonts w:asciiTheme="minorHAnsi" w:hAnsiTheme="minorHAnsi" w:cstheme="minorHAnsi"/>
          <w:sz w:val="24"/>
          <w:szCs w:val="24"/>
        </w:rPr>
        <w:t xml:space="preserve">under </w:t>
      </w:r>
      <w:r w:rsidR="00E31A1F" w:rsidRPr="002863AE">
        <w:rPr>
          <w:rFonts w:asciiTheme="minorHAnsi" w:hAnsiTheme="minorHAnsi" w:cstheme="minorHAnsi"/>
          <w:sz w:val="24"/>
          <w:szCs w:val="24"/>
        </w:rPr>
        <w:t>72.1</w:t>
      </w:r>
      <w:r w:rsidR="0097758A" w:rsidRPr="002863AE">
        <w:rPr>
          <w:rFonts w:asciiTheme="minorHAnsi" w:hAnsiTheme="minorHAnsi" w:cstheme="minorHAnsi"/>
          <w:sz w:val="24"/>
          <w:szCs w:val="24"/>
        </w:rPr>
        <w:t xml:space="preserve">pmol/L may also define a low-risk group of patients, who potentially could be discharged from hospital earlier. </w:t>
      </w:r>
      <w:r w:rsidR="00AC2D60" w:rsidRPr="002863AE">
        <w:rPr>
          <w:rFonts w:asciiTheme="minorHAnsi" w:hAnsiTheme="minorHAnsi" w:cstheme="minorHAnsi"/>
          <w:sz w:val="24"/>
          <w:szCs w:val="24"/>
        </w:rPr>
        <w:t xml:space="preserve">The event rates in this group </w:t>
      </w:r>
      <w:r w:rsidR="0098223B" w:rsidRPr="002863AE">
        <w:rPr>
          <w:rFonts w:asciiTheme="minorHAnsi" w:hAnsiTheme="minorHAnsi" w:cstheme="minorHAnsi"/>
          <w:sz w:val="24"/>
          <w:szCs w:val="24"/>
        </w:rPr>
        <w:t xml:space="preserve">were </w:t>
      </w:r>
      <w:r w:rsidR="00AC2D60" w:rsidRPr="002863AE">
        <w:rPr>
          <w:rFonts w:asciiTheme="minorHAnsi" w:hAnsiTheme="minorHAnsi" w:cstheme="minorHAnsi"/>
          <w:sz w:val="24"/>
          <w:szCs w:val="24"/>
        </w:rPr>
        <w:t xml:space="preserve">very low during follow-up with only 3 deaths </w:t>
      </w:r>
      <w:r w:rsidR="003D4772" w:rsidRPr="002863AE">
        <w:rPr>
          <w:rFonts w:asciiTheme="minorHAnsi" w:hAnsiTheme="minorHAnsi" w:cstheme="minorHAnsi"/>
          <w:sz w:val="24"/>
          <w:szCs w:val="24"/>
        </w:rPr>
        <w:t xml:space="preserve">(0.26%) </w:t>
      </w:r>
      <w:r w:rsidR="00AC2D60" w:rsidRPr="002863AE">
        <w:rPr>
          <w:rFonts w:asciiTheme="minorHAnsi" w:hAnsiTheme="minorHAnsi" w:cstheme="minorHAnsi"/>
          <w:sz w:val="24"/>
          <w:szCs w:val="24"/>
        </w:rPr>
        <w:t>by 6 months.</w:t>
      </w:r>
      <w:r w:rsidR="00644CA9" w:rsidRPr="002863AE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06427D" w:rsidRPr="0056179B" w:rsidRDefault="0006427D" w:rsidP="004C1DEE">
      <w:pPr>
        <w:pStyle w:val="NoSpacing"/>
        <w:spacing w:line="480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p w:rsidR="00644CA9" w:rsidRPr="002863AE" w:rsidRDefault="00644CA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  <w:vertAlign w:val="subscript"/>
        </w:rPr>
      </w:pPr>
      <w:r w:rsidRPr="002863AE">
        <w:rPr>
          <w:rFonts w:asciiTheme="minorHAnsi" w:hAnsiTheme="minorHAnsi" w:cstheme="minorHAnsi"/>
          <w:sz w:val="24"/>
          <w:szCs w:val="24"/>
        </w:rPr>
        <w:t xml:space="preserve">Reclassification analyses also suggested that </w:t>
      </w:r>
      <w:proofErr w:type="spellStart"/>
      <w:r w:rsidRPr="002863AE">
        <w:rPr>
          <w:rFonts w:asciiTheme="minorHAnsi" w:hAnsiTheme="minorHAnsi" w:cstheme="minorHAnsi"/>
          <w:sz w:val="24"/>
          <w:szCs w:val="24"/>
        </w:rPr>
        <w:t>NTproBNP</w:t>
      </w:r>
      <w:proofErr w:type="spellEnd"/>
      <w:r w:rsidRPr="002863AE">
        <w:rPr>
          <w:rFonts w:asciiTheme="minorHAnsi" w:hAnsiTheme="minorHAnsi" w:cstheme="minorHAnsi"/>
          <w:sz w:val="24"/>
          <w:szCs w:val="24"/>
        </w:rPr>
        <w:t xml:space="preserve"> could up or </w:t>
      </w:r>
      <w:proofErr w:type="spellStart"/>
      <w:r w:rsidRPr="002863AE">
        <w:rPr>
          <w:rFonts w:asciiTheme="minorHAnsi" w:hAnsiTheme="minorHAnsi" w:cstheme="minorHAnsi"/>
          <w:sz w:val="24"/>
          <w:szCs w:val="24"/>
        </w:rPr>
        <w:t>downclassify</w:t>
      </w:r>
      <w:proofErr w:type="spellEnd"/>
      <w:r w:rsidRPr="002863AE">
        <w:rPr>
          <w:rFonts w:asciiTheme="minorHAnsi" w:hAnsiTheme="minorHAnsi" w:cstheme="minorHAnsi"/>
          <w:sz w:val="24"/>
          <w:szCs w:val="24"/>
        </w:rPr>
        <w:t xml:space="preserve"> risk in those assessed with the GRACE score, and that </w:t>
      </w:r>
      <w:proofErr w:type="spellStart"/>
      <w:r w:rsidRPr="002863AE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2863AE">
        <w:rPr>
          <w:rFonts w:asciiTheme="minorHAnsi" w:hAnsiTheme="minorHAnsi" w:cstheme="minorHAnsi"/>
          <w:sz w:val="24"/>
          <w:szCs w:val="24"/>
        </w:rPr>
        <w:t xml:space="preserve"> only showed added value for the </w:t>
      </w:r>
      <w:r w:rsidR="002863AE" w:rsidRPr="002863AE">
        <w:rPr>
          <w:rFonts w:asciiTheme="minorHAnsi" w:hAnsiTheme="minorHAnsi" w:cstheme="minorHAnsi"/>
          <w:sz w:val="24"/>
          <w:szCs w:val="24"/>
        </w:rPr>
        <w:t xml:space="preserve">MACE and </w:t>
      </w:r>
      <w:r w:rsidRPr="002863AE">
        <w:rPr>
          <w:rFonts w:asciiTheme="minorHAnsi" w:hAnsiTheme="minorHAnsi" w:cstheme="minorHAnsi"/>
          <w:sz w:val="24"/>
          <w:szCs w:val="24"/>
        </w:rPr>
        <w:t>death and/or MI endpoint</w:t>
      </w:r>
      <w:r w:rsidR="002863AE" w:rsidRPr="002863AE">
        <w:rPr>
          <w:rFonts w:asciiTheme="minorHAnsi" w:hAnsiTheme="minorHAnsi" w:cstheme="minorHAnsi"/>
          <w:sz w:val="24"/>
          <w:szCs w:val="24"/>
        </w:rPr>
        <w:t>s</w:t>
      </w:r>
      <w:r w:rsidRPr="002863AE">
        <w:rPr>
          <w:rFonts w:asciiTheme="minorHAnsi" w:hAnsiTheme="minorHAnsi" w:cstheme="minorHAnsi"/>
          <w:sz w:val="24"/>
          <w:szCs w:val="24"/>
        </w:rPr>
        <w:t xml:space="preserve"> and not the death and/or HF endpoint.  However, since the GRACE score was derived mainly for prediction of death and/or MI, this could be a limitation when including HF as an endpoint. </w:t>
      </w:r>
    </w:p>
    <w:p w:rsidR="0006427D" w:rsidRDefault="0006427D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EE278E" w:rsidRPr="0060015F" w:rsidRDefault="00AE2C76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Association of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with poor outcomes may reflect </w:t>
      </w:r>
      <w:r w:rsidR="0060015F">
        <w:rPr>
          <w:rFonts w:asciiTheme="minorHAnsi" w:hAnsiTheme="minorHAnsi" w:cstheme="minorHAnsi"/>
          <w:sz w:val="24"/>
          <w:szCs w:val="24"/>
        </w:rPr>
        <w:t>some of the known effects of SP on physiology</w:t>
      </w:r>
      <w:r w:rsidR="00167249">
        <w:rPr>
          <w:rFonts w:asciiTheme="minorHAnsi" w:hAnsiTheme="minorHAnsi" w:cstheme="minorHAnsi"/>
          <w:sz w:val="24"/>
          <w:szCs w:val="24"/>
        </w:rPr>
        <w:t xml:space="preserve"> and pathophysiology</w:t>
      </w:r>
      <w:r w:rsidR="0060015F">
        <w:rPr>
          <w:rFonts w:asciiTheme="minorHAnsi" w:hAnsiTheme="minorHAnsi" w:cstheme="minorHAnsi"/>
          <w:sz w:val="24"/>
          <w:szCs w:val="24"/>
        </w:rPr>
        <w:t>.  The association with heart failure rehospitalisation could be due to t</w:t>
      </w:r>
      <w:r>
        <w:rPr>
          <w:rFonts w:asciiTheme="minorHAnsi" w:hAnsiTheme="minorHAnsi" w:cstheme="minorHAnsi"/>
          <w:sz w:val="24"/>
          <w:szCs w:val="24"/>
        </w:rPr>
        <w:t xml:space="preserve">he </w:t>
      </w:r>
      <w:r w:rsidR="0060015F">
        <w:rPr>
          <w:rFonts w:asciiTheme="minorHAnsi" w:hAnsiTheme="minorHAnsi" w:cstheme="minorHAnsi"/>
          <w:sz w:val="24"/>
          <w:szCs w:val="24"/>
        </w:rPr>
        <w:t xml:space="preserve">known </w:t>
      </w:r>
      <w:r>
        <w:rPr>
          <w:rFonts w:asciiTheme="minorHAnsi" w:hAnsiTheme="minorHAnsi" w:cstheme="minorHAnsi"/>
          <w:sz w:val="24"/>
          <w:szCs w:val="24"/>
        </w:rPr>
        <w:t xml:space="preserve">negative inotropic and </w:t>
      </w:r>
      <w:proofErr w:type="spellStart"/>
      <w:r>
        <w:rPr>
          <w:rFonts w:asciiTheme="minorHAnsi" w:hAnsiTheme="minorHAnsi" w:cstheme="minorHAnsi"/>
          <w:sz w:val="24"/>
          <w:szCs w:val="24"/>
        </w:rPr>
        <w:t>lusitropic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effects of SP </w:t>
      </w:r>
      <w:r w:rsidR="0060015F">
        <w:rPr>
          <w:rFonts w:asciiTheme="minorHAnsi" w:hAnsiTheme="minorHAnsi" w:cstheme="minorHAnsi"/>
          <w:sz w:val="24"/>
          <w:szCs w:val="24"/>
        </w:rPr>
        <w:t xml:space="preserve">which have been demonstrated </w:t>
      </w:r>
      <w:r>
        <w:rPr>
          <w:rFonts w:asciiTheme="minorHAnsi" w:hAnsiTheme="minorHAnsi" w:cstheme="minorHAnsi"/>
          <w:sz w:val="24"/>
          <w:szCs w:val="24"/>
        </w:rPr>
        <w:t>in animal models of AMI (4</w:t>
      </w:r>
      <w:proofErr w:type="gramStart"/>
      <w:r>
        <w:rPr>
          <w:rFonts w:asciiTheme="minorHAnsi" w:hAnsiTheme="minorHAnsi" w:cstheme="minorHAnsi"/>
          <w:sz w:val="24"/>
          <w:szCs w:val="24"/>
        </w:rPr>
        <w:t>,5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). </w:t>
      </w:r>
      <w:r w:rsidR="00EE278E">
        <w:rPr>
          <w:rFonts w:asciiTheme="minorHAnsi" w:hAnsiTheme="minorHAnsi" w:cstheme="minorHAnsi"/>
          <w:sz w:val="24"/>
          <w:szCs w:val="24"/>
        </w:rPr>
        <w:t xml:space="preserve">SP is expressed </w:t>
      </w:r>
      <w:r w:rsidR="00E912B0">
        <w:rPr>
          <w:rFonts w:asciiTheme="minorHAnsi" w:hAnsiTheme="minorHAnsi" w:cstheme="minorHAnsi"/>
          <w:sz w:val="24"/>
          <w:szCs w:val="24"/>
        </w:rPr>
        <w:t>in monocytes and macrophages (2</w:t>
      </w:r>
      <w:r w:rsidR="0006427D">
        <w:rPr>
          <w:rFonts w:asciiTheme="minorHAnsi" w:hAnsiTheme="minorHAnsi" w:cstheme="minorHAnsi"/>
          <w:sz w:val="24"/>
          <w:szCs w:val="24"/>
        </w:rPr>
        <w:t>1</w:t>
      </w:r>
      <w:r w:rsidR="00EE278E">
        <w:rPr>
          <w:rFonts w:asciiTheme="minorHAnsi" w:hAnsiTheme="minorHAnsi" w:cstheme="minorHAnsi"/>
          <w:sz w:val="24"/>
          <w:szCs w:val="24"/>
        </w:rPr>
        <w:t>), may play a role in inflammation (2</w:t>
      </w:r>
      <w:r w:rsidR="0006427D">
        <w:rPr>
          <w:rFonts w:asciiTheme="minorHAnsi" w:hAnsiTheme="minorHAnsi" w:cstheme="minorHAnsi"/>
          <w:sz w:val="24"/>
          <w:szCs w:val="24"/>
        </w:rPr>
        <w:t>2</w:t>
      </w:r>
      <w:r w:rsidR="00EE278E">
        <w:rPr>
          <w:rFonts w:asciiTheme="minorHAnsi" w:hAnsiTheme="minorHAnsi" w:cstheme="minorHAnsi"/>
          <w:sz w:val="24"/>
          <w:szCs w:val="24"/>
        </w:rPr>
        <w:t xml:space="preserve">) and leukocyte </w:t>
      </w:r>
      <w:proofErr w:type="spellStart"/>
      <w:r w:rsidR="00EE278E">
        <w:rPr>
          <w:rFonts w:asciiTheme="minorHAnsi" w:hAnsiTheme="minorHAnsi" w:cstheme="minorHAnsi"/>
          <w:sz w:val="24"/>
          <w:szCs w:val="24"/>
        </w:rPr>
        <w:t>chemotaxis</w:t>
      </w:r>
      <w:proofErr w:type="spellEnd"/>
      <w:r w:rsidR="00EE278E">
        <w:rPr>
          <w:rFonts w:asciiTheme="minorHAnsi" w:hAnsiTheme="minorHAnsi" w:cstheme="minorHAnsi"/>
          <w:sz w:val="24"/>
          <w:szCs w:val="24"/>
        </w:rPr>
        <w:t xml:space="preserve"> and egress from vessels (1</w:t>
      </w:r>
      <w:proofErr w:type="gramStart"/>
      <w:r w:rsidR="00EE278E">
        <w:rPr>
          <w:rFonts w:asciiTheme="minorHAnsi" w:hAnsiTheme="minorHAnsi" w:cstheme="minorHAnsi"/>
          <w:sz w:val="24"/>
          <w:szCs w:val="24"/>
        </w:rPr>
        <w:t>,2</w:t>
      </w:r>
      <w:proofErr w:type="gramEnd"/>
      <w:r w:rsidR="00EE278E">
        <w:rPr>
          <w:rFonts w:asciiTheme="minorHAnsi" w:hAnsiTheme="minorHAnsi" w:cstheme="minorHAnsi"/>
          <w:sz w:val="24"/>
          <w:szCs w:val="24"/>
        </w:rPr>
        <w:t xml:space="preserve">), which may </w:t>
      </w:r>
      <w:r w:rsidR="0060015F">
        <w:rPr>
          <w:rFonts w:asciiTheme="minorHAnsi" w:hAnsiTheme="minorHAnsi" w:cstheme="minorHAnsi"/>
          <w:sz w:val="24"/>
          <w:szCs w:val="24"/>
        </w:rPr>
        <w:t xml:space="preserve">also </w:t>
      </w:r>
      <w:r w:rsidR="00EE278E">
        <w:rPr>
          <w:rFonts w:asciiTheme="minorHAnsi" w:hAnsiTheme="minorHAnsi" w:cstheme="minorHAnsi"/>
          <w:sz w:val="24"/>
          <w:szCs w:val="24"/>
        </w:rPr>
        <w:t xml:space="preserve">affect myocardial function. </w:t>
      </w:r>
      <w:r w:rsidR="0060015F">
        <w:rPr>
          <w:rFonts w:asciiTheme="minorHAnsi" w:hAnsiTheme="minorHAnsi" w:cstheme="minorHAnsi"/>
          <w:sz w:val="24"/>
          <w:szCs w:val="24"/>
        </w:rPr>
        <w:t>Recent e</w:t>
      </w:r>
      <w:r w:rsidR="00EE278E">
        <w:rPr>
          <w:rFonts w:asciiTheme="minorHAnsi" w:hAnsiTheme="minorHAnsi" w:cstheme="minorHAnsi"/>
          <w:sz w:val="24"/>
          <w:szCs w:val="24"/>
        </w:rPr>
        <w:t xml:space="preserve">merging evidence suggests SP is a mast cell </w:t>
      </w:r>
      <w:proofErr w:type="spellStart"/>
      <w:r w:rsidR="00EE278E">
        <w:rPr>
          <w:rFonts w:asciiTheme="minorHAnsi" w:hAnsiTheme="minorHAnsi" w:cstheme="minorHAnsi"/>
          <w:sz w:val="24"/>
          <w:szCs w:val="24"/>
        </w:rPr>
        <w:t>secretagogue</w:t>
      </w:r>
      <w:proofErr w:type="spellEnd"/>
      <w:r w:rsidR="00EE278E">
        <w:rPr>
          <w:rFonts w:asciiTheme="minorHAnsi" w:hAnsiTheme="minorHAnsi" w:cstheme="minorHAnsi"/>
          <w:sz w:val="24"/>
          <w:szCs w:val="24"/>
        </w:rPr>
        <w:t xml:space="preserve"> via the NK1 receptor, and mast cells may play a role in adverse remodelling (2</w:t>
      </w:r>
      <w:r w:rsidR="0006427D">
        <w:rPr>
          <w:rFonts w:asciiTheme="minorHAnsi" w:hAnsiTheme="minorHAnsi" w:cstheme="minorHAnsi"/>
          <w:sz w:val="24"/>
          <w:szCs w:val="24"/>
        </w:rPr>
        <w:t>3</w:t>
      </w:r>
      <w:proofErr w:type="gramStart"/>
      <w:r w:rsidR="00EE278E">
        <w:rPr>
          <w:rFonts w:asciiTheme="minorHAnsi" w:hAnsiTheme="minorHAnsi" w:cstheme="minorHAnsi"/>
          <w:sz w:val="24"/>
          <w:szCs w:val="24"/>
        </w:rPr>
        <w:t>,2</w:t>
      </w:r>
      <w:r w:rsidR="0006427D">
        <w:rPr>
          <w:rFonts w:asciiTheme="minorHAnsi" w:hAnsiTheme="minorHAnsi" w:cstheme="minorHAnsi"/>
          <w:sz w:val="24"/>
          <w:szCs w:val="24"/>
        </w:rPr>
        <w:t>4</w:t>
      </w:r>
      <w:proofErr w:type="gramEnd"/>
      <w:r w:rsidR="00EE278E">
        <w:rPr>
          <w:rFonts w:asciiTheme="minorHAnsi" w:hAnsiTheme="minorHAnsi" w:cstheme="minorHAnsi"/>
          <w:sz w:val="24"/>
          <w:szCs w:val="24"/>
        </w:rPr>
        <w:t xml:space="preserve">). In animal models of </w:t>
      </w:r>
      <w:r w:rsidR="005E0FCC">
        <w:rPr>
          <w:rFonts w:asciiTheme="minorHAnsi" w:hAnsiTheme="minorHAnsi" w:cstheme="minorHAnsi"/>
          <w:sz w:val="24"/>
          <w:szCs w:val="24"/>
        </w:rPr>
        <w:t>remodelling from volume overload</w:t>
      </w:r>
      <w:r w:rsidR="00EE278E">
        <w:rPr>
          <w:rFonts w:asciiTheme="minorHAnsi" w:hAnsiTheme="minorHAnsi" w:cstheme="minorHAnsi"/>
          <w:sz w:val="24"/>
          <w:szCs w:val="24"/>
        </w:rPr>
        <w:t>, NK1 antagonists prevent</w:t>
      </w:r>
      <w:r w:rsidR="005E0FCC">
        <w:rPr>
          <w:rFonts w:asciiTheme="minorHAnsi" w:hAnsiTheme="minorHAnsi" w:cstheme="minorHAnsi"/>
          <w:sz w:val="24"/>
          <w:szCs w:val="24"/>
        </w:rPr>
        <w:t>ed</w:t>
      </w:r>
      <w:r w:rsidR="00EE278E">
        <w:rPr>
          <w:rFonts w:asciiTheme="minorHAnsi" w:hAnsiTheme="minorHAnsi" w:cstheme="minorHAnsi"/>
          <w:sz w:val="24"/>
          <w:szCs w:val="24"/>
        </w:rPr>
        <w:t xml:space="preserve"> an increase in mast cell density</w:t>
      </w:r>
      <w:r w:rsidR="005E0FCC">
        <w:rPr>
          <w:rFonts w:asciiTheme="minorHAnsi" w:hAnsiTheme="minorHAnsi" w:cstheme="minorHAnsi"/>
          <w:sz w:val="24"/>
          <w:szCs w:val="24"/>
        </w:rPr>
        <w:t xml:space="preserve"> and myocardial </w:t>
      </w:r>
      <w:r w:rsidR="005E0FCC" w:rsidRPr="00B51AE9">
        <w:rPr>
          <w:rFonts w:asciiTheme="minorHAnsi" w:hAnsiTheme="minorHAnsi"/>
          <w:sz w:val="24"/>
          <w:szCs w:val="24"/>
        </w:rPr>
        <w:t>TNF-α</w:t>
      </w:r>
      <w:r w:rsidR="005E0FCC">
        <w:rPr>
          <w:rFonts w:asciiTheme="minorHAnsi" w:hAnsiTheme="minorHAnsi"/>
          <w:sz w:val="24"/>
          <w:szCs w:val="24"/>
        </w:rPr>
        <w:t xml:space="preserve"> (2</w:t>
      </w:r>
      <w:r w:rsidR="0006427D">
        <w:rPr>
          <w:rFonts w:asciiTheme="minorHAnsi" w:hAnsiTheme="minorHAnsi"/>
          <w:sz w:val="24"/>
          <w:szCs w:val="24"/>
        </w:rPr>
        <w:t>3</w:t>
      </w:r>
      <w:r w:rsidR="005E0FCC">
        <w:rPr>
          <w:rFonts w:asciiTheme="minorHAnsi" w:hAnsiTheme="minorHAnsi"/>
          <w:sz w:val="24"/>
          <w:szCs w:val="24"/>
        </w:rPr>
        <w:t>) and remodelling was also reduced in TAC1 gene knockout mice.</w:t>
      </w:r>
      <w:r w:rsidR="00DF1427">
        <w:rPr>
          <w:rFonts w:asciiTheme="minorHAnsi" w:hAnsiTheme="minorHAnsi"/>
          <w:sz w:val="24"/>
          <w:szCs w:val="24"/>
        </w:rPr>
        <w:t xml:space="preserve"> Mast cells are </w:t>
      </w:r>
      <w:proofErr w:type="spellStart"/>
      <w:r w:rsidR="00DF1427">
        <w:rPr>
          <w:rFonts w:asciiTheme="minorHAnsi" w:hAnsiTheme="minorHAnsi"/>
          <w:sz w:val="24"/>
          <w:szCs w:val="24"/>
        </w:rPr>
        <w:lastRenderedPageBreak/>
        <w:t>colocalised</w:t>
      </w:r>
      <w:proofErr w:type="spellEnd"/>
      <w:r w:rsidR="00DF1427">
        <w:rPr>
          <w:rFonts w:asciiTheme="minorHAnsi" w:hAnsiTheme="minorHAnsi"/>
          <w:sz w:val="24"/>
          <w:szCs w:val="24"/>
        </w:rPr>
        <w:t xml:space="preserve"> with cardiac nerves (2</w:t>
      </w:r>
      <w:r w:rsidR="0006427D">
        <w:rPr>
          <w:rFonts w:asciiTheme="minorHAnsi" w:hAnsiTheme="minorHAnsi"/>
          <w:sz w:val="24"/>
          <w:szCs w:val="24"/>
        </w:rPr>
        <w:t>4</w:t>
      </w:r>
      <w:r w:rsidR="00DF1427">
        <w:rPr>
          <w:rFonts w:asciiTheme="minorHAnsi" w:hAnsiTheme="minorHAnsi"/>
          <w:sz w:val="24"/>
          <w:szCs w:val="24"/>
        </w:rPr>
        <w:t xml:space="preserve">) and secrete proteases to activate collagenases and </w:t>
      </w:r>
      <w:proofErr w:type="spellStart"/>
      <w:r w:rsidR="00DF1427">
        <w:rPr>
          <w:rFonts w:asciiTheme="minorHAnsi" w:hAnsiTheme="minorHAnsi"/>
          <w:sz w:val="24"/>
          <w:szCs w:val="24"/>
        </w:rPr>
        <w:t>gelatinases</w:t>
      </w:r>
      <w:proofErr w:type="spellEnd"/>
      <w:r w:rsidR="00DF1427">
        <w:rPr>
          <w:rFonts w:asciiTheme="minorHAnsi" w:hAnsiTheme="minorHAnsi"/>
          <w:sz w:val="24"/>
          <w:szCs w:val="24"/>
        </w:rPr>
        <w:t>, the putative mediators of remodelling.</w:t>
      </w:r>
      <w:r w:rsidR="00467226">
        <w:rPr>
          <w:rFonts w:asciiTheme="minorHAnsi" w:hAnsiTheme="minorHAnsi"/>
          <w:sz w:val="24"/>
          <w:szCs w:val="24"/>
        </w:rPr>
        <w:t xml:space="preserve"> Furthermore, mast cells secrete stored renin, resulting in local activation of the renin-angiotensin system (9).</w:t>
      </w:r>
    </w:p>
    <w:p w:rsidR="005E0FCC" w:rsidRDefault="005E0FCC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60015F" w:rsidRPr="00B51AE9" w:rsidRDefault="0060015F" w:rsidP="004C1DEE">
      <w:pPr>
        <w:pStyle w:val="HTMLPreformatted"/>
        <w:spacing w:line="480" w:lineRule="auto"/>
        <w:rPr>
          <w:rFonts w:asciiTheme="minorHAnsi" w:hAnsiTheme="minorHAnsi"/>
          <w:sz w:val="24"/>
          <w:szCs w:val="24"/>
        </w:rPr>
      </w:pPr>
      <w:r w:rsidRPr="004261A3">
        <w:rPr>
          <w:rFonts w:asciiTheme="minorHAnsi" w:hAnsiTheme="minorHAnsi" w:cstheme="minorHAnsi"/>
          <w:sz w:val="24"/>
          <w:szCs w:val="24"/>
        </w:rPr>
        <w:t xml:space="preserve">The association of SP with readmission with </w:t>
      </w:r>
      <w:r w:rsidR="008F7B12">
        <w:rPr>
          <w:rFonts w:asciiTheme="minorHAnsi" w:hAnsiTheme="minorHAnsi" w:cstheme="minorHAnsi"/>
          <w:sz w:val="24"/>
          <w:szCs w:val="24"/>
        </w:rPr>
        <w:t>A</w:t>
      </w:r>
      <w:r w:rsidRPr="004261A3">
        <w:rPr>
          <w:rFonts w:asciiTheme="minorHAnsi" w:hAnsiTheme="minorHAnsi" w:cstheme="minorHAnsi"/>
          <w:sz w:val="24"/>
          <w:szCs w:val="24"/>
        </w:rPr>
        <w:t>MI may be due to effects of SP on platelet aggregation (6</w:t>
      </w:r>
      <w:proofErr w:type="gramStart"/>
      <w:r w:rsidRPr="004261A3">
        <w:rPr>
          <w:rFonts w:asciiTheme="minorHAnsi" w:hAnsiTheme="minorHAnsi" w:cstheme="minorHAnsi"/>
          <w:sz w:val="24"/>
          <w:szCs w:val="24"/>
        </w:rPr>
        <w:t>,2</w:t>
      </w:r>
      <w:r w:rsidR="0006427D">
        <w:rPr>
          <w:rFonts w:asciiTheme="minorHAnsi" w:hAnsiTheme="minorHAnsi" w:cstheme="minorHAnsi"/>
          <w:sz w:val="24"/>
          <w:szCs w:val="24"/>
        </w:rPr>
        <w:t>5</w:t>
      </w:r>
      <w:proofErr w:type="gramEnd"/>
      <w:r w:rsidRPr="004261A3">
        <w:rPr>
          <w:rFonts w:asciiTheme="minorHAnsi" w:hAnsiTheme="minorHAnsi" w:cstheme="minorHAnsi"/>
          <w:sz w:val="24"/>
          <w:szCs w:val="24"/>
        </w:rPr>
        <w:t xml:space="preserve">). </w:t>
      </w:r>
      <w:proofErr w:type="spellStart"/>
      <w:r w:rsidRPr="004261A3">
        <w:rPr>
          <w:rFonts w:asciiTheme="minorHAnsi" w:hAnsiTheme="minorHAnsi"/>
          <w:sz w:val="24"/>
          <w:szCs w:val="24"/>
        </w:rPr>
        <w:t>Tachykinin</w:t>
      </w:r>
      <w:proofErr w:type="spellEnd"/>
      <w:r w:rsidRPr="004261A3">
        <w:rPr>
          <w:rFonts w:asciiTheme="minorHAnsi" w:hAnsiTheme="minorHAnsi"/>
          <w:sz w:val="24"/>
          <w:szCs w:val="24"/>
        </w:rPr>
        <w:t xml:space="preserve"> family peptides (SP, </w:t>
      </w:r>
      <w:proofErr w:type="spellStart"/>
      <w:r w:rsidRPr="004261A3">
        <w:rPr>
          <w:rFonts w:asciiTheme="minorHAnsi" w:hAnsiTheme="minorHAnsi"/>
          <w:sz w:val="24"/>
          <w:szCs w:val="24"/>
        </w:rPr>
        <w:t>endokinins</w:t>
      </w:r>
      <w:proofErr w:type="spellEnd"/>
      <w:r w:rsidRPr="004261A3">
        <w:rPr>
          <w:rFonts w:asciiTheme="minorHAnsi" w:hAnsiTheme="minorHAnsi"/>
          <w:sz w:val="24"/>
          <w:szCs w:val="24"/>
        </w:rPr>
        <w:t xml:space="preserve"> A and B) are found in platelets (2</w:t>
      </w:r>
      <w:r w:rsidR="0006427D">
        <w:rPr>
          <w:rFonts w:asciiTheme="minorHAnsi" w:hAnsiTheme="minorHAnsi"/>
          <w:sz w:val="24"/>
          <w:szCs w:val="24"/>
        </w:rPr>
        <w:t>5</w:t>
      </w:r>
      <w:r w:rsidRPr="004261A3">
        <w:rPr>
          <w:rFonts w:asciiTheme="minorHAnsi" w:hAnsiTheme="minorHAnsi"/>
          <w:sz w:val="24"/>
          <w:szCs w:val="24"/>
        </w:rPr>
        <w:t xml:space="preserve">), and receptors on platelet membranes (NK1 and NK3) may mediate a modulatory positive paracrine feedback on platelet activation. </w:t>
      </w:r>
      <w:r w:rsidR="004261A3" w:rsidRPr="004261A3">
        <w:rPr>
          <w:rFonts w:asciiTheme="minorHAnsi" w:hAnsiTheme="minorHAnsi"/>
          <w:sz w:val="24"/>
          <w:szCs w:val="24"/>
        </w:rPr>
        <w:t xml:space="preserve">NK1 inhibition reduces thrombus formation. </w:t>
      </w:r>
      <w:r w:rsidRPr="004261A3">
        <w:rPr>
          <w:rFonts w:asciiTheme="minorHAnsi" w:hAnsiTheme="minorHAnsi"/>
          <w:sz w:val="24"/>
          <w:szCs w:val="24"/>
        </w:rPr>
        <w:t xml:space="preserve">SP also strengthens a clot after formation </w:t>
      </w:r>
      <w:r w:rsidRPr="004261A3">
        <w:rPr>
          <w:rFonts w:asciiTheme="minorHAnsi" w:hAnsiTheme="minorHAnsi" w:cstheme="minorHAnsi"/>
          <w:sz w:val="24"/>
          <w:szCs w:val="24"/>
        </w:rPr>
        <w:t xml:space="preserve">(8), an effect which is dependent on NK1 receptors on leucocytes. This effect is more marked in those patients with a full length NK1 receptor (8).  In addition, SP may reduce tissue plasminogen activator activity and expression (7), hence potentially promoting thrombosis. </w:t>
      </w:r>
    </w:p>
    <w:p w:rsidR="0060015F" w:rsidRDefault="0060015F" w:rsidP="004C1DEE">
      <w:pPr>
        <w:pStyle w:val="HTMLPreformatted"/>
        <w:spacing w:line="480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A565F0" w:rsidRDefault="00A565F0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On the other hand, SP may also have </w:t>
      </w:r>
      <w:r w:rsidR="004261A3">
        <w:rPr>
          <w:rFonts w:asciiTheme="minorHAnsi" w:hAnsiTheme="minorHAnsi" w:cstheme="minorHAnsi"/>
          <w:sz w:val="24"/>
          <w:szCs w:val="24"/>
        </w:rPr>
        <w:t xml:space="preserve">some potentially </w:t>
      </w:r>
      <w:r>
        <w:rPr>
          <w:rFonts w:asciiTheme="minorHAnsi" w:hAnsiTheme="minorHAnsi" w:cstheme="minorHAnsi"/>
          <w:sz w:val="24"/>
          <w:szCs w:val="24"/>
        </w:rPr>
        <w:t>beneficial roles in ischemia post-conditioning (</w:t>
      </w:r>
      <w:r w:rsidR="004261A3">
        <w:rPr>
          <w:rFonts w:asciiTheme="minorHAnsi" w:hAnsiTheme="minorHAnsi" w:cstheme="minorHAnsi"/>
          <w:sz w:val="24"/>
          <w:szCs w:val="24"/>
        </w:rPr>
        <w:t>2</w:t>
      </w:r>
      <w:r w:rsidR="0006427D">
        <w:rPr>
          <w:rFonts w:asciiTheme="minorHAnsi" w:hAnsiTheme="minorHAnsi" w:cstheme="minorHAnsi"/>
          <w:sz w:val="24"/>
          <w:szCs w:val="24"/>
        </w:rPr>
        <w:t>6</w:t>
      </w:r>
      <w:r>
        <w:rPr>
          <w:rFonts w:asciiTheme="minorHAnsi" w:hAnsiTheme="minorHAnsi" w:cstheme="minorHAnsi"/>
          <w:sz w:val="24"/>
          <w:szCs w:val="24"/>
        </w:rPr>
        <w:t>) and in mobilisation of progenitor cells which may play a role in angiogenesis within ischemic tissue (</w:t>
      </w:r>
      <w:r w:rsidR="004261A3">
        <w:rPr>
          <w:rFonts w:asciiTheme="minorHAnsi" w:hAnsiTheme="minorHAnsi" w:cstheme="minorHAnsi"/>
          <w:sz w:val="24"/>
          <w:szCs w:val="24"/>
        </w:rPr>
        <w:t>2</w:t>
      </w:r>
      <w:r w:rsidR="0006427D">
        <w:rPr>
          <w:rFonts w:asciiTheme="minorHAnsi" w:hAnsiTheme="minorHAnsi" w:cstheme="minorHAnsi"/>
          <w:sz w:val="24"/>
          <w:szCs w:val="24"/>
        </w:rPr>
        <w:t>7</w:t>
      </w:r>
      <w:r>
        <w:rPr>
          <w:rFonts w:asciiTheme="minorHAnsi" w:hAnsiTheme="minorHAnsi" w:cstheme="minorHAnsi"/>
          <w:sz w:val="24"/>
          <w:szCs w:val="24"/>
        </w:rPr>
        <w:t xml:space="preserve">). Our </w:t>
      </w:r>
      <w:r w:rsidR="00FC252C" w:rsidRPr="009E2C8C">
        <w:rPr>
          <w:rFonts w:asciiTheme="minorHAnsi" w:hAnsiTheme="minorHAnsi" w:cstheme="minorHAnsi"/>
          <w:sz w:val="24"/>
          <w:szCs w:val="24"/>
        </w:rPr>
        <w:t xml:space="preserve">findings are hypothesis generating for investigating the </w:t>
      </w:r>
      <w:r w:rsidR="00B81C9C">
        <w:rPr>
          <w:rFonts w:asciiTheme="minorHAnsi" w:hAnsiTheme="minorHAnsi" w:cstheme="minorHAnsi"/>
          <w:sz w:val="24"/>
          <w:szCs w:val="24"/>
        </w:rPr>
        <w:t>role of SP on outcomes post-AMI, as</w:t>
      </w:r>
      <w:r>
        <w:rPr>
          <w:rFonts w:asciiTheme="minorHAnsi" w:hAnsiTheme="minorHAnsi" w:cstheme="minorHAnsi"/>
          <w:sz w:val="24"/>
          <w:szCs w:val="24"/>
        </w:rPr>
        <w:t xml:space="preserve"> it is uncertain whether </w:t>
      </w:r>
      <w:r w:rsidR="00FC252C" w:rsidRPr="009E2C8C">
        <w:rPr>
          <w:rFonts w:asciiTheme="minorHAnsi" w:hAnsiTheme="minorHAnsi" w:cstheme="minorHAnsi"/>
          <w:sz w:val="24"/>
          <w:szCs w:val="24"/>
        </w:rPr>
        <w:t xml:space="preserve">beneficial effects of </w:t>
      </w:r>
      <w:r>
        <w:rPr>
          <w:rFonts w:asciiTheme="minorHAnsi" w:hAnsiTheme="minorHAnsi" w:cstheme="minorHAnsi"/>
          <w:sz w:val="24"/>
          <w:szCs w:val="24"/>
        </w:rPr>
        <w:t xml:space="preserve">SP </w:t>
      </w:r>
      <w:r w:rsidR="00D85FEB">
        <w:rPr>
          <w:rFonts w:asciiTheme="minorHAnsi" w:hAnsiTheme="minorHAnsi" w:cstheme="minorHAnsi"/>
          <w:sz w:val="24"/>
          <w:szCs w:val="24"/>
        </w:rPr>
        <w:t>could be</w:t>
      </w:r>
      <w:r>
        <w:rPr>
          <w:rFonts w:asciiTheme="minorHAnsi" w:hAnsiTheme="minorHAnsi" w:cstheme="minorHAnsi"/>
          <w:sz w:val="24"/>
          <w:szCs w:val="24"/>
        </w:rPr>
        <w:t xml:space="preserve"> outweighed by the deleterious effects</w:t>
      </w:r>
      <w:r w:rsidR="00D85FEB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06427D" w:rsidRDefault="0006427D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2863AE" w:rsidRDefault="002863AE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BF2809" w:rsidRPr="009E2C8C" w:rsidRDefault="00BF2809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9E2C8C">
        <w:rPr>
          <w:rFonts w:asciiTheme="minorHAnsi" w:hAnsiTheme="minorHAnsi" w:cstheme="minorHAnsi"/>
          <w:b/>
          <w:sz w:val="24"/>
          <w:szCs w:val="24"/>
        </w:rPr>
        <w:t>Limitations</w:t>
      </w:r>
    </w:p>
    <w:p w:rsidR="00A565F0" w:rsidRDefault="00BF2809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9E2C8C">
        <w:rPr>
          <w:rFonts w:asciiTheme="minorHAnsi" w:hAnsiTheme="minorHAnsi" w:cstheme="minorHAnsi"/>
          <w:sz w:val="24"/>
          <w:szCs w:val="24"/>
        </w:rPr>
        <w:t xml:space="preserve">Our findings </w:t>
      </w:r>
      <w:r w:rsidR="00413099" w:rsidRPr="009E2C8C">
        <w:rPr>
          <w:rFonts w:asciiTheme="minorHAnsi" w:hAnsiTheme="minorHAnsi" w:cstheme="minorHAnsi"/>
          <w:sz w:val="24"/>
          <w:szCs w:val="24"/>
        </w:rPr>
        <w:t>are</w:t>
      </w:r>
      <w:r w:rsidR="00D85FEB">
        <w:rPr>
          <w:rFonts w:asciiTheme="minorHAnsi" w:hAnsiTheme="minorHAnsi" w:cstheme="minorHAnsi"/>
          <w:sz w:val="24"/>
          <w:szCs w:val="24"/>
        </w:rPr>
        <w:t xml:space="preserve"> </w:t>
      </w:r>
      <w:r w:rsidRPr="009E2C8C">
        <w:rPr>
          <w:rFonts w:asciiTheme="minorHAnsi" w:hAnsiTheme="minorHAnsi" w:cstheme="minorHAnsi"/>
          <w:sz w:val="24"/>
          <w:szCs w:val="24"/>
        </w:rPr>
        <w:t xml:space="preserve">based on a </w:t>
      </w:r>
      <w:r w:rsidR="00413099" w:rsidRPr="009E2C8C">
        <w:rPr>
          <w:rFonts w:asciiTheme="minorHAnsi" w:hAnsiTheme="minorHAnsi" w:cstheme="minorHAnsi"/>
          <w:sz w:val="24"/>
          <w:szCs w:val="24"/>
        </w:rPr>
        <w:t xml:space="preserve">population from a </w:t>
      </w:r>
      <w:r w:rsidRPr="009E2C8C">
        <w:rPr>
          <w:rFonts w:asciiTheme="minorHAnsi" w:hAnsiTheme="minorHAnsi" w:cstheme="minorHAnsi"/>
          <w:sz w:val="24"/>
          <w:szCs w:val="24"/>
        </w:rPr>
        <w:t xml:space="preserve">single centre, with 2 admitting hospitals, and </w:t>
      </w:r>
      <w:r w:rsidR="00413099" w:rsidRPr="009E2C8C">
        <w:rPr>
          <w:rFonts w:asciiTheme="minorHAnsi" w:hAnsiTheme="minorHAnsi" w:cstheme="minorHAnsi"/>
          <w:sz w:val="24"/>
          <w:szCs w:val="24"/>
        </w:rPr>
        <w:t>should</w:t>
      </w:r>
      <w:r w:rsidRPr="009E2C8C">
        <w:rPr>
          <w:rFonts w:asciiTheme="minorHAnsi" w:hAnsiTheme="minorHAnsi" w:cstheme="minorHAnsi"/>
          <w:sz w:val="24"/>
          <w:szCs w:val="24"/>
        </w:rPr>
        <w:t xml:space="preserve"> be verified in other </w:t>
      </w:r>
      <w:r w:rsidR="00090EED" w:rsidRPr="009E2C8C">
        <w:rPr>
          <w:rFonts w:asciiTheme="minorHAnsi" w:hAnsiTheme="minorHAnsi" w:cstheme="minorHAnsi"/>
          <w:sz w:val="24"/>
          <w:szCs w:val="24"/>
        </w:rPr>
        <w:t xml:space="preserve">larger </w:t>
      </w:r>
      <w:r w:rsidRPr="009E2C8C">
        <w:rPr>
          <w:rFonts w:asciiTheme="minorHAnsi" w:hAnsiTheme="minorHAnsi" w:cstheme="minorHAnsi"/>
          <w:sz w:val="24"/>
          <w:szCs w:val="24"/>
        </w:rPr>
        <w:t xml:space="preserve">populations. The rate of early revascularisation in our </w:t>
      </w:r>
      <w:r w:rsidRPr="009E2C8C">
        <w:rPr>
          <w:rFonts w:asciiTheme="minorHAnsi" w:hAnsiTheme="minorHAnsi" w:cstheme="minorHAnsi"/>
          <w:sz w:val="24"/>
          <w:szCs w:val="24"/>
        </w:rPr>
        <w:lastRenderedPageBreak/>
        <w:t xml:space="preserve">NSTEMI population was low and may not reflect </w:t>
      </w:r>
      <w:r w:rsidR="00A565F0">
        <w:rPr>
          <w:rFonts w:asciiTheme="minorHAnsi" w:hAnsiTheme="minorHAnsi" w:cstheme="minorHAnsi"/>
          <w:sz w:val="24"/>
          <w:szCs w:val="24"/>
        </w:rPr>
        <w:t>the</w:t>
      </w:r>
      <w:r w:rsidRPr="009E2C8C">
        <w:rPr>
          <w:rFonts w:asciiTheme="minorHAnsi" w:hAnsiTheme="minorHAnsi" w:cstheme="minorHAnsi"/>
          <w:sz w:val="24"/>
          <w:szCs w:val="24"/>
        </w:rPr>
        <w:t xml:space="preserve"> more contemporary invasive approach of revascularisation within 72 h of presentation.</w:t>
      </w:r>
      <w:r w:rsidR="00D85FEB">
        <w:rPr>
          <w:rFonts w:asciiTheme="minorHAnsi" w:hAnsiTheme="minorHAnsi" w:cstheme="minorHAnsi"/>
          <w:sz w:val="24"/>
          <w:szCs w:val="24"/>
        </w:rPr>
        <w:t xml:space="preserve"> </w:t>
      </w:r>
      <w:r w:rsidR="00A565F0">
        <w:rPr>
          <w:rFonts w:asciiTheme="minorHAnsi" w:hAnsiTheme="minorHAnsi" w:cstheme="minorHAnsi"/>
          <w:sz w:val="24"/>
          <w:szCs w:val="24"/>
        </w:rPr>
        <w:t xml:space="preserve">One advantage is that the relation of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A565F0">
        <w:rPr>
          <w:rFonts w:asciiTheme="minorHAnsi" w:hAnsiTheme="minorHAnsi" w:cstheme="minorHAnsi"/>
          <w:sz w:val="24"/>
          <w:szCs w:val="24"/>
        </w:rPr>
        <w:t xml:space="preserve"> with poor outcomes would not have been confounded by higher early revascularisation rates. </w:t>
      </w:r>
    </w:p>
    <w:p w:rsidR="002863AE" w:rsidRDefault="002863AE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</w:p>
    <w:p w:rsidR="00BF2809" w:rsidRPr="009E2C8C" w:rsidRDefault="00BF2809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9E2C8C">
        <w:rPr>
          <w:rFonts w:asciiTheme="minorHAnsi" w:hAnsiTheme="minorHAnsi" w:cstheme="minorHAnsi"/>
          <w:b/>
          <w:sz w:val="24"/>
          <w:szCs w:val="24"/>
        </w:rPr>
        <w:t>Conclusions</w:t>
      </w:r>
    </w:p>
    <w:p w:rsidR="007566F2" w:rsidRPr="009E2C8C" w:rsidRDefault="00203603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9E2C8C">
        <w:rPr>
          <w:rFonts w:asciiTheme="minorHAnsi" w:hAnsiTheme="minorHAnsi" w:cstheme="minorHAnsi"/>
          <w:sz w:val="24"/>
          <w:szCs w:val="24"/>
        </w:rPr>
        <w:t xml:space="preserve">Following AMI, circulating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Pr="009E2C8C">
        <w:rPr>
          <w:rFonts w:asciiTheme="minorHAnsi" w:hAnsiTheme="minorHAnsi" w:cstheme="minorHAnsi"/>
          <w:sz w:val="24"/>
          <w:szCs w:val="24"/>
        </w:rPr>
        <w:t xml:space="preserve"> levels</w:t>
      </w:r>
      <w:r w:rsidR="00532714">
        <w:rPr>
          <w:rFonts w:asciiTheme="minorHAnsi" w:hAnsiTheme="minorHAnsi" w:cstheme="minorHAnsi"/>
          <w:sz w:val="24"/>
          <w:szCs w:val="24"/>
        </w:rPr>
        <w:t xml:space="preserve"> </w:t>
      </w:r>
      <w:r w:rsidR="00A565F0">
        <w:rPr>
          <w:rFonts w:asciiTheme="minorHAnsi" w:hAnsiTheme="minorHAnsi" w:cstheme="minorHAnsi"/>
          <w:sz w:val="24"/>
          <w:szCs w:val="24"/>
        </w:rPr>
        <w:t xml:space="preserve">provide </w:t>
      </w:r>
      <w:r w:rsidR="00532714">
        <w:rPr>
          <w:rFonts w:asciiTheme="minorHAnsi" w:hAnsiTheme="minorHAnsi" w:cstheme="minorHAnsi"/>
          <w:sz w:val="24"/>
          <w:szCs w:val="24"/>
        </w:rPr>
        <w:t xml:space="preserve">added value to the </w:t>
      </w:r>
      <w:r w:rsidRPr="009E2C8C">
        <w:rPr>
          <w:rFonts w:asciiTheme="minorHAnsi" w:hAnsiTheme="minorHAnsi" w:cstheme="minorHAnsi"/>
          <w:sz w:val="24"/>
          <w:szCs w:val="24"/>
        </w:rPr>
        <w:t xml:space="preserve">prognostic </w:t>
      </w:r>
      <w:proofErr w:type="gramStart"/>
      <w:r w:rsidRPr="009E2C8C">
        <w:rPr>
          <w:rFonts w:asciiTheme="minorHAnsi" w:hAnsiTheme="minorHAnsi" w:cstheme="minorHAnsi"/>
          <w:sz w:val="24"/>
          <w:szCs w:val="24"/>
        </w:rPr>
        <w:t>i</w:t>
      </w:r>
      <w:r w:rsidR="00532714">
        <w:rPr>
          <w:rFonts w:asciiTheme="minorHAnsi" w:hAnsiTheme="minorHAnsi" w:cstheme="minorHAnsi"/>
          <w:sz w:val="24"/>
          <w:szCs w:val="24"/>
        </w:rPr>
        <w:t xml:space="preserve">nformation </w:t>
      </w:r>
      <w:r w:rsidRPr="009E2C8C">
        <w:rPr>
          <w:rFonts w:asciiTheme="minorHAnsi" w:hAnsiTheme="minorHAnsi" w:cstheme="minorHAnsi"/>
          <w:sz w:val="24"/>
          <w:szCs w:val="24"/>
        </w:rPr>
        <w:t xml:space="preserve"> </w:t>
      </w:r>
      <w:r w:rsidR="002863AE" w:rsidRPr="006904A0">
        <w:rPr>
          <w:rFonts w:asciiTheme="minorHAnsi" w:hAnsiTheme="minorHAnsi" w:cstheme="minorHAnsi"/>
          <w:sz w:val="24"/>
          <w:szCs w:val="24"/>
        </w:rPr>
        <w:t>determine</w:t>
      </w:r>
      <w:r w:rsidRPr="006904A0">
        <w:rPr>
          <w:rFonts w:asciiTheme="minorHAnsi" w:hAnsiTheme="minorHAnsi" w:cstheme="minorHAnsi"/>
          <w:sz w:val="24"/>
          <w:szCs w:val="24"/>
        </w:rPr>
        <w:t>d</w:t>
      </w:r>
      <w:proofErr w:type="gramEnd"/>
      <w:r w:rsidRPr="006904A0">
        <w:rPr>
          <w:rFonts w:asciiTheme="minorHAnsi" w:hAnsiTheme="minorHAnsi" w:cstheme="minorHAnsi"/>
          <w:sz w:val="24"/>
          <w:szCs w:val="24"/>
        </w:rPr>
        <w:t xml:space="preserve"> by the GRACE score and </w:t>
      </w:r>
      <w:r w:rsidR="006904A0" w:rsidRPr="006904A0">
        <w:rPr>
          <w:rFonts w:eastAsia="Times New Roman"/>
          <w:sz w:val="24"/>
          <w:szCs w:val="24"/>
        </w:rPr>
        <w:t xml:space="preserve">the </w:t>
      </w:r>
      <w:proofErr w:type="spellStart"/>
      <w:r w:rsidR="006904A0" w:rsidRPr="006904A0">
        <w:rPr>
          <w:rFonts w:eastAsia="Times New Roman"/>
          <w:sz w:val="24"/>
          <w:szCs w:val="24"/>
        </w:rPr>
        <w:t>prognostically</w:t>
      </w:r>
      <w:proofErr w:type="spellEnd"/>
      <w:r w:rsidR="006904A0" w:rsidRPr="006904A0">
        <w:rPr>
          <w:rFonts w:eastAsia="Times New Roman"/>
          <w:sz w:val="24"/>
          <w:szCs w:val="24"/>
        </w:rPr>
        <w:t xml:space="preserve"> important biomarker </w:t>
      </w:r>
      <w:proofErr w:type="spellStart"/>
      <w:r w:rsidR="006904A0" w:rsidRPr="006904A0">
        <w:rPr>
          <w:rFonts w:eastAsia="Times New Roman"/>
          <w:sz w:val="24"/>
          <w:szCs w:val="24"/>
        </w:rPr>
        <w:t>NTproBNP</w:t>
      </w:r>
      <w:proofErr w:type="spellEnd"/>
      <w:r w:rsidRPr="006904A0">
        <w:rPr>
          <w:rFonts w:asciiTheme="minorHAnsi" w:hAnsiTheme="minorHAnsi" w:cstheme="minorHAnsi"/>
          <w:sz w:val="24"/>
          <w:szCs w:val="24"/>
        </w:rPr>
        <w:t>. The</w:t>
      </w:r>
      <w:r w:rsidRPr="009E2C8C">
        <w:rPr>
          <w:rFonts w:asciiTheme="minorHAnsi" w:hAnsiTheme="minorHAnsi" w:cstheme="minorHAnsi"/>
          <w:sz w:val="24"/>
          <w:szCs w:val="24"/>
        </w:rPr>
        <w:t xml:space="preserve"> ability of </w:t>
      </w:r>
      <w:proofErr w:type="spellStart"/>
      <w:r w:rsidR="00576876">
        <w:rPr>
          <w:rFonts w:asciiTheme="minorHAnsi" w:hAnsiTheme="minorHAnsi" w:cstheme="minorHAnsi"/>
          <w:sz w:val="24"/>
          <w:szCs w:val="24"/>
        </w:rPr>
        <w:t>ProSP</w:t>
      </w:r>
      <w:proofErr w:type="spellEnd"/>
      <w:r w:rsidR="00532714">
        <w:rPr>
          <w:rFonts w:asciiTheme="minorHAnsi" w:hAnsiTheme="minorHAnsi" w:cstheme="minorHAnsi"/>
          <w:sz w:val="24"/>
          <w:szCs w:val="24"/>
        </w:rPr>
        <w:t xml:space="preserve"> to predict recurrent AMI </w:t>
      </w:r>
      <w:r w:rsidRPr="009E2C8C">
        <w:rPr>
          <w:rFonts w:asciiTheme="minorHAnsi" w:hAnsiTheme="minorHAnsi" w:cstheme="minorHAnsi"/>
          <w:sz w:val="24"/>
          <w:szCs w:val="24"/>
        </w:rPr>
        <w:t xml:space="preserve">in addition to mortality may </w:t>
      </w:r>
      <w:r w:rsidR="00E77170" w:rsidRPr="009E2C8C">
        <w:rPr>
          <w:rFonts w:asciiTheme="minorHAnsi" w:hAnsiTheme="minorHAnsi" w:cstheme="minorHAnsi"/>
          <w:sz w:val="24"/>
          <w:szCs w:val="24"/>
        </w:rPr>
        <w:t xml:space="preserve">confer clinical utility on </w:t>
      </w:r>
      <w:r w:rsidR="00A565F0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="00A565F0">
        <w:rPr>
          <w:rFonts w:asciiTheme="minorHAnsi" w:hAnsiTheme="minorHAnsi" w:cstheme="minorHAnsi"/>
          <w:sz w:val="24"/>
          <w:szCs w:val="24"/>
        </w:rPr>
        <w:t>tachykinin</w:t>
      </w:r>
      <w:proofErr w:type="spellEnd"/>
      <w:r w:rsidR="00A565F0">
        <w:rPr>
          <w:rFonts w:asciiTheme="minorHAnsi" w:hAnsiTheme="minorHAnsi" w:cstheme="minorHAnsi"/>
          <w:sz w:val="24"/>
          <w:szCs w:val="24"/>
        </w:rPr>
        <w:t xml:space="preserve"> system </w:t>
      </w:r>
      <w:r w:rsidR="00E77170" w:rsidRPr="009E2C8C">
        <w:rPr>
          <w:rFonts w:asciiTheme="minorHAnsi" w:hAnsiTheme="minorHAnsi" w:cstheme="minorHAnsi"/>
          <w:sz w:val="24"/>
          <w:szCs w:val="24"/>
        </w:rPr>
        <w:t>in risk stratification after AMI.</w:t>
      </w:r>
      <w:r w:rsidR="0053271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15C5E" w:rsidRPr="009E2C8C" w:rsidRDefault="00915C5E" w:rsidP="004C1DEE">
      <w:pPr>
        <w:spacing w:line="480" w:lineRule="auto"/>
        <w:rPr>
          <w:rFonts w:cstheme="minorHAnsi"/>
          <w:sz w:val="24"/>
          <w:szCs w:val="24"/>
        </w:rPr>
      </w:pPr>
      <w:r w:rsidRPr="009E2C8C">
        <w:rPr>
          <w:rFonts w:cstheme="minorHAnsi"/>
          <w:sz w:val="24"/>
          <w:szCs w:val="24"/>
        </w:rPr>
        <w:br w:type="page"/>
      </w:r>
    </w:p>
    <w:p w:rsidR="00915C5E" w:rsidRPr="00616ED9" w:rsidRDefault="00915C5E" w:rsidP="004C1DEE">
      <w:pPr>
        <w:pStyle w:val="NoSpacing"/>
        <w:spacing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616ED9">
        <w:rPr>
          <w:rFonts w:asciiTheme="minorHAnsi" w:hAnsiTheme="minorHAnsi" w:cstheme="minorHAnsi"/>
          <w:b/>
          <w:sz w:val="24"/>
          <w:szCs w:val="24"/>
        </w:rPr>
        <w:lastRenderedPageBreak/>
        <w:t>Acknowledgements</w:t>
      </w:r>
    </w:p>
    <w:p w:rsidR="00915C5E" w:rsidRPr="00616ED9" w:rsidRDefault="00915C5E" w:rsidP="004C1DEE">
      <w:pPr>
        <w:pStyle w:val="ListParagraph"/>
        <w:spacing w:after="0" w:line="480" w:lineRule="auto"/>
        <w:ind w:left="0"/>
        <w:rPr>
          <w:rFonts w:cstheme="minorHAnsi"/>
          <w:sz w:val="24"/>
          <w:szCs w:val="24"/>
        </w:rPr>
      </w:pPr>
      <w:r w:rsidRPr="00616ED9">
        <w:rPr>
          <w:rFonts w:cstheme="minorHAnsi"/>
          <w:sz w:val="24"/>
          <w:szCs w:val="24"/>
        </w:rPr>
        <w:t xml:space="preserve">This work was supported by the John and Lucille Van </w:t>
      </w:r>
      <w:proofErr w:type="spellStart"/>
      <w:r w:rsidRPr="00616ED9">
        <w:rPr>
          <w:rFonts w:cstheme="minorHAnsi"/>
          <w:sz w:val="24"/>
          <w:szCs w:val="24"/>
        </w:rPr>
        <w:t>Geest</w:t>
      </w:r>
      <w:proofErr w:type="spellEnd"/>
      <w:r w:rsidRPr="00616ED9">
        <w:rPr>
          <w:rFonts w:cstheme="minorHAnsi"/>
          <w:sz w:val="24"/>
          <w:szCs w:val="24"/>
        </w:rPr>
        <w:t xml:space="preserve"> Foundation and the National Institute for Health Research Leicester Cardiovascular Biomedical Research Unit.</w:t>
      </w:r>
    </w:p>
    <w:p w:rsidR="00915C5E" w:rsidRPr="00616ED9" w:rsidRDefault="00915C5E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616ED9">
        <w:rPr>
          <w:rFonts w:asciiTheme="minorHAnsi" w:hAnsiTheme="minorHAnsi" w:cstheme="minorHAnsi"/>
          <w:sz w:val="24"/>
          <w:szCs w:val="24"/>
        </w:rPr>
        <w:t>Sphingotec</w:t>
      </w:r>
      <w:r w:rsidR="00B174A7" w:rsidRPr="00616ED9">
        <w:rPr>
          <w:rFonts w:asciiTheme="minorHAnsi" w:hAnsiTheme="minorHAnsi" w:cstheme="minorHAnsi"/>
          <w:sz w:val="24"/>
          <w:szCs w:val="24"/>
        </w:rPr>
        <w:t xml:space="preserve"> GmbH</w:t>
      </w:r>
      <w:r w:rsidRPr="00616ED9">
        <w:rPr>
          <w:rFonts w:asciiTheme="minorHAnsi" w:hAnsiTheme="minorHAnsi" w:cstheme="minorHAnsi"/>
          <w:sz w:val="24"/>
          <w:szCs w:val="24"/>
        </w:rPr>
        <w:t xml:space="preserve"> is a midsized company based in </w:t>
      </w:r>
      <w:proofErr w:type="spellStart"/>
      <w:r w:rsidRPr="00616ED9">
        <w:rPr>
          <w:rFonts w:asciiTheme="minorHAnsi" w:hAnsiTheme="minorHAnsi" w:cstheme="minorHAnsi"/>
          <w:sz w:val="24"/>
          <w:szCs w:val="24"/>
        </w:rPr>
        <w:t>Hennigsdorf</w:t>
      </w:r>
      <w:proofErr w:type="spellEnd"/>
      <w:r w:rsidRPr="00616ED9">
        <w:rPr>
          <w:rFonts w:asciiTheme="minorHAnsi" w:hAnsiTheme="minorHAnsi" w:cstheme="minorHAnsi"/>
          <w:sz w:val="24"/>
          <w:szCs w:val="24"/>
        </w:rPr>
        <w:t>, Germany; it commercializes</w:t>
      </w:r>
    </w:p>
    <w:p w:rsidR="00915C5E" w:rsidRPr="00616ED9" w:rsidRDefault="00915C5E" w:rsidP="004C1DEE">
      <w:pPr>
        <w:pStyle w:val="NoSpacing"/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616ED9">
        <w:rPr>
          <w:rFonts w:asciiTheme="minorHAnsi" w:hAnsiTheme="minorHAnsi" w:cstheme="minorHAnsi"/>
          <w:sz w:val="24"/>
          <w:szCs w:val="24"/>
        </w:rPr>
        <w:t>immunoassays</w:t>
      </w:r>
      <w:proofErr w:type="gramEnd"/>
      <w:r w:rsidRPr="00616ED9">
        <w:rPr>
          <w:rFonts w:asciiTheme="minorHAnsi" w:hAnsiTheme="minorHAnsi" w:cstheme="minorHAnsi"/>
          <w:sz w:val="24"/>
          <w:szCs w:val="24"/>
        </w:rPr>
        <w:t xml:space="preserve">, and has developed the </w:t>
      </w:r>
      <w:proofErr w:type="spellStart"/>
      <w:r w:rsidR="006F2ECE" w:rsidRPr="00616ED9">
        <w:rPr>
          <w:rFonts w:asciiTheme="minorHAnsi" w:hAnsiTheme="minorHAnsi" w:cstheme="minorHAnsi"/>
          <w:sz w:val="24"/>
          <w:szCs w:val="24"/>
        </w:rPr>
        <w:t>Pro</w:t>
      </w:r>
      <w:r w:rsidR="0098223B">
        <w:rPr>
          <w:rFonts w:asciiTheme="minorHAnsi" w:hAnsiTheme="minorHAnsi" w:cstheme="minorHAnsi"/>
          <w:sz w:val="24"/>
          <w:szCs w:val="24"/>
        </w:rPr>
        <w:t>SP</w:t>
      </w:r>
      <w:proofErr w:type="spellEnd"/>
      <w:r w:rsidR="006F2ECE" w:rsidRPr="00616ED9">
        <w:rPr>
          <w:rFonts w:asciiTheme="minorHAnsi" w:hAnsiTheme="minorHAnsi" w:cstheme="minorHAnsi"/>
          <w:sz w:val="24"/>
          <w:szCs w:val="24"/>
        </w:rPr>
        <w:t xml:space="preserve"> assay</w:t>
      </w:r>
      <w:r w:rsidRPr="00616ED9">
        <w:rPr>
          <w:rFonts w:asciiTheme="minorHAnsi" w:hAnsiTheme="minorHAnsi" w:cstheme="minorHAnsi"/>
          <w:sz w:val="24"/>
          <w:szCs w:val="24"/>
        </w:rPr>
        <w:t>, for which it owns</w:t>
      </w:r>
      <w:r w:rsidR="001432B6">
        <w:rPr>
          <w:rFonts w:asciiTheme="minorHAnsi" w:hAnsiTheme="minorHAnsi" w:cstheme="minorHAnsi"/>
          <w:sz w:val="24"/>
          <w:szCs w:val="24"/>
        </w:rPr>
        <w:t xml:space="preserve"> </w:t>
      </w:r>
      <w:r w:rsidRPr="00616ED9">
        <w:rPr>
          <w:rFonts w:asciiTheme="minorHAnsi" w:hAnsiTheme="minorHAnsi" w:cstheme="minorHAnsi"/>
          <w:sz w:val="24"/>
          <w:szCs w:val="24"/>
        </w:rPr>
        <w:t xml:space="preserve">patent rights. </w:t>
      </w:r>
    </w:p>
    <w:p w:rsidR="006C03A2" w:rsidRPr="00C91D07" w:rsidRDefault="00553B3D" w:rsidP="004C1DEE">
      <w:pPr>
        <w:spacing w:line="480" w:lineRule="auto"/>
        <w:rPr>
          <w:rFonts w:cstheme="minorHAnsi"/>
          <w:b/>
          <w:sz w:val="24"/>
          <w:szCs w:val="24"/>
        </w:rPr>
      </w:pPr>
      <w:r w:rsidRPr="00616ED9">
        <w:rPr>
          <w:rFonts w:cstheme="minorHAnsi"/>
          <w:sz w:val="24"/>
          <w:szCs w:val="24"/>
        </w:rPr>
        <w:br w:type="page"/>
      </w:r>
      <w:r w:rsidR="006C03A2" w:rsidRPr="00C91D07">
        <w:rPr>
          <w:rFonts w:cstheme="minorHAnsi"/>
          <w:b/>
          <w:sz w:val="24"/>
          <w:szCs w:val="24"/>
        </w:rPr>
        <w:lastRenderedPageBreak/>
        <w:t>References</w:t>
      </w:r>
    </w:p>
    <w:p w:rsidR="00AA5D83" w:rsidRPr="00B51AE9" w:rsidRDefault="00AA5D83" w:rsidP="004C1DEE">
      <w:pPr>
        <w:pStyle w:val="HTMLPreformatted"/>
        <w:numPr>
          <w:ilvl w:val="0"/>
          <w:numId w:val="7"/>
        </w:numPr>
        <w:spacing w:line="480" w:lineRule="auto"/>
        <w:ind w:left="426" w:hanging="426"/>
        <w:rPr>
          <w:rFonts w:asciiTheme="minorHAnsi" w:hAnsiTheme="minorHAnsi"/>
          <w:sz w:val="24"/>
          <w:szCs w:val="24"/>
        </w:rPr>
      </w:pPr>
      <w:r w:rsidRPr="00B51AE9">
        <w:rPr>
          <w:rFonts w:asciiTheme="minorHAnsi" w:hAnsiTheme="minorHAnsi"/>
          <w:sz w:val="24"/>
          <w:szCs w:val="24"/>
        </w:rPr>
        <w:t xml:space="preserve">Otsuka M, Yoshioka K. Neurotransmitter functions of mammalian </w:t>
      </w:r>
      <w:proofErr w:type="spellStart"/>
      <w:r w:rsidRPr="00B51AE9">
        <w:rPr>
          <w:rFonts w:asciiTheme="minorHAnsi" w:hAnsiTheme="minorHAnsi"/>
          <w:sz w:val="24"/>
          <w:szCs w:val="24"/>
        </w:rPr>
        <w:t>tachykinins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B51AE9">
        <w:rPr>
          <w:rFonts w:asciiTheme="minorHAnsi" w:hAnsiTheme="minorHAnsi"/>
          <w:sz w:val="24"/>
          <w:szCs w:val="24"/>
        </w:rPr>
        <w:t>Physiol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 Rev. </w:t>
      </w:r>
      <w:proofErr w:type="gramStart"/>
      <w:r w:rsidRPr="00B51AE9">
        <w:rPr>
          <w:rFonts w:asciiTheme="minorHAnsi" w:hAnsiTheme="minorHAnsi"/>
          <w:sz w:val="24"/>
          <w:szCs w:val="24"/>
        </w:rPr>
        <w:t>1993 ;73:229</w:t>
      </w:r>
      <w:proofErr w:type="gramEnd"/>
      <w:r w:rsidRPr="00B51AE9">
        <w:rPr>
          <w:rFonts w:asciiTheme="minorHAnsi" w:hAnsiTheme="minorHAnsi"/>
          <w:sz w:val="24"/>
          <w:szCs w:val="24"/>
        </w:rPr>
        <w:t>-308.</w:t>
      </w:r>
    </w:p>
    <w:p w:rsidR="00AA5D83" w:rsidRPr="00B51AE9" w:rsidRDefault="00AA5D83" w:rsidP="004C1DEE">
      <w:pPr>
        <w:pStyle w:val="ListParagraph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 w:hanging="426"/>
        <w:rPr>
          <w:rFonts w:eastAsia="Times New Roman" w:cs="Courier New"/>
          <w:sz w:val="24"/>
          <w:szCs w:val="24"/>
          <w:lang w:eastAsia="en-GB"/>
        </w:rPr>
      </w:pPr>
      <w:r w:rsidRPr="00B51AE9">
        <w:rPr>
          <w:rFonts w:eastAsia="Times New Roman" w:cs="Courier New"/>
          <w:sz w:val="24"/>
          <w:szCs w:val="24"/>
          <w:lang w:eastAsia="en-GB"/>
        </w:rPr>
        <w:t xml:space="preserve">Hoover DB, Chang Y, Hancock JC, Zhang L.  Actions of </w:t>
      </w:r>
      <w:proofErr w:type="spellStart"/>
      <w:r w:rsidRPr="00B51AE9">
        <w:rPr>
          <w:rFonts w:eastAsia="Times New Roman" w:cs="Courier New"/>
          <w:sz w:val="24"/>
          <w:szCs w:val="24"/>
          <w:lang w:eastAsia="en-GB"/>
        </w:rPr>
        <w:t>tachykinins</w:t>
      </w:r>
      <w:proofErr w:type="spellEnd"/>
      <w:r w:rsidRPr="00B51AE9">
        <w:rPr>
          <w:rFonts w:eastAsia="Times New Roman" w:cs="Courier New"/>
          <w:sz w:val="24"/>
          <w:szCs w:val="24"/>
          <w:lang w:eastAsia="en-GB"/>
        </w:rPr>
        <w:t xml:space="preserve"> within the heart and their relevance to cardiovascular disease.  </w:t>
      </w:r>
      <w:proofErr w:type="spellStart"/>
      <w:r w:rsidRPr="00B51AE9">
        <w:rPr>
          <w:rFonts w:eastAsia="Times New Roman" w:cs="Courier New"/>
          <w:sz w:val="24"/>
          <w:szCs w:val="24"/>
          <w:lang w:eastAsia="en-GB"/>
        </w:rPr>
        <w:t>Jpn</w:t>
      </w:r>
      <w:proofErr w:type="spellEnd"/>
      <w:r w:rsidRPr="00B51AE9">
        <w:rPr>
          <w:rFonts w:eastAsia="Times New Roman" w:cs="Courier New"/>
          <w:sz w:val="24"/>
          <w:szCs w:val="24"/>
          <w:lang w:eastAsia="en-GB"/>
        </w:rPr>
        <w:t xml:space="preserve"> J </w:t>
      </w:r>
      <w:proofErr w:type="spellStart"/>
      <w:r w:rsidRPr="00B51AE9">
        <w:rPr>
          <w:rFonts w:eastAsia="Times New Roman" w:cs="Courier New"/>
          <w:sz w:val="24"/>
          <w:szCs w:val="24"/>
          <w:lang w:eastAsia="en-GB"/>
        </w:rPr>
        <w:t>Pharmacol</w:t>
      </w:r>
      <w:proofErr w:type="spellEnd"/>
      <w:r w:rsidRPr="00B51AE9">
        <w:rPr>
          <w:rFonts w:eastAsia="Times New Roman" w:cs="Courier New"/>
          <w:sz w:val="24"/>
          <w:szCs w:val="24"/>
          <w:lang w:eastAsia="en-GB"/>
        </w:rPr>
        <w:t xml:space="preserve">. </w:t>
      </w:r>
      <w:proofErr w:type="gramStart"/>
      <w:r w:rsidRPr="00B51AE9">
        <w:rPr>
          <w:rFonts w:eastAsia="Times New Roman" w:cs="Courier New"/>
          <w:sz w:val="24"/>
          <w:szCs w:val="24"/>
          <w:lang w:eastAsia="en-GB"/>
        </w:rPr>
        <w:t>2000 ;84:367</w:t>
      </w:r>
      <w:proofErr w:type="gramEnd"/>
      <w:r w:rsidRPr="00B51AE9">
        <w:rPr>
          <w:rFonts w:eastAsia="Times New Roman" w:cs="Courier New"/>
          <w:sz w:val="24"/>
          <w:szCs w:val="24"/>
          <w:lang w:eastAsia="en-GB"/>
        </w:rPr>
        <w:t>-73.</w:t>
      </w:r>
    </w:p>
    <w:p w:rsidR="00AA5D83" w:rsidRPr="00B51AE9" w:rsidRDefault="00AA5D83" w:rsidP="004C1DEE">
      <w:pPr>
        <w:pStyle w:val="HTMLPreformatted"/>
        <w:numPr>
          <w:ilvl w:val="0"/>
          <w:numId w:val="7"/>
        </w:numPr>
        <w:spacing w:line="480" w:lineRule="auto"/>
        <w:ind w:left="426" w:hanging="426"/>
        <w:rPr>
          <w:rFonts w:asciiTheme="minorHAnsi" w:hAnsiTheme="minorHAnsi"/>
          <w:sz w:val="24"/>
          <w:szCs w:val="24"/>
        </w:rPr>
      </w:pPr>
      <w:proofErr w:type="spellStart"/>
      <w:r w:rsidRPr="00B51AE9">
        <w:rPr>
          <w:rFonts w:asciiTheme="minorHAnsi" w:hAnsiTheme="minorHAnsi"/>
          <w:sz w:val="24"/>
          <w:szCs w:val="24"/>
        </w:rPr>
        <w:t>Bossaller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 C, Habib GB, Yamamoto H, Williams C, Wells S, Henry PD.  Impaired muscarinic endothelium-dependent relaxation and cyclic </w:t>
      </w:r>
      <w:proofErr w:type="spellStart"/>
      <w:r w:rsidRPr="00B51AE9">
        <w:rPr>
          <w:rFonts w:asciiTheme="minorHAnsi" w:hAnsiTheme="minorHAnsi"/>
          <w:sz w:val="24"/>
          <w:szCs w:val="24"/>
        </w:rPr>
        <w:t>guanosine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 5'-monophosphate formation in atherosclerotic human coronary artery and rabbit aorta. J </w:t>
      </w:r>
      <w:proofErr w:type="spellStart"/>
      <w:r w:rsidRPr="00B51AE9">
        <w:rPr>
          <w:rFonts w:asciiTheme="minorHAnsi" w:hAnsiTheme="minorHAnsi"/>
          <w:sz w:val="24"/>
          <w:szCs w:val="24"/>
        </w:rPr>
        <w:t>Clin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 Invest. </w:t>
      </w:r>
      <w:proofErr w:type="gramStart"/>
      <w:r w:rsidRPr="00B51AE9">
        <w:rPr>
          <w:rFonts w:asciiTheme="minorHAnsi" w:hAnsiTheme="minorHAnsi"/>
          <w:sz w:val="24"/>
          <w:szCs w:val="24"/>
        </w:rPr>
        <w:t>1987 ;79:170</w:t>
      </w:r>
      <w:proofErr w:type="gramEnd"/>
      <w:r w:rsidRPr="00B51AE9">
        <w:rPr>
          <w:rFonts w:asciiTheme="minorHAnsi" w:hAnsiTheme="minorHAnsi"/>
          <w:sz w:val="24"/>
          <w:szCs w:val="24"/>
        </w:rPr>
        <w:t>-4.</w:t>
      </w:r>
    </w:p>
    <w:p w:rsidR="00AA5D83" w:rsidRPr="00D37E8A" w:rsidRDefault="00AA5D83" w:rsidP="004C1DEE">
      <w:pPr>
        <w:pStyle w:val="HTMLPreformatted"/>
        <w:numPr>
          <w:ilvl w:val="0"/>
          <w:numId w:val="7"/>
        </w:numPr>
        <w:spacing w:line="480" w:lineRule="auto"/>
        <w:ind w:left="426" w:hanging="426"/>
        <w:rPr>
          <w:rFonts w:asciiTheme="minorHAnsi" w:hAnsiTheme="minorHAnsi"/>
          <w:sz w:val="24"/>
          <w:szCs w:val="24"/>
        </w:rPr>
      </w:pPr>
      <w:r w:rsidRPr="00D37E8A">
        <w:rPr>
          <w:rFonts w:asciiTheme="minorHAnsi" w:hAnsiTheme="minorHAnsi"/>
          <w:sz w:val="24"/>
          <w:szCs w:val="24"/>
        </w:rPr>
        <w:t xml:space="preserve">Wang LL, </w:t>
      </w:r>
      <w:proofErr w:type="spellStart"/>
      <w:r w:rsidRPr="00D37E8A">
        <w:rPr>
          <w:rFonts w:asciiTheme="minorHAnsi" w:hAnsiTheme="minorHAnsi"/>
          <w:sz w:val="24"/>
          <w:szCs w:val="24"/>
        </w:rPr>
        <w:t>Guo</w:t>
      </w:r>
      <w:proofErr w:type="spellEnd"/>
      <w:r w:rsidRPr="00D37E8A">
        <w:rPr>
          <w:rFonts w:asciiTheme="minorHAnsi" w:hAnsiTheme="minorHAnsi"/>
          <w:sz w:val="24"/>
          <w:szCs w:val="24"/>
        </w:rPr>
        <w:t xml:space="preserve"> Z, Han Y, Wang PF, Zhang RL, Zhao YL, Zhao FP, Zhao XY. Implication of Substance P in myocardial contractile function during ischemia in rats. </w:t>
      </w:r>
      <w:proofErr w:type="spellStart"/>
      <w:r w:rsidRPr="00D37E8A">
        <w:rPr>
          <w:rFonts w:asciiTheme="minorHAnsi" w:hAnsiTheme="minorHAnsi"/>
          <w:sz w:val="24"/>
          <w:szCs w:val="24"/>
        </w:rPr>
        <w:t>RegulPept</w:t>
      </w:r>
      <w:proofErr w:type="spellEnd"/>
      <w:r w:rsidRPr="00D37E8A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Pr="00D37E8A">
        <w:rPr>
          <w:rFonts w:asciiTheme="minorHAnsi" w:hAnsiTheme="minorHAnsi"/>
          <w:sz w:val="24"/>
          <w:szCs w:val="24"/>
        </w:rPr>
        <w:t>2011 ;167:185</w:t>
      </w:r>
      <w:proofErr w:type="gramEnd"/>
      <w:r w:rsidRPr="00D37E8A">
        <w:rPr>
          <w:rFonts w:asciiTheme="minorHAnsi" w:hAnsiTheme="minorHAnsi"/>
          <w:sz w:val="24"/>
          <w:szCs w:val="24"/>
        </w:rPr>
        <w:t xml:space="preserve">-91. </w:t>
      </w:r>
    </w:p>
    <w:p w:rsidR="00AA5D83" w:rsidRPr="00B51AE9" w:rsidRDefault="00AA5D83" w:rsidP="004C1DEE">
      <w:pPr>
        <w:pStyle w:val="HTMLPreformatted"/>
        <w:numPr>
          <w:ilvl w:val="0"/>
          <w:numId w:val="7"/>
        </w:numPr>
        <w:tabs>
          <w:tab w:val="clear" w:pos="916"/>
          <w:tab w:val="left" w:pos="426"/>
        </w:tabs>
        <w:spacing w:line="480" w:lineRule="auto"/>
        <w:ind w:left="426" w:hanging="426"/>
        <w:rPr>
          <w:rFonts w:asciiTheme="minorHAnsi" w:hAnsiTheme="minorHAnsi"/>
          <w:sz w:val="24"/>
          <w:szCs w:val="24"/>
        </w:rPr>
      </w:pPr>
      <w:proofErr w:type="spellStart"/>
      <w:r w:rsidRPr="00B51AE9">
        <w:rPr>
          <w:rFonts w:asciiTheme="minorHAnsi" w:hAnsiTheme="minorHAnsi"/>
          <w:sz w:val="24"/>
          <w:szCs w:val="24"/>
        </w:rPr>
        <w:t>Chiao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 H, Caldwell </w:t>
      </w:r>
      <w:proofErr w:type="spellStart"/>
      <w:r w:rsidRPr="00B51AE9">
        <w:rPr>
          <w:rFonts w:asciiTheme="minorHAnsi" w:hAnsiTheme="minorHAnsi"/>
          <w:sz w:val="24"/>
          <w:szCs w:val="24"/>
        </w:rPr>
        <w:t>RW.The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 role of substance P in myocardial dysfunction during ischemia </w:t>
      </w:r>
      <w:proofErr w:type="spellStart"/>
      <w:r w:rsidRPr="00B51AE9">
        <w:rPr>
          <w:rFonts w:asciiTheme="minorHAnsi" w:hAnsiTheme="minorHAnsi"/>
          <w:sz w:val="24"/>
          <w:szCs w:val="24"/>
        </w:rPr>
        <w:t>andreperfusion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. </w:t>
      </w:r>
      <w:proofErr w:type="spellStart"/>
      <w:r w:rsidRPr="00B51AE9">
        <w:rPr>
          <w:rFonts w:asciiTheme="minorHAnsi" w:hAnsiTheme="minorHAnsi"/>
          <w:sz w:val="24"/>
          <w:szCs w:val="24"/>
        </w:rPr>
        <w:t>NaunynSchmiedebergs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 Arch </w:t>
      </w:r>
      <w:proofErr w:type="spellStart"/>
      <w:r w:rsidRPr="00B51AE9">
        <w:rPr>
          <w:rFonts w:asciiTheme="minorHAnsi" w:hAnsiTheme="minorHAnsi"/>
          <w:sz w:val="24"/>
          <w:szCs w:val="24"/>
        </w:rPr>
        <w:t>Pharmacol</w:t>
      </w:r>
      <w:proofErr w:type="spellEnd"/>
      <w:r w:rsidRPr="00B51AE9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Pr="00B51AE9">
        <w:rPr>
          <w:rFonts w:asciiTheme="minorHAnsi" w:hAnsiTheme="minorHAnsi"/>
          <w:sz w:val="24"/>
          <w:szCs w:val="24"/>
        </w:rPr>
        <w:t>1996 ;353:400</w:t>
      </w:r>
      <w:proofErr w:type="gramEnd"/>
      <w:r w:rsidRPr="00B51AE9">
        <w:rPr>
          <w:rFonts w:asciiTheme="minorHAnsi" w:hAnsiTheme="minorHAnsi"/>
          <w:sz w:val="24"/>
          <w:szCs w:val="24"/>
        </w:rPr>
        <w:t>-7.</w:t>
      </w:r>
    </w:p>
    <w:p w:rsidR="004B72D3" w:rsidRPr="004B72D3" w:rsidRDefault="004B72D3" w:rsidP="004C1DEE">
      <w:pPr>
        <w:pStyle w:val="ListParagraph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480" w:lineRule="auto"/>
        <w:ind w:left="426" w:hanging="426"/>
        <w:rPr>
          <w:rFonts w:eastAsia="Times New Roman" w:cstheme="minorHAnsi"/>
          <w:sz w:val="24"/>
          <w:szCs w:val="24"/>
          <w:lang w:eastAsia="en-GB"/>
        </w:rPr>
      </w:pPr>
      <w:r w:rsidRPr="004B72D3">
        <w:rPr>
          <w:sz w:val="24"/>
          <w:szCs w:val="24"/>
        </w:rPr>
        <w:t xml:space="preserve">Jones S, Tucker KL, Sage T, Kaiser WJ, Barrett NE, Lowry PJ, Zimmer A, Hunt SP, Emerson M, </w:t>
      </w:r>
      <w:proofErr w:type="spellStart"/>
      <w:r w:rsidRPr="004B72D3">
        <w:rPr>
          <w:sz w:val="24"/>
          <w:szCs w:val="24"/>
        </w:rPr>
        <w:t>Gibbins</w:t>
      </w:r>
      <w:proofErr w:type="spellEnd"/>
      <w:r w:rsidRPr="004B72D3">
        <w:rPr>
          <w:sz w:val="24"/>
          <w:szCs w:val="24"/>
        </w:rPr>
        <w:t xml:space="preserve"> JM.  Peripheral </w:t>
      </w:r>
      <w:proofErr w:type="spellStart"/>
      <w:r w:rsidRPr="004B72D3">
        <w:rPr>
          <w:sz w:val="24"/>
          <w:szCs w:val="24"/>
        </w:rPr>
        <w:t>tachykinins</w:t>
      </w:r>
      <w:proofErr w:type="spellEnd"/>
      <w:r w:rsidRPr="004B72D3">
        <w:rPr>
          <w:sz w:val="24"/>
          <w:szCs w:val="24"/>
        </w:rPr>
        <w:t xml:space="preserve"> and the </w:t>
      </w:r>
      <w:proofErr w:type="spellStart"/>
      <w:r w:rsidRPr="004B72D3">
        <w:rPr>
          <w:sz w:val="24"/>
          <w:szCs w:val="24"/>
        </w:rPr>
        <w:t>neurokinin</w:t>
      </w:r>
      <w:proofErr w:type="spellEnd"/>
      <w:r w:rsidRPr="004B72D3">
        <w:rPr>
          <w:sz w:val="24"/>
          <w:szCs w:val="24"/>
        </w:rPr>
        <w:t xml:space="preserve"> receptor NK1 are required for platelet thrombus formation.  Blood. 2008</w:t>
      </w:r>
      <w:proofErr w:type="gramStart"/>
      <w:r w:rsidRPr="004B72D3">
        <w:rPr>
          <w:sz w:val="24"/>
          <w:szCs w:val="24"/>
        </w:rPr>
        <w:t>;111</w:t>
      </w:r>
      <w:proofErr w:type="gramEnd"/>
      <w:r w:rsidR="007E3351">
        <w:rPr>
          <w:sz w:val="24"/>
          <w:szCs w:val="24"/>
        </w:rPr>
        <w:t xml:space="preserve">: </w:t>
      </w:r>
      <w:r w:rsidRPr="004B72D3">
        <w:rPr>
          <w:sz w:val="24"/>
          <w:szCs w:val="24"/>
        </w:rPr>
        <w:t xml:space="preserve">605-12. </w:t>
      </w:r>
    </w:p>
    <w:p w:rsidR="004B72D3" w:rsidRPr="004B72D3" w:rsidRDefault="004B72D3" w:rsidP="004C1DEE">
      <w:pPr>
        <w:pStyle w:val="ListParagraph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480" w:lineRule="auto"/>
        <w:ind w:left="426" w:hanging="426"/>
        <w:rPr>
          <w:rFonts w:eastAsia="Times New Roman" w:cstheme="minorHAnsi"/>
          <w:sz w:val="24"/>
          <w:szCs w:val="24"/>
          <w:lang w:eastAsia="en-GB"/>
        </w:rPr>
      </w:pPr>
      <w:r w:rsidRPr="004B72D3">
        <w:rPr>
          <w:rFonts w:eastAsia="Times New Roman" w:cstheme="minorHAnsi"/>
          <w:sz w:val="24"/>
          <w:szCs w:val="24"/>
          <w:lang w:eastAsia="en-GB"/>
        </w:rPr>
        <w:t xml:space="preserve">Reed KL, </w:t>
      </w:r>
      <w:proofErr w:type="spellStart"/>
      <w:r w:rsidRPr="004B72D3">
        <w:rPr>
          <w:rFonts w:eastAsia="Times New Roman" w:cstheme="minorHAnsi"/>
          <w:sz w:val="24"/>
          <w:szCs w:val="24"/>
          <w:lang w:eastAsia="en-GB"/>
        </w:rPr>
        <w:t>Fruin</w:t>
      </w:r>
      <w:proofErr w:type="spellEnd"/>
      <w:r w:rsidRPr="004B72D3">
        <w:rPr>
          <w:rFonts w:eastAsia="Times New Roman" w:cstheme="minorHAnsi"/>
          <w:sz w:val="24"/>
          <w:szCs w:val="24"/>
          <w:lang w:eastAsia="en-GB"/>
        </w:rPr>
        <w:t xml:space="preserve"> AB, Gower AC, </w:t>
      </w:r>
      <w:proofErr w:type="spellStart"/>
      <w:r w:rsidRPr="004B72D3">
        <w:rPr>
          <w:rFonts w:eastAsia="Times New Roman" w:cstheme="minorHAnsi"/>
          <w:sz w:val="24"/>
          <w:szCs w:val="24"/>
          <w:lang w:eastAsia="en-GB"/>
        </w:rPr>
        <w:t>Stucchi</w:t>
      </w:r>
      <w:proofErr w:type="spellEnd"/>
      <w:r w:rsidRPr="004B72D3">
        <w:rPr>
          <w:rFonts w:eastAsia="Times New Roman" w:cstheme="minorHAnsi"/>
          <w:sz w:val="24"/>
          <w:szCs w:val="24"/>
          <w:lang w:eastAsia="en-GB"/>
        </w:rPr>
        <w:t xml:space="preserve"> AF, </w:t>
      </w:r>
      <w:proofErr w:type="spellStart"/>
      <w:r w:rsidRPr="004B72D3">
        <w:rPr>
          <w:rFonts w:eastAsia="Times New Roman" w:cstheme="minorHAnsi"/>
          <w:sz w:val="24"/>
          <w:szCs w:val="24"/>
          <w:lang w:eastAsia="en-GB"/>
        </w:rPr>
        <w:t>Leeman</w:t>
      </w:r>
      <w:proofErr w:type="spellEnd"/>
      <w:r w:rsidRPr="004B72D3">
        <w:rPr>
          <w:rFonts w:eastAsia="Times New Roman" w:cstheme="minorHAnsi"/>
          <w:sz w:val="24"/>
          <w:szCs w:val="24"/>
          <w:lang w:eastAsia="en-GB"/>
        </w:rPr>
        <w:t xml:space="preserve"> SE, Becker JM.  A </w:t>
      </w:r>
      <w:proofErr w:type="spellStart"/>
      <w:r w:rsidRPr="004B72D3">
        <w:rPr>
          <w:rFonts w:eastAsia="Times New Roman" w:cstheme="minorHAnsi"/>
          <w:sz w:val="24"/>
          <w:szCs w:val="24"/>
          <w:lang w:eastAsia="en-GB"/>
        </w:rPr>
        <w:t>neurokinin</w:t>
      </w:r>
      <w:proofErr w:type="spellEnd"/>
      <w:r w:rsidRPr="004B72D3">
        <w:rPr>
          <w:rFonts w:eastAsia="Times New Roman" w:cstheme="minorHAnsi"/>
          <w:sz w:val="24"/>
          <w:szCs w:val="24"/>
          <w:lang w:eastAsia="en-GB"/>
        </w:rPr>
        <w:t xml:space="preserve"> 1 receptor antagonist decreases postoperative peritoneal adhesion formation and increases peritoneal </w:t>
      </w:r>
      <w:proofErr w:type="spellStart"/>
      <w:r w:rsidRPr="004B72D3">
        <w:rPr>
          <w:rFonts w:eastAsia="Times New Roman" w:cstheme="minorHAnsi"/>
          <w:sz w:val="24"/>
          <w:szCs w:val="24"/>
          <w:lang w:eastAsia="en-GB"/>
        </w:rPr>
        <w:t>fibrinolytic</w:t>
      </w:r>
      <w:proofErr w:type="spellEnd"/>
      <w:r w:rsidRPr="004B72D3">
        <w:rPr>
          <w:rFonts w:eastAsia="Times New Roman" w:cstheme="minorHAnsi"/>
          <w:sz w:val="24"/>
          <w:szCs w:val="24"/>
          <w:lang w:eastAsia="en-GB"/>
        </w:rPr>
        <w:t xml:space="preserve"> activity. </w:t>
      </w:r>
      <w:proofErr w:type="spellStart"/>
      <w:r w:rsidRPr="004B72D3">
        <w:rPr>
          <w:rFonts w:eastAsia="Times New Roman" w:cstheme="minorHAnsi"/>
          <w:sz w:val="24"/>
          <w:szCs w:val="24"/>
          <w:lang w:eastAsia="en-GB"/>
        </w:rPr>
        <w:t>ProcNatlAcadSci</w:t>
      </w:r>
      <w:proofErr w:type="spellEnd"/>
      <w:r w:rsidRPr="004B72D3">
        <w:rPr>
          <w:rFonts w:eastAsia="Times New Roman" w:cstheme="minorHAnsi"/>
          <w:sz w:val="24"/>
          <w:szCs w:val="24"/>
          <w:lang w:eastAsia="en-GB"/>
        </w:rPr>
        <w:t xml:space="preserve"> U S A. </w:t>
      </w:r>
      <w:proofErr w:type="gramStart"/>
      <w:r w:rsidRPr="004B72D3">
        <w:rPr>
          <w:rFonts w:eastAsia="Times New Roman" w:cstheme="minorHAnsi"/>
          <w:sz w:val="24"/>
          <w:szCs w:val="24"/>
          <w:lang w:eastAsia="en-GB"/>
        </w:rPr>
        <w:t>2004 ;</w:t>
      </w:r>
      <w:proofErr w:type="gramEnd"/>
      <w:r w:rsidRPr="004B72D3">
        <w:rPr>
          <w:rFonts w:eastAsia="Times New Roman" w:cstheme="minorHAnsi"/>
          <w:sz w:val="24"/>
          <w:szCs w:val="24"/>
          <w:lang w:eastAsia="en-GB"/>
        </w:rPr>
        <w:t xml:space="preserve"> 101 : 9115-20. </w:t>
      </w:r>
    </w:p>
    <w:p w:rsidR="004B72D3" w:rsidRPr="00F605C1" w:rsidRDefault="004B72D3" w:rsidP="004C1DEE">
      <w:pPr>
        <w:pStyle w:val="HTMLPreformatted"/>
        <w:numPr>
          <w:ilvl w:val="0"/>
          <w:numId w:val="7"/>
        </w:numPr>
        <w:tabs>
          <w:tab w:val="clear" w:pos="916"/>
          <w:tab w:val="left" w:pos="426"/>
        </w:tabs>
        <w:spacing w:line="48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proofErr w:type="spellStart"/>
      <w:r w:rsidRPr="00F605C1">
        <w:rPr>
          <w:rFonts w:asciiTheme="minorHAnsi" w:hAnsiTheme="minorHAnsi" w:cstheme="minorHAnsi"/>
          <w:sz w:val="24"/>
          <w:szCs w:val="24"/>
        </w:rPr>
        <w:t>Azma</w:t>
      </w:r>
      <w:proofErr w:type="spellEnd"/>
      <w:r w:rsidRPr="00F605C1">
        <w:rPr>
          <w:rFonts w:asciiTheme="minorHAnsi" w:hAnsiTheme="minorHAnsi" w:cstheme="minorHAnsi"/>
          <w:sz w:val="24"/>
          <w:szCs w:val="24"/>
        </w:rPr>
        <w:t xml:space="preserve"> T, Sugimoto Y, Kinoshita H, et al.  Detection of the full-length transcript variant for neurokinin-1 receptor in human whole blood associated with enhanced reinforcement of clot by substance-P. J </w:t>
      </w:r>
      <w:proofErr w:type="spellStart"/>
      <w:r w:rsidRPr="00F605C1">
        <w:rPr>
          <w:rFonts w:asciiTheme="minorHAnsi" w:hAnsiTheme="minorHAnsi" w:cstheme="minorHAnsi"/>
          <w:sz w:val="24"/>
          <w:szCs w:val="24"/>
        </w:rPr>
        <w:t>Thromb</w:t>
      </w:r>
      <w:proofErr w:type="spellEnd"/>
      <w:r w:rsidRPr="00F605C1">
        <w:rPr>
          <w:rFonts w:asciiTheme="minorHAnsi" w:hAnsiTheme="minorHAnsi" w:cstheme="minorHAnsi"/>
          <w:sz w:val="24"/>
          <w:szCs w:val="24"/>
        </w:rPr>
        <w:t xml:space="preserve"> Thrombolysis. </w:t>
      </w:r>
      <w:proofErr w:type="gramStart"/>
      <w:r w:rsidRPr="00F605C1">
        <w:rPr>
          <w:rFonts w:asciiTheme="minorHAnsi" w:hAnsiTheme="minorHAnsi" w:cstheme="minorHAnsi"/>
          <w:sz w:val="24"/>
          <w:szCs w:val="24"/>
        </w:rPr>
        <w:t>2012 ;</w:t>
      </w:r>
      <w:proofErr w:type="gramEnd"/>
      <w:r w:rsidRPr="00F605C1">
        <w:rPr>
          <w:rFonts w:asciiTheme="minorHAnsi" w:hAnsiTheme="minorHAnsi" w:cstheme="minorHAnsi"/>
          <w:sz w:val="24"/>
          <w:szCs w:val="24"/>
        </w:rPr>
        <w:t xml:space="preserve"> 33 :329-37. </w:t>
      </w:r>
    </w:p>
    <w:p w:rsidR="00AA5D83" w:rsidRDefault="00AA5D83" w:rsidP="004C1DEE">
      <w:pPr>
        <w:pStyle w:val="HTMLPreformatted"/>
        <w:numPr>
          <w:ilvl w:val="0"/>
          <w:numId w:val="7"/>
        </w:numPr>
        <w:tabs>
          <w:tab w:val="clear" w:pos="916"/>
          <w:tab w:val="left" w:pos="426"/>
        </w:tabs>
        <w:spacing w:line="480" w:lineRule="auto"/>
        <w:ind w:left="426" w:hanging="426"/>
        <w:rPr>
          <w:rFonts w:asciiTheme="minorHAnsi" w:hAnsiTheme="minorHAnsi"/>
          <w:sz w:val="24"/>
          <w:szCs w:val="24"/>
        </w:rPr>
      </w:pPr>
      <w:proofErr w:type="spellStart"/>
      <w:r w:rsidRPr="00901138">
        <w:rPr>
          <w:rFonts w:asciiTheme="minorHAnsi" w:hAnsiTheme="minorHAnsi"/>
          <w:sz w:val="24"/>
          <w:szCs w:val="24"/>
        </w:rPr>
        <w:lastRenderedPageBreak/>
        <w:t>Morrey</w:t>
      </w:r>
      <w:proofErr w:type="spellEnd"/>
      <w:r w:rsidRPr="00901138">
        <w:rPr>
          <w:rFonts w:asciiTheme="minorHAnsi" w:hAnsiTheme="minorHAnsi"/>
          <w:sz w:val="24"/>
          <w:szCs w:val="24"/>
        </w:rPr>
        <w:t xml:space="preserve"> C, </w:t>
      </w:r>
      <w:proofErr w:type="spellStart"/>
      <w:r w:rsidRPr="00901138">
        <w:rPr>
          <w:rFonts w:asciiTheme="minorHAnsi" w:hAnsiTheme="minorHAnsi"/>
          <w:sz w:val="24"/>
          <w:szCs w:val="24"/>
        </w:rPr>
        <w:t>Brazin</w:t>
      </w:r>
      <w:proofErr w:type="spellEnd"/>
      <w:r w:rsidRPr="00901138">
        <w:rPr>
          <w:rFonts w:asciiTheme="minorHAnsi" w:hAnsiTheme="minorHAnsi"/>
          <w:sz w:val="24"/>
          <w:szCs w:val="24"/>
        </w:rPr>
        <w:t xml:space="preserve"> J, </w:t>
      </w:r>
      <w:proofErr w:type="spellStart"/>
      <w:r w:rsidRPr="00901138">
        <w:rPr>
          <w:rFonts w:asciiTheme="minorHAnsi" w:hAnsiTheme="minorHAnsi"/>
          <w:sz w:val="24"/>
          <w:szCs w:val="24"/>
        </w:rPr>
        <w:t>Seyedi</w:t>
      </w:r>
      <w:proofErr w:type="spellEnd"/>
      <w:r w:rsidRPr="00901138">
        <w:rPr>
          <w:rFonts w:asciiTheme="minorHAnsi" w:hAnsiTheme="minorHAnsi"/>
          <w:sz w:val="24"/>
          <w:szCs w:val="24"/>
        </w:rPr>
        <w:t xml:space="preserve"> N, </w:t>
      </w:r>
      <w:proofErr w:type="spellStart"/>
      <w:r w:rsidRPr="00901138">
        <w:rPr>
          <w:rFonts w:asciiTheme="minorHAnsi" w:hAnsiTheme="minorHAnsi"/>
          <w:sz w:val="24"/>
          <w:szCs w:val="24"/>
        </w:rPr>
        <w:t>Corti</w:t>
      </w:r>
      <w:proofErr w:type="spellEnd"/>
      <w:r w:rsidRPr="00901138">
        <w:rPr>
          <w:rFonts w:asciiTheme="minorHAnsi" w:hAnsiTheme="minorHAnsi"/>
          <w:sz w:val="24"/>
          <w:szCs w:val="24"/>
        </w:rPr>
        <w:t xml:space="preserve"> F, Silver RB, Levi R. Interaction between sensory C-</w:t>
      </w:r>
      <w:proofErr w:type="spellStart"/>
      <w:r w:rsidRPr="00901138">
        <w:rPr>
          <w:rFonts w:asciiTheme="minorHAnsi" w:hAnsiTheme="minorHAnsi"/>
          <w:sz w:val="24"/>
          <w:szCs w:val="24"/>
        </w:rPr>
        <w:t>fibers</w:t>
      </w:r>
      <w:proofErr w:type="spellEnd"/>
      <w:r w:rsidRPr="00901138">
        <w:rPr>
          <w:rFonts w:asciiTheme="minorHAnsi" w:hAnsiTheme="minorHAnsi"/>
          <w:sz w:val="24"/>
          <w:szCs w:val="24"/>
        </w:rPr>
        <w:t xml:space="preserve"> and cardiac mast cells in ischemia/reperfusion: activation of a local renin-angiotensin system culminating in severe arrhythmic dysfunction.  J </w:t>
      </w:r>
      <w:proofErr w:type="spellStart"/>
      <w:r w:rsidRPr="00901138">
        <w:rPr>
          <w:rFonts w:asciiTheme="minorHAnsi" w:hAnsiTheme="minorHAnsi"/>
          <w:sz w:val="24"/>
          <w:szCs w:val="24"/>
        </w:rPr>
        <w:t>PharmacolExpTher</w:t>
      </w:r>
      <w:proofErr w:type="spellEnd"/>
      <w:r w:rsidRPr="00901138">
        <w:rPr>
          <w:rFonts w:asciiTheme="minorHAnsi" w:hAnsiTheme="minorHAnsi"/>
          <w:sz w:val="24"/>
          <w:szCs w:val="24"/>
        </w:rPr>
        <w:t xml:space="preserve">. </w:t>
      </w:r>
      <w:proofErr w:type="gramStart"/>
      <w:r w:rsidRPr="00901138">
        <w:rPr>
          <w:rFonts w:asciiTheme="minorHAnsi" w:hAnsiTheme="minorHAnsi"/>
          <w:sz w:val="24"/>
          <w:szCs w:val="24"/>
        </w:rPr>
        <w:t>2010 ;335:76</w:t>
      </w:r>
      <w:proofErr w:type="gramEnd"/>
      <w:r w:rsidRPr="00901138">
        <w:rPr>
          <w:rFonts w:asciiTheme="minorHAnsi" w:hAnsiTheme="minorHAnsi"/>
          <w:sz w:val="24"/>
          <w:szCs w:val="24"/>
        </w:rPr>
        <w:t xml:space="preserve">-84. </w:t>
      </w:r>
    </w:p>
    <w:p w:rsidR="00AA5D83" w:rsidRPr="00B10CF7" w:rsidRDefault="00AA5D83" w:rsidP="004C1DEE">
      <w:pPr>
        <w:pStyle w:val="HTMLPreformatted"/>
        <w:numPr>
          <w:ilvl w:val="0"/>
          <w:numId w:val="7"/>
        </w:numPr>
        <w:spacing w:line="480" w:lineRule="auto"/>
        <w:ind w:left="426" w:hanging="426"/>
        <w:rPr>
          <w:rFonts w:asciiTheme="minorHAnsi" w:hAnsiTheme="minorHAnsi"/>
          <w:sz w:val="24"/>
          <w:szCs w:val="24"/>
        </w:rPr>
      </w:pPr>
      <w:proofErr w:type="spellStart"/>
      <w:r w:rsidRPr="00B10CF7">
        <w:rPr>
          <w:rFonts w:asciiTheme="minorHAnsi" w:hAnsiTheme="minorHAnsi"/>
          <w:sz w:val="24"/>
          <w:szCs w:val="24"/>
        </w:rPr>
        <w:t>Guo</w:t>
      </w:r>
      <w:proofErr w:type="spellEnd"/>
      <w:r w:rsidRPr="00B10CF7">
        <w:rPr>
          <w:rFonts w:asciiTheme="minorHAnsi" w:hAnsiTheme="minorHAnsi"/>
          <w:sz w:val="24"/>
          <w:szCs w:val="24"/>
        </w:rPr>
        <w:t xml:space="preserve"> Z, Wang XP, Wang JP, Zhou RH, Wang LL, Wu J.  Up-regulation of substance P in the lungs during acute myocardial ischemia and infarction in rats. </w:t>
      </w:r>
      <w:proofErr w:type="spellStart"/>
      <w:r w:rsidRPr="00B10CF7">
        <w:rPr>
          <w:rFonts w:asciiTheme="minorHAnsi" w:hAnsiTheme="minorHAnsi"/>
          <w:sz w:val="24"/>
          <w:szCs w:val="24"/>
        </w:rPr>
        <w:t>RegulPept</w:t>
      </w:r>
      <w:proofErr w:type="spellEnd"/>
      <w:r w:rsidRPr="00B10CF7">
        <w:rPr>
          <w:rFonts w:asciiTheme="minorHAnsi" w:hAnsiTheme="minorHAnsi"/>
          <w:sz w:val="24"/>
          <w:szCs w:val="24"/>
        </w:rPr>
        <w:t>. 2010</w:t>
      </w:r>
      <w:proofErr w:type="gramStart"/>
      <w:r w:rsidRPr="00B10CF7">
        <w:rPr>
          <w:rFonts w:asciiTheme="minorHAnsi" w:hAnsiTheme="minorHAnsi"/>
          <w:sz w:val="24"/>
          <w:szCs w:val="24"/>
        </w:rPr>
        <w:t>;160:160</w:t>
      </w:r>
      <w:proofErr w:type="gramEnd"/>
      <w:r w:rsidRPr="00B10CF7">
        <w:rPr>
          <w:rFonts w:asciiTheme="minorHAnsi" w:hAnsiTheme="minorHAnsi"/>
          <w:sz w:val="24"/>
          <w:szCs w:val="24"/>
        </w:rPr>
        <w:t xml:space="preserve">-7. </w:t>
      </w:r>
    </w:p>
    <w:p w:rsidR="00AA5D83" w:rsidRDefault="00AA5D83" w:rsidP="004C1DE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ind w:left="426" w:hanging="426"/>
        <w:rPr>
          <w:rFonts w:cs="AdvTT5235d5a9"/>
          <w:color w:val="231F20"/>
          <w:sz w:val="24"/>
          <w:szCs w:val="24"/>
        </w:rPr>
      </w:pPr>
      <w:r w:rsidRPr="00A50AF3">
        <w:rPr>
          <w:rFonts w:cs="AdvTT5235d5a9"/>
          <w:color w:val="231F20"/>
          <w:sz w:val="24"/>
          <w:szCs w:val="24"/>
        </w:rPr>
        <w:t xml:space="preserve">Conlon, J.M., Sheehan, L. Conversion of substance P to C-terminal fragments in human plasma. </w:t>
      </w:r>
      <w:proofErr w:type="spellStart"/>
      <w:r w:rsidRPr="00A50AF3">
        <w:rPr>
          <w:rFonts w:cs="AdvTT5235d5a9"/>
          <w:color w:val="231F20"/>
          <w:sz w:val="24"/>
          <w:szCs w:val="24"/>
        </w:rPr>
        <w:t>Regul</w:t>
      </w:r>
      <w:proofErr w:type="spellEnd"/>
      <w:r w:rsidRPr="00A50AF3">
        <w:rPr>
          <w:rFonts w:cs="AdvTT5235d5a9"/>
          <w:color w:val="231F20"/>
          <w:sz w:val="24"/>
          <w:szCs w:val="24"/>
        </w:rPr>
        <w:t xml:space="preserve">. </w:t>
      </w:r>
      <w:proofErr w:type="spellStart"/>
      <w:r w:rsidRPr="00A50AF3">
        <w:rPr>
          <w:rFonts w:cs="AdvTT5235d5a9"/>
          <w:color w:val="231F20"/>
          <w:sz w:val="24"/>
          <w:szCs w:val="24"/>
        </w:rPr>
        <w:t>Pept</w:t>
      </w:r>
      <w:proofErr w:type="spellEnd"/>
      <w:r w:rsidRPr="00A50AF3">
        <w:rPr>
          <w:rFonts w:cs="AdvTT5235d5a9"/>
          <w:color w:val="231F20"/>
          <w:sz w:val="24"/>
          <w:szCs w:val="24"/>
        </w:rPr>
        <w:t xml:space="preserve">. 1983; </w:t>
      </w:r>
      <w:proofErr w:type="gramStart"/>
      <w:r w:rsidRPr="00A50AF3">
        <w:rPr>
          <w:rFonts w:cs="AdvTT5235d5a9"/>
          <w:color w:val="231F20"/>
          <w:sz w:val="24"/>
          <w:szCs w:val="24"/>
        </w:rPr>
        <w:t>7 :</w:t>
      </w:r>
      <w:proofErr w:type="gramEnd"/>
      <w:r w:rsidRPr="00A50AF3">
        <w:rPr>
          <w:rFonts w:cs="AdvTT5235d5a9"/>
          <w:color w:val="231F20"/>
          <w:sz w:val="24"/>
          <w:szCs w:val="24"/>
        </w:rPr>
        <w:t xml:space="preserve"> 335</w:t>
      </w:r>
      <w:r w:rsidRPr="00A50AF3">
        <w:rPr>
          <w:rFonts w:cs="AdvTT5235d5a9+20"/>
          <w:color w:val="231F20"/>
          <w:sz w:val="24"/>
          <w:szCs w:val="24"/>
        </w:rPr>
        <w:t>–</w:t>
      </w:r>
      <w:r w:rsidRPr="00A50AF3">
        <w:rPr>
          <w:rFonts w:cs="AdvTT5235d5a9"/>
          <w:color w:val="231F20"/>
          <w:sz w:val="24"/>
          <w:szCs w:val="24"/>
        </w:rPr>
        <w:t>345.</w:t>
      </w:r>
    </w:p>
    <w:p w:rsidR="00AA5D83" w:rsidRPr="00A50AF3" w:rsidRDefault="00AA5D83" w:rsidP="004C1DE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480" w:lineRule="auto"/>
        <w:ind w:left="426" w:hanging="426"/>
        <w:rPr>
          <w:rFonts w:cs="AdvTT5235d5a9"/>
          <w:color w:val="231F20"/>
          <w:sz w:val="24"/>
          <w:szCs w:val="24"/>
        </w:rPr>
      </w:pPr>
      <w:r w:rsidRPr="00A50AF3">
        <w:rPr>
          <w:rFonts w:cs="AdvTT5235d5a9"/>
          <w:color w:val="231F20"/>
          <w:sz w:val="24"/>
          <w:szCs w:val="24"/>
        </w:rPr>
        <w:t xml:space="preserve">Ernst, A., Suhr, J., </w:t>
      </w:r>
      <w:proofErr w:type="spellStart"/>
      <w:r w:rsidRPr="00A50AF3">
        <w:rPr>
          <w:rFonts w:cs="AdvTT5235d5a9"/>
          <w:color w:val="231F20"/>
          <w:sz w:val="24"/>
          <w:szCs w:val="24"/>
        </w:rPr>
        <w:t>Kohrle</w:t>
      </w:r>
      <w:proofErr w:type="spellEnd"/>
      <w:r w:rsidRPr="00A50AF3">
        <w:rPr>
          <w:rFonts w:cs="AdvTT5235d5a9"/>
          <w:color w:val="231F20"/>
          <w:sz w:val="24"/>
          <w:szCs w:val="24"/>
        </w:rPr>
        <w:t xml:space="preserve">, J., Bergmann, </w:t>
      </w:r>
      <w:proofErr w:type="spellStart"/>
      <w:r w:rsidRPr="00A50AF3">
        <w:rPr>
          <w:rFonts w:cs="AdvTT5235d5a9"/>
          <w:color w:val="231F20"/>
          <w:sz w:val="24"/>
          <w:szCs w:val="24"/>
        </w:rPr>
        <w:t>A.Detection</w:t>
      </w:r>
      <w:proofErr w:type="spellEnd"/>
      <w:r w:rsidRPr="00A50AF3">
        <w:rPr>
          <w:rFonts w:cs="AdvTT5235d5a9"/>
          <w:color w:val="231F20"/>
          <w:sz w:val="24"/>
          <w:szCs w:val="24"/>
        </w:rPr>
        <w:t xml:space="preserve"> of stable N-terminal </w:t>
      </w:r>
      <w:proofErr w:type="spellStart"/>
      <w:r w:rsidRPr="00A50AF3">
        <w:rPr>
          <w:rFonts w:cs="AdvTT5235d5a9"/>
          <w:color w:val="231F20"/>
          <w:sz w:val="24"/>
          <w:szCs w:val="24"/>
        </w:rPr>
        <w:t>protachykininAimmunoreactivity</w:t>
      </w:r>
      <w:proofErr w:type="spellEnd"/>
      <w:r w:rsidRPr="00A50AF3">
        <w:rPr>
          <w:rFonts w:cs="AdvTT5235d5a9"/>
          <w:color w:val="231F20"/>
          <w:sz w:val="24"/>
          <w:szCs w:val="24"/>
        </w:rPr>
        <w:t xml:space="preserve"> in human plasma and cerebrospinal </w:t>
      </w:r>
      <w:proofErr w:type="spellStart"/>
      <w:r w:rsidRPr="00A50AF3">
        <w:rPr>
          <w:rFonts w:cs="AdvTT5235d5a9+fb"/>
          <w:color w:val="231F20"/>
          <w:sz w:val="24"/>
          <w:szCs w:val="24"/>
        </w:rPr>
        <w:t>fl</w:t>
      </w:r>
      <w:r w:rsidRPr="00A50AF3">
        <w:rPr>
          <w:rFonts w:cs="AdvTT5235d5a9"/>
          <w:color w:val="231F20"/>
          <w:sz w:val="24"/>
          <w:szCs w:val="24"/>
        </w:rPr>
        <w:t>uid.Peptides</w:t>
      </w:r>
      <w:proofErr w:type="spellEnd"/>
      <w:r w:rsidRPr="00A50AF3">
        <w:rPr>
          <w:rFonts w:cs="AdvTT5235d5a9"/>
          <w:color w:val="231F20"/>
          <w:sz w:val="24"/>
          <w:szCs w:val="24"/>
        </w:rPr>
        <w:t xml:space="preserve"> </w:t>
      </w:r>
      <w:r>
        <w:rPr>
          <w:rFonts w:cs="AdvTT5235d5a9"/>
          <w:color w:val="231F20"/>
          <w:sz w:val="24"/>
          <w:szCs w:val="24"/>
        </w:rPr>
        <w:t>2008</w:t>
      </w:r>
      <w:proofErr w:type="gramStart"/>
      <w:r>
        <w:rPr>
          <w:rFonts w:cs="AdvTT5235d5a9"/>
          <w:color w:val="231F20"/>
          <w:sz w:val="24"/>
          <w:szCs w:val="24"/>
        </w:rPr>
        <w:t xml:space="preserve">;  </w:t>
      </w:r>
      <w:r w:rsidRPr="00A50AF3">
        <w:rPr>
          <w:rFonts w:cs="AdvTT5235d5a9"/>
          <w:color w:val="231F20"/>
          <w:sz w:val="24"/>
          <w:szCs w:val="24"/>
        </w:rPr>
        <w:t>29</w:t>
      </w:r>
      <w:proofErr w:type="gramEnd"/>
      <w:r>
        <w:rPr>
          <w:rFonts w:cs="AdvTT5235d5a9"/>
          <w:color w:val="231F20"/>
          <w:sz w:val="24"/>
          <w:szCs w:val="24"/>
        </w:rPr>
        <w:t xml:space="preserve"> :</w:t>
      </w:r>
      <w:r w:rsidRPr="00A50AF3">
        <w:rPr>
          <w:rFonts w:cs="AdvTT5235d5a9"/>
          <w:color w:val="231F20"/>
          <w:sz w:val="24"/>
          <w:szCs w:val="24"/>
        </w:rPr>
        <w:t xml:space="preserve"> 1201</w:t>
      </w:r>
      <w:r w:rsidRPr="00A50AF3">
        <w:rPr>
          <w:rFonts w:cs="AdvTT5235d5a9+20"/>
          <w:color w:val="231F20"/>
          <w:sz w:val="24"/>
          <w:szCs w:val="24"/>
        </w:rPr>
        <w:t>–</w:t>
      </w:r>
      <w:r w:rsidRPr="00A50AF3">
        <w:rPr>
          <w:rFonts w:cs="AdvTT5235d5a9"/>
          <w:color w:val="231F20"/>
          <w:sz w:val="24"/>
          <w:szCs w:val="24"/>
        </w:rPr>
        <w:t>1206.</w:t>
      </w:r>
    </w:p>
    <w:p w:rsidR="00AA5D83" w:rsidRPr="00C91D07" w:rsidRDefault="00AA5D83" w:rsidP="004C1DEE">
      <w:pPr>
        <w:pStyle w:val="ListParagraph"/>
        <w:numPr>
          <w:ilvl w:val="0"/>
          <w:numId w:val="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480" w:lineRule="auto"/>
        <w:ind w:left="426" w:hanging="426"/>
        <w:contextualSpacing w:val="0"/>
        <w:rPr>
          <w:rFonts w:cstheme="minorHAnsi"/>
          <w:sz w:val="24"/>
          <w:szCs w:val="24"/>
        </w:rPr>
      </w:pPr>
      <w:proofErr w:type="spellStart"/>
      <w:r w:rsidRPr="00C91D07">
        <w:rPr>
          <w:rFonts w:cstheme="minorHAnsi"/>
          <w:sz w:val="24"/>
          <w:szCs w:val="24"/>
        </w:rPr>
        <w:t>Thygesen</w:t>
      </w:r>
      <w:proofErr w:type="spellEnd"/>
      <w:r w:rsidRPr="00C91D07">
        <w:rPr>
          <w:rFonts w:cstheme="minorHAnsi"/>
          <w:sz w:val="24"/>
          <w:szCs w:val="24"/>
        </w:rPr>
        <w:t xml:space="preserve"> K, Alpert JS, White HD; Joint ESC/ACCF/AHA/WHF Task Force for the Redefinition of Myocardial Infarction. Universal definition of myocardial infarction. </w:t>
      </w:r>
      <w:r w:rsidRPr="00C91D07">
        <w:rPr>
          <w:rFonts w:cstheme="minorHAnsi"/>
          <w:iCs/>
          <w:sz w:val="24"/>
          <w:szCs w:val="24"/>
        </w:rPr>
        <w:t>Circulation</w:t>
      </w:r>
      <w:r w:rsidRPr="00C91D07">
        <w:rPr>
          <w:rFonts w:cstheme="minorHAnsi"/>
          <w:sz w:val="24"/>
          <w:szCs w:val="24"/>
        </w:rPr>
        <w:t xml:space="preserve"> 2007</w:t>
      </w:r>
      <w:proofErr w:type="gramStart"/>
      <w:r w:rsidRPr="00C91D07">
        <w:rPr>
          <w:rFonts w:cstheme="minorHAnsi"/>
          <w:sz w:val="24"/>
          <w:szCs w:val="24"/>
        </w:rPr>
        <w:t>;</w:t>
      </w:r>
      <w:r w:rsidRPr="00C91D07">
        <w:rPr>
          <w:rStyle w:val="volume"/>
          <w:rFonts w:cstheme="minorHAnsi"/>
          <w:sz w:val="24"/>
          <w:szCs w:val="24"/>
        </w:rPr>
        <w:t>116</w:t>
      </w:r>
      <w:r w:rsidRPr="00C91D07">
        <w:rPr>
          <w:rFonts w:cstheme="minorHAnsi"/>
          <w:sz w:val="24"/>
          <w:szCs w:val="24"/>
        </w:rPr>
        <w:t>:</w:t>
      </w:r>
      <w:r w:rsidRPr="00C91D07">
        <w:rPr>
          <w:rStyle w:val="pages"/>
          <w:rFonts w:cstheme="minorHAnsi"/>
          <w:sz w:val="24"/>
          <w:szCs w:val="24"/>
        </w:rPr>
        <w:t>2634</w:t>
      </w:r>
      <w:proofErr w:type="gramEnd"/>
      <w:r w:rsidRPr="00C91D07">
        <w:rPr>
          <w:rStyle w:val="pages"/>
          <w:rFonts w:cstheme="minorHAnsi"/>
          <w:sz w:val="24"/>
          <w:szCs w:val="24"/>
        </w:rPr>
        <w:t>-53</w:t>
      </w:r>
      <w:r w:rsidRPr="00C91D07">
        <w:rPr>
          <w:rFonts w:cstheme="minorHAnsi"/>
          <w:sz w:val="24"/>
          <w:szCs w:val="24"/>
        </w:rPr>
        <w:t>.</w:t>
      </w:r>
    </w:p>
    <w:p w:rsidR="00AA5D83" w:rsidRPr="00C91D07" w:rsidRDefault="00AA5D83" w:rsidP="004C1DEE">
      <w:pPr>
        <w:pStyle w:val="ListParagraph"/>
        <w:numPr>
          <w:ilvl w:val="0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480" w:lineRule="auto"/>
        <w:ind w:left="426" w:hanging="426"/>
        <w:rPr>
          <w:rFonts w:cstheme="minorHAnsi"/>
          <w:sz w:val="24"/>
          <w:szCs w:val="24"/>
        </w:rPr>
      </w:pPr>
      <w:proofErr w:type="spellStart"/>
      <w:r w:rsidRPr="00C91D07">
        <w:rPr>
          <w:rFonts w:cstheme="minorHAnsi"/>
          <w:sz w:val="24"/>
          <w:szCs w:val="24"/>
        </w:rPr>
        <w:t>Smilde</w:t>
      </w:r>
      <w:proofErr w:type="spellEnd"/>
      <w:r w:rsidRPr="00C91D07">
        <w:rPr>
          <w:rFonts w:cstheme="minorHAnsi"/>
          <w:sz w:val="24"/>
          <w:szCs w:val="24"/>
        </w:rPr>
        <w:t xml:space="preserve"> TD, van </w:t>
      </w:r>
      <w:proofErr w:type="spellStart"/>
      <w:r w:rsidRPr="00C91D07">
        <w:rPr>
          <w:rFonts w:cstheme="minorHAnsi"/>
          <w:sz w:val="24"/>
          <w:szCs w:val="24"/>
        </w:rPr>
        <w:t>Veldhuisen</w:t>
      </w:r>
      <w:proofErr w:type="spellEnd"/>
      <w:r w:rsidRPr="00C91D07">
        <w:rPr>
          <w:rFonts w:cstheme="minorHAnsi"/>
          <w:sz w:val="24"/>
          <w:szCs w:val="24"/>
        </w:rPr>
        <w:t xml:space="preserve"> DJ, </w:t>
      </w:r>
      <w:proofErr w:type="spellStart"/>
      <w:r w:rsidRPr="00C91D07">
        <w:rPr>
          <w:rFonts w:cstheme="minorHAnsi"/>
          <w:sz w:val="24"/>
          <w:szCs w:val="24"/>
        </w:rPr>
        <w:t>Navis</w:t>
      </w:r>
      <w:proofErr w:type="spellEnd"/>
      <w:r w:rsidRPr="00C91D07">
        <w:rPr>
          <w:rFonts w:cstheme="minorHAnsi"/>
          <w:sz w:val="24"/>
          <w:szCs w:val="24"/>
        </w:rPr>
        <w:t xml:space="preserve"> G, </w:t>
      </w:r>
      <w:proofErr w:type="spellStart"/>
      <w:r w:rsidRPr="00C91D07">
        <w:rPr>
          <w:rFonts w:cstheme="minorHAnsi"/>
          <w:sz w:val="24"/>
          <w:szCs w:val="24"/>
        </w:rPr>
        <w:t>Voors</w:t>
      </w:r>
      <w:proofErr w:type="spellEnd"/>
      <w:r w:rsidRPr="00C91D07">
        <w:rPr>
          <w:rFonts w:cstheme="minorHAnsi"/>
          <w:sz w:val="24"/>
          <w:szCs w:val="24"/>
        </w:rPr>
        <w:t xml:space="preserve"> AA, </w:t>
      </w:r>
      <w:proofErr w:type="spellStart"/>
      <w:r w:rsidRPr="00C91D07">
        <w:rPr>
          <w:rFonts w:cstheme="minorHAnsi"/>
          <w:sz w:val="24"/>
          <w:szCs w:val="24"/>
        </w:rPr>
        <w:t>Hillege</w:t>
      </w:r>
      <w:proofErr w:type="spellEnd"/>
      <w:r w:rsidRPr="00C91D07">
        <w:rPr>
          <w:rFonts w:cstheme="minorHAnsi"/>
          <w:sz w:val="24"/>
          <w:szCs w:val="24"/>
        </w:rPr>
        <w:t xml:space="preserve"> HL. Drawbacks and prognostic value of formulas estimating renal function in patients with chronic heart failure and systolic dysfunction. </w:t>
      </w:r>
      <w:r w:rsidRPr="00C91D07">
        <w:rPr>
          <w:rFonts w:cstheme="minorHAnsi"/>
          <w:iCs/>
          <w:sz w:val="24"/>
          <w:szCs w:val="24"/>
        </w:rPr>
        <w:t>Circulation</w:t>
      </w:r>
      <w:r w:rsidRPr="00C91D07">
        <w:rPr>
          <w:rFonts w:cstheme="minorHAnsi"/>
          <w:sz w:val="24"/>
          <w:szCs w:val="24"/>
        </w:rPr>
        <w:t xml:space="preserve"> 2006</w:t>
      </w:r>
      <w:proofErr w:type="gramStart"/>
      <w:r w:rsidRPr="00C91D07">
        <w:rPr>
          <w:rFonts w:cstheme="minorHAnsi"/>
          <w:sz w:val="24"/>
          <w:szCs w:val="24"/>
        </w:rPr>
        <w:t>;114:1572</w:t>
      </w:r>
      <w:proofErr w:type="gramEnd"/>
      <w:r w:rsidRPr="00C91D07">
        <w:rPr>
          <w:rFonts w:cstheme="minorHAnsi"/>
          <w:sz w:val="24"/>
          <w:szCs w:val="24"/>
        </w:rPr>
        <w:t>-80.</w:t>
      </w:r>
    </w:p>
    <w:p w:rsidR="00AA5D83" w:rsidRPr="00C91D07" w:rsidRDefault="00AA5D83" w:rsidP="004C1DEE">
      <w:pPr>
        <w:pStyle w:val="ListParagraph"/>
        <w:numPr>
          <w:ilvl w:val="0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480" w:lineRule="auto"/>
        <w:ind w:left="426" w:hanging="426"/>
        <w:rPr>
          <w:rFonts w:cstheme="minorHAnsi"/>
          <w:sz w:val="24"/>
          <w:szCs w:val="24"/>
        </w:rPr>
      </w:pPr>
      <w:r w:rsidRPr="00C91D07">
        <w:rPr>
          <w:rFonts w:eastAsia="Calibri" w:cstheme="minorHAnsi"/>
          <w:sz w:val="24"/>
          <w:szCs w:val="24"/>
          <w:lang w:val="de-DE"/>
        </w:rPr>
        <w:t xml:space="preserve">Schiller NB, Shah PM, Crawford M, </w:t>
      </w:r>
      <w:r w:rsidRPr="00C91D07">
        <w:rPr>
          <w:rFonts w:cstheme="minorHAnsi"/>
          <w:sz w:val="24"/>
          <w:szCs w:val="24"/>
          <w:lang w:val="de-DE"/>
        </w:rPr>
        <w:t>et al. R</w:t>
      </w:r>
      <w:proofErr w:type="spellStart"/>
      <w:r w:rsidRPr="00C91D07">
        <w:rPr>
          <w:rFonts w:eastAsia="MS Mincho" w:cstheme="minorHAnsi"/>
          <w:sz w:val="24"/>
          <w:szCs w:val="24"/>
        </w:rPr>
        <w:t>ecommendations</w:t>
      </w:r>
      <w:proofErr w:type="spellEnd"/>
      <w:r w:rsidRPr="00C91D07">
        <w:rPr>
          <w:rFonts w:eastAsia="MS Mincho" w:cstheme="minorHAnsi"/>
          <w:sz w:val="24"/>
          <w:szCs w:val="24"/>
        </w:rPr>
        <w:t xml:space="preserve"> for quantitation of the left ventricle by two-dimensional echocardiography. American Society of Echocardiography Committee on Standards, Subcommittee on Quantitation of Two-Dimensional Echocardiograms. J Am </w:t>
      </w:r>
      <w:proofErr w:type="spellStart"/>
      <w:r w:rsidRPr="00C91D07">
        <w:rPr>
          <w:rFonts w:eastAsia="MS Mincho" w:cstheme="minorHAnsi"/>
          <w:sz w:val="24"/>
          <w:szCs w:val="24"/>
        </w:rPr>
        <w:t>SocEchocardiogr</w:t>
      </w:r>
      <w:proofErr w:type="spellEnd"/>
      <w:r w:rsidRPr="00C91D07">
        <w:rPr>
          <w:rFonts w:eastAsia="MS Mincho" w:cstheme="minorHAnsi"/>
          <w:sz w:val="24"/>
          <w:szCs w:val="24"/>
        </w:rPr>
        <w:t>. 1989; 2: 358-367.</w:t>
      </w:r>
    </w:p>
    <w:p w:rsidR="00AA5D83" w:rsidRPr="00C91D07" w:rsidRDefault="00AA5D83" w:rsidP="004C1DEE">
      <w:pPr>
        <w:pStyle w:val="ListParagraph"/>
        <w:numPr>
          <w:ilvl w:val="0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480" w:lineRule="auto"/>
        <w:ind w:left="426" w:hanging="426"/>
        <w:rPr>
          <w:rFonts w:cstheme="minorHAnsi"/>
          <w:sz w:val="24"/>
          <w:szCs w:val="24"/>
        </w:rPr>
      </w:pPr>
      <w:r w:rsidRPr="00C91D07">
        <w:rPr>
          <w:rFonts w:cstheme="minorHAnsi"/>
          <w:sz w:val="24"/>
          <w:szCs w:val="24"/>
        </w:rPr>
        <w:lastRenderedPageBreak/>
        <w:t xml:space="preserve">Granger CB, Goldberg RJ, </w:t>
      </w:r>
      <w:proofErr w:type="spellStart"/>
      <w:r w:rsidRPr="00C91D07">
        <w:rPr>
          <w:rFonts w:cstheme="minorHAnsi"/>
          <w:sz w:val="24"/>
          <w:szCs w:val="24"/>
        </w:rPr>
        <w:t>Dabbous</w:t>
      </w:r>
      <w:proofErr w:type="spellEnd"/>
      <w:r w:rsidRPr="00C91D07">
        <w:rPr>
          <w:rFonts w:cstheme="minorHAnsi"/>
          <w:sz w:val="24"/>
          <w:szCs w:val="24"/>
        </w:rPr>
        <w:t xml:space="preserve"> O, et al. Global Registry of Acute Coronary Events Investigators.  Predictors of hospital mortality in the global registry of acute coronary events. Arch Intern Med. 2003; </w:t>
      </w:r>
      <w:proofErr w:type="gramStart"/>
      <w:r w:rsidRPr="00C91D07">
        <w:rPr>
          <w:rFonts w:cstheme="minorHAnsi"/>
          <w:sz w:val="24"/>
          <w:szCs w:val="24"/>
        </w:rPr>
        <w:t>163 :</w:t>
      </w:r>
      <w:proofErr w:type="gramEnd"/>
      <w:r w:rsidRPr="00C91D07">
        <w:rPr>
          <w:rFonts w:cstheme="minorHAnsi"/>
          <w:sz w:val="24"/>
          <w:szCs w:val="24"/>
        </w:rPr>
        <w:t xml:space="preserve"> 2345-53.</w:t>
      </w:r>
    </w:p>
    <w:p w:rsidR="00AA5D83" w:rsidRPr="00C91D07" w:rsidRDefault="00AA5D83" w:rsidP="004C1DEE">
      <w:pPr>
        <w:pStyle w:val="ListParagraph"/>
        <w:numPr>
          <w:ilvl w:val="0"/>
          <w:numId w:val="7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480" w:lineRule="auto"/>
        <w:ind w:left="426" w:hanging="426"/>
        <w:rPr>
          <w:rFonts w:cstheme="minorHAnsi"/>
          <w:sz w:val="24"/>
          <w:szCs w:val="24"/>
        </w:rPr>
      </w:pPr>
      <w:r w:rsidRPr="00C91D07">
        <w:rPr>
          <w:rFonts w:cstheme="minorHAnsi"/>
          <w:sz w:val="24"/>
          <w:szCs w:val="24"/>
        </w:rPr>
        <w:t xml:space="preserve">Eagle KA, Lim MJ, </w:t>
      </w:r>
      <w:proofErr w:type="spellStart"/>
      <w:r w:rsidRPr="00C91D07">
        <w:rPr>
          <w:rFonts w:cstheme="minorHAnsi"/>
          <w:sz w:val="24"/>
          <w:szCs w:val="24"/>
        </w:rPr>
        <w:t>Dabbous</w:t>
      </w:r>
      <w:proofErr w:type="spellEnd"/>
      <w:r w:rsidRPr="00C91D07">
        <w:rPr>
          <w:rFonts w:cstheme="minorHAnsi"/>
          <w:sz w:val="24"/>
          <w:szCs w:val="24"/>
        </w:rPr>
        <w:t xml:space="preserve"> OH, et al.  A validated prediction model for all forms of acute coronary syndrome: estimating the risk of 6-month post discharge death in an international registry. JAMA 2004</w:t>
      </w:r>
      <w:proofErr w:type="gramStart"/>
      <w:r w:rsidRPr="00C91D07">
        <w:rPr>
          <w:rFonts w:cstheme="minorHAnsi"/>
          <w:sz w:val="24"/>
          <w:szCs w:val="24"/>
        </w:rPr>
        <w:t>;291:2727</w:t>
      </w:r>
      <w:proofErr w:type="gramEnd"/>
      <w:r w:rsidRPr="00C91D07">
        <w:rPr>
          <w:rFonts w:cstheme="minorHAnsi"/>
          <w:sz w:val="24"/>
          <w:szCs w:val="24"/>
        </w:rPr>
        <w:t>–33.</w:t>
      </w:r>
    </w:p>
    <w:p w:rsidR="00AA5D83" w:rsidRPr="00C91D07" w:rsidRDefault="00AA5D83" w:rsidP="004C1DEE">
      <w:pPr>
        <w:pStyle w:val="HTMLPreformatted"/>
        <w:numPr>
          <w:ilvl w:val="0"/>
          <w:numId w:val="7"/>
        </w:numPr>
        <w:tabs>
          <w:tab w:val="left" w:pos="426"/>
        </w:tabs>
        <w:spacing w:line="48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proofErr w:type="spellStart"/>
      <w:r w:rsidRPr="00C91D07">
        <w:rPr>
          <w:rFonts w:asciiTheme="minorHAnsi" w:hAnsiTheme="minorHAnsi" w:cstheme="minorHAnsi"/>
          <w:sz w:val="24"/>
          <w:szCs w:val="24"/>
        </w:rPr>
        <w:t>Omland</w:t>
      </w:r>
      <w:proofErr w:type="spellEnd"/>
      <w:r w:rsidRPr="00C91D07">
        <w:rPr>
          <w:rFonts w:asciiTheme="minorHAnsi" w:hAnsiTheme="minorHAnsi" w:cstheme="minorHAnsi"/>
          <w:sz w:val="24"/>
          <w:szCs w:val="24"/>
        </w:rPr>
        <w:t xml:space="preserve"> T, </w:t>
      </w:r>
      <w:proofErr w:type="spellStart"/>
      <w:r w:rsidRPr="00C91D07">
        <w:rPr>
          <w:rFonts w:asciiTheme="minorHAnsi" w:hAnsiTheme="minorHAnsi" w:cstheme="minorHAnsi"/>
          <w:sz w:val="24"/>
          <w:szCs w:val="24"/>
        </w:rPr>
        <w:t>Persson</w:t>
      </w:r>
      <w:proofErr w:type="spellEnd"/>
      <w:r w:rsidRPr="00C91D07">
        <w:rPr>
          <w:rFonts w:asciiTheme="minorHAnsi" w:hAnsiTheme="minorHAnsi" w:cstheme="minorHAnsi"/>
          <w:sz w:val="24"/>
          <w:szCs w:val="24"/>
        </w:rPr>
        <w:t xml:space="preserve"> A, Ng L, et al. </w:t>
      </w:r>
      <w:r w:rsidRPr="00C91D07">
        <w:rPr>
          <w:rFonts w:asciiTheme="minorHAnsi" w:hAnsiTheme="minorHAnsi" w:cstheme="minorHAnsi"/>
          <w:sz w:val="24"/>
          <w:szCs w:val="24"/>
          <w:lang w:val="en-US"/>
        </w:rPr>
        <w:t>N-terminal pro-B-type natriuretic peptide and long-term mortality in acute coronary syndromes. Circulation 2002</w:t>
      </w:r>
      <w:proofErr w:type="gramStart"/>
      <w:r w:rsidRPr="00C91D07">
        <w:rPr>
          <w:rFonts w:asciiTheme="minorHAnsi" w:hAnsiTheme="minorHAnsi" w:cstheme="minorHAnsi"/>
          <w:sz w:val="24"/>
          <w:szCs w:val="24"/>
          <w:lang w:val="en-US"/>
        </w:rPr>
        <w:t>;106:2913</w:t>
      </w:r>
      <w:proofErr w:type="gramEnd"/>
      <w:r w:rsidRPr="00C91D07">
        <w:rPr>
          <w:rFonts w:asciiTheme="minorHAnsi" w:hAnsiTheme="minorHAnsi" w:cstheme="minorHAnsi"/>
          <w:sz w:val="24"/>
          <w:szCs w:val="24"/>
          <w:lang w:val="en-US"/>
        </w:rPr>
        <w:t>–18.</w:t>
      </w:r>
    </w:p>
    <w:p w:rsidR="00AA5D83" w:rsidRDefault="00AA5D83" w:rsidP="004C1DEE">
      <w:pPr>
        <w:pStyle w:val="HTMLPreformatted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48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proofErr w:type="spellStart"/>
      <w:r w:rsidRPr="00C91D07">
        <w:rPr>
          <w:rFonts w:asciiTheme="minorHAnsi" w:hAnsiTheme="minorHAnsi" w:cstheme="minorHAnsi"/>
          <w:sz w:val="24"/>
          <w:szCs w:val="24"/>
        </w:rPr>
        <w:t>Pencina</w:t>
      </w:r>
      <w:proofErr w:type="spellEnd"/>
      <w:r w:rsidRPr="00C91D07">
        <w:rPr>
          <w:rFonts w:asciiTheme="minorHAnsi" w:hAnsiTheme="minorHAnsi" w:cstheme="minorHAnsi"/>
          <w:sz w:val="24"/>
          <w:szCs w:val="24"/>
        </w:rPr>
        <w:t xml:space="preserve"> MJ, </w:t>
      </w:r>
      <w:proofErr w:type="spellStart"/>
      <w:r w:rsidRPr="00C91D07">
        <w:rPr>
          <w:rFonts w:asciiTheme="minorHAnsi" w:hAnsiTheme="minorHAnsi" w:cstheme="minorHAnsi"/>
          <w:sz w:val="24"/>
          <w:szCs w:val="24"/>
        </w:rPr>
        <w:t>D'Agostino</w:t>
      </w:r>
      <w:proofErr w:type="spellEnd"/>
      <w:r w:rsidRPr="00C91D07">
        <w:rPr>
          <w:rFonts w:asciiTheme="minorHAnsi" w:hAnsiTheme="minorHAnsi" w:cstheme="minorHAnsi"/>
          <w:sz w:val="24"/>
          <w:szCs w:val="24"/>
        </w:rPr>
        <w:t xml:space="preserve"> RB </w:t>
      </w:r>
      <w:proofErr w:type="spellStart"/>
      <w:r w:rsidRPr="00C91D07">
        <w:rPr>
          <w:rFonts w:asciiTheme="minorHAnsi" w:hAnsiTheme="minorHAnsi" w:cstheme="minorHAnsi"/>
          <w:sz w:val="24"/>
          <w:szCs w:val="24"/>
        </w:rPr>
        <w:t>Sr</w:t>
      </w:r>
      <w:proofErr w:type="spellEnd"/>
      <w:r w:rsidRPr="00C91D07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91D07">
        <w:rPr>
          <w:rFonts w:asciiTheme="minorHAnsi" w:hAnsiTheme="minorHAnsi" w:cstheme="minorHAnsi"/>
          <w:sz w:val="24"/>
          <w:szCs w:val="24"/>
        </w:rPr>
        <w:t>Steyerberg</w:t>
      </w:r>
      <w:proofErr w:type="spellEnd"/>
      <w:r w:rsidRPr="00C91D07">
        <w:rPr>
          <w:rFonts w:asciiTheme="minorHAnsi" w:hAnsiTheme="minorHAnsi" w:cstheme="minorHAnsi"/>
          <w:sz w:val="24"/>
          <w:szCs w:val="24"/>
        </w:rPr>
        <w:t xml:space="preserve"> EW. Extensions of net reclassification improvement calculations to measure usefulness of new biomarkers. Stat Med. 2011; </w:t>
      </w:r>
      <w:proofErr w:type="gramStart"/>
      <w:r w:rsidRPr="00C91D07">
        <w:rPr>
          <w:rFonts w:asciiTheme="minorHAnsi" w:hAnsiTheme="minorHAnsi" w:cstheme="minorHAnsi"/>
          <w:sz w:val="24"/>
          <w:szCs w:val="24"/>
        </w:rPr>
        <w:t>30 :</w:t>
      </w:r>
      <w:proofErr w:type="gramEnd"/>
      <w:r w:rsidRPr="00C91D07">
        <w:rPr>
          <w:rFonts w:asciiTheme="minorHAnsi" w:hAnsiTheme="minorHAnsi" w:cstheme="minorHAnsi"/>
          <w:sz w:val="24"/>
          <w:szCs w:val="24"/>
        </w:rPr>
        <w:t xml:space="preserve"> 11-21. </w:t>
      </w:r>
    </w:p>
    <w:p w:rsidR="00260D4C" w:rsidRPr="00C91D07" w:rsidRDefault="00260D4C" w:rsidP="004C1DEE">
      <w:pPr>
        <w:pStyle w:val="HTMLPreformatted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48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260D4C">
        <w:rPr>
          <w:rFonts w:asciiTheme="minorHAnsi" w:hAnsiTheme="minorHAnsi" w:cstheme="minorHAnsi"/>
          <w:sz w:val="24"/>
          <w:szCs w:val="24"/>
        </w:rPr>
        <w:t>Cook NR. Statistical evaluation of prognostic versus diagnostic models: beyond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60D4C">
        <w:rPr>
          <w:rFonts w:asciiTheme="minorHAnsi" w:hAnsiTheme="minorHAnsi" w:cstheme="minorHAnsi"/>
          <w:sz w:val="24"/>
          <w:szCs w:val="24"/>
        </w:rPr>
        <w:t xml:space="preserve">the ROC curve. </w:t>
      </w:r>
      <w:proofErr w:type="spellStart"/>
      <w:r w:rsidRPr="00260D4C">
        <w:rPr>
          <w:rFonts w:asciiTheme="minorHAnsi" w:hAnsiTheme="minorHAnsi" w:cstheme="minorHAnsi"/>
          <w:sz w:val="24"/>
          <w:szCs w:val="24"/>
        </w:rPr>
        <w:t>Clin</w:t>
      </w:r>
      <w:proofErr w:type="spellEnd"/>
      <w:r w:rsidRPr="00260D4C">
        <w:rPr>
          <w:rFonts w:asciiTheme="minorHAnsi" w:hAnsiTheme="minorHAnsi" w:cstheme="minorHAnsi"/>
          <w:sz w:val="24"/>
          <w:szCs w:val="24"/>
        </w:rPr>
        <w:t xml:space="preserve"> Chem. </w:t>
      </w:r>
      <w:proofErr w:type="gramStart"/>
      <w:r w:rsidRPr="00260D4C">
        <w:rPr>
          <w:rFonts w:asciiTheme="minorHAnsi" w:hAnsiTheme="minorHAnsi" w:cstheme="minorHAnsi"/>
          <w:sz w:val="24"/>
          <w:szCs w:val="24"/>
        </w:rPr>
        <w:t>2008 ;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60D4C">
        <w:rPr>
          <w:rFonts w:asciiTheme="minorHAnsi" w:hAnsiTheme="minorHAnsi" w:cstheme="minorHAnsi"/>
          <w:sz w:val="24"/>
          <w:szCs w:val="24"/>
        </w:rPr>
        <w:t>54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60D4C">
        <w:rPr>
          <w:rFonts w:asciiTheme="minorHAnsi" w:hAnsiTheme="minorHAnsi" w:cstheme="minorHAnsi"/>
          <w:sz w:val="24"/>
          <w:szCs w:val="24"/>
        </w:rPr>
        <w:t>:17-23.</w:t>
      </w:r>
    </w:p>
    <w:p w:rsidR="00AA5D83" w:rsidRDefault="00AA5D83" w:rsidP="004C1DEE">
      <w:pPr>
        <w:pStyle w:val="ListParagraph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480" w:lineRule="auto"/>
        <w:ind w:left="426" w:hanging="426"/>
        <w:rPr>
          <w:rFonts w:cs="AdvTT5235d5a9"/>
          <w:color w:val="231F20"/>
          <w:sz w:val="24"/>
          <w:szCs w:val="24"/>
        </w:rPr>
      </w:pPr>
      <w:r w:rsidRPr="00E157D4">
        <w:rPr>
          <w:rFonts w:cs="AdvTT5235d5a9"/>
          <w:color w:val="231F20"/>
          <w:sz w:val="24"/>
          <w:szCs w:val="24"/>
        </w:rPr>
        <w:t xml:space="preserve">Ho, W.Z., Lai, J.P., Zhu, X.H., </w:t>
      </w:r>
      <w:proofErr w:type="spellStart"/>
      <w:r w:rsidRPr="00E157D4">
        <w:rPr>
          <w:rFonts w:cs="AdvTT5235d5a9"/>
          <w:color w:val="231F20"/>
          <w:sz w:val="24"/>
          <w:szCs w:val="24"/>
        </w:rPr>
        <w:t>Uvaydova</w:t>
      </w:r>
      <w:proofErr w:type="spellEnd"/>
      <w:r w:rsidRPr="00E157D4">
        <w:rPr>
          <w:rFonts w:cs="AdvTT5235d5a9"/>
          <w:color w:val="231F20"/>
          <w:sz w:val="24"/>
          <w:szCs w:val="24"/>
        </w:rPr>
        <w:t xml:space="preserve">, M., Douglas, S.D. Human monocytes and macrophages express substance P and neurokinin-1 receptor. J </w:t>
      </w:r>
      <w:proofErr w:type="spellStart"/>
      <w:r w:rsidRPr="00E157D4">
        <w:rPr>
          <w:rFonts w:cs="AdvTT5235d5a9"/>
          <w:color w:val="231F20"/>
          <w:sz w:val="24"/>
          <w:szCs w:val="24"/>
        </w:rPr>
        <w:t>Immunol</w:t>
      </w:r>
      <w:proofErr w:type="spellEnd"/>
      <w:r w:rsidRPr="00E157D4">
        <w:rPr>
          <w:rFonts w:cs="AdvTT5235d5a9"/>
          <w:color w:val="231F20"/>
          <w:sz w:val="24"/>
          <w:szCs w:val="24"/>
        </w:rPr>
        <w:t xml:space="preserve"> 1997; 159: 5654</w:t>
      </w:r>
      <w:r w:rsidRPr="00E157D4">
        <w:rPr>
          <w:rFonts w:cs="AdvTT5235d5a9+20"/>
          <w:color w:val="231F20"/>
          <w:sz w:val="24"/>
          <w:szCs w:val="24"/>
        </w:rPr>
        <w:t>–</w:t>
      </w:r>
      <w:r w:rsidRPr="00E157D4">
        <w:rPr>
          <w:rFonts w:cs="AdvTT5235d5a9"/>
          <w:color w:val="231F20"/>
          <w:sz w:val="24"/>
          <w:szCs w:val="24"/>
        </w:rPr>
        <w:t>5660.</w:t>
      </w:r>
    </w:p>
    <w:p w:rsidR="00AA5D83" w:rsidRPr="005A3975" w:rsidRDefault="00AA5D83" w:rsidP="004C1DEE">
      <w:pPr>
        <w:pStyle w:val="ListParagraph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480" w:lineRule="auto"/>
        <w:ind w:left="426" w:hanging="426"/>
        <w:rPr>
          <w:sz w:val="24"/>
          <w:szCs w:val="24"/>
        </w:rPr>
      </w:pPr>
      <w:proofErr w:type="spellStart"/>
      <w:r w:rsidRPr="005A3975">
        <w:rPr>
          <w:rFonts w:cs="AdvTT5235d5a9"/>
          <w:color w:val="231F20"/>
          <w:sz w:val="24"/>
          <w:szCs w:val="24"/>
        </w:rPr>
        <w:t>Severini</w:t>
      </w:r>
      <w:proofErr w:type="spellEnd"/>
      <w:r w:rsidRPr="005A3975">
        <w:rPr>
          <w:rFonts w:cs="AdvTT5235d5a9"/>
          <w:color w:val="231F20"/>
          <w:sz w:val="24"/>
          <w:szCs w:val="24"/>
        </w:rPr>
        <w:t xml:space="preserve">, C., </w:t>
      </w:r>
      <w:proofErr w:type="spellStart"/>
      <w:r w:rsidRPr="005A3975">
        <w:rPr>
          <w:rFonts w:cs="AdvTT5235d5a9"/>
          <w:color w:val="231F20"/>
          <w:sz w:val="24"/>
          <w:szCs w:val="24"/>
        </w:rPr>
        <w:t>Improta</w:t>
      </w:r>
      <w:proofErr w:type="spellEnd"/>
      <w:r w:rsidRPr="005A3975">
        <w:rPr>
          <w:rFonts w:cs="AdvTT5235d5a9"/>
          <w:color w:val="231F20"/>
          <w:sz w:val="24"/>
          <w:szCs w:val="24"/>
        </w:rPr>
        <w:t xml:space="preserve">, G., </w:t>
      </w:r>
      <w:proofErr w:type="spellStart"/>
      <w:r w:rsidRPr="005A3975">
        <w:rPr>
          <w:rFonts w:cs="AdvTT5235d5a9"/>
          <w:color w:val="231F20"/>
          <w:sz w:val="24"/>
          <w:szCs w:val="24"/>
        </w:rPr>
        <w:t>Falconieri-Erspamer</w:t>
      </w:r>
      <w:proofErr w:type="spellEnd"/>
      <w:r w:rsidRPr="005A3975">
        <w:rPr>
          <w:rFonts w:cs="AdvTT5235d5a9"/>
          <w:color w:val="231F20"/>
          <w:sz w:val="24"/>
          <w:szCs w:val="24"/>
        </w:rPr>
        <w:t xml:space="preserve">, G., </w:t>
      </w:r>
      <w:proofErr w:type="spellStart"/>
      <w:r w:rsidRPr="005A3975">
        <w:rPr>
          <w:rFonts w:cs="AdvTT5235d5a9"/>
          <w:color w:val="231F20"/>
          <w:sz w:val="24"/>
          <w:szCs w:val="24"/>
        </w:rPr>
        <w:t>Salvadori</w:t>
      </w:r>
      <w:proofErr w:type="spellEnd"/>
      <w:r w:rsidRPr="005A3975">
        <w:rPr>
          <w:rFonts w:cs="AdvTT5235d5a9"/>
          <w:color w:val="231F20"/>
          <w:sz w:val="24"/>
          <w:szCs w:val="24"/>
        </w:rPr>
        <w:t xml:space="preserve">, S., </w:t>
      </w:r>
      <w:proofErr w:type="spellStart"/>
      <w:r w:rsidRPr="005A3975">
        <w:rPr>
          <w:rFonts w:cs="AdvTT5235d5a9"/>
          <w:color w:val="231F20"/>
          <w:sz w:val="24"/>
          <w:szCs w:val="24"/>
        </w:rPr>
        <w:t>Erspamer</w:t>
      </w:r>
      <w:proofErr w:type="spellEnd"/>
      <w:r w:rsidRPr="005A3975">
        <w:rPr>
          <w:rFonts w:cs="AdvTT5235d5a9"/>
          <w:color w:val="231F20"/>
          <w:sz w:val="24"/>
          <w:szCs w:val="24"/>
        </w:rPr>
        <w:t xml:space="preserve">, V., 2002. The </w:t>
      </w:r>
      <w:proofErr w:type="spellStart"/>
      <w:r w:rsidRPr="005A3975">
        <w:rPr>
          <w:rFonts w:cs="AdvTT5235d5a9"/>
          <w:color w:val="231F20"/>
          <w:sz w:val="24"/>
          <w:szCs w:val="24"/>
        </w:rPr>
        <w:t>tachykinin</w:t>
      </w:r>
      <w:proofErr w:type="spellEnd"/>
      <w:r w:rsidRPr="005A3975">
        <w:rPr>
          <w:rFonts w:cs="AdvTT5235d5a9"/>
          <w:color w:val="231F20"/>
          <w:sz w:val="24"/>
          <w:szCs w:val="24"/>
        </w:rPr>
        <w:t xml:space="preserve"> peptide family. </w:t>
      </w:r>
      <w:proofErr w:type="spellStart"/>
      <w:r w:rsidRPr="005A3975">
        <w:rPr>
          <w:rFonts w:cs="AdvTT5235d5a9"/>
          <w:color w:val="231F20"/>
          <w:sz w:val="24"/>
          <w:szCs w:val="24"/>
        </w:rPr>
        <w:t>Pharmacol</w:t>
      </w:r>
      <w:proofErr w:type="spellEnd"/>
      <w:r w:rsidRPr="005A3975">
        <w:rPr>
          <w:rFonts w:cs="AdvTT5235d5a9"/>
          <w:color w:val="231F20"/>
          <w:sz w:val="24"/>
          <w:szCs w:val="24"/>
        </w:rPr>
        <w:t>. Rev. 2002; 54: 285</w:t>
      </w:r>
      <w:r w:rsidRPr="005A3975">
        <w:rPr>
          <w:rFonts w:cs="AdvTT5235d5a9+20"/>
          <w:color w:val="231F20"/>
          <w:sz w:val="24"/>
          <w:szCs w:val="24"/>
        </w:rPr>
        <w:t>–</w:t>
      </w:r>
      <w:r w:rsidRPr="005A3975">
        <w:rPr>
          <w:rFonts w:cs="AdvTT5235d5a9"/>
          <w:color w:val="231F20"/>
          <w:sz w:val="24"/>
          <w:szCs w:val="24"/>
        </w:rPr>
        <w:t>322.</w:t>
      </w:r>
    </w:p>
    <w:p w:rsidR="00AA5D83" w:rsidRDefault="00AA5D83" w:rsidP="004C1DEE">
      <w:pPr>
        <w:pStyle w:val="ListParagraph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480" w:lineRule="auto"/>
        <w:ind w:left="426" w:hanging="426"/>
        <w:rPr>
          <w:sz w:val="24"/>
          <w:szCs w:val="24"/>
        </w:rPr>
      </w:pPr>
      <w:proofErr w:type="spellStart"/>
      <w:r w:rsidRPr="005A3975">
        <w:rPr>
          <w:sz w:val="24"/>
          <w:szCs w:val="24"/>
        </w:rPr>
        <w:t>Meléndez</w:t>
      </w:r>
      <w:proofErr w:type="spellEnd"/>
      <w:r w:rsidRPr="005A3975">
        <w:rPr>
          <w:sz w:val="24"/>
          <w:szCs w:val="24"/>
        </w:rPr>
        <w:t xml:space="preserve"> GC, Li J, Law BA, </w:t>
      </w:r>
      <w:proofErr w:type="spellStart"/>
      <w:r w:rsidRPr="005A3975">
        <w:rPr>
          <w:sz w:val="24"/>
          <w:szCs w:val="24"/>
        </w:rPr>
        <w:t>Janicki</w:t>
      </w:r>
      <w:proofErr w:type="spellEnd"/>
      <w:r w:rsidRPr="005A3975">
        <w:rPr>
          <w:sz w:val="24"/>
          <w:szCs w:val="24"/>
        </w:rPr>
        <w:t xml:space="preserve"> JS, </w:t>
      </w:r>
      <w:proofErr w:type="spellStart"/>
      <w:r w:rsidRPr="005A3975">
        <w:rPr>
          <w:sz w:val="24"/>
          <w:szCs w:val="24"/>
        </w:rPr>
        <w:t>Supowit</w:t>
      </w:r>
      <w:proofErr w:type="spellEnd"/>
      <w:r w:rsidRPr="005A3975">
        <w:rPr>
          <w:sz w:val="24"/>
          <w:szCs w:val="24"/>
        </w:rPr>
        <w:t xml:space="preserve"> SC, </w:t>
      </w:r>
      <w:proofErr w:type="spellStart"/>
      <w:r w:rsidRPr="005A3975">
        <w:rPr>
          <w:sz w:val="24"/>
          <w:szCs w:val="24"/>
        </w:rPr>
        <w:t>Levick</w:t>
      </w:r>
      <w:proofErr w:type="spellEnd"/>
      <w:r w:rsidRPr="005A3975">
        <w:rPr>
          <w:sz w:val="24"/>
          <w:szCs w:val="24"/>
        </w:rPr>
        <w:t xml:space="preserve"> SP. Substance P induces adverse myocardial remodelling via a mechanism involving cardiac mast cells.  </w:t>
      </w:r>
      <w:proofErr w:type="spellStart"/>
      <w:r w:rsidRPr="005A3975">
        <w:rPr>
          <w:sz w:val="24"/>
          <w:szCs w:val="24"/>
        </w:rPr>
        <w:t>Cardiovasc</w:t>
      </w:r>
      <w:proofErr w:type="spellEnd"/>
      <w:r w:rsidRPr="005A3975">
        <w:rPr>
          <w:sz w:val="24"/>
          <w:szCs w:val="24"/>
        </w:rPr>
        <w:t xml:space="preserve"> Res. </w:t>
      </w:r>
      <w:proofErr w:type="gramStart"/>
      <w:r w:rsidRPr="005A3975">
        <w:rPr>
          <w:sz w:val="24"/>
          <w:szCs w:val="24"/>
        </w:rPr>
        <w:t>2011 ;92:420</w:t>
      </w:r>
      <w:proofErr w:type="gramEnd"/>
      <w:r w:rsidRPr="005A3975">
        <w:rPr>
          <w:sz w:val="24"/>
          <w:szCs w:val="24"/>
        </w:rPr>
        <w:t xml:space="preserve">-9. </w:t>
      </w:r>
    </w:p>
    <w:p w:rsidR="00AA5D83" w:rsidRDefault="00AA5D83" w:rsidP="004C1DEE">
      <w:pPr>
        <w:pStyle w:val="ListParagraph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480" w:lineRule="auto"/>
        <w:ind w:left="426" w:hanging="426"/>
        <w:rPr>
          <w:sz w:val="24"/>
          <w:szCs w:val="24"/>
        </w:rPr>
      </w:pPr>
      <w:proofErr w:type="spellStart"/>
      <w:r w:rsidRPr="003A1DAB">
        <w:rPr>
          <w:sz w:val="24"/>
          <w:szCs w:val="24"/>
        </w:rPr>
        <w:t>Levick</w:t>
      </w:r>
      <w:proofErr w:type="spellEnd"/>
      <w:r w:rsidRPr="003A1DAB">
        <w:rPr>
          <w:sz w:val="24"/>
          <w:szCs w:val="24"/>
        </w:rPr>
        <w:t xml:space="preserve"> SP, </w:t>
      </w:r>
      <w:proofErr w:type="spellStart"/>
      <w:r w:rsidRPr="003A1DAB">
        <w:rPr>
          <w:sz w:val="24"/>
          <w:szCs w:val="24"/>
        </w:rPr>
        <w:t>Meléndez</w:t>
      </w:r>
      <w:proofErr w:type="spellEnd"/>
      <w:r w:rsidRPr="003A1DAB">
        <w:rPr>
          <w:sz w:val="24"/>
          <w:szCs w:val="24"/>
        </w:rPr>
        <w:t xml:space="preserve"> GC, </w:t>
      </w:r>
      <w:proofErr w:type="spellStart"/>
      <w:r w:rsidRPr="003A1DAB">
        <w:rPr>
          <w:sz w:val="24"/>
          <w:szCs w:val="24"/>
        </w:rPr>
        <w:t>Plante</w:t>
      </w:r>
      <w:proofErr w:type="spellEnd"/>
      <w:r w:rsidRPr="003A1DAB">
        <w:rPr>
          <w:sz w:val="24"/>
          <w:szCs w:val="24"/>
        </w:rPr>
        <w:t xml:space="preserve"> E, </w:t>
      </w:r>
      <w:proofErr w:type="spellStart"/>
      <w:r w:rsidRPr="003A1DAB">
        <w:rPr>
          <w:sz w:val="24"/>
          <w:szCs w:val="24"/>
        </w:rPr>
        <w:t>McLarty</w:t>
      </w:r>
      <w:proofErr w:type="spellEnd"/>
      <w:r w:rsidRPr="003A1DAB">
        <w:rPr>
          <w:sz w:val="24"/>
          <w:szCs w:val="24"/>
        </w:rPr>
        <w:t xml:space="preserve"> JL, Brower GL, </w:t>
      </w:r>
      <w:proofErr w:type="spellStart"/>
      <w:r w:rsidRPr="003A1DAB">
        <w:rPr>
          <w:sz w:val="24"/>
          <w:szCs w:val="24"/>
        </w:rPr>
        <w:t>Janicki</w:t>
      </w:r>
      <w:proofErr w:type="spellEnd"/>
      <w:r w:rsidRPr="003A1DAB">
        <w:rPr>
          <w:sz w:val="24"/>
          <w:szCs w:val="24"/>
        </w:rPr>
        <w:t xml:space="preserve"> JS. Cardiac mast cells: the centrepiece in adverse myocardial remodelling. </w:t>
      </w:r>
      <w:proofErr w:type="spellStart"/>
      <w:r w:rsidRPr="003A1DAB">
        <w:rPr>
          <w:sz w:val="24"/>
          <w:szCs w:val="24"/>
        </w:rPr>
        <w:t>Cardiovasc</w:t>
      </w:r>
      <w:proofErr w:type="spellEnd"/>
      <w:r w:rsidRPr="003A1DAB">
        <w:rPr>
          <w:sz w:val="24"/>
          <w:szCs w:val="24"/>
        </w:rPr>
        <w:t xml:space="preserve"> Res. </w:t>
      </w:r>
      <w:proofErr w:type="gramStart"/>
      <w:r w:rsidRPr="003A1DAB">
        <w:rPr>
          <w:sz w:val="24"/>
          <w:szCs w:val="24"/>
        </w:rPr>
        <w:t>2011 ;89:12</w:t>
      </w:r>
      <w:proofErr w:type="gramEnd"/>
      <w:r w:rsidRPr="003A1DAB">
        <w:rPr>
          <w:sz w:val="24"/>
          <w:szCs w:val="24"/>
        </w:rPr>
        <w:t xml:space="preserve">-9. </w:t>
      </w:r>
    </w:p>
    <w:p w:rsidR="00AA5D83" w:rsidRPr="00AF0948" w:rsidRDefault="00AA5D83" w:rsidP="004C1DEE">
      <w:pPr>
        <w:pStyle w:val="ListParagraph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480" w:lineRule="auto"/>
        <w:ind w:left="426" w:hanging="426"/>
        <w:rPr>
          <w:sz w:val="24"/>
          <w:szCs w:val="24"/>
        </w:rPr>
      </w:pPr>
      <w:proofErr w:type="spellStart"/>
      <w:r w:rsidRPr="003A1DAB">
        <w:rPr>
          <w:sz w:val="24"/>
          <w:szCs w:val="24"/>
        </w:rPr>
        <w:lastRenderedPageBreak/>
        <w:t>Gibbins</w:t>
      </w:r>
      <w:proofErr w:type="spellEnd"/>
      <w:r w:rsidRPr="003A1DAB">
        <w:rPr>
          <w:sz w:val="24"/>
          <w:szCs w:val="24"/>
        </w:rPr>
        <w:t xml:space="preserve"> JM.  Tweaking the gain on platelet regulation: the </w:t>
      </w:r>
      <w:proofErr w:type="spellStart"/>
      <w:r w:rsidRPr="003A1DAB">
        <w:rPr>
          <w:sz w:val="24"/>
          <w:szCs w:val="24"/>
        </w:rPr>
        <w:t>tachykinin</w:t>
      </w:r>
      <w:proofErr w:type="spellEnd"/>
      <w:r w:rsidRPr="003A1DAB">
        <w:rPr>
          <w:sz w:val="24"/>
          <w:szCs w:val="24"/>
        </w:rPr>
        <w:t xml:space="preserve"> connection. </w:t>
      </w:r>
      <w:r w:rsidRPr="00AF0948">
        <w:rPr>
          <w:sz w:val="24"/>
          <w:szCs w:val="24"/>
        </w:rPr>
        <w:t>Atherosclerosis. 2009</w:t>
      </w:r>
      <w:proofErr w:type="gramStart"/>
      <w:r w:rsidRPr="00AF0948">
        <w:rPr>
          <w:sz w:val="24"/>
          <w:szCs w:val="24"/>
        </w:rPr>
        <w:t>;206:1</w:t>
      </w:r>
      <w:proofErr w:type="gramEnd"/>
      <w:r w:rsidRPr="00AF0948">
        <w:rPr>
          <w:sz w:val="24"/>
          <w:szCs w:val="24"/>
        </w:rPr>
        <w:t xml:space="preserve">-7. </w:t>
      </w:r>
    </w:p>
    <w:p w:rsidR="004B72D3" w:rsidRPr="00AF0948" w:rsidRDefault="004B72D3" w:rsidP="004C1DEE">
      <w:pPr>
        <w:pStyle w:val="HTMLPreformatted"/>
        <w:numPr>
          <w:ilvl w:val="0"/>
          <w:numId w:val="7"/>
        </w:numPr>
        <w:spacing w:line="480" w:lineRule="auto"/>
        <w:ind w:left="426" w:hanging="426"/>
        <w:rPr>
          <w:rFonts w:asciiTheme="minorHAnsi" w:hAnsiTheme="minorHAnsi"/>
          <w:sz w:val="24"/>
          <w:szCs w:val="24"/>
        </w:rPr>
      </w:pPr>
      <w:proofErr w:type="spellStart"/>
      <w:r w:rsidRPr="00AF0948">
        <w:rPr>
          <w:rFonts w:asciiTheme="minorHAnsi" w:hAnsiTheme="minorHAnsi"/>
          <w:sz w:val="24"/>
          <w:szCs w:val="24"/>
        </w:rPr>
        <w:t>Ren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JY, Song JX, Lu MY, Chen H.  </w:t>
      </w:r>
      <w:proofErr w:type="spellStart"/>
      <w:r w:rsidRPr="00AF0948">
        <w:rPr>
          <w:rFonts w:asciiTheme="minorHAnsi" w:hAnsiTheme="minorHAnsi"/>
          <w:sz w:val="24"/>
          <w:szCs w:val="24"/>
        </w:rPr>
        <w:t>Cardioprotection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by ischemic </w:t>
      </w:r>
      <w:proofErr w:type="spellStart"/>
      <w:r w:rsidRPr="00AF0948">
        <w:rPr>
          <w:rFonts w:asciiTheme="minorHAnsi" w:hAnsiTheme="minorHAnsi"/>
          <w:sz w:val="24"/>
          <w:szCs w:val="24"/>
        </w:rPr>
        <w:t>postconditioning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is lost in isolated perfused heart from diabetic rats: Involvement of transient receptor potential </w:t>
      </w:r>
      <w:proofErr w:type="spellStart"/>
      <w:r w:rsidRPr="00AF0948">
        <w:rPr>
          <w:rFonts w:asciiTheme="minorHAnsi" w:hAnsiTheme="minorHAnsi"/>
          <w:sz w:val="24"/>
          <w:szCs w:val="24"/>
        </w:rPr>
        <w:t>vanilloid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1, calcitonin gene-related peptide and substance P. </w:t>
      </w:r>
      <w:proofErr w:type="spellStart"/>
      <w:r w:rsidRPr="00AF0948">
        <w:rPr>
          <w:rFonts w:asciiTheme="minorHAnsi" w:hAnsiTheme="minorHAnsi"/>
          <w:sz w:val="24"/>
          <w:szCs w:val="24"/>
        </w:rPr>
        <w:t>Regul</w:t>
      </w:r>
      <w:proofErr w:type="spellEnd"/>
      <w:r w:rsidR="001432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F0948">
        <w:rPr>
          <w:rFonts w:asciiTheme="minorHAnsi" w:hAnsiTheme="minorHAnsi"/>
          <w:sz w:val="24"/>
          <w:szCs w:val="24"/>
        </w:rPr>
        <w:t>Pept</w:t>
      </w:r>
      <w:proofErr w:type="spellEnd"/>
      <w:r w:rsidRPr="00AF0948">
        <w:rPr>
          <w:rFonts w:asciiTheme="minorHAnsi" w:hAnsiTheme="minorHAnsi"/>
          <w:sz w:val="24"/>
          <w:szCs w:val="24"/>
        </w:rPr>
        <w:t>. 2011</w:t>
      </w:r>
      <w:proofErr w:type="gramStart"/>
      <w:r w:rsidRPr="00AF0948">
        <w:rPr>
          <w:rFonts w:asciiTheme="minorHAnsi" w:hAnsiTheme="minorHAnsi"/>
          <w:sz w:val="24"/>
          <w:szCs w:val="24"/>
        </w:rPr>
        <w:t>;169:49</w:t>
      </w:r>
      <w:proofErr w:type="gramEnd"/>
      <w:r w:rsidRPr="00AF0948">
        <w:rPr>
          <w:rFonts w:asciiTheme="minorHAnsi" w:hAnsiTheme="minorHAnsi"/>
          <w:sz w:val="24"/>
          <w:szCs w:val="24"/>
        </w:rPr>
        <w:t xml:space="preserve">-57. </w:t>
      </w:r>
    </w:p>
    <w:p w:rsidR="004B72D3" w:rsidRPr="00AF0948" w:rsidRDefault="004B72D3" w:rsidP="004C1DEE">
      <w:pPr>
        <w:pStyle w:val="HTMLPreformatted"/>
        <w:numPr>
          <w:ilvl w:val="0"/>
          <w:numId w:val="7"/>
        </w:numPr>
        <w:spacing w:line="480" w:lineRule="auto"/>
        <w:ind w:left="426" w:hanging="426"/>
        <w:rPr>
          <w:rFonts w:asciiTheme="minorHAnsi" w:hAnsiTheme="minorHAnsi"/>
          <w:sz w:val="24"/>
          <w:szCs w:val="24"/>
        </w:rPr>
      </w:pPr>
      <w:proofErr w:type="spellStart"/>
      <w:r w:rsidRPr="00AF0948">
        <w:rPr>
          <w:rFonts w:asciiTheme="minorHAnsi" w:hAnsiTheme="minorHAnsi"/>
          <w:sz w:val="24"/>
          <w:szCs w:val="24"/>
        </w:rPr>
        <w:t>Amadesi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S, Reni C, </w:t>
      </w:r>
      <w:proofErr w:type="spellStart"/>
      <w:r w:rsidRPr="00AF0948">
        <w:rPr>
          <w:rFonts w:asciiTheme="minorHAnsi" w:hAnsiTheme="minorHAnsi"/>
          <w:sz w:val="24"/>
          <w:szCs w:val="24"/>
        </w:rPr>
        <w:t>Katare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R, </w:t>
      </w:r>
      <w:proofErr w:type="spellStart"/>
      <w:r w:rsidRPr="00AF0948">
        <w:rPr>
          <w:rFonts w:asciiTheme="minorHAnsi" w:hAnsiTheme="minorHAnsi"/>
          <w:sz w:val="24"/>
          <w:szCs w:val="24"/>
        </w:rPr>
        <w:t>Meloni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M, Oikawa A, </w:t>
      </w:r>
      <w:proofErr w:type="spellStart"/>
      <w:r w:rsidRPr="00AF0948">
        <w:rPr>
          <w:rFonts w:asciiTheme="minorHAnsi" w:hAnsiTheme="minorHAnsi"/>
          <w:sz w:val="24"/>
          <w:szCs w:val="24"/>
        </w:rPr>
        <w:t>Beltrami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AP, </w:t>
      </w:r>
      <w:proofErr w:type="spellStart"/>
      <w:r w:rsidRPr="00AF0948">
        <w:rPr>
          <w:rFonts w:asciiTheme="minorHAnsi" w:hAnsiTheme="minorHAnsi"/>
          <w:sz w:val="24"/>
          <w:szCs w:val="24"/>
        </w:rPr>
        <w:t>Avolio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E, </w:t>
      </w:r>
      <w:proofErr w:type="spellStart"/>
      <w:r w:rsidRPr="00AF0948">
        <w:rPr>
          <w:rFonts w:asciiTheme="minorHAnsi" w:hAnsiTheme="minorHAnsi"/>
          <w:sz w:val="24"/>
          <w:szCs w:val="24"/>
        </w:rPr>
        <w:t>Cesselli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D, </w:t>
      </w:r>
      <w:proofErr w:type="spellStart"/>
      <w:r w:rsidRPr="00AF0948">
        <w:rPr>
          <w:rFonts w:asciiTheme="minorHAnsi" w:hAnsiTheme="minorHAnsi"/>
          <w:sz w:val="24"/>
          <w:szCs w:val="24"/>
        </w:rPr>
        <w:t>Fortunato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O, </w:t>
      </w:r>
      <w:proofErr w:type="spellStart"/>
      <w:r w:rsidRPr="00AF0948">
        <w:rPr>
          <w:rFonts w:asciiTheme="minorHAnsi" w:hAnsiTheme="minorHAnsi"/>
          <w:sz w:val="24"/>
          <w:szCs w:val="24"/>
        </w:rPr>
        <w:t>Spinetti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G, </w:t>
      </w:r>
      <w:proofErr w:type="spellStart"/>
      <w:r w:rsidRPr="00AF0948">
        <w:rPr>
          <w:rFonts w:asciiTheme="minorHAnsi" w:hAnsiTheme="minorHAnsi"/>
          <w:sz w:val="24"/>
          <w:szCs w:val="24"/>
        </w:rPr>
        <w:t>Ascione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R, </w:t>
      </w:r>
      <w:proofErr w:type="spellStart"/>
      <w:r w:rsidRPr="00AF0948">
        <w:rPr>
          <w:rFonts w:asciiTheme="minorHAnsi" w:hAnsiTheme="minorHAnsi"/>
          <w:sz w:val="24"/>
          <w:szCs w:val="24"/>
        </w:rPr>
        <w:t>Cangiano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E, </w:t>
      </w:r>
      <w:proofErr w:type="spellStart"/>
      <w:r w:rsidRPr="00AF0948">
        <w:rPr>
          <w:rFonts w:asciiTheme="minorHAnsi" w:hAnsiTheme="minorHAnsi"/>
          <w:sz w:val="24"/>
          <w:szCs w:val="24"/>
        </w:rPr>
        <w:t>Valgimigli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M, Hunt SP, </w:t>
      </w:r>
      <w:proofErr w:type="spellStart"/>
      <w:r w:rsidRPr="00AF0948">
        <w:rPr>
          <w:rFonts w:asciiTheme="minorHAnsi" w:hAnsiTheme="minorHAnsi"/>
          <w:sz w:val="24"/>
          <w:szCs w:val="24"/>
        </w:rPr>
        <w:t>Emanueli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C, </w:t>
      </w:r>
      <w:proofErr w:type="spellStart"/>
      <w:r w:rsidRPr="00AF0948">
        <w:rPr>
          <w:rFonts w:asciiTheme="minorHAnsi" w:hAnsiTheme="minorHAnsi"/>
          <w:sz w:val="24"/>
          <w:szCs w:val="24"/>
        </w:rPr>
        <w:t>Madeddu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P.   Role for substance p-based nociceptive </w:t>
      </w:r>
      <w:proofErr w:type="spellStart"/>
      <w:r w:rsidRPr="00AF0948">
        <w:rPr>
          <w:rFonts w:asciiTheme="minorHAnsi" w:hAnsiTheme="minorHAnsi"/>
          <w:sz w:val="24"/>
          <w:szCs w:val="24"/>
        </w:rPr>
        <w:t>signaling</w:t>
      </w:r>
      <w:proofErr w:type="spellEnd"/>
      <w:r w:rsidRPr="00AF0948">
        <w:rPr>
          <w:rFonts w:asciiTheme="minorHAnsi" w:hAnsiTheme="minorHAnsi"/>
          <w:sz w:val="24"/>
          <w:szCs w:val="24"/>
        </w:rPr>
        <w:t xml:space="preserve"> in progenitor cell activation and angiogenesis during ischemia in mice and in human subjects. Circulation. 2012</w:t>
      </w:r>
      <w:proofErr w:type="gramStart"/>
      <w:r w:rsidRPr="00AF0948">
        <w:rPr>
          <w:rFonts w:asciiTheme="minorHAnsi" w:hAnsiTheme="minorHAnsi"/>
          <w:sz w:val="24"/>
          <w:szCs w:val="24"/>
        </w:rPr>
        <w:t>;125:1774</w:t>
      </w:r>
      <w:proofErr w:type="gramEnd"/>
      <w:r w:rsidRPr="00AF0948">
        <w:rPr>
          <w:rFonts w:asciiTheme="minorHAnsi" w:hAnsiTheme="minorHAnsi"/>
          <w:sz w:val="24"/>
          <w:szCs w:val="24"/>
        </w:rPr>
        <w:t xml:space="preserve">-86. </w:t>
      </w:r>
    </w:p>
    <w:p w:rsidR="004B72D3" w:rsidRPr="00C91D07" w:rsidRDefault="004B72D3" w:rsidP="004C1DEE">
      <w:pPr>
        <w:spacing w:line="480" w:lineRule="auto"/>
        <w:rPr>
          <w:rFonts w:cstheme="minorHAnsi"/>
          <w:sz w:val="24"/>
          <w:szCs w:val="24"/>
        </w:rPr>
      </w:pPr>
    </w:p>
    <w:p w:rsidR="00AF0948" w:rsidRPr="00260D4C" w:rsidRDefault="00AF0948" w:rsidP="00260D4C">
      <w:pPr>
        <w:pStyle w:val="HTMLPreformatted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553B3D" w:rsidRPr="00616ED9" w:rsidRDefault="00553B3D" w:rsidP="004C1DEE">
      <w:pPr>
        <w:spacing w:line="480" w:lineRule="auto"/>
        <w:rPr>
          <w:rFonts w:cstheme="minorHAnsi"/>
          <w:sz w:val="24"/>
          <w:szCs w:val="24"/>
        </w:rPr>
      </w:pPr>
    </w:p>
    <w:p w:rsidR="00553B3D" w:rsidRPr="00616ED9" w:rsidRDefault="00B07ABE" w:rsidP="004C1DEE">
      <w:pPr>
        <w:spacing w:line="480" w:lineRule="auto"/>
        <w:rPr>
          <w:rFonts w:cstheme="minorHAnsi"/>
          <w:b/>
          <w:sz w:val="24"/>
          <w:szCs w:val="24"/>
        </w:rPr>
      </w:pPr>
      <w:r w:rsidRPr="00616ED9">
        <w:rPr>
          <w:rFonts w:cstheme="minorHAnsi"/>
          <w:b/>
          <w:sz w:val="24"/>
          <w:szCs w:val="24"/>
        </w:rPr>
        <w:t xml:space="preserve">Figure </w:t>
      </w:r>
      <w:r w:rsidR="00553B3D" w:rsidRPr="00616ED9">
        <w:rPr>
          <w:rFonts w:cstheme="minorHAnsi"/>
          <w:b/>
          <w:sz w:val="24"/>
          <w:szCs w:val="24"/>
        </w:rPr>
        <w:t xml:space="preserve">Legends </w:t>
      </w:r>
    </w:p>
    <w:p w:rsidR="00620773" w:rsidRPr="00616ED9" w:rsidRDefault="00553B3D" w:rsidP="004C1DEE">
      <w:pPr>
        <w:spacing w:line="480" w:lineRule="auto"/>
        <w:rPr>
          <w:rFonts w:cstheme="minorHAnsi"/>
          <w:sz w:val="24"/>
          <w:szCs w:val="24"/>
        </w:rPr>
      </w:pPr>
      <w:r w:rsidRPr="00616ED9">
        <w:rPr>
          <w:rFonts w:cstheme="minorHAnsi"/>
          <w:sz w:val="24"/>
          <w:szCs w:val="24"/>
        </w:rPr>
        <w:t xml:space="preserve">Figure 1:  Profile of plasma </w:t>
      </w:r>
      <w:proofErr w:type="spellStart"/>
      <w:r w:rsidR="00576876">
        <w:rPr>
          <w:rFonts w:cstheme="minorHAnsi"/>
          <w:sz w:val="24"/>
          <w:szCs w:val="24"/>
        </w:rPr>
        <w:t>ProSP</w:t>
      </w:r>
      <w:proofErr w:type="spellEnd"/>
      <w:r w:rsidRPr="00616ED9">
        <w:rPr>
          <w:rFonts w:cstheme="minorHAnsi"/>
          <w:sz w:val="24"/>
          <w:szCs w:val="24"/>
        </w:rPr>
        <w:t xml:space="preserve"> over 5 days following AMI, in those with </w:t>
      </w:r>
      <w:r w:rsidR="005F4A14" w:rsidRPr="00616ED9">
        <w:rPr>
          <w:rFonts w:cstheme="minorHAnsi"/>
          <w:sz w:val="24"/>
          <w:szCs w:val="24"/>
        </w:rPr>
        <w:t xml:space="preserve">(in red) </w:t>
      </w:r>
      <w:r w:rsidRPr="00616ED9">
        <w:rPr>
          <w:rFonts w:cstheme="minorHAnsi"/>
          <w:sz w:val="24"/>
          <w:szCs w:val="24"/>
        </w:rPr>
        <w:t>or without</w:t>
      </w:r>
      <w:r w:rsidR="005F4A14" w:rsidRPr="00616ED9">
        <w:rPr>
          <w:rFonts w:cstheme="minorHAnsi"/>
          <w:sz w:val="24"/>
          <w:szCs w:val="24"/>
        </w:rPr>
        <w:t xml:space="preserve"> (in green)</w:t>
      </w:r>
      <w:r w:rsidRPr="00616ED9">
        <w:rPr>
          <w:rFonts w:cstheme="minorHAnsi"/>
          <w:sz w:val="24"/>
          <w:szCs w:val="24"/>
        </w:rPr>
        <w:t xml:space="preserve"> MACE at 2 years.</w:t>
      </w:r>
    </w:p>
    <w:p w:rsidR="00541711" w:rsidRPr="00616ED9" w:rsidRDefault="00620773" w:rsidP="004C1DEE">
      <w:pPr>
        <w:spacing w:line="480" w:lineRule="auto"/>
        <w:rPr>
          <w:rFonts w:cstheme="minorHAnsi"/>
          <w:sz w:val="24"/>
          <w:szCs w:val="24"/>
        </w:rPr>
      </w:pPr>
      <w:r w:rsidRPr="00616ED9">
        <w:rPr>
          <w:rFonts w:cstheme="minorHAnsi"/>
          <w:sz w:val="24"/>
          <w:szCs w:val="24"/>
        </w:rPr>
        <w:t xml:space="preserve">Figure 2: </w:t>
      </w:r>
      <w:r w:rsidR="00FE3317">
        <w:rPr>
          <w:rFonts w:cstheme="minorHAnsi"/>
          <w:sz w:val="24"/>
          <w:szCs w:val="24"/>
        </w:rPr>
        <w:t xml:space="preserve">Kaplan-Meier Plots for the endpoint of MACE, according to </w:t>
      </w:r>
      <w:proofErr w:type="spellStart"/>
      <w:r w:rsidR="00FE3317">
        <w:rPr>
          <w:rFonts w:cstheme="minorHAnsi"/>
          <w:sz w:val="24"/>
          <w:szCs w:val="24"/>
        </w:rPr>
        <w:t>ProSP</w:t>
      </w:r>
      <w:proofErr w:type="spellEnd"/>
      <w:r w:rsidR="00FE3317">
        <w:rPr>
          <w:rFonts w:cstheme="minorHAnsi"/>
          <w:sz w:val="24"/>
          <w:szCs w:val="24"/>
        </w:rPr>
        <w:t xml:space="preserve"> quartiles.</w:t>
      </w:r>
    </w:p>
    <w:p w:rsidR="00541711" w:rsidRPr="00616ED9" w:rsidRDefault="00541711" w:rsidP="004C1DEE">
      <w:pPr>
        <w:spacing w:line="480" w:lineRule="auto"/>
        <w:rPr>
          <w:rFonts w:cstheme="minorHAnsi"/>
          <w:sz w:val="24"/>
          <w:szCs w:val="24"/>
        </w:rPr>
      </w:pPr>
      <w:r w:rsidRPr="00616ED9">
        <w:rPr>
          <w:rFonts w:cstheme="minorHAnsi"/>
          <w:sz w:val="24"/>
          <w:szCs w:val="24"/>
        </w:rPr>
        <w:t xml:space="preserve">Figure 3: Classification tree for the endpoint of death and/or </w:t>
      </w:r>
      <w:r w:rsidR="008F7B12">
        <w:rPr>
          <w:rFonts w:cstheme="minorHAnsi"/>
          <w:sz w:val="24"/>
          <w:szCs w:val="24"/>
        </w:rPr>
        <w:t>re-AMI</w:t>
      </w:r>
      <w:r w:rsidRPr="00616ED9">
        <w:rPr>
          <w:rFonts w:cstheme="minorHAnsi"/>
          <w:sz w:val="24"/>
          <w:szCs w:val="24"/>
        </w:rPr>
        <w:t xml:space="preserve"> at 6 months</w:t>
      </w:r>
      <w:r w:rsidR="005575D2" w:rsidRPr="00616ED9">
        <w:rPr>
          <w:rFonts w:cstheme="minorHAnsi"/>
          <w:sz w:val="24"/>
          <w:szCs w:val="24"/>
        </w:rPr>
        <w:t>.</w:t>
      </w:r>
    </w:p>
    <w:p w:rsidR="0005793C" w:rsidRPr="00616ED9" w:rsidRDefault="0005793C" w:rsidP="004C1DEE">
      <w:pPr>
        <w:spacing w:line="480" w:lineRule="auto"/>
        <w:rPr>
          <w:rFonts w:cstheme="minorHAnsi"/>
          <w:sz w:val="24"/>
          <w:szCs w:val="24"/>
        </w:rPr>
      </w:pPr>
    </w:p>
    <w:p w:rsidR="00553B3D" w:rsidRDefault="00553B3D">
      <w:pPr>
        <w:rPr>
          <w:rFonts w:cstheme="minorHAnsi"/>
          <w:sz w:val="32"/>
          <w:szCs w:val="32"/>
        </w:rPr>
      </w:pPr>
      <w:r w:rsidRPr="0029142D">
        <w:rPr>
          <w:rFonts w:cstheme="minorHAnsi"/>
          <w:sz w:val="32"/>
          <w:szCs w:val="32"/>
        </w:rPr>
        <w:br w:type="page"/>
      </w:r>
    </w:p>
    <w:p w:rsidR="0005793C" w:rsidRPr="0029142D" w:rsidRDefault="0005793C">
      <w:pPr>
        <w:rPr>
          <w:rFonts w:cstheme="minorHAnsi"/>
          <w:sz w:val="32"/>
          <w:szCs w:val="32"/>
        </w:rPr>
      </w:pPr>
    </w:p>
    <w:p w:rsidR="00620773" w:rsidRPr="0029142D" w:rsidRDefault="00620773">
      <w:pPr>
        <w:rPr>
          <w:rFonts w:eastAsia="Calibri" w:cstheme="minorHAnsi"/>
          <w:sz w:val="32"/>
          <w:szCs w:val="32"/>
        </w:rPr>
      </w:pPr>
    </w:p>
    <w:p w:rsidR="0069318A" w:rsidRPr="0029142D" w:rsidRDefault="00553B3D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  <w:r w:rsidRPr="0029142D">
        <w:rPr>
          <w:rFonts w:asciiTheme="minorHAnsi" w:hAnsiTheme="minorHAnsi" w:cstheme="minorHAnsi"/>
          <w:sz w:val="32"/>
          <w:szCs w:val="32"/>
        </w:rPr>
        <w:t>Figure 1</w:t>
      </w:r>
    </w:p>
    <w:p w:rsidR="0069318A" w:rsidRPr="0029142D" w:rsidRDefault="0069318A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</w:p>
    <w:p w:rsidR="00EA0293" w:rsidRDefault="004B78B0" w:rsidP="005B7B7F">
      <w:pPr>
        <w:pStyle w:val="NoSpacing"/>
        <w:rPr>
          <w:rFonts w:asciiTheme="minorHAnsi" w:hAnsiTheme="minorHAnsi" w:cstheme="minorHAnsi"/>
          <w:noProof/>
          <w:sz w:val="32"/>
          <w:szCs w:val="32"/>
          <w:lang w:eastAsia="en-GB"/>
        </w:rPr>
      </w:pPr>
      <w:r w:rsidRPr="004B78B0">
        <w:rPr>
          <w:rFonts w:asciiTheme="minorHAnsi" w:hAnsiTheme="minorHAnsi" w:cstheme="minorHAnsi"/>
          <w:noProof/>
          <w:sz w:val="32"/>
          <w:szCs w:val="32"/>
          <w:lang w:eastAsia="en-GB"/>
        </w:rPr>
        <w:drawing>
          <wp:inline distT="0" distB="0" distL="0" distR="0">
            <wp:extent cx="5731510" cy="459255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92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61C" w:rsidRPr="0029142D" w:rsidRDefault="0060261C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</w:p>
    <w:p w:rsidR="00EA0293" w:rsidRPr="0029142D" w:rsidRDefault="00EA0293">
      <w:pPr>
        <w:rPr>
          <w:rFonts w:eastAsia="Calibri" w:cstheme="minorHAnsi"/>
          <w:sz w:val="32"/>
          <w:szCs w:val="32"/>
        </w:rPr>
      </w:pPr>
      <w:r w:rsidRPr="0029142D">
        <w:rPr>
          <w:rFonts w:cstheme="minorHAnsi"/>
          <w:sz w:val="32"/>
          <w:szCs w:val="32"/>
        </w:rPr>
        <w:br w:type="page"/>
      </w:r>
    </w:p>
    <w:p w:rsidR="00EA0293" w:rsidRPr="0029142D" w:rsidRDefault="00EA0293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  <w:r w:rsidRPr="0029142D">
        <w:rPr>
          <w:rFonts w:asciiTheme="minorHAnsi" w:hAnsiTheme="minorHAnsi" w:cstheme="minorHAnsi"/>
          <w:sz w:val="32"/>
          <w:szCs w:val="32"/>
        </w:rPr>
        <w:lastRenderedPageBreak/>
        <w:t>Figure 2</w:t>
      </w:r>
    </w:p>
    <w:p w:rsidR="00EA0293" w:rsidRDefault="00EA0293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</w:p>
    <w:p w:rsidR="00D903F5" w:rsidRDefault="00D903F5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</w:p>
    <w:p w:rsidR="00D903F5" w:rsidRPr="00D903F5" w:rsidRDefault="00D903F5" w:rsidP="00D903F5">
      <w:pPr>
        <w:pStyle w:val="NoSpacing"/>
        <w:ind w:firstLine="720"/>
        <w:rPr>
          <w:rFonts w:asciiTheme="minorHAnsi" w:hAnsiTheme="minorHAnsi" w:cstheme="minorHAnsi"/>
          <w:b/>
          <w:sz w:val="32"/>
          <w:szCs w:val="32"/>
        </w:rPr>
      </w:pPr>
      <w:r w:rsidRPr="00D903F5">
        <w:rPr>
          <w:rFonts w:cstheme="minorHAnsi"/>
          <w:b/>
          <w:sz w:val="24"/>
          <w:szCs w:val="24"/>
        </w:rPr>
        <w:t xml:space="preserve">Kaplan-Meier Plots for the endpoint of MACE for </w:t>
      </w:r>
      <w:proofErr w:type="spellStart"/>
      <w:r w:rsidRPr="00D903F5">
        <w:rPr>
          <w:rFonts w:cstheme="minorHAnsi"/>
          <w:b/>
          <w:sz w:val="24"/>
          <w:szCs w:val="24"/>
        </w:rPr>
        <w:t>ProSP</w:t>
      </w:r>
      <w:proofErr w:type="spellEnd"/>
      <w:r w:rsidRPr="00D903F5">
        <w:rPr>
          <w:rFonts w:cstheme="minorHAnsi"/>
          <w:b/>
          <w:sz w:val="24"/>
          <w:szCs w:val="24"/>
        </w:rPr>
        <w:t xml:space="preserve"> quartiles</w:t>
      </w:r>
    </w:p>
    <w:p w:rsidR="00D95CBE" w:rsidRPr="0029142D" w:rsidRDefault="00D95CBE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</w:p>
    <w:p w:rsidR="00D95CBE" w:rsidRPr="0029142D" w:rsidRDefault="009A2B8F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4348480</wp:posOffset>
                </wp:positionH>
                <wp:positionV relativeFrom="paragraph">
                  <wp:posOffset>89535</wp:posOffset>
                </wp:positionV>
                <wp:extent cx="1134110" cy="292735"/>
                <wp:effectExtent l="0" t="0" r="889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AAD" w:rsidRPr="00CE466F" w:rsidRDefault="00D12AAD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CE466F">
                              <w:rPr>
                                <w:b/>
                              </w:rPr>
                              <w:t>ProSP</w:t>
                            </w:r>
                            <w:proofErr w:type="spellEnd"/>
                            <w:r w:rsidRPr="00CE466F">
                              <w:rPr>
                                <w:b/>
                              </w:rPr>
                              <w:t xml:space="preserve"> Quartiles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4pt;margin-top:7.05pt;width:89.3pt;height: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CvVggIAAA8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" stroked="f">
                <v:textbox>
                  <w:txbxContent>
                    <w:p w:rsidR="00D12AAD" w:rsidRPr="00CE466F" w:rsidRDefault="00D12AAD">
                      <w:pPr>
                        <w:rPr>
                          <w:b/>
                        </w:rPr>
                      </w:pPr>
                      <w:proofErr w:type="spellStart"/>
                      <w:r w:rsidRPr="00CE466F">
                        <w:rPr>
                          <w:b/>
                        </w:rPr>
                        <w:t>ProSP</w:t>
                      </w:r>
                      <w:proofErr w:type="spellEnd"/>
                      <w:r w:rsidRPr="00CE466F">
                        <w:rPr>
                          <w:b/>
                        </w:rPr>
                        <w:t xml:space="preserve"> Quartiles</w:t>
                      </w:r>
                    </w:p>
                  </w:txbxContent>
                </v:textbox>
              </v:shape>
            </w:pict>
          </mc:Fallback>
        </mc:AlternateContent>
      </w:r>
      <w:r w:rsidR="00CE466F">
        <w:rPr>
          <w:rFonts w:asciiTheme="minorHAnsi" w:hAnsiTheme="minorHAnsi" w:cstheme="minorHAnsi"/>
          <w:noProof/>
          <w:sz w:val="32"/>
          <w:szCs w:val="32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336550</wp:posOffset>
            </wp:positionV>
            <wp:extent cx="378460" cy="899160"/>
            <wp:effectExtent l="19050" t="0" r="2540" b="0"/>
            <wp:wrapTight wrapText="bothSides">
              <wp:wrapPolygon edited="0">
                <wp:start x="-1087" y="0"/>
                <wp:lineTo x="-1087" y="21051"/>
                <wp:lineTo x="21745" y="21051"/>
                <wp:lineTo x="21745" y="0"/>
                <wp:lineTo x="-1087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75314" t="11441" r="20368" b="76001"/>
                    <a:stretch>
                      <a:fillRect/>
                    </a:stretch>
                  </pic:blipFill>
                  <pic:spPr>
                    <a:xfrm>
                      <a:off x="0" y="0"/>
                      <a:ext cx="3784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6FE2" w:rsidRPr="009A6FE2">
        <w:rPr>
          <w:rFonts w:asciiTheme="minorHAnsi" w:hAnsiTheme="minorHAnsi" w:cstheme="minorHAnsi"/>
          <w:noProof/>
          <w:sz w:val="32"/>
          <w:szCs w:val="32"/>
          <w:lang w:eastAsia="en-GB"/>
        </w:rPr>
        <w:drawing>
          <wp:inline distT="0" distB="0" distL="0" distR="0">
            <wp:extent cx="4311107" cy="4295104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6452" r="24782"/>
                    <a:stretch/>
                  </pic:blipFill>
                  <pic:spPr bwMode="auto">
                    <a:xfrm>
                      <a:off x="0" y="0"/>
                      <a:ext cx="4311943" cy="42959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5CBE" w:rsidRPr="0029142D" w:rsidRDefault="00D95CBE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</w:p>
    <w:p w:rsidR="00EA0293" w:rsidRPr="0029142D" w:rsidRDefault="00EA0293" w:rsidP="005B7B7F">
      <w:pPr>
        <w:pStyle w:val="NoSpacing"/>
        <w:rPr>
          <w:rFonts w:asciiTheme="minorHAnsi" w:hAnsiTheme="minorHAnsi" w:cstheme="minorHAnsi"/>
          <w:sz w:val="32"/>
          <w:szCs w:val="32"/>
        </w:rPr>
      </w:pPr>
    </w:p>
    <w:p w:rsidR="00541711" w:rsidRPr="0029142D" w:rsidRDefault="00EA0293">
      <w:pPr>
        <w:rPr>
          <w:rFonts w:cstheme="minorHAnsi"/>
          <w:sz w:val="32"/>
          <w:szCs w:val="32"/>
        </w:rPr>
      </w:pPr>
      <w:r w:rsidRPr="0029142D">
        <w:rPr>
          <w:rFonts w:cstheme="minorHAnsi"/>
          <w:sz w:val="32"/>
          <w:szCs w:val="32"/>
        </w:rPr>
        <w:br w:type="page"/>
      </w:r>
    </w:p>
    <w:p w:rsidR="00C6293E" w:rsidRDefault="00C6293E">
      <w:pPr>
        <w:rPr>
          <w:rFonts w:cstheme="minorHAnsi"/>
          <w:b/>
          <w:sz w:val="32"/>
          <w:szCs w:val="32"/>
        </w:rPr>
      </w:pPr>
    </w:p>
    <w:p w:rsidR="001E7DAD" w:rsidRDefault="001E7DAD" w:rsidP="001E7DAD">
      <w:pPr>
        <w:rPr>
          <w:rFonts w:eastAsia="Calibri" w:cstheme="minorHAnsi"/>
          <w:sz w:val="32"/>
          <w:szCs w:val="32"/>
        </w:rPr>
      </w:pPr>
      <w:r w:rsidRPr="0029142D">
        <w:rPr>
          <w:rFonts w:eastAsia="Calibri" w:cstheme="minorHAnsi"/>
          <w:sz w:val="32"/>
          <w:szCs w:val="32"/>
        </w:rPr>
        <w:t xml:space="preserve">Figure </w:t>
      </w:r>
      <w:r w:rsidR="009A6FE2">
        <w:rPr>
          <w:rFonts w:eastAsia="Calibri" w:cstheme="minorHAnsi"/>
          <w:sz w:val="32"/>
          <w:szCs w:val="32"/>
        </w:rPr>
        <w:t>3</w:t>
      </w:r>
    </w:p>
    <w:p w:rsidR="004B78B0" w:rsidRDefault="004B78B0" w:rsidP="001E7DAD">
      <w:pPr>
        <w:rPr>
          <w:rFonts w:eastAsia="Calibri" w:cstheme="minorHAnsi"/>
          <w:sz w:val="32"/>
          <w:szCs w:val="32"/>
        </w:rPr>
      </w:pPr>
      <w:r w:rsidRPr="004B78B0">
        <w:rPr>
          <w:rFonts w:eastAsia="Calibri" w:cstheme="minorHAnsi"/>
          <w:noProof/>
          <w:sz w:val="32"/>
          <w:szCs w:val="32"/>
          <w:lang w:eastAsia="en-GB"/>
        </w:rPr>
        <w:drawing>
          <wp:inline distT="0" distB="0" distL="0" distR="0">
            <wp:extent cx="5731510" cy="4079414"/>
            <wp:effectExtent l="0" t="0" r="0" b="0"/>
            <wp:docPr id="5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10" cstate="print"/>
                    <a:srcRect l="4353" r="54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79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317" w:rsidRDefault="00FE3317" w:rsidP="00FE3317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:rsidR="00680C78" w:rsidRPr="0029142D" w:rsidRDefault="00680C78" w:rsidP="001E7DAD">
      <w:pPr>
        <w:rPr>
          <w:rFonts w:eastAsia="Calibri" w:cstheme="minorHAnsi"/>
          <w:sz w:val="32"/>
          <w:szCs w:val="32"/>
        </w:rPr>
      </w:pPr>
    </w:p>
    <w:p w:rsidR="00C6293E" w:rsidRDefault="00C6293E">
      <w:pPr>
        <w:rPr>
          <w:rFonts w:eastAsia="Calibri" w:cstheme="minorHAnsi"/>
          <w:b/>
          <w:sz w:val="32"/>
          <w:szCs w:val="32"/>
        </w:rPr>
      </w:pPr>
    </w:p>
    <w:p w:rsidR="001E7DAD" w:rsidRDefault="001E7DAD">
      <w:pPr>
        <w:rPr>
          <w:rFonts w:eastAsia="Calibri" w:cstheme="minorHAnsi"/>
          <w:b/>
          <w:sz w:val="32"/>
          <w:szCs w:val="32"/>
        </w:rPr>
      </w:pPr>
    </w:p>
    <w:p w:rsidR="001E7DAD" w:rsidRDefault="001E7DAD">
      <w:pPr>
        <w:rPr>
          <w:rFonts w:eastAsia="Calibri" w:cstheme="minorHAnsi"/>
          <w:b/>
          <w:sz w:val="32"/>
          <w:szCs w:val="32"/>
        </w:rPr>
      </w:pPr>
      <w:r>
        <w:rPr>
          <w:rFonts w:eastAsia="Calibri" w:cstheme="minorHAnsi"/>
          <w:b/>
          <w:sz w:val="32"/>
          <w:szCs w:val="32"/>
        </w:rPr>
        <w:br w:type="page"/>
      </w:r>
    </w:p>
    <w:p w:rsidR="001B5163" w:rsidRPr="001B5163" w:rsidRDefault="00616ED9" w:rsidP="001B5163">
      <w:pPr>
        <w:pStyle w:val="NoSpacing"/>
        <w:rPr>
          <w:rFonts w:asciiTheme="minorHAnsi" w:hAnsiTheme="minorHAnsi"/>
          <w:sz w:val="24"/>
          <w:szCs w:val="24"/>
        </w:rPr>
      </w:pPr>
      <w:r w:rsidRPr="00794645">
        <w:rPr>
          <w:rFonts w:asciiTheme="minorHAnsi" w:hAnsiTheme="minorHAnsi" w:cstheme="minorHAnsi"/>
          <w:b/>
          <w:sz w:val="24"/>
          <w:szCs w:val="24"/>
        </w:rPr>
        <w:lastRenderedPageBreak/>
        <w:t>Table 1:</w:t>
      </w:r>
      <w:r w:rsidRPr="00794645">
        <w:rPr>
          <w:rFonts w:asciiTheme="minorHAnsi" w:hAnsiTheme="minorHAnsi" w:cstheme="minorHAnsi"/>
          <w:sz w:val="24"/>
          <w:szCs w:val="24"/>
        </w:rPr>
        <w:t xml:space="preserve"> Characteristics of the 114</w:t>
      </w:r>
      <w:r w:rsidR="00E2310D">
        <w:rPr>
          <w:rFonts w:asciiTheme="minorHAnsi" w:hAnsiTheme="minorHAnsi" w:cstheme="minorHAnsi"/>
          <w:sz w:val="24"/>
          <w:szCs w:val="24"/>
        </w:rPr>
        <w:t>8</w:t>
      </w:r>
      <w:r w:rsidRPr="00794645">
        <w:rPr>
          <w:rFonts w:asciiTheme="minorHAnsi" w:hAnsiTheme="minorHAnsi" w:cstheme="minorHAnsi"/>
          <w:sz w:val="24"/>
          <w:szCs w:val="24"/>
        </w:rPr>
        <w:t xml:space="preserve"> AMI patients according to </w:t>
      </w:r>
      <w:proofErr w:type="spellStart"/>
      <w:r w:rsidR="00576876">
        <w:rPr>
          <w:rFonts w:asciiTheme="minorHAnsi" w:hAnsiTheme="minorHAnsi" w:cstheme="minorHAnsi"/>
          <w:bCs/>
          <w:sz w:val="24"/>
          <w:szCs w:val="24"/>
        </w:rPr>
        <w:t>ProSP</w:t>
      </w:r>
      <w:proofErr w:type="spellEnd"/>
      <w:r w:rsidR="001432B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94645">
        <w:rPr>
          <w:rFonts w:asciiTheme="minorHAnsi" w:hAnsiTheme="minorHAnsi" w:cstheme="minorHAnsi"/>
          <w:sz w:val="24"/>
          <w:szCs w:val="24"/>
        </w:rPr>
        <w:t xml:space="preserve">quartiles on </w:t>
      </w:r>
      <w:proofErr w:type="spellStart"/>
      <w:r w:rsidRPr="00794645">
        <w:rPr>
          <w:rFonts w:asciiTheme="minorHAnsi" w:hAnsiTheme="minorHAnsi" w:cstheme="minorHAnsi"/>
          <w:sz w:val="24"/>
          <w:szCs w:val="24"/>
        </w:rPr>
        <w:t>admission.</w:t>
      </w:r>
      <w:r w:rsidRPr="001B5163">
        <w:rPr>
          <w:rFonts w:asciiTheme="minorHAnsi" w:hAnsiTheme="minorHAnsi" w:cstheme="minorHAnsi"/>
          <w:sz w:val="24"/>
          <w:szCs w:val="24"/>
        </w:rPr>
        <w:t>Numerical</w:t>
      </w:r>
      <w:proofErr w:type="spellEnd"/>
      <w:r w:rsidRPr="001B5163">
        <w:rPr>
          <w:rFonts w:asciiTheme="minorHAnsi" w:hAnsiTheme="minorHAnsi" w:cstheme="minorHAnsi"/>
          <w:sz w:val="24"/>
          <w:szCs w:val="24"/>
        </w:rPr>
        <w:t xml:space="preserve"> data are presented as n (%).</w:t>
      </w:r>
      <w:r w:rsidR="001432B6">
        <w:rPr>
          <w:rFonts w:asciiTheme="minorHAnsi" w:hAnsiTheme="minorHAnsi" w:cstheme="minorHAnsi"/>
          <w:sz w:val="24"/>
          <w:szCs w:val="24"/>
        </w:rPr>
        <w:t xml:space="preserve"> </w:t>
      </w:r>
      <w:r w:rsidR="001B5163" w:rsidRPr="001B5163">
        <w:rPr>
          <w:rFonts w:asciiTheme="minorHAnsi" w:hAnsiTheme="minorHAnsi"/>
          <w:sz w:val="24"/>
          <w:szCs w:val="24"/>
        </w:rPr>
        <w:t xml:space="preserve">P values are quoted for the </w:t>
      </w:r>
      <w:proofErr w:type="spellStart"/>
      <w:r w:rsidR="001B5163" w:rsidRPr="001B5163">
        <w:rPr>
          <w:rFonts w:asciiTheme="minorHAnsi" w:hAnsiTheme="minorHAnsi"/>
          <w:sz w:val="24"/>
          <w:szCs w:val="24"/>
        </w:rPr>
        <w:t>Kruskal</w:t>
      </w:r>
      <w:proofErr w:type="spellEnd"/>
      <w:r w:rsidR="001B5163" w:rsidRPr="001B5163">
        <w:rPr>
          <w:rFonts w:asciiTheme="minorHAnsi" w:hAnsiTheme="minorHAnsi"/>
          <w:sz w:val="24"/>
          <w:szCs w:val="24"/>
        </w:rPr>
        <w:t xml:space="preserve"> Wallis or Chi squared tests for continuous or categorical variables respectively. Numbers (%) or Mean</w:t>
      </w:r>
      <w:r w:rsidR="001B5163" w:rsidRPr="001B5163">
        <w:rPr>
          <w:rFonts w:asciiTheme="minorHAnsi" w:hAnsiTheme="minorHAnsi"/>
          <w:bCs/>
          <w:sz w:val="24"/>
          <w:szCs w:val="24"/>
        </w:rPr>
        <w:t xml:space="preserve">± </w:t>
      </w:r>
      <w:r w:rsidR="001B5163" w:rsidRPr="001B5163">
        <w:rPr>
          <w:rFonts w:asciiTheme="minorHAnsi" w:hAnsiTheme="minorHAnsi"/>
          <w:sz w:val="24"/>
          <w:szCs w:val="24"/>
        </w:rPr>
        <w:t>SD are reported.</w:t>
      </w:r>
    </w:p>
    <w:tbl>
      <w:tblPr>
        <w:tblpPr w:leftFromText="180" w:rightFromText="180" w:vertAnchor="text" w:horzAnchor="margin" w:tblpXSpec="center" w:tblpY="549"/>
        <w:tblW w:w="11307" w:type="dxa"/>
        <w:tblLook w:val="00A0" w:firstRow="1" w:lastRow="0" w:firstColumn="1" w:lastColumn="0" w:noHBand="0" w:noVBand="0"/>
      </w:tblPr>
      <w:tblGrid>
        <w:gridCol w:w="559"/>
        <w:gridCol w:w="960"/>
        <w:gridCol w:w="892"/>
        <w:gridCol w:w="68"/>
        <w:gridCol w:w="960"/>
        <w:gridCol w:w="531"/>
        <w:gridCol w:w="429"/>
        <w:gridCol w:w="960"/>
        <w:gridCol w:w="170"/>
        <w:gridCol w:w="964"/>
        <w:gridCol w:w="596"/>
        <w:gridCol w:w="1559"/>
        <w:gridCol w:w="1525"/>
        <w:gridCol w:w="1134"/>
      </w:tblGrid>
      <w:tr w:rsidR="00616ED9" w:rsidRPr="00794645" w:rsidTr="00E8401B">
        <w:trPr>
          <w:gridBefore w:val="1"/>
          <w:gridAfter w:val="4"/>
          <w:wBefore w:w="559" w:type="dxa"/>
          <w:wAfter w:w="4814" w:type="dxa"/>
          <w:trHeight w:val="330"/>
        </w:trPr>
        <w:tc>
          <w:tcPr>
            <w:tcW w:w="960" w:type="dxa"/>
            <w:noWrap/>
            <w:vAlign w:val="bottom"/>
          </w:tcPr>
          <w:p w:rsidR="00616ED9" w:rsidRPr="00794645" w:rsidRDefault="00616ED9" w:rsidP="00E8401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gridSpan w:val="2"/>
            <w:noWrap/>
            <w:vAlign w:val="bottom"/>
          </w:tcPr>
          <w:p w:rsidR="00616ED9" w:rsidRPr="00794645" w:rsidRDefault="00616ED9" w:rsidP="00E8401B">
            <w:pPr>
              <w:spacing w:after="0" w:line="240" w:lineRule="auto"/>
              <w:jc w:val="right"/>
              <w:rPr>
                <w:rFonts w:cstheme="minorHAns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noWrap/>
            <w:vAlign w:val="bottom"/>
          </w:tcPr>
          <w:p w:rsidR="00616ED9" w:rsidRPr="00794645" w:rsidRDefault="00616ED9" w:rsidP="00E8401B">
            <w:pPr>
              <w:spacing w:after="0" w:line="240" w:lineRule="auto"/>
              <w:jc w:val="right"/>
              <w:rPr>
                <w:rFonts w:cstheme="minorHAns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gridSpan w:val="2"/>
            <w:noWrap/>
            <w:vAlign w:val="bottom"/>
          </w:tcPr>
          <w:p w:rsidR="00616ED9" w:rsidRPr="00794645" w:rsidRDefault="00616ED9" w:rsidP="00E8401B">
            <w:pPr>
              <w:spacing w:after="0" w:line="240" w:lineRule="auto"/>
              <w:jc w:val="right"/>
              <w:rPr>
                <w:rFonts w:cstheme="minorHAns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noWrap/>
            <w:vAlign w:val="bottom"/>
          </w:tcPr>
          <w:p w:rsidR="00616ED9" w:rsidRPr="00794645" w:rsidRDefault="00616ED9" w:rsidP="00E8401B">
            <w:pPr>
              <w:spacing w:after="0" w:line="240" w:lineRule="auto"/>
              <w:jc w:val="right"/>
              <w:rPr>
                <w:rFonts w:cstheme="minorHAns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34" w:type="dxa"/>
            <w:gridSpan w:val="2"/>
          </w:tcPr>
          <w:p w:rsidR="00616ED9" w:rsidRPr="00794645" w:rsidRDefault="00616ED9" w:rsidP="00E8401B">
            <w:pPr>
              <w:spacing w:after="0" w:line="240" w:lineRule="auto"/>
              <w:jc w:val="right"/>
              <w:rPr>
                <w:rFonts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203" w:type="dxa"/>
            <w:gridSpan w:val="7"/>
          </w:tcPr>
          <w:p w:rsidR="00616ED9" w:rsidRPr="00794645" w:rsidRDefault="00576876" w:rsidP="00AF190C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ProSP</w:t>
            </w:r>
            <w:proofErr w:type="spellEnd"/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quartiles</w:t>
            </w: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All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</w:t>
            </w:r>
            <w:r w:rsidR="00925DB6">
              <w:rPr>
                <w:rFonts w:asciiTheme="minorHAnsi" w:hAnsiTheme="minorHAnsi" w:cstheme="minorHAnsi"/>
                <w:bCs/>
                <w:sz w:val="24"/>
                <w:szCs w:val="24"/>
              </w:rPr>
              <w:t>52.0</w:t>
            </w:r>
          </w:p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pmol</w:t>
            </w:r>
            <w:proofErr w:type="spellEnd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/L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</w:p>
          <w:p w:rsidR="00616ED9" w:rsidRPr="00794645" w:rsidRDefault="00925DB6" w:rsidP="00925DB6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52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.0-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65.19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pmol/L</w:t>
            </w:r>
          </w:p>
        </w:tc>
        <w:tc>
          <w:tcPr>
            <w:tcW w:w="1559" w:type="dxa"/>
          </w:tcPr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  <w:p w:rsidR="00616ED9" w:rsidRPr="00794645" w:rsidRDefault="00925DB6" w:rsidP="00925DB6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65.19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-8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9.1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pmol/L</w:t>
            </w:r>
          </w:p>
        </w:tc>
        <w:tc>
          <w:tcPr>
            <w:tcW w:w="1525" w:type="dxa"/>
          </w:tcPr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</w:p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&gt;</w:t>
            </w:r>
            <w:r w:rsidR="00925DB6">
              <w:rPr>
                <w:rFonts w:asciiTheme="minorHAnsi" w:hAnsiTheme="minorHAnsi" w:cstheme="minorHAnsi"/>
                <w:bCs/>
                <w:sz w:val="24"/>
                <w:szCs w:val="24"/>
              </w:rPr>
              <w:t>89.1</w:t>
            </w:r>
          </w:p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pmol</w:t>
            </w:r>
            <w:proofErr w:type="spellEnd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/L</w:t>
            </w: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P Value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5A16BE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616ED9" w:rsidRPr="005A16BE" w:rsidRDefault="00616ED9" w:rsidP="00ED3A8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A16BE">
              <w:rPr>
                <w:rFonts w:asciiTheme="minorHAnsi" w:hAnsiTheme="minorHAnsi" w:cstheme="minorHAnsi"/>
                <w:bCs/>
                <w:sz w:val="24"/>
                <w:szCs w:val="24"/>
              </w:rPr>
              <w:t>n=114</w:t>
            </w:r>
            <w:r w:rsidR="00ED3A89"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n=28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n=286</w:t>
            </w:r>
          </w:p>
        </w:tc>
        <w:tc>
          <w:tcPr>
            <w:tcW w:w="1559" w:type="dxa"/>
          </w:tcPr>
          <w:p w:rsidR="00616ED9" w:rsidRPr="00794645" w:rsidRDefault="00616ED9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n=28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616ED9" w:rsidRPr="00794645" w:rsidRDefault="00616ED9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n=28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576876" w:rsidP="00F9136A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ProSP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pmol</w:t>
            </w:r>
            <w:proofErr w:type="spellEnd"/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/L</w:t>
            </w:r>
          </w:p>
        </w:tc>
        <w:tc>
          <w:tcPr>
            <w:tcW w:w="1559" w:type="dxa"/>
            <w:gridSpan w:val="3"/>
          </w:tcPr>
          <w:p w:rsidR="00616ED9" w:rsidRPr="00794645" w:rsidRDefault="00ED4860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77.2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55.7</w:t>
            </w:r>
          </w:p>
        </w:tc>
        <w:tc>
          <w:tcPr>
            <w:tcW w:w="1559" w:type="dxa"/>
            <w:gridSpan w:val="3"/>
          </w:tcPr>
          <w:p w:rsidR="00616ED9" w:rsidRPr="00794645" w:rsidRDefault="00ED4860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42.2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7.43</w:t>
            </w:r>
          </w:p>
        </w:tc>
        <w:tc>
          <w:tcPr>
            <w:tcW w:w="1560" w:type="dxa"/>
            <w:gridSpan w:val="2"/>
          </w:tcPr>
          <w:p w:rsidR="00616ED9" w:rsidRPr="00794645" w:rsidRDefault="00ED4860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58.4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4.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16ED9" w:rsidRPr="00794645" w:rsidRDefault="00ED4860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75.6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7.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616ED9" w:rsidRPr="00794645" w:rsidRDefault="00616ED9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13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2.9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87.4</w:t>
            </w:r>
          </w:p>
        </w:tc>
        <w:tc>
          <w:tcPr>
            <w:tcW w:w="1134" w:type="dxa"/>
          </w:tcPr>
          <w:p w:rsidR="00616ED9" w:rsidRPr="00794645" w:rsidRDefault="00616ED9" w:rsidP="00F9136A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F9136A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  <w:highlight w:val="yellow"/>
              </w:rPr>
            </w:pPr>
            <w:proofErr w:type="spellStart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NTproBNP</w:t>
            </w:r>
            <w:proofErr w:type="spellEnd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proofErr w:type="spellStart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pmol</w:t>
            </w:r>
            <w:proofErr w:type="spellEnd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/L) 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18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49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210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3"/>
          </w:tcPr>
          <w:p w:rsidR="00616ED9" w:rsidRPr="00794645" w:rsidRDefault="00ED4860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891.3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1062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339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164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16ED9" w:rsidRPr="00794645" w:rsidRDefault="00616ED9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874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2030</w:t>
            </w:r>
          </w:p>
        </w:tc>
        <w:tc>
          <w:tcPr>
            <w:tcW w:w="1525" w:type="dxa"/>
          </w:tcPr>
          <w:p w:rsidR="00616ED9" w:rsidRPr="00794645" w:rsidRDefault="00616ED9" w:rsidP="00ED486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300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2</w:t>
            </w:r>
            <w:r w:rsidR="00ED4860">
              <w:rPr>
                <w:rFonts w:asciiTheme="minorHAnsi" w:hAnsiTheme="minorHAnsi" w:cstheme="minorHAnsi"/>
                <w:bCs/>
                <w:sz w:val="24"/>
                <w:szCs w:val="24"/>
              </w:rPr>
              <w:t>569</w:t>
            </w:r>
          </w:p>
        </w:tc>
        <w:tc>
          <w:tcPr>
            <w:tcW w:w="1134" w:type="dxa"/>
          </w:tcPr>
          <w:p w:rsidR="00616ED9" w:rsidRPr="00794645" w:rsidRDefault="00F9136A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FF36FC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F36F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Demographics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Age (years)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66.2 ± 12.8</w:t>
            </w:r>
          </w:p>
        </w:tc>
        <w:tc>
          <w:tcPr>
            <w:tcW w:w="1559" w:type="dxa"/>
            <w:gridSpan w:val="3"/>
          </w:tcPr>
          <w:p w:rsidR="00616ED9" w:rsidRPr="00794645" w:rsidRDefault="004171F9" w:rsidP="004171F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58.3 ± 11.2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4171F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="004171F9">
              <w:rPr>
                <w:rFonts w:asciiTheme="minorHAnsi" w:hAnsiTheme="minorHAnsi" w:cstheme="minorHAnsi"/>
                <w:bCs/>
                <w:sz w:val="24"/>
                <w:szCs w:val="24"/>
              </w:rPr>
              <w:t>3.1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11.</w:t>
            </w:r>
            <w:r w:rsidR="004171F9"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16ED9" w:rsidRPr="00794645" w:rsidRDefault="00616ED9" w:rsidP="004171F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="004171F9">
              <w:rPr>
                <w:rFonts w:asciiTheme="minorHAnsi" w:hAnsiTheme="minorHAnsi" w:cstheme="minorHAnsi"/>
                <w:bCs/>
                <w:sz w:val="24"/>
                <w:szCs w:val="24"/>
              </w:rPr>
              <w:t>8.1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</w:t>
            </w:r>
            <w:r w:rsidR="004171F9">
              <w:rPr>
                <w:rFonts w:asciiTheme="minorHAnsi" w:hAnsiTheme="minorHAnsi" w:cstheme="minorHAnsi"/>
                <w:bCs/>
                <w:sz w:val="24"/>
                <w:szCs w:val="24"/>
              </w:rPr>
              <w:t>1.9</w:t>
            </w:r>
          </w:p>
        </w:tc>
        <w:tc>
          <w:tcPr>
            <w:tcW w:w="1525" w:type="dxa"/>
          </w:tcPr>
          <w:p w:rsidR="00616ED9" w:rsidRPr="00794645" w:rsidRDefault="00616ED9" w:rsidP="004171F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75.</w:t>
            </w:r>
            <w:r w:rsidR="004171F9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10.</w:t>
            </w:r>
            <w:r w:rsidR="004171F9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16ED9" w:rsidRPr="00794645" w:rsidRDefault="00F9136A" w:rsidP="00FB6DEF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tabs>
                <w:tab w:val="left" w:pos="2096"/>
              </w:tabs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Male (%)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8C68C3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82</w:t>
            </w:r>
            <w:r w:rsidR="008C68C3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(72)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8C68C3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="008C68C3">
              <w:rPr>
                <w:rFonts w:asciiTheme="minorHAnsi" w:hAnsiTheme="minorHAnsi" w:cstheme="minorHAnsi"/>
                <w:bCs/>
                <w:sz w:val="24"/>
                <w:szCs w:val="24"/>
              </w:rPr>
              <w:t>35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(8</w:t>
            </w:r>
            <w:r w:rsidR="008C68C3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8C68C3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="008C68C3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 w:rsidR="008C68C3">
              <w:rPr>
                <w:rFonts w:asciiTheme="minorHAnsi" w:hAnsiTheme="minorHAnsi" w:cstheme="minorHAnsi"/>
                <w:bCs/>
                <w:sz w:val="24"/>
                <w:szCs w:val="24"/>
              </w:rPr>
              <w:t>75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16ED9" w:rsidRPr="00794645" w:rsidRDefault="00616ED9" w:rsidP="008C68C3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20</w:t>
            </w:r>
            <w:r w:rsidR="008C68C3"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(7</w:t>
            </w:r>
            <w:r w:rsidR="008C68C3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616ED9" w:rsidRPr="00794645" w:rsidRDefault="00616ED9" w:rsidP="00BD6FE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8C68C3">
              <w:rPr>
                <w:rFonts w:asciiTheme="minorHAnsi" w:hAnsiTheme="minorHAnsi" w:cstheme="minorHAnsi"/>
                <w:bCs/>
                <w:sz w:val="24"/>
                <w:szCs w:val="24"/>
              </w:rPr>
              <w:t>68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(5</w:t>
            </w:r>
            <w:r w:rsidR="00BD6FE0"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16ED9" w:rsidRPr="00794645" w:rsidRDefault="00616ED9" w:rsidP="00FB6DEF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ST elevation </w:t>
            </w:r>
            <w:r w:rsidR="008F7B12">
              <w:rPr>
                <w:rFonts w:asciiTheme="minorHAnsi" w:hAnsiTheme="minorHAnsi" w:cstheme="minorHAnsi"/>
                <w:bCs/>
                <w:sz w:val="24"/>
                <w:szCs w:val="24"/>
              </w:rPr>
              <w:t>A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MI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59677C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54</w:t>
            </w:r>
            <w:r w:rsidR="0059677C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(4</w:t>
            </w:r>
            <w:r w:rsidR="0059677C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59677C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  <w:r w:rsidR="0059677C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(5</w:t>
            </w:r>
            <w:r w:rsidR="0059677C"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59677C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59677C">
              <w:rPr>
                <w:rFonts w:asciiTheme="minorHAnsi" w:hAnsiTheme="minorHAnsi" w:cstheme="minorHAnsi"/>
                <w:bCs/>
                <w:sz w:val="24"/>
                <w:szCs w:val="24"/>
              </w:rPr>
              <w:t>32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(4</w:t>
            </w:r>
            <w:r w:rsidR="0059677C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16ED9" w:rsidRPr="00794645" w:rsidRDefault="00616ED9" w:rsidP="0059677C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59677C">
              <w:rPr>
                <w:rFonts w:asciiTheme="minorHAnsi" w:hAnsiTheme="minorHAnsi" w:cstheme="minorHAnsi"/>
                <w:bCs/>
                <w:sz w:val="24"/>
                <w:szCs w:val="24"/>
              </w:rPr>
              <w:t>49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 w:rsidR="0059677C">
              <w:rPr>
                <w:rFonts w:asciiTheme="minorHAnsi" w:hAnsiTheme="minorHAnsi" w:cstheme="minorHAnsi"/>
                <w:bCs/>
                <w:sz w:val="24"/>
                <w:szCs w:val="24"/>
              </w:rPr>
              <w:t>52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120 (42)</w:t>
            </w: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NS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Previous History 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8C68C3" w:rsidP="009035D6">
            <w:pPr>
              <w:pStyle w:val="NoSpacing"/>
              <w:tabs>
                <w:tab w:val="left" w:pos="142"/>
              </w:tabs>
              <w:ind w:left="14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IHD</w:t>
            </w:r>
          </w:p>
        </w:tc>
        <w:tc>
          <w:tcPr>
            <w:tcW w:w="1559" w:type="dxa"/>
            <w:gridSpan w:val="3"/>
          </w:tcPr>
          <w:p w:rsidR="00616ED9" w:rsidRPr="00794645" w:rsidRDefault="008C68C3" w:rsidP="008C68C3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379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33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</w:tcPr>
          <w:p w:rsidR="00616ED9" w:rsidRPr="00794645" w:rsidRDefault="008C68C3" w:rsidP="008C68C3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67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23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616ED9" w:rsidRPr="00794645" w:rsidRDefault="008C68C3" w:rsidP="008C68C3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80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8)</w:t>
            </w:r>
          </w:p>
        </w:tc>
        <w:tc>
          <w:tcPr>
            <w:tcW w:w="1559" w:type="dxa"/>
          </w:tcPr>
          <w:p w:rsidR="00616ED9" w:rsidRPr="00794645" w:rsidRDefault="008C68C3" w:rsidP="008C68C3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91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 w:rsidR="00BD6FE0">
              <w:rPr>
                <w:rFonts w:asciiTheme="minorHAnsi" w:hAnsiTheme="minorHAnsi" w:cstheme="minorHAnsi"/>
                <w:bCs/>
                <w:sz w:val="24"/>
                <w:szCs w:val="24"/>
              </w:rPr>
              <w:t>32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616ED9" w:rsidRPr="00794645" w:rsidRDefault="008C68C3" w:rsidP="008C68C3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141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49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16ED9" w:rsidRPr="00794645" w:rsidRDefault="00616ED9" w:rsidP="00FB6DEF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Heart Failure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46 (4)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3 (1)</w:t>
            </w:r>
          </w:p>
        </w:tc>
        <w:tc>
          <w:tcPr>
            <w:tcW w:w="1560" w:type="dxa"/>
            <w:gridSpan w:val="2"/>
          </w:tcPr>
          <w:p w:rsidR="00616ED9" w:rsidRPr="00794645" w:rsidRDefault="00CB4F06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(3)</w:t>
            </w:r>
          </w:p>
        </w:tc>
        <w:tc>
          <w:tcPr>
            <w:tcW w:w="1559" w:type="dxa"/>
          </w:tcPr>
          <w:p w:rsidR="00616ED9" w:rsidRPr="00794645" w:rsidRDefault="00CB4F06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616ED9" w:rsidRPr="00794645" w:rsidRDefault="00CB4F06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19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16ED9" w:rsidRPr="00794645" w:rsidRDefault="00616ED9" w:rsidP="009716D2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9716D2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Hypertension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59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(52)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25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(4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34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(4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(53)</w:t>
            </w:r>
          </w:p>
        </w:tc>
        <w:tc>
          <w:tcPr>
            <w:tcW w:w="1525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185 (65)</w:t>
            </w:r>
          </w:p>
        </w:tc>
        <w:tc>
          <w:tcPr>
            <w:tcW w:w="1134" w:type="dxa"/>
          </w:tcPr>
          <w:p w:rsidR="00616ED9" w:rsidRPr="00794645" w:rsidRDefault="00616ED9" w:rsidP="00FB6DEF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Diabetes Mellitus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26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(23)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(18)</w:t>
            </w:r>
          </w:p>
        </w:tc>
        <w:tc>
          <w:tcPr>
            <w:tcW w:w="1560" w:type="dxa"/>
            <w:gridSpan w:val="2"/>
          </w:tcPr>
          <w:p w:rsidR="00616ED9" w:rsidRPr="00794645" w:rsidRDefault="00CB4F06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71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(2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28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16ED9" w:rsidRPr="00794645" w:rsidRDefault="00616ED9" w:rsidP="009716D2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0.0</w:t>
            </w:r>
            <w:r w:rsidR="009716D2">
              <w:rPr>
                <w:rFonts w:asciiTheme="minorHAnsi" w:hAnsiTheme="minorHAnsi" w:cstheme="minorHAnsi"/>
                <w:bCs/>
                <w:sz w:val="24"/>
                <w:szCs w:val="24"/>
              </w:rPr>
              <w:t>32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335749">
            <w:pPr>
              <w:pStyle w:val="NoSpacing"/>
              <w:spacing w:line="480" w:lineRule="auto"/>
              <w:ind w:left="14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Killip</w:t>
            </w:r>
            <w:proofErr w:type="spellEnd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Class&gt;1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26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(40)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(2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616ED9" w:rsidRPr="00794645" w:rsidRDefault="00CB4F06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92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35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21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(4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616ED9" w:rsidRPr="00794645" w:rsidRDefault="00616ED9" w:rsidP="00CB4F06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52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 w:rsidR="00CB4F06">
              <w:rPr>
                <w:rFonts w:asciiTheme="minorHAnsi" w:hAnsiTheme="minorHAnsi" w:cstheme="minorHAnsi"/>
                <w:bCs/>
                <w:sz w:val="24"/>
                <w:szCs w:val="24"/>
              </w:rPr>
              <w:t>56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16ED9" w:rsidRPr="00794645" w:rsidRDefault="00616ED9" w:rsidP="00FB6DEF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Glucose (</w:t>
            </w:r>
            <w:proofErr w:type="spellStart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mmol</w:t>
            </w:r>
            <w:proofErr w:type="spellEnd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/L) 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8.9 ± 4.2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8.5 ± 3.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8.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3.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8.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3.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616ED9" w:rsidRPr="00794645" w:rsidRDefault="004E5ED5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9.9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5.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16ED9" w:rsidRPr="00794645" w:rsidRDefault="00616ED9" w:rsidP="00FB6DEF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Troponin I (</w:t>
            </w:r>
            <w:proofErr w:type="spellStart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ng</w:t>
            </w:r>
            <w:proofErr w:type="spellEnd"/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/mL)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13.1 ± 25.8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3.2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2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6.7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2.0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2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4.4</w:t>
            </w:r>
          </w:p>
        </w:tc>
        <w:tc>
          <w:tcPr>
            <w:tcW w:w="1559" w:type="dxa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5.0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2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7.9</w:t>
            </w:r>
          </w:p>
        </w:tc>
        <w:tc>
          <w:tcPr>
            <w:tcW w:w="1525" w:type="dxa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2.1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2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4.2</w:t>
            </w: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NS</w:t>
            </w:r>
          </w:p>
        </w:tc>
      </w:tr>
      <w:tr w:rsidR="00616ED9" w:rsidRPr="00794645" w:rsidTr="00616ED9">
        <w:tblPrEx>
          <w:tblLook w:val="01E0" w:firstRow="1" w:lastRow="1" w:firstColumn="1" w:lastColumn="1" w:noHBand="0" w:noVBand="0"/>
        </w:tblPrEx>
        <w:trPr>
          <w:trHeight w:val="1164"/>
        </w:trPr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  <w:lang w:val="de-DE"/>
              </w:rPr>
              <w:t xml:space="preserve">   eGFR (ml/min/1.73m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  <w:lang w:val="de-DE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  <w:lang w:val="de-DE"/>
              </w:rPr>
              <w:t>)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65.6 ± 20.1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7.9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7.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</w:tcPr>
          <w:p w:rsidR="00616ED9" w:rsidRPr="00794645" w:rsidRDefault="004E5ED5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71.4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5.5</w:t>
            </w:r>
          </w:p>
        </w:tc>
        <w:tc>
          <w:tcPr>
            <w:tcW w:w="1559" w:type="dxa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4.4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16.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616ED9" w:rsidRPr="00794645" w:rsidRDefault="00616ED9" w:rsidP="004E5ED5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8.9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</w:t>
            </w:r>
            <w:r w:rsidR="004E5ED5">
              <w:rPr>
                <w:rFonts w:asciiTheme="minorHAnsi" w:hAnsiTheme="minorHAnsi" w:cstheme="minorHAnsi"/>
                <w:bCs/>
                <w:sz w:val="24"/>
                <w:szCs w:val="24"/>
              </w:rPr>
              <w:t>7.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16ED9" w:rsidRPr="00794645" w:rsidRDefault="00616ED9" w:rsidP="00FB6DEF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Risk Markers on Discharge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rPr>
          <w:trHeight w:val="574"/>
        </w:trPr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Echocardiographic LVSD [n=893]</w:t>
            </w:r>
          </w:p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  <w:lang w:val="de-DE"/>
              </w:rPr>
            </w:pP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rPr>
          <w:trHeight w:val="531"/>
        </w:trPr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LV wall motion index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1.47 ± 0.42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7F12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1.</w:t>
            </w:r>
            <w:r w:rsidR="007F12B9">
              <w:rPr>
                <w:rFonts w:asciiTheme="minorHAnsi" w:hAnsiTheme="minorHAnsi" w:cstheme="minorHAnsi"/>
                <w:bCs/>
                <w:sz w:val="24"/>
                <w:szCs w:val="24"/>
              </w:rPr>
              <w:t>38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0.</w:t>
            </w:r>
            <w:r w:rsidR="007F12B9">
              <w:rPr>
                <w:rFonts w:asciiTheme="minorHAnsi" w:hAnsiTheme="minorHAnsi" w:cstheme="minorHAnsi"/>
                <w:bCs/>
                <w:sz w:val="24"/>
                <w:szCs w:val="24"/>
              </w:rPr>
              <w:t>37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7F12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1.4</w:t>
            </w:r>
            <w:r w:rsidR="007F12B9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0.</w:t>
            </w:r>
            <w:r w:rsidR="007F12B9">
              <w:rPr>
                <w:rFonts w:asciiTheme="minorHAnsi" w:hAnsiTheme="minorHAnsi" w:cstheme="minorHAnsi"/>
                <w:bCs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616ED9" w:rsidRPr="00794645" w:rsidRDefault="00616ED9" w:rsidP="007F12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1.4</w:t>
            </w:r>
            <w:r w:rsidR="007F12B9"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0.41</w:t>
            </w:r>
          </w:p>
        </w:tc>
        <w:tc>
          <w:tcPr>
            <w:tcW w:w="1525" w:type="dxa"/>
          </w:tcPr>
          <w:p w:rsidR="00616ED9" w:rsidRPr="00794645" w:rsidRDefault="00616ED9" w:rsidP="007F12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1.</w:t>
            </w:r>
            <w:r w:rsidR="007F12B9">
              <w:rPr>
                <w:rFonts w:asciiTheme="minorHAnsi" w:hAnsiTheme="minorHAnsi" w:cstheme="minorHAnsi"/>
                <w:bCs/>
                <w:sz w:val="24"/>
                <w:szCs w:val="24"/>
              </w:rPr>
              <w:t>60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0.4</w:t>
            </w:r>
            <w:r w:rsidR="007F12B9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</w:t>
            </w:r>
            <w:r w:rsidR="00FB6DEF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rPr>
          <w:trHeight w:val="659"/>
        </w:trPr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LV ejection fraction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42.1 ± 14.5</w:t>
            </w:r>
          </w:p>
        </w:tc>
        <w:tc>
          <w:tcPr>
            <w:tcW w:w="1559" w:type="dxa"/>
            <w:gridSpan w:val="3"/>
          </w:tcPr>
          <w:p w:rsidR="00616ED9" w:rsidRPr="00794645" w:rsidRDefault="00616ED9" w:rsidP="007D3DC2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7D3DC2">
              <w:rPr>
                <w:rFonts w:asciiTheme="minorHAnsi" w:hAnsiTheme="minorHAnsi" w:cstheme="minorHAnsi"/>
                <w:bCs/>
                <w:sz w:val="24"/>
                <w:szCs w:val="24"/>
              </w:rPr>
              <w:t>4.8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</w:t>
            </w:r>
            <w:r w:rsidR="007D3DC2">
              <w:rPr>
                <w:rFonts w:asciiTheme="minorHAnsi" w:hAnsiTheme="minorHAnsi" w:cstheme="minorHAnsi"/>
                <w:bCs/>
                <w:sz w:val="24"/>
                <w:szCs w:val="24"/>
              </w:rPr>
              <w:t>3.8</w:t>
            </w:r>
          </w:p>
        </w:tc>
        <w:tc>
          <w:tcPr>
            <w:tcW w:w="1560" w:type="dxa"/>
            <w:gridSpan w:val="2"/>
          </w:tcPr>
          <w:p w:rsidR="00616ED9" w:rsidRPr="00794645" w:rsidRDefault="00616ED9" w:rsidP="007D3DC2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7D3DC2">
              <w:rPr>
                <w:rFonts w:asciiTheme="minorHAnsi" w:hAnsiTheme="minorHAnsi" w:cstheme="minorHAnsi"/>
                <w:bCs/>
                <w:sz w:val="24"/>
                <w:szCs w:val="24"/>
              </w:rPr>
              <w:t>3.8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14.</w:t>
            </w:r>
            <w:r w:rsidR="007D3DC2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16ED9" w:rsidRPr="00794645" w:rsidRDefault="00616ED9" w:rsidP="007D3DC2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="007D3DC2">
              <w:rPr>
                <w:rFonts w:asciiTheme="minorHAnsi" w:hAnsiTheme="minorHAnsi" w:cstheme="minorHAnsi"/>
                <w:bCs/>
                <w:sz w:val="24"/>
                <w:szCs w:val="24"/>
              </w:rPr>
              <w:t>1.4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</w:t>
            </w:r>
            <w:r w:rsidR="007D3DC2">
              <w:rPr>
                <w:rFonts w:asciiTheme="minorHAnsi" w:hAnsiTheme="minorHAnsi" w:cstheme="minorHAnsi"/>
                <w:bCs/>
                <w:sz w:val="24"/>
                <w:szCs w:val="24"/>
              </w:rPr>
              <w:t>3.8</w:t>
            </w:r>
          </w:p>
        </w:tc>
        <w:tc>
          <w:tcPr>
            <w:tcW w:w="1525" w:type="dxa"/>
          </w:tcPr>
          <w:p w:rsidR="00616ED9" w:rsidRPr="00794645" w:rsidRDefault="00616ED9" w:rsidP="007D3DC2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38.</w:t>
            </w:r>
            <w:r w:rsidR="007D3DC2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15.</w:t>
            </w:r>
            <w:r w:rsidR="007D3DC2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16ED9" w:rsidRPr="00794645" w:rsidRDefault="00616ED9" w:rsidP="00E8401B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</w:t>
            </w:r>
            <w:r w:rsidR="00FB6DEF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616ED9" w:rsidRPr="00794645" w:rsidTr="00E8401B">
        <w:tblPrEx>
          <w:tblLook w:val="01E0" w:firstRow="1" w:lastRow="1" w:firstColumn="1" w:lastColumn="1" w:noHBand="0" w:noVBand="0"/>
        </w:tblPrEx>
        <w:trPr>
          <w:trHeight w:val="1023"/>
        </w:trPr>
        <w:tc>
          <w:tcPr>
            <w:tcW w:w="2411" w:type="dxa"/>
            <w:gridSpan w:val="3"/>
          </w:tcPr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GRACE score</w:t>
            </w:r>
          </w:p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616ED9" w:rsidRPr="00794645" w:rsidRDefault="00616ED9" w:rsidP="00E8401B">
            <w:pPr>
              <w:pStyle w:val="NoSpacing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Treatment </w:t>
            </w:r>
          </w:p>
        </w:tc>
        <w:tc>
          <w:tcPr>
            <w:tcW w:w="1559" w:type="dxa"/>
            <w:gridSpan w:val="3"/>
          </w:tcPr>
          <w:p w:rsidR="00616ED9" w:rsidRPr="00794645" w:rsidRDefault="008F38AA" w:rsidP="008F38AA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120.0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32.7</w:t>
            </w:r>
          </w:p>
        </w:tc>
        <w:tc>
          <w:tcPr>
            <w:tcW w:w="1559" w:type="dxa"/>
            <w:gridSpan w:val="3"/>
          </w:tcPr>
          <w:p w:rsidR="00616ED9" w:rsidRPr="00794645" w:rsidRDefault="008F38AA" w:rsidP="008F38AA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99.7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26.6</w:t>
            </w:r>
          </w:p>
        </w:tc>
        <w:tc>
          <w:tcPr>
            <w:tcW w:w="1560" w:type="dxa"/>
            <w:gridSpan w:val="2"/>
          </w:tcPr>
          <w:p w:rsidR="00616ED9" w:rsidRPr="00794645" w:rsidRDefault="008F38AA" w:rsidP="008F38AA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109.6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26.9</w:t>
            </w:r>
          </w:p>
        </w:tc>
        <w:tc>
          <w:tcPr>
            <w:tcW w:w="1559" w:type="dxa"/>
          </w:tcPr>
          <w:p w:rsidR="00616ED9" w:rsidRPr="00794645" w:rsidRDefault="007D3DC2" w:rsidP="008F38AA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8F38AA">
              <w:rPr>
                <w:rFonts w:asciiTheme="minorHAnsi" w:hAnsiTheme="minorHAnsi" w:cstheme="minorHAnsi"/>
                <w:bCs/>
                <w:sz w:val="24"/>
                <w:szCs w:val="24"/>
              </w:rPr>
              <w:t>25.6</w:t>
            </w:r>
            <w:r w:rsidR="00616ED9"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</w:t>
            </w:r>
            <w:r w:rsidR="008F38AA">
              <w:rPr>
                <w:rFonts w:asciiTheme="minorHAnsi" w:hAnsiTheme="minorHAnsi" w:cstheme="minorHAnsi"/>
                <w:bCs/>
                <w:sz w:val="24"/>
                <w:szCs w:val="24"/>
              </w:rPr>
              <w:t>28.4</w:t>
            </w:r>
          </w:p>
        </w:tc>
        <w:tc>
          <w:tcPr>
            <w:tcW w:w="1525" w:type="dxa"/>
          </w:tcPr>
          <w:p w:rsidR="00616ED9" w:rsidRPr="00794645" w:rsidRDefault="00616ED9" w:rsidP="00B90DA0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="008F38AA">
              <w:rPr>
                <w:rFonts w:asciiTheme="minorHAnsi" w:hAnsiTheme="minorHAnsi" w:cstheme="minorHAnsi"/>
                <w:bCs/>
                <w:sz w:val="24"/>
                <w:szCs w:val="24"/>
              </w:rPr>
              <w:t>44.5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± </w:t>
            </w:r>
            <w:r w:rsidR="00B90DA0">
              <w:rPr>
                <w:rFonts w:asciiTheme="minorHAnsi" w:hAnsiTheme="minorHAnsi" w:cstheme="minorHAnsi"/>
                <w:bCs/>
                <w:sz w:val="24"/>
                <w:szCs w:val="24"/>
              </w:rPr>
              <w:t>29.9</w:t>
            </w:r>
          </w:p>
        </w:tc>
        <w:tc>
          <w:tcPr>
            <w:tcW w:w="1134" w:type="dxa"/>
          </w:tcPr>
          <w:p w:rsidR="00616ED9" w:rsidRPr="00794645" w:rsidRDefault="00616ED9" w:rsidP="00FB6DEF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 w:rsidR="00FB6DEF"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5141B9" w:rsidRPr="00794645" w:rsidTr="00E8401B">
        <w:tblPrEx>
          <w:tblLook w:val="01E0" w:firstRow="1" w:lastRow="1" w:firstColumn="1" w:lastColumn="1" w:noHBand="0" w:noVBand="0"/>
        </w:tblPrEx>
        <w:trPr>
          <w:trHeight w:val="598"/>
        </w:trPr>
        <w:tc>
          <w:tcPr>
            <w:tcW w:w="2411" w:type="dxa"/>
            <w:gridSpan w:val="3"/>
          </w:tcPr>
          <w:p w:rsidR="005141B9" w:rsidRPr="00794645" w:rsidRDefault="005141B9" w:rsidP="005141B9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  <w:highlight w:val="yellow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Aspirin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63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(84)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255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8 (8</w:t>
            </w:r>
            <w:r w:rsidR="00BD6FE0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5141B9" w:rsidRPr="00794645" w:rsidRDefault="003309F8" w:rsidP="007D079C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5141B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5141B9" w:rsidRPr="00794645" w:rsidRDefault="005141B9" w:rsidP="005141B9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Beta-blocker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(80)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6 (8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23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(83)</w:t>
            </w:r>
          </w:p>
        </w:tc>
        <w:tc>
          <w:tcPr>
            <w:tcW w:w="1559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30 (80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196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5141B9" w:rsidRPr="00794645" w:rsidRDefault="003309F8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5141B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5141B9" w:rsidRPr="00794645" w:rsidRDefault="005141B9" w:rsidP="005141B9">
            <w:pPr>
              <w:pStyle w:val="NoSpacing"/>
              <w:ind w:left="142" w:hanging="14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ACE inhibitor or ARB*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(82)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24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(87)</w:t>
            </w:r>
          </w:p>
        </w:tc>
        <w:tc>
          <w:tcPr>
            <w:tcW w:w="1560" w:type="dxa"/>
            <w:gridSpan w:val="2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(8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5(8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(74)</w:t>
            </w:r>
          </w:p>
        </w:tc>
        <w:tc>
          <w:tcPr>
            <w:tcW w:w="1134" w:type="dxa"/>
          </w:tcPr>
          <w:p w:rsidR="005141B9" w:rsidRPr="00794645" w:rsidRDefault="003309F8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5141B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5141B9" w:rsidRPr="00794645" w:rsidRDefault="005141B9" w:rsidP="005141B9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Statin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 (87)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(94)</w:t>
            </w:r>
          </w:p>
        </w:tc>
        <w:tc>
          <w:tcPr>
            <w:tcW w:w="1560" w:type="dxa"/>
            <w:gridSpan w:val="2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(9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214(75)</w:t>
            </w:r>
          </w:p>
        </w:tc>
        <w:tc>
          <w:tcPr>
            <w:tcW w:w="1134" w:type="dxa"/>
          </w:tcPr>
          <w:p w:rsidR="005141B9" w:rsidRPr="00794645" w:rsidRDefault="003309F8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5141B9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5141B9" w:rsidRPr="00794645" w:rsidRDefault="005141B9" w:rsidP="005141B9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Loop Diuretic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289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5141B9" w:rsidRPr="00794645" w:rsidRDefault="005141B9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122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43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5141B9" w:rsidRPr="00794645" w:rsidRDefault="003309F8" w:rsidP="005141B9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012CA8" w:rsidRPr="003309F8" w:rsidRDefault="00012CA8" w:rsidP="00012CA8">
            <w:pPr>
              <w:pStyle w:val="NoSpacing"/>
              <w:rPr>
                <w:rFonts w:asciiTheme="minorHAnsi" w:hAnsiTheme="minorHAnsi"/>
                <w:bCs/>
                <w:sz w:val="24"/>
                <w:szCs w:val="24"/>
              </w:rPr>
            </w:pP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 xml:space="preserve">   Revascularisation</w:t>
            </w:r>
          </w:p>
        </w:tc>
        <w:tc>
          <w:tcPr>
            <w:tcW w:w="1559" w:type="dxa"/>
            <w:gridSpan w:val="3"/>
          </w:tcPr>
          <w:p w:rsidR="00012CA8" w:rsidRPr="003309F8" w:rsidRDefault="00012CA8" w:rsidP="00A32B18">
            <w:pPr>
              <w:pStyle w:val="NoSpacing"/>
              <w:spacing w:line="480" w:lineRule="auto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3</w:t>
            </w:r>
            <w:r w:rsidR="00A32B18" w:rsidRPr="003309F8">
              <w:rPr>
                <w:rFonts w:asciiTheme="minorHAnsi" w:hAnsiTheme="minorHAnsi"/>
                <w:bCs/>
                <w:sz w:val="24"/>
                <w:szCs w:val="24"/>
              </w:rPr>
              <w:t>43 (30</w:t>
            </w: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</w:tcPr>
          <w:p w:rsidR="00012CA8" w:rsidRPr="003309F8" w:rsidRDefault="00A32B18" w:rsidP="00A32B18">
            <w:pPr>
              <w:pStyle w:val="NoSpacing"/>
              <w:spacing w:line="480" w:lineRule="auto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95</w:t>
            </w:r>
            <w:r w:rsidR="00012CA8" w:rsidRPr="003309F8">
              <w:rPr>
                <w:rFonts w:asciiTheme="minorHAnsi" w:hAnsiTheme="minorHAnsi"/>
                <w:bCs/>
                <w:sz w:val="24"/>
                <w:szCs w:val="24"/>
              </w:rPr>
              <w:t xml:space="preserve"> (</w:t>
            </w: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33</w:t>
            </w:r>
            <w:r w:rsidR="00012CA8" w:rsidRPr="003309F8">
              <w:rPr>
                <w:rFonts w:asciiTheme="minorHAnsi" w:hAnsi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012CA8" w:rsidRPr="003309F8" w:rsidRDefault="00A32B18" w:rsidP="00A32B18">
            <w:pPr>
              <w:pStyle w:val="NoSpacing"/>
              <w:spacing w:line="480" w:lineRule="auto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99</w:t>
            </w:r>
            <w:r w:rsidR="00012CA8" w:rsidRPr="003309F8">
              <w:rPr>
                <w:rFonts w:asciiTheme="minorHAnsi" w:hAnsiTheme="minorHAnsi"/>
                <w:bCs/>
                <w:sz w:val="24"/>
                <w:szCs w:val="24"/>
              </w:rPr>
              <w:t xml:space="preserve"> (</w:t>
            </w: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35</w:t>
            </w:r>
            <w:r w:rsidR="00012CA8" w:rsidRPr="003309F8">
              <w:rPr>
                <w:rFonts w:asciiTheme="minorHAnsi" w:hAnsi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12CA8" w:rsidRPr="003309F8" w:rsidRDefault="00012CA8" w:rsidP="00A32B18">
            <w:pPr>
              <w:pStyle w:val="NoSpacing"/>
              <w:spacing w:line="480" w:lineRule="auto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7</w:t>
            </w:r>
            <w:r w:rsidR="00A32B18" w:rsidRPr="003309F8">
              <w:rPr>
                <w:rFonts w:asciiTheme="minorHAnsi" w:hAnsiTheme="minorHAnsi"/>
                <w:bCs/>
                <w:sz w:val="24"/>
                <w:szCs w:val="24"/>
              </w:rPr>
              <w:t>9</w:t>
            </w: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(</w:t>
            </w:r>
            <w:r w:rsidR="00A32B18" w:rsidRPr="003309F8">
              <w:rPr>
                <w:rFonts w:asciiTheme="minorHAnsi" w:hAnsiTheme="minorHAnsi"/>
                <w:bCs/>
                <w:sz w:val="24"/>
                <w:szCs w:val="24"/>
              </w:rPr>
              <w:t>27</w:t>
            </w: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012CA8" w:rsidRPr="003309F8" w:rsidRDefault="00A32B18" w:rsidP="00A32B18">
            <w:pPr>
              <w:pStyle w:val="NoSpacing"/>
              <w:spacing w:line="480" w:lineRule="auto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70</w:t>
            </w:r>
            <w:r w:rsidR="00BD6FE0" w:rsidRPr="003309F8">
              <w:rPr>
                <w:rFonts w:asciiTheme="minorHAnsi" w:hAnsiTheme="minorHAnsi"/>
                <w:bCs/>
                <w:sz w:val="24"/>
                <w:szCs w:val="24"/>
              </w:rPr>
              <w:t xml:space="preserve"> (</w:t>
            </w: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24</w:t>
            </w:r>
            <w:r w:rsidR="00012CA8" w:rsidRPr="003309F8">
              <w:rPr>
                <w:rFonts w:asciiTheme="minorHAnsi" w:hAnsi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12CA8" w:rsidRPr="003309F8" w:rsidRDefault="003309F8" w:rsidP="003309F8">
            <w:pPr>
              <w:pStyle w:val="NoSpacing"/>
              <w:spacing w:line="480" w:lineRule="auto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3309F8">
              <w:rPr>
                <w:rFonts w:asciiTheme="minorHAnsi" w:hAnsiTheme="minorHAnsi"/>
                <w:bCs/>
                <w:sz w:val="24"/>
                <w:szCs w:val="24"/>
              </w:rPr>
              <w:t>0.027</w:t>
            </w: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012CA8" w:rsidRPr="00794645" w:rsidRDefault="00012CA8" w:rsidP="00012CA8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F38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End Points (2 years)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012CA8" w:rsidRPr="00794645" w:rsidRDefault="00012CA8" w:rsidP="00012CA8">
            <w:pPr>
              <w:pStyle w:val="NoSpacing"/>
              <w:ind w:left="142" w:hanging="14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Major Adverse Cardiac Events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32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(28)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012CA8" w:rsidRPr="00794645" w:rsidRDefault="00012CA8" w:rsidP="00A32B1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</w:t>
            </w:r>
            <w:r w:rsidR="00A32B18"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77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(5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12CA8" w:rsidRPr="00794645" w:rsidRDefault="003309F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012CA8" w:rsidRPr="00794645" w:rsidRDefault="00012CA8" w:rsidP="00012CA8">
            <w:pPr>
              <w:pStyle w:val="NoSpacing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Death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(12)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11 (4)</w:t>
            </w:r>
          </w:p>
        </w:tc>
        <w:tc>
          <w:tcPr>
            <w:tcW w:w="1559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87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(3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12CA8" w:rsidRPr="00794645" w:rsidRDefault="003309F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012CA8" w:rsidRPr="00794645" w:rsidRDefault="00012CA8" w:rsidP="00012CA8">
            <w:pPr>
              <w:pStyle w:val="NoSpacing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Non-fatal major   Adverse Cardiac Events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230 (20)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(16)</w:t>
            </w:r>
          </w:p>
        </w:tc>
        <w:tc>
          <w:tcPr>
            <w:tcW w:w="1559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56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87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(3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12CA8" w:rsidRPr="00794645" w:rsidRDefault="003309F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012CA8" w:rsidRPr="00794645" w:rsidRDefault="00012CA8" w:rsidP="00012CA8">
            <w:pPr>
              <w:pStyle w:val="NoSpacing"/>
              <w:ind w:left="17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Heart Failure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A63622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112 (</w:t>
            </w:r>
            <w:r w:rsidR="00A63622"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7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(10)</w:t>
            </w:r>
          </w:p>
        </w:tc>
        <w:tc>
          <w:tcPr>
            <w:tcW w:w="1525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52 (18)</w:t>
            </w:r>
          </w:p>
        </w:tc>
        <w:tc>
          <w:tcPr>
            <w:tcW w:w="1134" w:type="dxa"/>
          </w:tcPr>
          <w:p w:rsidR="00012CA8" w:rsidRPr="00794645" w:rsidRDefault="003309F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&lt;0.00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05</w:t>
            </w: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012CA8" w:rsidRPr="00794645" w:rsidRDefault="00012CA8" w:rsidP="00012CA8">
            <w:pPr>
              <w:pStyle w:val="NoSpacing"/>
              <w:ind w:left="17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Re-AMI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149 (13)</w:t>
            </w: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9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10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60" w:type="dxa"/>
            <w:gridSpan w:val="2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33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525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(1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8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0.0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794645">
              <w:rPr>
                <w:rFonts w:asciiTheme="minorHAnsi" w:hAnsiTheme="minorHAnsi" w:cstheme="minorHAnsi"/>
                <w:bCs/>
                <w:sz w:val="24"/>
                <w:szCs w:val="24"/>
              </w:rPr>
              <w:t>1</w:t>
            </w: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rPr>
          <w:trHeight w:val="964"/>
        </w:trPr>
        <w:tc>
          <w:tcPr>
            <w:tcW w:w="2411" w:type="dxa"/>
            <w:gridSpan w:val="3"/>
          </w:tcPr>
          <w:p w:rsidR="00012CA8" w:rsidRPr="00794645" w:rsidRDefault="00012CA8" w:rsidP="00012CA8">
            <w:pPr>
              <w:pStyle w:val="NoSpacing"/>
              <w:ind w:left="17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012CA8" w:rsidRPr="00794645" w:rsidRDefault="00012CA8" w:rsidP="00012CA8">
            <w:pPr>
              <w:pStyle w:val="NoSpacing"/>
              <w:ind w:left="17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012CA8" w:rsidRPr="00794645" w:rsidTr="00E8401B">
        <w:tblPrEx>
          <w:tblLook w:val="01E0" w:firstRow="1" w:lastRow="1" w:firstColumn="1" w:lastColumn="1" w:noHBand="0" w:noVBand="0"/>
        </w:tblPrEx>
        <w:tc>
          <w:tcPr>
            <w:tcW w:w="2411" w:type="dxa"/>
            <w:gridSpan w:val="3"/>
          </w:tcPr>
          <w:p w:rsidR="00012CA8" w:rsidRPr="00794645" w:rsidRDefault="00012CA8" w:rsidP="00012CA8">
            <w:pPr>
              <w:pStyle w:val="NoSpacing"/>
              <w:ind w:left="175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25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CA8" w:rsidRPr="00794645" w:rsidRDefault="00012CA8" w:rsidP="00012CA8">
            <w:pPr>
              <w:pStyle w:val="NoSpacing"/>
              <w:spacing w:line="48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616ED9" w:rsidRPr="00794645" w:rsidRDefault="00616ED9" w:rsidP="00616ED9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794645">
        <w:rPr>
          <w:rFonts w:asciiTheme="minorHAnsi" w:hAnsiTheme="minorHAnsi" w:cstheme="minorHAnsi"/>
          <w:sz w:val="24"/>
          <w:szCs w:val="24"/>
        </w:rPr>
        <w:t>*ARB = Angiotensin 2 receptor blocker</w:t>
      </w:r>
    </w:p>
    <w:p w:rsidR="00616ED9" w:rsidRPr="00794645" w:rsidRDefault="00616ED9" w:rsidP="00616ED9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:rsidR="00616ED9" w:rsidRPr="00794645" w:rsidRDefault="00616ED9" w:rsidP="00616ED9">
      <w:pPr>
        <w:rPr>
          <w:rFonts w:cstheme="minorHAnsi"/>
          <w:sz w:val="24"/>
          <w:szCs w:val="24"/>
        </w:rPr>
      </w:pPr>
    </w:p>
    <w:p w:rsidR="00616ED9" w:rsidRPr="00794645" w:rsidRDefault="00616ED9" w:rsidP="00616ED9">
      <w:pPr>
        <w:rPr>
          <w:rFonts w:cstheme="minorHAnsi"/>
          <w:sz w:val="24"/>
          <w:szCs w:val="24"/>
        </w:rPr>
      </w:pPr>
      <w:r w:rsidRPr="00794645">
        <w:rPr>
          <w:rFonts w:cstheme="minorHAnsi"/>
          <w:b/>
          <w:sz w:val="24"/>
          <w:szCs w:val="24"/>
        </w:rPr>
        <w:t xml:space="preserve">Table 2: </w:t>
      </w:r>
      <w:r w:rsidR="006A7D93" w:rsidRPr="006A7D93">
        <w:rPr>
          <w:rFonts w:cstheme="minorHAnsi"/>
          <w:sz w:val="24"/>
          <w:szCs w:val="24"/>
        </w:rPr>
        <w:t>G</w:t>
      </w:r>
      <w:r w:rsidRPr="00794645">
        <w:rPr>
          <w:rFonts w:cstheme="minorHAnsi"/>
          <w:sz w:val="24"/>
          <w:szCs w:val="24"/>
        </w:rPr>
        <w:t>ene</w:t>
      </w:r>
      <w:r w:rsidR="00412BD0">
        <w:rPr>
          <w:rFonts w:cstheme="minorHAnsi"/>
          <w:sz w:val="24"/>
          <w:szCs w:val="24"/>
        </w:rPr>
        <w:t>r</w:t>
      </w:r>
      <w:r w:rsidRPr="00794645">
        <w:rPr>
          <w:rFonts w:cstheme="minorHAnsi"/>
          <w:sz w:val="24"/>
          <w:szCs w:val="24"/>
        </w:rPr>
        <w:t xml:space="preserve">al linear model showing independent predictors of </w:t>
      </w:r>
      <w:proofErr w:type="spellStart"/>
      <w:r w:rsidR="00576876">
        <w:rPr>
          <w:rFonts w:cstheme="minorHAnsi"/>
          <w:sz w:val="24"/>
          <w:szCs w:val="24"/>
        </w:rPr>
        <w:t>ProSP</w:t>
      </w:r>
      <w:proofErr w:type="spellEnd"/>
      <w:r w:rsidRPr="00794645">
        <w:rPr>
          <w:rFonts w:cstheme="minorHAnsi"/>
          <w:sz w:val="24"/>
          <w:szCs w:val="24"/>
        </w:rPr>
        <w:t xml:space="preserve"> levels</w:t>
      </w:r>
      <w:r w:rsidR="009035D6">
        <w:rPr>
          <w:rFonts w:cstheme="minorHAnsi"/>
          <w:sz w:val="24"/>
          <w:szCs w:val="24"/>
        </w:rPr>
        <w:t>, with coefficients reported for 2000 bootstrapped samples.</w:t>
      </w:r>
      <w:r w:rsidR="009430E8">
        <w:rPr>
          <w:rFonts w:cstheme="minorHAnsi"/>
          <w:sz w:val="24"/>
          <w:szCs w:val="24"/>
        </w:rPr>
        <w:t xml:space="preserve"> Lower and upper CI </w:t>
      </w:r>
      <w:proofErr w:type="gramStart"/>
      <w:r w:rsidR="009430E8">
        <w:rPr>
          <w:rFonts w:cstheme="minorHAnsi"/>
          <w:sz w:val="24"/>
          <w:szCs w:val="24"/>
        </w:rPr>
        <w:t>refer</w:t>
      </w:r>
      <w:proofErr w:type="gramEnd"/>
      <w:r w:rsidR="009430E8">
        <w:rPr>
          <w:rFonts w:cstheme="minorHAnsi"/>
          <w:sz w:val="24"/>
          <w:szCs w:val="24"/>
        </w:rPr>
        <w:t xml:space="preserve"> to 95% confidence intervals.</w:t>
      </w:r>
    </w:p>
    <w:p w:rsidR="00616ED9" w:rsidRPr="00794645" w:rsidRDefault="00616ED9" w:rsidP="00616ED9">
      <w:pPr>
        <w:rPr>
          <w:rFonts w:cstheme="minorHAnsi"/>
          <w:sz w:val="24"/>
          <w:szCs w:val="24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2705"/>
        <w:gridCol w:w="1671"/>
        <w:gridCol w:w="1263"/>
        <w:gridCol w:w="1201"/>
        <w:gridCol w:w="1201"/>
        <w:gridCol w:w="1201"/>
      </w:tblGrid>
      <w:tr w:rsidR="009430E8" w:rsidRPr="00794645" w:rsidTr="009430E8">
        <w:tc>
          <w:tcPr>
            <w:tcW w:w="2705" w:type="dxa"/>
          </w:tcPr>
          <w:p w:rsidR="009430E8" w:rsidRPr="00794645" w:rsidRDefault="009430E8" w:rsidP="00E8401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94645">
              <w:rPr>
                <w:rFonts w:asciiTheme="minorHAnsi" w:hAnsiTheme="minorHAnsi" w:cstheme="minorHAnsi"/>
                <w:sz w:val="24"/>
                <w:szCs w:val="24"/>
              </w:rPr>
              <w:t>Variable</w:t>
            </w:r>
          </w:p>
        </w:tc>
        <w:tc>
          <w:tcPr>
            <w:tcW w:w="1671" w:type="dxa"/>
          </w:tcPr>
          <w:p w:rsidR="009430E8" w:rsidRPr="00794645" w:rsidRDefault="009430E8" w:rsidP="00E8401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Coefficient</w:t>
            </w:r>
          </w:p>
        </w:tc>
        <w:tc>
          <w:tcPr>
            <w:tcW w:w="1263" w:type="dxa"/>
          </w:tcPr>
          <w:p w:rsidR="009430E8" w:rsidRPr="00794645" w:rsidRDefault="009430E8" w:rsidP="00E8401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Standard error</w:t>
            </w:r>
          </w:p>
        </w:tc>
        <w:tc>
          <w:tcPr>
            <w:tcW w:w="1201" w:type="dxa"/>
          </w:tcPr>
          <w:p w:rsidR="009430E8" w:rsidRDefault="009430E8" w:rsidP="00E8401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Lower CI</w:t>
            </w:r>
          </w:p>
        </w:tc>
        <w:tc>
          <w:tcPr>
            <w:tcW w:w="1201" w:type="dxa"/>
          </w:tcPr>
          <w:p w:rsidR="009430E8" w:rsidRDefault="009430E8" w:rsidP="00E8401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Upper CI</w:t>
            </w:r>
          </w:p>
        </w:tc>
        <w:tc>
          <w:tcPr>
            <w:tcW w:w="1201" w:type="dxa"/>
          </w:tcPr>
          <w:p w:rsidR="009430E8" w:rsidRDefault="009430E8" w:rsidP="00E8401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 value</w:t>
            </w:r>
          </w:p>
        </w:tc>
      </w:tr>
      <w:tr w:rsidR="009430E8" w:rsidRPr="00794645" w:rsidTr="009430E8">
        <w:tc>
          <w:tcPr>
            <w:tcW w:w="2705" w:type="dxa"/>
          </w:tcPr>
          <w:p w:rsidR="009430E8" w:rsidRPr="00794645" w:rsidRDefault="009430E8" w:rsidP="00E8401B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</w:tcPr>
          <w:p w:rsidR="009430E8" w:rsidRPr="00794645" w:rsidRDefault="009430E8" w:rsidP="00E8401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</w:tcPr>
          <w:p w:rsidR="009430E8" w:rsidRPr="00794645" w:rsidRDefault="009430E8" w:rsidP="00E8401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30E8" w:rsidRPr="00794645" w:rsidRDefault="009430E8" w:rsidP="00E8401B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30E8" w:rsidRPr="00794645" w:rsidRDefault="009430E8" w:rsidP="00E8401B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30E8" w:rsidRPr="00794645" w:rsidRDefault="009430E8" w:rsidP="00E8401B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035D6">
              <w:rPr>
                <w:color w:val="000000"/>
                <w:sz w:val="24"/>
                <w:szCs w:val="24"/>
              </w:rPr>
              <w:t>eGFR</w:t>
            </w:r>
            <w:proofErr w:type="spellEnd"/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-0.00345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0.00045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-0.004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-0.003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&lt;.001</w:t>
            </w: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>
            <w:pPr>
              <w:rPr>
                <w:color w:val="000000"/>
                <w:sz w:val="24"/>
                <w:szCs w:val="24"/>
              </w:rPr>
            </w:pPr>
            <w:r w:rsidRPr="009035D6">
              <w:rPr>
                <w:color w:val="000000"/>
                <w:sz w:val="24"/>
                <w:szCs w:val="24"/>
              </w:rPr>
              <w:t>age</w:t>
            </w:r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0.003272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0.000548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0.002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0.004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&lt;.001</w:t>
            </w: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 w:rsidP="009035D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035D6">
              <w:rPr>
                <w:color w:val="000000"/>
                <w:sz w:val="24"/>
                <w:szCs w:val="24"/>
              </w:rPr>
              <w:t>Killip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Class &gt;1</w:t>
            </w:r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0.045352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0.012334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0.021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0.070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&lt;.001</w:t>
            </w: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Male sex</w:t>
            </w:r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0.011859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0.013149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-0.014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0.038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NS</w:t>
            </w: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Past history IHD</w:t>
            </w:r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0.015876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0.012434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-0.008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0.040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NS</w:t>
            </w: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Past history hype</w:t>
            </w:r>
            <w:r w:rsidR="00450060">
              <w:rPr>
                <w:color w:val="000000"/>
                <w:sz w:val="24"/>
                <w:szCs w:val="24"/>
              </w:rPr>
              <w:t>r</w:t>
            </w:r>
            <w:r>
              <w:rPr>
                <w:color w:val="000000"/>
                <w:sz w:val="24"/>
                <w:szCs w:val="24"/>
              </w:rPr>
              <w:t>tension</w:t>
            </w:r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-0.00233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0.011583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-0.025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0.020</w:t>
            </w:r>
          </w:p>
        </w:tc>
        <w:tc>
          <w:tcPr>
            <w:tcW w:w="1201" w:type="dxa"/>
            <w:vAlign w:val="bottom"/>
          </w:tcPr>
          <w:p w:rsidR="009430E8" w:rsidRPr="00E01912" w:rsidRDefault="009430E8" w:rsidP="008D3650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NS</w:t>
            </w: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Past history diabete</w:t>
            </w:r>
            <w:r w:rsidRPr="009035D6">
              <w:rPr>
                <w:color w:val="000000"/>
                <w:sz w:val="24"/>
                <w:szCs w:val="24"/>
              </w:rPr>
              <w:t>s</w:t>
            </w:r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0.024257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0.014706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-0.005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0.053</w:t>
            </w:r>
          </w:p>
        </w:tc>
        <w:tc>
          <w:tcPr>
            <w:tcW w:w="1201" w:type="dxa"/>
            <w:vAlign w:val="bottom"/>
          </w:tcPr>
          <w:p w:rsidR="009430E8" w:rsidRPr="00E01912" w:rsidRDefault="009430E8" w:rsidP="008D3650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NS</w:t>
            </w: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Diastolic BP</w:t>
            </w:r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-0.00036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0.000359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-0.001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1201" w:type="dxa"/>
            <w:vAlign w:val="bottom"/>
          </w:tcPr>
          <w:p w:rsidR="009430E8" w:rsidRPr="00E01912" w:rsidRDefault="009430E8" w:rsidP="008D3650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NS</w:t>
            </w: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>
            <w:pPr>
              <w:rPr>
                <w:color w:val="000000"/>
                <w:sz w:val="24"/>
                <w:szCs w:val="24"/>
              </w:rPr>
            </w:pPr>
            <w:r w:rsidRPr="009035D6">
              <w:rPr>
                <w:color w:val="000000"/>
                <w:sz w:val="24"/>
                <w:szCs w:val="24"/>
              </w:rPr>
              <w:t>Heart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035D6">
              <w:rPr>
                <w:color w:val="000000"/>
                <w:sz w:val="24"/>
                <w:szCs w:val="24"/>
              </w:rPr>
              <w:t>Rate</w:t>
            </w:r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0.00021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0.000231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0.001</w:t>
            </w:r>
          </w:p>
        </w:tc>
        <w:tc>
          <w:tcPr>
            <w:tcW w:w="1201" w:type="dxa"/>
            <w:vAlign w:val="bottom"/>
          </w:tcPr>
          <w:p w:rsidR="009430E8" w:rsidRPr="00E01912" w:rsidRDefault="009430E8" w:rsidP="008D3650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NS</w:t>
            </w:r>
          </w:p>
        </w:tc>
      </w:tr>
      <w:tr w:rsidR="009430E8" w:rsidRPr="00794645" w:rsidTr="009F2629">
        <w:tc>
          <w:tcPr>
            <w:tcW w:w="2705" w:type="dxa"/>
            <w:vAlign w:val="bottom"/>
          </w:tcPr>
          <w:p w:rsidR="009430E8" w:rsidRPr="009035D6" w:rsidRDefault="009430E8" w:rsidP="009035D6">
            <w:pPr>
              <w:rPr>
                <w:color w:val="000000"/>
                <w:sz w:val="24"/>
                <w:szCs w:val="24"/>
              </w:rPr>
            </w:pPr>
            <w:r w:rsidRPr="009035D6">
              <w:rPr>
                <w:color w:val="000000"/>
                <w:sz w:val="24"/>
                <w:szCs w:val="24"/>
              </w:rPr>
              <w:t>LV</w:t>
            </w:r>
            <w:r>
              <w:rPr>
                <w:color w:val="000000"/>
                <w:sz w:val="24"/>
                <w:szCs w:val="24"/>
              </w:rPr>
              <w:t xml:space="preserve"> Systolic Dysfunction</w:t>
            </w:r>
          </w:p>
        </w:tc>
        <w:tc>
          <w:tcPr>
            <w:tcW w:w="167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0.004572</w:t>
            </w:r>
          </w:p>
        </w:tc>
        <w:tc>
          <w:tcPr>
            <w:tcW w:w="1263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0.012434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-0.020</w:t>
            </w:r>
          </w:p>
        </w:tc>
        <w:tc>
          <w:tcPr>
            <w:tcW w:w="1201" w:type="dxa"/>
            <w:vAlign w:val="bottom"/>
          </w:tcPr>
          <w:p w:rsidR="009430E8" w:rsidRPr="00E01912" w:rsidRDefault="009430E8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0.029</w:t>
            </w:r>
          </w:p>
        </w:tc>
        <w:tc>
          <w:tcPr>
            <w:tcW w:w="1201" w:type="dxa"/>
            <w:vAlign w:val="bottom"/>
          </w:tcPr>
          <w:p w:rsidR="009430E8" w:rsidRPr="00E01912" w:rsidRDefault="009430E8" w:rsidP="008D3650">
            <w:pPr>
              <w:jc w:val="center"/>
              <w:rPr>
                <w:color w:val="000000"/>
                <w:sz w:val="24"/>
                <w:szCs w:val="24"/>
              </w:rPr>
            </w:pPr>
            <w:r w:rsidRPr="00E01912">
              <w:rPr>
                <w:color w:val="000000"/>
                <w:sz w:val="24"/>
                <w:szCs w:val="24"/>
              </w:rPr>
              <w:t>NS</w:t>
            </w:r>
          </w:p>
        </w:tc>
      </w:tr>
      <w:tr w:rsidR="009430E8" w:rsidRPr="00794645" w:rsidTr="00F36E60">
        <w:tc>
          <w:tcPr>
            <w:tcW w:w="2705" w:type="dxa"/>
          </w:tcPr>
          <w:p w:rsidR="009430E8" w:rsidRPr="00794645" w:rsidRDefault="009430E8" w:rsidP="008B00F2">
            <w:pPr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</w:tcPr>
          <w:p w:rsidR="009430E8" w:rsidRPr="008F216F" w:rsidRDefault="009430E8" w:rsidP="008B00F2">
            <w:pPr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</w:tcPr>
          <w:p w:rsidR="009430E8" w:rsidRPr="008F216F" w:rsidRDefault="009430E8" w:rsidP="008B00F2">
            <w:pPr>
              <w:jc w:val="center"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30E8" w:rsidRPr="008F216F" w:rsidRDefault="009430E8" w:rsidP="008B00F2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30E8" w:rsidRPr="008F216F" w:rsidRDefault="009430E8" w:rsidP="008B00F2">
            <w:pPr>
              <w:jc w:val="center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Align w:val="bottom"/>
          </w:tcPr>
          <w:p w:rsidR="009430E8" w:rsidRDefault="009430E8" w:rsidP="008D365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616ED9" w:rsidRPr="00794645" w:rsidRDefault="00616ED9" w:rsidP="00616ED9">
      <w:pPr>
        <w:rPr>
          <w:rFonts w:cstheme="minorHAnsi"/>
          <w:b/>
          <w:sz w:val="24"/>
          <w:szCs w:val="24"/>
          <w:lang w:eastAsia="en-GB"/>
        </w:rPr>
      </w:pPr>
    </w:p>
    <w:p w:rsidR="00A47A88" w:rsidRDefault="00616ED9">
      <w:pPr>
        <w:rPr>
          <w:rFonts w:cstheme="minorHAnsi"/>
          <w:b/>
          <w:sz w:val="24"/>
          <w:szCs w:val="24"/>
          <w:lang w:eastAsia="en-GB"/>
        </w:rPr>
      </w:pPr>
      <w:r w:rsidRPr="00794645">
        <w:rPr>
          <w:rFonts w:cstheme="minorHAnsi"/>
          <w:b/>
          <w:sz w:val="24"/>
          <w:szCs w:val="24"/>
          <w:lang w:eastAsia="en-GB"/>
        </w:rPr>
        <w:br w:type="page"/>
      </w:r>
    </w:p>
    <w:p w:rsidR="00A47A88" w:rsidRPr="00A63CE7" w:rsidRDefault="00A47A88" w:rsidP="00A47A88">
      <w:pPr>
        <w:ind w:left="-567"/>
        <w:rPr>
          <w:rFonts w:ascii="Times New Roman" w:hAnsi="Times New Roman" w:cs="Times New Roman"/>
          <w:sz w:val="24"/>
          <w:szCs w:val="24"/>
          <w:lang w:eastAsia="en-GB"/>
        </w:rPr>
      </w:pPr>
      <w:proofErr w:type="gramStart"/>
      <w:r w:rsidRPr="00646B2B">
        <w:rPr>
          <w:rFonts w:ascii="Times New Roman" w:hAnsi="Times New Roman" w:cs="Times New Roman"/>
          <w:b/>
          <w:sz w:val="24"/>
          <w:szCs w:val="24"/>
          <w:lang w:eastAsia="en-GB"/>
        </w:rPr>
        <w:lastRenderedPageBreak/>
        <w:t>Table 3</w:t>
      </w:r>
      <w:r w:rsidRPr="00646B2B">
        <w:rPr>
          <w:rFonts w:ascii="Times New Roman" w:hAnsi="Times New Roman" w:cs="Times New Roman"/>
          <w:sz w:val="24"/>
          <w:szCs w:val="24"/>
          <w:lang w:eastAsia="en-GB"/>
        </w:rPr>
        <w:t>.Cox regression analysis for MACE at 2 years post-AMI.</w:t>
      </w:r>
      <w:proofErr w:type="gram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 Multivariable analysis results </w:t>
      </w:r>
      <w:r w:rsidR="008D3625">
        <w:rPr>
          <w:rFonts w:ascii="Times New Roman" w:hAnsi="Times New Roman" w:cs="Times New Roman"/>
          <w:sz w:val="24"/>
          <w:szCs w:val="24"/>
          <w:lang w:eastAsia="en-GB"/>
        </w:rPr>
        <w:t>in</w:t>
      </w:r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model 1 included variables and biomarkers (except </w:t>
      </w:r>
      <w:proofErr w:type="spellStart"/>
      <w:r w:rsidRPr="00646B2B">
        <w:rPr>
          <w:rFonts w:ascii="Times New Roman" w:hAnsi="Times New Roman" w:cs="Times New Roman"/>
          <w:sz w:val="24"/>
          <w:szCs w:val="24"/>
          <w:lang w:eastAsia="en-GB"/>
        </w:rPr>
        <w:t>P</w:t>
      </w:r>
      <w:r w:rsidR="008D3625">
        <w:rPr>
          <w:rFonts w:ascii="Times New Roman" w:hAnsi="Times New Roman" w:cs="Times New Roman"/>
          <w:sz w:val="24"/>
          <w:szCs w:val="24"/>
          <w:lang w:eastAsia="en-GB"/>
        </w:rPr>
        <w:t>roSP</w:t>
      </w:r>
      <w:proofErr w:type="spell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) which were significant on </w:t>
      </w:r>
      <w:proofErr w:type="spellStart"/>
      <w:r w:rsidRPr="00646B2B">
        <w:rPr>
          <w:rFonts w:ascii="Times New Roman" w:hAnsi="Times New Roman" w:cs="Times New Roman"/>
          <w:sz w:val="24"/>
          <w:szCs w:val="24"/>
          <w:lang w:eastAsia="en-GB"/>
        </w:rPr>
        <w:t>univariable</w:t>
      </w:r>
      <w:proofErr w:type="spell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analysis. </w:t>
      </w:r>
      <w:r w:rsidR="001432B6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Multivariable Model 2 used the variables in model 1 with the addition of </w:t>
      </w:r>
      <w:proofErr w:type="spellStart"/>
      <w:r w:rsidR="008D3625" w:rsidRPr="00646B2B">
        <w:rPr>
          <w:rFonts w:ascii="Times New Roman" w:hAnsi="Times New Roman" w:cs="Times New Roman"/>
          <w:sz w:val="24"/>
          <w:szCs w:val="24"/>
          <w:lang w:eastAsia="en-GB"/>
        </w:rPr>
        <w:t>P</w:t>
      </w:r>
      <w:r w:rsidR="008D3625">
        <w:rPr>
          <w:rFonts w:ascii="Times New Roman" w:hAnsi="Times New Roman" w:cs="Times New Roman"/>
          <w:sz w:val="24"/>
          <w:szCs w:val="24"/>
          <w:lang w:eastAsia="en-GB"/>
        </w:rPr>
        <w:t>roSP</w:t>
      </w:r>
      <w:proofErr w:type="spell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as a continuous variable. </w:t>
      </w:r>
      <w:r w:rsidR="00A63CE7">
        <w:rPr>
          <w:rFonts w:ascii="Times New Roman" w:hAnsi="Times New Roman" w:cs="Times New Roman"/>
          <w:sz w:val="24"/>
          <w:szCs w:val="24"/>
          <w:lang w:eastAsia="en-GB"/>
        </w:rPr>
        <w:t xml:space="preserve">* P value for the increment in log likelihood </w:t>
      </w:r>
      <w:r w:rsidR="00A63CE7">
        <w:rPr>
          <w:rFonts w:ascii="Times New Roman" w:hAnsi="Times New Roman"/>
          <w:sz w:val="24"/>
          <w:szCs w:val="24"/>
        </w:rPr>
        <w:t>χ</w:t>
      </w:r>
      <w:r w:rsidR="00A63CE7">
        <w:rPr>
          <w:rFonts w:ascii="Times New Roman" w:hAnsi="Times New Roman"/>
          <w:sz w:val="24"/>
          <w:szCs w:val="24"/>
          <w:vertAlign w:val="superscript"/>
        </w:rPr>
        <w:t>2</w:t>
      </w:r>
      <w:r w:rsidR="00A63CE7">
        <w:rPr>
          <w:rFonts w:ascii="Times New Roman" w:hAnsi="Times New Roman"/>
          <w:sz w:val="24"/>
          <w:szCs w:val="24"/>
        </w:rPr>
        <w:t xml:space="preserve"> for models</w:t>
      </w:r>
      <w:r w:rsidR="00D872C4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pPr w:leftFromText="180" w:rightFromText="180" w:vertAnchor="page" w:horzAnchor="margin" w:tblpXSpec="center" w:tblpY="3307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850"/>
        <w:gridCol w:w="1843"/>
        <w:gridCol w:w="992"/>
        <w:gridCol w:w="1843"/>
        <w:gridCol w:w="1134"/>
      </w:tblGrid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E03B8" w:rsidRPr="00646B2B" w:rsidRDefault="004E03B8" w:rsidP="004E03B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46B2B">
              <w:rPr>
                <w:rFonts w:ascii="Times New Roman" w:hAnsi="Times New Roman"/>
                <w:b/>
                <w:sz w:val="24"/>
                <w:szCs w:val="24"/>
              </w:rPr>
              <w:t>Univariable</w:t>
            </w:r>
            <w:proofErr w:type="spellEnd"/>
          </w:p>
          <w:p w:rsidR="004E03B8" w:rsidRPr="00646B2B" w:rsidRDefault="004E03B8" w:rsidP="004E03B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B2B">
              <w:rPr>
                <w:rFonts w:ascii="Times New Roman" w:hAnsi="Times New Roman"/>
                <w:b/>
                <w:sz w:val="24"/>
                <w:szCs w:val="24"/>
              </w:rPr>
              <w:t>HR (95% CI)</w:t>
            </w:r>
          </w:p>
        </w:tc>
        <w:tc>
          <w:tcPr>
            <w:tcW w:w="850" w:type="dxa"/>
          </w:tcPr>
          <w:p w:rsidR="004E03B8" w:rsidRPr="00646B2B" w:rsidRDefault="004E03B8" w:rsidP="004E03B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B2B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1843" w:type="dxa"/>
          </w:tcPr>
          <w:p w:rsidR="004E03B8" w:rsidRPr="00646B2B" w:rsidRDefault="004E03B8" w:rsidP="004E03B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B2B">
              <w:rPr>
                <w:rFonts w:ascii="Times New Roman" w:hAnsi="Times New Roman"/>
                <w:b/>
                <w:sz w:val="24"/>
                <w:szCs w:val="24"/>
              </w:rPr>
              <w:t>Multivariable Model 1 HR (95% CI)</w:t>
            </w:r>
          </w:p>
        </w:tc>
        <w:tc>
          <w:tcPr>
            <w:tcW w:w="992" w:type="dxa"/>
          </w:tcPr>
          <w:p w:rsidR="004E03B8" w:rsidRPr="00646B2B" w:rsidRDefault="004E03B8" w:rsidP="004E03B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B2B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1843" w:type="dxa"/>
          </w:tcPr>
          <w:p w:rsidR="004E03B8" w:rsidRPr="00646B2B" w:rsidRDefault="004E03B8" w:rsidP="004E03B8">
            <w:pPr>
              <w:tabs>
                <w:tab w:val="left" w:pos="1757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B2B">
              <w:rPr>
                <w:rFonts w:ascii="Times New Roman" w:hAnsi="Times New Roman"/>
                <w:b/>
                <w:sz w:val="24"/>
                <w:szCs w:val="24"/>
              </w:rPr>
              <w:t>Multivariable Model 2 HR (95% CI)</w:t>
            </w:r>
          </w:p>
        </w:tc>
        <w:tc>
          <w:tcPr>
            <w:tcW w:w="1134" w:type="dxa"/>
          </w:tcPr>
          <w:p w:rsidR="004E03B8" w:rsidRPr="00646B2B" w:rsidRDefault="004E03B8" w:rsidP="004E03B8">
            <w:pPr>
              <w:tabs>
                <w:tab w:val="left" w:pos="1757"/>
              </w:tabs>
              <w:ind w:left="-22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B2B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Age (years)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1.05 (1.04-1.06)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 xml:space="preserve">Male </w:t>
            </w:r>
            <w:r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0.62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(0.50-0.7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83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1.07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ST elevation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1.09 (0.88-1.36)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center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1.35 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0.98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1.85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28 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0.93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1.76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0.035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6B2B">
              <w:rPr>
                <w:rFonts w:ascii="Times New Roman" w:hAnsi="Times New Roman"/>
                <w:sz w:val="24"/>
                <w:szCs w:val="24"/>
              </w:rPr>
              <w:t>Killip</w:t>
            </w:r>
            <w:proofErr w:type="spellEnd"/>
            <w:r w:rsidRPr="00646B2B">
              <w:rPr>
                <w:rFonts w:ascii="Times New Roman" w:hAnsi="Times New Roman"/>
                <w:sz w:val="24"/>
                <w:szCs w:val="24"/>
              </w:rPr>
              <w:t xml:space="preserve"> class&gt;1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2.6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(2.1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-3.3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(1.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2.11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1.56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(1.1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2.06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6B2B">
              <w:rPr>
                <w:rFonts w:ascii="Times New Roman" w:hAnsi="Times New Roman"/>
                <w:sz w:val="24"/>
                <w:szCs w:val="24"/>
              </w:rPr>
              <w:t>eGFR</w:t>
            </w:r>
            <w:proofErr w:type="spellEnd"/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(ml min</w:t>
            </w:r>
            <w:r w:rsidRPr="00646B2B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/1.73m</w:t>
            </w:r>
            <w:r w:rsidRPr="00646B2B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0.97 (0.96-0.98)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0.99 (0.98-</w:t>
            </w:r>
            <w:r>
              <w:rPr>
                <w:rFonts w:ascii="Times New Roman" w:hAnsi="Times New Roman"/>
                <w:sz w:val="24"/>
                <w:szCs w:val="24"/>
              </w:rPr>
              <w:t>0.99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0.002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0.99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(0.9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Heart rate (beats min</w:t>
            </w:r>
            <w:r w:rsidRPr="00646B2B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1.01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843" w:type="dxa"/>
            <w:vAlign w:val="center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1.00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1.00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(0.99-1.00)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Systolic BP (mm Hg)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0.99 (0.99-1.00)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  <w:vAlign w:val="center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0.99 (0.99-1.00)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0.99 (0.99-1.00)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3B8" w:rsidRPr="00646B2B" w:rsidTr="004E03B8">
        <w:tc>
          <w:tcPr>
            <w:tcW w:w="11165" w:type="dxa"/>
            <w:gridSpan w:val="7"/>
            <w:vAlign w:val="bottom"/>
          </w:tcPr>
          <w:p w:rsidR="004E03B8" w:rsidRPr="00646B2B" w:rsidRDefault="004E03B8" w:rsidP="004E03B8">
            <w:pPr>
              <w:tabs>
                <w:tab w:val="left" w:pos="22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b/>
                <w:sz w:val="24"/>
                <w:szCs w:val="24"/>
              </w:rPr>
              <w:t>Past history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Ischemic heart disease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(1.2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-1.9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Hypertension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1.64 (1.31-2.0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1.16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1.17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Diabetes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1.55 (1.22-1.96)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4E03B8" w:rsidRPr="00646B2B" w:rsidTr="004E03B8">
        <w:tc>
          <w:tcPr>
            <w:tcW w:w="11165" w:type="dxa"/>
            <w:gridSpan w:val="7"/>
            <w:vAlign w:val="bottom"/>
          </w:tcPr>
          <w:p w:rsidR="004E03B8" w:rsidRPr="00646B2B" w:rsidRDefault="004E03B8" w:rsidP="004E03B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03B8" w:rsidRPr="00646B2B" w:rsidTr="004E03B8">
        <w:tc>
          <w:tcPr>
            <w:tcW w:w="11165" w:type="dxa"/>
            <w:gridSpan w:val="7"/>
            <w:vAlign w:val="bottom"/>
          </w:tcPr>
          <w:p w:rsidR="004E03B8" w:rsidRPr="00646B2B" w:rsidRDefault="004E03B8" w:rsidP="004E03B8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6B2B">
              <w:rPr>
                <w:rFonts w:ascii="Times New Roman" w:hAnsi="Times New Roman"/>
                <w:b/>
                <w:sz w:val="24"/>
                <w:szCs w:val="24"/>
              </w:rPr>
              <w:t>Biomarkers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Log Troponin (</w:t>
            </w:r>
            <w:proofErr w:type="spellStart"/>
            <w:r w:rsidRPr="00646B2B">
              <w:rPr>
                <w:rFonts w:ascii="Times New Roman" w:hAnsi="Times New Roman"/>
                <w:sz w:val="24"/>
                <w:szCs w:val="24"/>
              </w:rPr>
              <w:t>μg</w:t>
            </w:r>
            <w:proofErr w:type="spellEnd"/>
            <w:r w:rsidRPr="00646B2B">
              <w:rPr>
                <w:rFonts w:ascii="Times New Roman" w:hAnsi="Times New Roman"/>
                <w:sz w:val="24"/>
                <w:szCs w:val="24"/>
              </w:rPr>
              <w:t>/L)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(0.99-1.26)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0.07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 xml:space="preserve">Log </w:t>
            </w:r>
            <w:proofErr w:type="spellStart"/>
            <w:r w:rsidRPr="00646B2B">
              <w:rPr>
                <w:rFonts w:ascii="Times New Roman" w:hAnsi="Times New Roman"/>
                <w:sz w:val="24"/>
                <w:szCs w:val="24"/>
              </w:rPr>
              <w:t>NTproBNP</w:t>
            </w:r>
            <w:proofErr w:type="spellEnd"/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646B2B">
              <w:rPr>
                <w:rFonts w:ascii="Times New Roman" w:hAnsi="Times New Roman"/>
                <w:sz w:val="24"/>
                <w:szCs w:val="24"/>
              </w:rPr>
              <w:t>pmol</w:t>
            </w:r>
            <w:proofErr w:type="spellEnd"/>
            <w:r w:rsidRPr="00646B2B">
              <w:rPr>
                <w:rFonts w:ascii="Times New Roman" w:hAnsi="Times New Roman"/>
                <w:sz w:val="24"/>
                <w:szCs w:val="24"/>
              </w:rPr>
              <w:t>/L)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(1.6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-2.2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1.04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0.018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 xml:space="preserve">Log </w:t>
            </w:r>
            <w:proofErr w:type="spellStart"/>
            <w:r w:rsidRPr="00646B2B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roSP</w:t>
            </w:r>
            <w:proofErr w:type="spellEnd"/>
            <w:r w:rsidRPr="00646B2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646B2B">
              <w:rPr>
                <w:rFonts w:ascii="Times New Roman" w:hAnsi="Times New Roman"/>
                <w:sz w:val="24"/>
                <w:szCs w:val="24"/>
              </w:rPr>
              <w:t>pmol</w:t>
            </w:r>
            <w:proofErr w:type="spellEnd"/>
            <w:r w:rsidRPr="00646B2B">
              <w:rPr>
                <w:rFonts w:ascii="Times New Roman" w:hAnsi="Times New Roman"/>
                <w:sz w:val="24"/>
                <w:szCs w:val="24"/>
              </w:rPr>
              <w:t>/L)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(1.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1.99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Excluded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(1.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 xml:space="preserve"> -1.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Pr="00646B2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B2B">
              <w:rPr>
                <w:rFonts w:ascii="Times New Roman" w:hAnsi="Times New Roman"/>
                <w:sz w:val="24"/>
                <w:szCs w:val="24"/>
              </w:rPr>
              <w:t>0.0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C41E77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E03B8" w:rsidRPr="00C41E77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C41E77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A36FFD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Log Likelihood χ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152.39</w:t>
            </w: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171.30</w:t>
            </w: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0.0001*</w:t>
            </w: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03B8" w:rsidRPr="00646B2B" w:rsidTr="004E03B8">
        <w:tc>
          <w:tcPr>
            <w:tcW w:w="2660" w:type="dxa"/>
            <w:vAlign w:val="bottom"/>
          </w:tcPr>
          <w:p w:rsidR="004E03B8" w:rsidRPr="00646B2B" w:rsidRDefault="004E03B8" w:rsidP="004E03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E03B8" w:rsidRPr="00646B2B" w:rsidRDefault="004E03B8" w:rsidP="004E0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7A88" w:rsidRPr="00646B2B" w:rsidRDefault="00A47A88" w:rsidP="00A47A88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sz w:val="24"/>
          <w:szCs w:val="24"/>
          <w:lang w:eastAsia="en-GB"/>
        </w:rPr>
        <w:br w:type="page"/>
      </w:r>
    </w:p>
    <w:tbl>
      <w:tblPr>
        <w:tblStyle w:val="TableGrid"/>
        <w:tblpPr w:leftFromText="180" w:rightFromText="180" w:vertAnchor="page" w:horzAnchor="margin" w:tblpXSpec="center" w:tblpY="3262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850"/>
        <w:gridCol w:w="1843"/>
        <w:gridCol w:w="992"/>
        <w:gridCol w:w="1985"/>
        <w:gridCol w:w="992"/>
      </w:tblGrid>
      <w:tr w:rsidR="00A47A88" w:rsidRPr="003818D1" w:rsidTr="004E03B8">
        <w:tc>
          <w:tcPr>
            <w:tcW w:w="2660" w:type="dxa"/>
          </w:tcPr>
          <w:p w:rsidR="00A47A88" w:rsidRPr="003818D1" w:rsidRDefault="00A47A88" w:rsidP="00A32B18">
            <w:pPr>
              <w:keepNext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7A88" w:rsidRPr="003818D1" w:rsidRDefault="00A47A88" w:rsidP="00A32B1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Univariable</w:t>
            </w:r>
            <w:proofErr w:type="spellEnd"/>
          </w:p>
          <w:p w:rsidR="00A47A88" w:rsidRPr="003818D1" w:rsidRDefault="00A47A88" w:rsidP="00A32B1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HR (95% CI)</w:t>
            </w:r>
          </w:p>
        </w:tc>
        <w:tc>
          <w:tcPr>
            <w:tcW w:w="850" w:type="dxa"/>
          </w:tcPr>
          <w:p w:rsidR="00A47A88" w:rsidRPr="003818D1" w:rsidRDefault="00A47A88" w:rsidP="00A32B1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1843" w:type="dxa"/>
          </w:tcPr>
          <w:p w:rsidR="00A47A88" w:rsidRPr="003818D1" w:rsidRDefault="00A47A88" w:rsidP="00A32B1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Multivariable Model 1 HR (95% CI)</w:t>
            </w:r>
          </w:p>
        </w:tc>
        <w:tc>
          <w:tcPr>
            <w:tcW w:w="992" w:type="dxa"/>
          </w:tcPr>
          <w:p w:rsidR="00A47A88" w:rsidRPr="003818D1" w:rsidRDefault="00A47A88" w:rsidP="00A32B18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A47A88" w:rsidRPr="003818D1" w:rsidRDefault="00A47A88" w:rsidP="00A32B18">
            <w:pPr>
              <w:tabs>
                <w:tab w:val="left" w:pos="1757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Multivariable Model 2 HR (95% CI)</w:t>
            </w:r>
          </w:p>
        </w:tc>
        <w:tc>
          <w:tcPr>
            <w:tcW w:w="992" w:type="dxa"/>
          </w:tcPr>
          <w:p w:rsidR="00A47A88" w:rsidRPr="003818D1" w:rsidRDefault="00A47A88" w:rsidP="00A32B18">
            <w:pPr>
              <w:tabs>
                <w:tab w:val="left" w:pos="1757"/>
              </w:tabs>
              <w:ind w:left="-22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Age (years)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1.05 (1.04-1.06)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1.03 (1.01-1.04)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F52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F520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1.02 (1.01-1.04)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0.01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 xml:space="preserve">Male </w:t>
            </w:r>
            <w:r w:rsidR="00746D8B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0.66 (0.51-0.85)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F52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1.1</w:t>
            </w:r>
            <w:r w:rsidR="00F52066">
              <w:rPr>
                <w:rFonts w:ascii="Times New Roman" w:hAnsi="Times New Roman"/>
                <w:sz w:val="24"/>
                <w:szCs w:val="24"/>
              </w:rPr>
              <w:t>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(0.8</w:t>
            </w:r>
            <w:r w:rsidR="00F52066">
              <w:rPr>
                <w:rFonts w:ascii="Times New Roman" w:hAnsi="Times New Roman"/>
                <w:sz w:val="24"/>
                <w:szCs w:val="24"/>
              </w:rPr>
              <w:t>3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-1.5</w:t>
            </w:r>
            <w:r w:rsidR="00F52066">
              <w:rPr>
                <w:rFonts w:ascii="Times New Roman" w:hAnsi="Times New Roman"/>
                <w:sz w:val="24"/>
                <w:szCs w:val="24"/>
              </w:rPr>
              <w:t>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1.1</w:t>
            </w:r>
            <w:r w:rsidR="001059C3">
              <w:rPr>
                <w:rFonts w:ascii="Times New Roman" w:hAnsi="Times New Roman"/>
                <w:sz w:val="24"/>
                <w:szCs w:val="24"/>
              </w:rPr>
              <w:t>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81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-1.5</w:t>
            </w:r>
            <w:r w:rsidR="001059C3">
              <w:rPr>
                <w:rFonts w:ascii="Times New Roman" w:hAnsi="Times New Roman"/>
                <w:sz w:val="24"/>
                <w:szCs w:val="24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ST elevation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1.03 (0.81-1.32)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30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F52066">
              <w:rPr>
                <w:rFonts w:ascii="Times New Roman" w:hAnsi="Times New Roman"/>
                <w:sz w:val="24"/>
                <w:szCs w:val="24"/>
              </w:rPr>
              <w:t>21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 w:rsidR="00F52066">
              <w:rPr>
                <w:rFonts w:ascii="Times New Roman" w:hAnsi="Times New Roman"/>
                <w:sz w:val="24"/>
                <w:szCs w:val="24"/>
              </w:rPr>
              <w:t>84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75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14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79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64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Killip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 xml:space="preserve"> class&gt;1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2.07 (1.61-2.67)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30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1.1</w:t>
            </w:r>
            <w:r w:rsidR="00304FF6">
              <w:rPr>
                <w:rFonts w:ascii="Times New Roman" w:hAnsi="Times New Roman"/>
                <w:sz w:val="24"/>
                <w:szCs w:val="24"/>
              </w:rPr>
              <w:t>9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(0.8</w:t>
            </w:r>
            <w:r w:rsidR="00304FF6">
              <w:rPr>
                <w:rFonts w:ascii="Times New Roman" w:hAnsi="Times New Roman"/>
                <w:sz w:val="24"/>
                <w:szCs w:val="24"/>
              </w:rPr>
              <w:t>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62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1.1</w:t>
            </w:r>
            <w:r w:rsidR="001059C3">
              <w:rPr>
                <w:rFonts w:ascii="Times New Roman" w:hAnsi="Times New Roman"/>
                <w:sz w:val="24"/>
                <w:szCs w:val="24"/>
              </w:rPr>
              <w:t>4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(0.8</w:t>
            </w:r>
            <w:r w:rsidR="001059C3">
              <w:rPr>
                <w:rFonts w:ascii="Times New Roman" w:hAnsi="Times New Roman"/>
                <w:sz w:val="24"/>
                <w:szCs w:val="24"/>
              </w:rPr>
              <w:t>3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-1.5</w:t>
            </w:r>
            <w:r w:rsidR="001059C3">
              <w:rPr>
                <w:rFonts w:ascii="Times New Roman" w:hAnsi="Times New Roman"/>
                <w:sz w:val="24"/>
                <w:szCs w:val="24"/>
              </w:rPr>
              <w:t>6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eGFR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(ml min</w:t>
            </w:r>
            <w:r w:rsidRPr="003818D1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/1.73m</w:t>
            </w:r>
            <w:r w:rsidRPr="003818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0.97 (0.96-0.98)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0.99 (0.98-0.99)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30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304F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bottom"/>
          </w:tcPr>
          <w:p w:rsidR="00C23320" w:rsidRPr="003818D1" w:rsidRDefault="001059C3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1.00</w:t>
            </w:r>
            <w:r w:rsidR="00C23320" w:rsidRPr="003818D1">
              <w:rPr>
                <w:rFonts w:ascii="Times New Roman" w:hAnsi="Times New Roman"/>
                <w:sz w:val="24"/>
                <w:szCs w:val="24"/>
              </w:rPr>
              <w:t xml:space="preserve"> (0.9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23320" w:rsidRPr="003818D1">
              <w:rPr>
                <w:rFonts w:ascii="Times New Roman" w:hAnsi="Times New Roman"/>
                <w:sz w:val="24"/>
                <w:szCs w:val="24"/>
              </w:rPr>
              <w:t>-1.0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3320"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Heart rate (beats min</w:t>
            </w:r>
            <w:r w:rsidRPr="003818D1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1.01 (1.00-1.01)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1.00 (0.99-1.00)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1.00 (0.99-1.00)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Systolic BP (mm Hg)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1.00 (0.99-1.00)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1.00 (0.99-1.00)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1.00 (0.99-1.00)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320" w:rsidRPr="003818D1" w:rsidTr="004E03B8">
        <w:tc>
          <w:tcPr>
            <w:tcW w:w="11165" w:type="dxa"/>
            <w:gridSpan w:val="7"/>
            <w:vAlign w:val="bottom"/>
          </w:tcPr>
          <w:p w:rsidR="00C23320" w:rsidRPr="003818D1" w:rsidRDefault="00C23320" w:rsidP="00193EAA">
            <w:pPr>
              <w:tabs>
                <w:tab w:val="left" w:pos="2201"/>
              </w:tabs>
              <w:ind w:right="-196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Past history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Ischemic heart disease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1.62 (1.27-2.07)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30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0 (0.8</w:t>
            </w:r>
            <w:r w:rsidR="00304FF6">
              <w:rPr>
                <w:rFonts w:ascii="Times New Roman" w:hAnsi="Times New Roman"/>
                <w:sz w:val="24"/>
                <w:szCs w:val="24"/>
              </w:rPr>
              <w:t>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65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15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83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59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Hypertension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1.56 (1.21-1.99)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30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</w:t>
            </w:r>
            <w:r w:rsidR="00304FF6">
              <w:rPr>
                <w:rFonts w:ascii="Times New Roman" w:hAnsi="Times New Roman"/>
                <w:sz w:val="24"/>
                <w:szCs w:val="24"/>
              </w:rPr>
              <w:t>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(0.7</w:t>
            </w:r>
            <w:r w:rsidR="00304FF6">
              <w:rPr>
                <w:rFonts w:ascii="Times New Roman" w:hAnsi="Times New Roman"/>
                <w:sz w:val="24"/>
                <w:szCs w:val="24"/>
              </w:rPr>
              <w:t>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-1.4</w:t>
            </w:r>
            <w:r w:rsidR="00304FF6">
              <w:rPr>
                <w:rFonts w:ascii="Times New Roman" w:hAnsi="Times New Roman"/>
                <w:sz w:val="24"/>
                <w:szCs w:val="24"/>
              </w:rPr>
              <w:t>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1.06 (0.7</w:t>
            </w:r>
            <w:r w:rsidR="001059C3">
              <w:rPr>
                <w:rFonts w:ascii="Times New Roman" w:hAnsi="Times New Roman"/>
                <w:sz w:val="24"/>
                <w:szCs w:val="24"/>
              </w:rPr>
              <w:t>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-1.47)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Diabetes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1.54 (1.18-2.00)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30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28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93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75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25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91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71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11165" w:type="dxa"/>
            <w:gridSpan w:val="7"/>
            <w:vAlign w:val="bottom"/>
          </w:tcPr>
          <w:p w:rsidR="00C23320" w:rsidRPr="003818D1" w:rsidRDefault="00C23320" w:rsidP="00193EAA">
            <w:pPr>
              <w:keepNext/>
              <w:tabs>
                <w:tab w:val="left" w:pos="2201"/>
              </w:tabs>
              <w:ind w:left="-227" w:right="-196" w:firstLine="22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3320" w:rsidRPr="003818D1" w:rsidTr="004E03B8">
        <w:tc>
          <w:tcPr>
            <w:tcW w:w="11165" w:type="dxa"/>
            <w:gridSpan w:val="7"/>
            <w:vAlign w:val="bottom"/>
          </w:tcPr>
          <w:p w:rsidR="00C23320" w:rsidRPr="003818D1" w:rsidRDefault="00C23320" w:rsidP="00193EAA">
            <w:pPr>
              <w:ind w:right="-19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Biomarkers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Log Troponin (</w:t>
            </w: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μg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>/L)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1.06 (0.92-1.21)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30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06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89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304FF6">
              <w:rPr>
                <w:rFonts w:ascii="Times New Roman" w:hAnsi="Times New Roman"/>
                <w:sz w:val="24"/>
                <w:szCs w:val="24"/>
              </w:rPr>
              <w:t>26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</w:t>
            </w:r>
            <w:r w:rsidR="001059C3">
              <w:rPr>
                <w:rFonts w:ascii="Times New Roman" w:hAnsi="Times New Roman"/>
                <w:sz w:val="24"/>
                <w:szCs w:val="24"/>
              </w:rPr>
              <w:t>6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(0.9</w:t>
            </w:r>
            <w:r w:rsidR="001059C3">
              <w:rPr>
                <w:rFonts w:ascii="Times New Roman" w:hAnsi="Times New Roman"/>
                <w:sz w:val="24"/>
                <w:szCs w:val="24"/>
              </w:rPr>
              <w:t>0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-1.2</w:t>
            </w:r>
            <w:r w:rsidR="001059C3">
              <w:rPr>
                <w:rFonts w:ascii="Times New Roman" w:hAnsi="Times New Roman"/>
                <w:sz w:val="24"/>
                <w:szCs w:val="24"/>
              </w:rPr>
              <w:t>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C23320" w:rsidRPr="003818D1" w:rsidTr="004E03B8">
        <w:tc>
          <w:tcPr>
            <w:tcW w:w="2660" w:type="dxa"/>
            <w:vAlign w:val="bottom"/>
          </w:tcPr>
          <w:p w:rsidR="00C23320" w:rsidRPr="003818D1" w:rsidRDefault="00C23320" w:rsidP="00C23320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 xml:space="preserve">Log </w:t>
            </w: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NTproBNP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pmol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>/L)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C233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1.83 (1.54-2.17)</w:t>
            </w:r>
          </w:p>
        </w:tc>
        <w:tc>
          <w:tcPr>
            <w:tcW w:w="850" w:type="dxa"/>
            <w:vAlign w:val="bottom"/>
          </w:tcPr>
          <w:p w:rsidR="00C23320" w:rsidRPr="003818D1" w:rsidRDefault="00C23320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C23320" w:rsidRPr="003818D1" w:rsidRDefault="00C23320" w:rsidP="0030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1.2</w:t>
            </w:r>
            <w:r w:rsidR="00304FF6">
              <w:rPr>
                <w:rFonts w:ascii="Times New Roman" w:hAnsi="Times New Roman"/>
                <w:sz w:val="24"/>
                <w:szCs w:val="24"/>
              </w:rPr>
              <w:t>9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304FF6">
              <w:rPr>
                <w:rFonts w:ascii="Times New Roman" w:hAnsi="Times New Roman"/>
                <w:sz w:val="24"/>
                <w:szCs w:val="24"/>
              </w:rPr>
              <w:t>1.02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-1.6</w:t>
            </w:r>
            <w:r w:rsidR="00304FF6">
              <w:rPr>
                <w:rFonts w:ascii="Times New Roman" w:hAnsi="Times New Roman"/>
                <w:sz w:val="24"/>
                <w:szCs w:val="24"/>
              </w:rPr>
              <w:t>3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304FF6" w:rsidP="0030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0.032</w:t>
            </w:r>
          </w:p>
        </w:tc>
        <w:tc>
          <w:tcPr>
            <w:tcW w:w="1985" w:type="dxa"/>
            <w:vAlign w:val="bottom"/>
          </w:tcPr>
          <w:p w:rsidR="00C23320" w:rsidRPr="003818D1" w:rsidRDefault="00C23320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1.1</w:t>
            </w:r>
            <w:r w:rsidR="001059C3">
              <w:rPr>
                <w:rFonts w:ascii="Times New Roman" w:hAnsi="Times New Roman"/>
                <w:sz w:val="24"/>
                <w:szCs w:val="24"/>
              </w:rPr>
              <w:t>9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(0.9</w:t>
            </w:r>
            <w:r w:rsidR="001059C3">
              <w:rPr>
                <w:rFonts w:ascii="Times New Roman" w:hAnsi="Times New Roman"/>
                <w:sz w:val="24"/>
                <w:szCs w:val="24"/>
              </w:rPr>
              <w:t>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50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C23320" w:rsidRPr="003818D1" w:rsidRDefault="00C23320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98223B" w:rsidRPr="003818D1" w:rsidTr="004E03B8">
        <w:tc>
          <w:tcPr>
            <w:tcW w:w="2660" w:type="dxa"/>
            <w:vAlign w:val="bottom"/>
          </w:tcPr>
          <w:p w:rsidR="0098223B" w:rsidRPr="003818D1" w:rsidRDefault="0098223B" w:rsidP="0098223B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 xml:space="preserve">Log </w:t>
            </w: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ProSP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pmol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>/L)</w:t>
            </w:r>
          </w:p>
        </w:tc>
        <w:tc>
          <w:tcPr>
            <w:tcW w:w="1843" w:type="dxa"/>
            <w:vAlign w:val="bottom"/>
          </w:tcPr>
          <w:p w:rsidR="0098223B" w:rsidRPr="003818D1" w:rsidRDefault="0098223B" w:rsidP="00982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1.76 (1.60-1.94)</w:t>
            </w:r>
          </w:p>
        </w:tc>
        <w:tc>
          <w:tcPr>
            <w:tcW w:w="850" w:type="dxa"/>
            <w:vAlign w:val="bottom"/>
          </w:tcPr>
          <w:p w:rsidR="0098223B" w:rsidRPr="003818D1" w:rsidRDefault="0098223B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98223B" w:rsidRPr="00646B2B" w:rsidRDefault="0098223B" w:rsidP="00982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Excluded</w:t>
            </w:r>
          </w:p>
        </w:tc>
        <w:tc>
          <w:tcPr>
            <w:tcW w:w="992" w:type="dxa"/>
            <w:vAlign w:val="bottom"/>
          </w:tcPr>
          <w:p w:rsidR="0098223B" w:rsidRPr="003818D1" w:rsidRDefault="0098223B" w:rsidP="00982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223B" w:rsidRPr="003818D1" w:rsidRDefault="0098223B" w:rsidP="001059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42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(1.</w:t>
            </w:r>
            <w:r w:rsidR="001059C3">
              <w:rPr>
                <w:rFonts w:ascii="Times New Roman" w:hAnsi="Times New Roman"/>
                <w:sz w:val="24"/>
                <w:szCs w:val="24"/>
              </w:rPr>
              <w:t>20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-1.6</w:t>
            </w:r>
            <w:r w:rsidR="001059C3">
              <w:rPr>
                <w:rFonts w:ascii="Times New Roman" w:hAnsi="Times New Roman"/>
                <w:sz w:val="24"/>
                <w:szCs w:val="24"/>
              </w:rPr>
              <w:t>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98223B" w:rsidRPr="003818D1" w:rsidRDefault="0098223B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8223B" w:rsidRPr="003818D1" w:rsidTr="004E03B8">
        <w:tc>
          <w:tcPr>
            <w:tcW w:w="2660" w:type="dxa"/>
            <w:vAlign w:val="bottom"/>
          </w:tcPr>
          <w:p w:rsidR="0098223B" w:rsidRPr="003818D1" w:rsidRDefault="0098223B" w:rsidP="009822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8223B" w:rsidRPr="003818D1" w:rsidRDefault="0098223B" w:rsidP="00982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98223B" w:rsidRPr="003818D1" w:rsidRDefault="0098223B" w:rsidP="00982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8223B" w:rsidRPr="00646B2B" w:rsidRDefault="0098223B" w:rsidP="00982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98223B" w:rsidRPr="003818D1" w:rsidRDefault="0098223B" w:rsidP="00982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98223B" w:rsidRPr="003818D1" w:rsidRDefault="0098223B" w:rsidP="009822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98223B" w:rsidRPr="003818D1" w:rsidRDefault="0098223B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B" w:rsidRPr="003818D1" w:rsidTr="004E03B8">
        <w:tc>
          <w:tcPr>
            <w:tcW w:w="2660" w:type="dxa"/>
            <w:vAlign w:val="bottom"/>
          </w:tcPr>
          <w:p w:rsidR="001E2E3B" w:rsidRPr="00A36FFD" w:rsidRDefault="001E2E3B" w:rsidP="001E2E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Log Likelihood χ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vAlign w:val="bottom"/>
          </w:tcPr>
          <w:p w:rsidR="001E2E3B" w:rsidRPr="00646B2B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E2E3B" w:rsidRPr="00646B2B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646B2B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93.45</w:t>
            </w:r>
          </w:p>
        </w:tc>
        <w:tc>
          <w:tcPr>
            <w:tcW w:w="992" w:type="dxa"/>
            <w:vAlign w:val="bottom"/>
          </w:tcPr>
          <w:p w:rsidR="001E2E3B" w:rsidRPr="00646B2B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E2E3B" w:rsidRPr="00646B2B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119.72</w:t>
            </w:r>
          </w:p>
        </w:tc>
        <w:tc>
          <w:tcPr>
            <w:tcW w:w="992" w:type="dxa"/>
            <w:vAlign w:val="bottom"/>
          </w:tcPr>
          <w:p w:rsidR="001E2E3B" w:rsidRPr="00646B2B" w:rsidRDefault="00D872C4" w:rsidP="00193EAA">
            <w:pPr>
              <w:ind w:right="-1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1E2E3B" w:rsidRPr="003818D1" w:rsidTr="004E03B8">
        <w:tc>
          <w:tcPr>
            <w:tcW w:w="2660" w:type="dxa"/>
            <w:vAlign w:val="bottom"/>
          </w:tcPr>
          <w:p w:rsidR="001E2E3B" w:rsidRPr="003818D1" w:rsidRDefault="001E2E3B" w:rsidP="001E2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B" w:rsidRPr="003818D1" w:rsidTr="004E03B8">
        <w:tc>
          <w:tcPr>
            <w:tcW w:w="2660" w:type="dxa"/>
            <w:vAlign w:val="bottom"/>
          </w:tcPr>
          <w:p w:rsidR="001E2E3B" w:rsidRPr="003818D1" w:rsidRDefault="001E2E3B" w:rsidP="001E2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B" w:rsidRPr="003818D1" w:rsidTr="004E03B8">
        <w:tc>
          <w:tcPr>
            <w:tcW w:w="2660" w:type="dxa"/>
            <w:vAlign w:val="bottom"/>
          </w:tcPr>
          <w:p w:rsidR="001E2E3B" w:rsidRPr="003818D1" w:rsidRDefault="001E2E3B" w:rsidP="001E2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B" w:rsidRPr="003818D1" w:rsidTr="004E03B8">
        <w:tc>
          <w:tcPr>
            <w:tcW w:w="2660" w:type="dxa"/>
            <w:vAlign w:val="bottom"/>
          </w:tcPr>
          <w:p w:rsidR="001E2E3B" w:rsidRPr="003818D1" w:rsidRDefault="001E2E3B" w:rsidP="001E2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E3B" w:rsidRPr="003818D1" w:rsidTr="004E03B8">
        <w:tc>
          <w:tcPr>
            <w:tcW w:w="2660" w:type="dxa"/>
            <w:vAlign w:val="bottom"/>
          </w:tcPr>
          <w:p w:rsidR="001E2E3B" w:rsidRPr="003818D1" w:rsidRDefault="001E2E3B" w:rsidP="001E2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1E2E3B" w:rsidRPr="003818D1" w:rsidRDefault="001E2E3B" w:rsidP="001E2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7A88" w:rsidRPr="00646B2B" w:rsidRDefault="00A47A88" w:rsidP="00A47A88">
      <w:pPr>
        <w:ind w:left="-567"/>
        <w:rPr>
          <w:rFonts w:ascii="Times New Roman" w:hAnsi="Times New Roman" w:cs="Times New Roman"/>
          <w:sz w:val="24"/>
          <w:szCs w:val="24"/>
          <w:lang w:eastAsia="en-GB"/>
        </w:rPr>
      </w:pPr>
      <w:proofErr w:type="gramStart"/>
      <w:r w:rsidRPr="00646B2B">
        <w:rPr>
          <w:rFonts w:ascii="Times New Roman" w:hAnsi="Times New Roman" w:cs="Times New Roman"/>
          <w:b/>
          <w:sz w:val="24"/>
          <w:szCs w:val="24"/>
          <w:lang w:eastAsia="en-GB"/>
        </w:rPr>
        <w:t>Table 4</w:t>
      </w:r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.Cox regression analysis for Death and/or </w:t>
      </w:r>
      <w:r w:rsidR="008F7B12">
        <w:rPr>
          <w:rFonts w:ascii="Times New Roman" w:hAnsi="Times New Roman" w:cs="Times New Roman"/>
          <w:sz w:val="24"/>
          <w:szCs w:val="24"/>
          <w:lang w:eastAsia="en-GB"/>
        </w:rPr>
        <w:t>re-AMI</w:t>
      </w:r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at 2 years post-AMI.</w:t>
      </w:r>
      <w:proofErr w:type="gram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 Multivariable analysis results are reported for model 1 which included variables and biomarkers (except </w:t>
      </w:r>
      <w:proofErr w:type="spellStart"/>
      <w:r w:rsidRPr="00646B2B">
        <w:rPr>
          <w:rFonts w:ascii="Times New Roman" w:hAnsi="Times New Roman" w:cs="Times New Roman"/>
          <w:sz w:val="24"/>
          <w:szCs w:val="24"/>
          <w:lang w:eastAsia="en-GB"/>
        </w:rPr>
        <w:t>P</w:t>
      </w:r>
      <w:r w:rsidR="00B176F3">
        <w:rPr>
          <w:rFonts w:ascii="Times New Roman" w:hAnsi="Times New Roman" w:cs="Times New Roman"/>
          <w:sz w:val="24"/>
          <w:szCs w:val="24"/>
          <w:lang w:eastAsia="en-GB"/>
        </w:rPr>
        <w:t>roSP</w:t>
      </w:r>
      <w:proofErr w:type="spell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) which were significant on </w:t>
      </w:r>
      <w:proofErr w:type="spellStart"/>
      <w:r w:rsidRPr="00646B2B">
        <w:rPr>
          <w:rFonts w:ascii="Times New Roman" w:hAnsi="Times New Roman" w:cs="Times New Roman"/>
          <w:sz w:val="24"/>
          <w:szCs w:val="24"/>
          <w:lang w:eastAsia="en-GB"/>
        </w:rPr>
        <w:t>univariable</w:t>
      </w:r>
      <w:proofErr w:type="spell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analysis. Multivariable Model 2 used the variables in model 1 with the addition of </w:t>
      </w:r>
      <w:proofErr w:type="spellStart"/>
      <w:r w:rsidRPr="00646B2B">
        <w:rPr>
          <w:rFonts w:ascii="Times New Roman" w:hAnsi="Times New Roman" w:cs="Times New Roman"/>
          <w:sz w:val="24"/>
          <w:szCs w:val="24"/>
          <w:lang w:eastAsia="en-GB"/>
        </w:rPr>
        <w:t>P</w:t>
      </w:r>
      <w:r w:rsidR="00B176F3">
        <w:rPr>
          <w:rFonts w:ascii="Times New Roman" w:hAnsi="Times New Roman" w:cs="Times New Roman"/>
          <w:sz w:val="24"/>
          <w:szCs w:val="24"/>
          <w:lang w:eastAsia="en-GB"/>
        </w:rPr>
        <w:t>roSP</w:t>
      </w:r>
      <w:proofErr w:type="spell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>.</w:t>
      </w:r>
      <w:r w:rsidR="00D872C4">
        <w:rPr>
          <w:rFonts w:ascii="Times New Roman" w:hAnsi="Times New Roman" w:cs="Times New Roman"/>
          <w:sz w:val="24"/>
          <w:szCs w:val="24"/>
          <w:lang w:eastAsia="en-GB"/>
        </w:rPr>
        <w:t xml:space="preserve"> * P value for the increment in log likelihood </w:t>
      </w:r>
      <w:r w:rsidR="00D872C4">
        <w:rPr>
          <w:rFonts w:ascii="Times New Roman" w:hAnsi="Times New Roman"/>
          <w:sz w:val="24"/>
          <w:szCs w:val="24"/>
        </w:rPr>
        <w:t>χ</w:t>
      </w:r>
      <w:r w:rsidR="00D872C4">
        <w:rPr>
          <w:rFonts w:ascii="Times New Roman" w:hAnsi="Times New Roman"/>
          <w:sz w:val="24"/>
          <w:szCs w:val="24"/>
          <w:vertAlign w:val="superscript"/>
        </w:rPr>
        <w:t>2</w:t>
      </w:r>
      <w:r w:rsidR="00D872C4">
        <w:rPr>
          <w:rFonts w:ascii="Times New Roman" w:hAnsi="Times New Roman"/>
          <w:sz w:val="24"/>
          <w:szCs w:val="24"/>
        </w:rPr>
        <w:t xml:space="preserve"> for models.</w:t>
      </w:r>
    </w:p>
    <w:p w:rsidR="00A47A88" w:rsidRPr="00646B2B" w:rsidRDefault="00A47A88" w:rsidP="00A47A88">
      <w:pPr>
        <w:ind w:left="-567"/>
        <w:rPr>
          <w:rFonts w:ascii="Times New Roman" w:hAnsi="Times New Roman" w:cs="Times New Roman"/>
          <w:sz w:val="24"/>
          <w:szCs w:val="24"/>
          <w:lang w:eastAsia="en-GB"/>
        </w:rPr>
      </w:pPr>
    </w:p>
    <w:p w:rsidR="00A47A88" w:rsidRPr="00646B2B" w:rsidRDefault="00A47A88" w:rsidP="00A47A88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A47A88" w:rsidRPr="00646B2B" w:rsidRDefault="00A47A88" w:rsidP="00A47A88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F34AB2" w:rsidRDefault="00F34AB2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sz w:val="24"/>
          <w:szCs w:val="24"/>
          <w:lang w:eastAsia="en-GB"/>
        </w:rPr>
        <w:br w:type="page"/>
      </w:r>
    </w:p>
    <w:p w:rsidR="00A47A88" w:rsidRPr="00F34AB2" w:rsidRDefault="00A47A88" w:rsidP="00F34AB2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  <w:proofErr w:type="gramStart"/>
      <w:r w:rsidRPr="00646B2B">
        <w:rPr>
          <w:rFonts w:ascii="Times New Roman" w:hAnsi="Times New Roman" w:cs="Times New Roman"/>
          <w:b/>
          <w:sz w:val="24"/>
          <w:szCs w:val="24"/>
          <w:lang w:eastAsia="en-GB"/>
        </w:rPr>
        <w:lastRenderedPageBreak/>
        <w:t>Table 5</w:t>
      </w:r>
      <w:r w:rsidRPr="00646B2B">
        <w:rPr>
          <w:rFonts w:ascii="Times New Roman" w:hAnsi="Times New Roman" w:cs="Times New Roman"/>
          <w:sz w:val="24"/>
          <w:szCs w:val="24"/>
          <w:lang w:eastAsia="en-GB"/>
        </w:rPr>
        <w:t>.Cox regression analysis for Death and/or HF at 2 years post-AMI.</w:t>
      </w:r>
      <w:proofErr w:type="gram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 Multivariable analysis results are reported for model 1 which included variables and biomarkers (except </w:t>
      </w:r>
      <w:proofErr w:type="spellStart"/>
      <w:r w:rsidRPr="00646B2B">
        <w:rPr>
          <w:rFonts w:ascii="Times New Roman" w:hAnsi="Times New Roman" w:cs="Times New Roman"/>
          <w:sz w:val="24"/>
          <w:szCs w:val="24"/>
          <w:lang w:eastAsia="en-GB"/>
        </w:rPr>
        <w:t>P</w:t>
      </w:r>
      <w:r w:rsidR="00CF69C5">
        <w:rPr>
          <w:rFonts w:ascii="Times New Roman" w:hAnsi="Times New Roman" w:cs="Times New Roman"/>
          <w:sz w:val="24"/>
          <w:szCs w:val="24"/>
          <w:lang w:eastAsia="en-GB"/>
        </w:rPr>
        <w:t>roSP</w:t>
      </w:r>
      <w:proofErr w:type="spell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) which were significant on </w:t>
      </w:r>
      <w:proofErr w:type="spellStart"/>
      <w:r w:rsidRPr="00646B2B">
        <w:rPr>
          <w:rFonts w:ascii="Times New Roman" w:hAnsi="Times New Roman" w:cs="Times New Roman"/>
          <w:sz w:val="24"/>
          <w:szCs w:val="24"/>
          <w:lang w:eastAsia="en-GB"/>
        </w:rPr>
        <w:t>univariable</w:t>
      </w:r>
      <w:proofErr w:type="spell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analysis. Multivariable Model 2 used the variables in model 1 with the addition of </w:t>
      </w:r>
      <w:proofErr w:type="spellStart"/>
      <w:r w:rsidR="00CF69C5" w:rsidRPr="00646B2B">
        <w:rPr>
          <w:rFonts w:ascii="Times New Roman" w:hAnsi="Times New Roman" w:cs="Times New Roman"/>
          <w:sz w:val="24"/>
          <w:szCs w:val="24"/>
          <w:lang w:eastAsia="en-GB"/>
        </w:rPr>
        <w:t>P</w:t>
      </w:r>
      <w:r w:rsidR="00CF69C5">
        <w:rPr>
          <w:rFonts w:ascii="Times New Roman" w:hAnsi="Times New Roman" w:cs="Times New Roman"/>
          <w:sz w:val="24"/>
          <w:szCs w:val="24"/>
          <w:lang w:eastAsia="en-GB"/>
        </w:rPr>
        <w:t>roSP</w:t>
      </w:r>
      <w:proofErr w:type="spell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. </w:t>
      </w:r>
      <w:r w:rsidR="00D872C4">
        <w:rPr>
          <w:rFonts w:ascii="Times New Roman" w:hAnsi="Times New Roman" w:cs="Times New Roman"/>
          <w:sz w:val="24"/>
          <w:szCs w:val="24"/>
          <w:lang w:eastAsia="en-GB"/>
        </w:rPr>
        <w:t xml:space="preserve">* P value for the increment in log likelihood </w:t>
      </w:r>
      <w:r w:rsidR="00D872C4">
        <w:rPr>
          <w:rFonts w:ascii="Times New Roman" w:hAnsi="Times New Roman"/>
          <w:sz w:val="24"/>
          <w:szCs w:val="24"/>
        </w:rPr>
        <w:t>χ</w:t>
      </w:r>
      <w:r w:rsidR="00D872C4">
        <w:rPr>
          <w:rFonts w:ascii="Times New Roman" w:hAnsi="Times New Roman"/>
          <w:sz w:val="24"/>
          <w:szCs w:val="24"/>
          <w:vertAlign w:val="superscript"/>
        </w:rPr>
        <w:t>2</w:t>
      </w:r>
      <w:r w:rsidR="00D872C4">
        <w:rPr>
          <w:rFonts w:ascii="Times New Roman" w:hAnsi="Times New Roman"/>
          <w:sz w:val="24"/>
          <w:szCs w:val="24"/>
        </w:rPr>
        <w:t xml:space="preserve"> for models.</w:t>
      </w:r>
    </w:p>
    <w:p w:rsidR="00A47A88" w:rsidRPr="00646B2B" w:rsidRDefault="00A47A88" w:rsidP="00A47A88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A47A88" w:rsidRDefault="00A47A88" w:rsidP="00A47A88">
      <w:pPr>
        <w:ind w:left="-567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tbl>
      <w:tblPr>
        <w:tblStyle w:val="TableGrid"/>
        <w:tblpPr w:leftFromText="180" w:rightFromText="180" w:vertAnchor="text" w:horzAnchor="margin" w:tblpXSpec="center" w:tblpY="-611"/>
        <w:tblOverlap w:val="never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843"/>
        <w:gridCol w:w="850"/>
        <w:gridCol w:w="1985"/>
        <w:gridCol w:w="992"/>
        <w:gridCol w:w="1985"/>
        <w:gridCol w:w="992"/>
      </w:tblGrid>
      <w:tr w:rsidR="00F34AB2" w:rsidRPr="003818D1" w:rsidTr="004E03B8">
        <w:tc>
          <w:tcPr>
            <w:tcW w:w="2660" w:type="dxa"/>
          </w:tcPr>
          <w:p w:rsidR="00F34AB2" w:rsidRPr="003818D1" w:rsidRDefault="00F34AB2" w:rsidP="00F34AB2">
            <w:pPr>
              <w:keepNext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4AB2" w:rsidRPr="003818D1" w:rsidRDefault="00F34AB2" w:rsidP="00F34AB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Univariable</w:t>
            </w:r>
            <w:proofErr w:type="spellEnd"/>
          </w:p>
          <w:p w:rsidR="00F34AB2" w:rsidRPr="003818D1" w:rsidRDefault="00F34AB2" w:rsidP="00F34AB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HR (95% CI)</w:t>
            </w:r>
          </w:p>
        </w:tc>
        <w:tc>
          <w:tcPr>
            <w:tcW w:w="850" w:type="dxa"/>
          </w:tcPr>
          <w:p w:rsidR="00F34AB2" w:rsidRPr="003818D1" w:rsidRDefault="00F34AB2" w:rsidP="00F34AB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F34AB2" w:rsidRPr="003818D1" w:rsidRDefault="00F34AB2" w:rsidP="00F34AB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Multivariable Model 1 HR (95% CI)</w:t>
            </w:r>
          </w:p>
        </w:tc>
        <w:tc>
          <w:tcPr>
            <w:tcW w:w="992" w:type="dxa"/>
          </w:tcPr>
          <w:p w:rsidR="00F34AB2" w:rsidRPr="003818D1" w:rsidRDefault="00F34AB2" w:rsidP="00F34AB2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  <w:tc>
          <w:tcPr>
            <w:tcW w:w="1985" w:type="dxa"/>
          </w:tcPr>
          <w:p w:rsidR="00F34AB2" w:rsidRPr="003818D1" w:rsidRDefault="00F34AB2" w:rsidP="00F34AB2">
            <w:pPr>
              <w:tabs>
                <w:tab w:val="left" w:pos="1757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Multivariable Model 2 HR (95% CI)</w:t>
            </w:r>
          </w:p>
        </w:tc>
        <w:tc>
          <w:tcPr>
            <w:tcW w:w="992" w:type="dxa"/>
          </w:tcPr>
          <w:p w:rsidR="00F34AB2" w:rsidRPr="003818D1" w:rsidRDefault="00F34AB2" w:rsidP="00F34AB2">
            <w:pPr>
              <w:tabs>
                <w:tab w:val="left" w:pos="1757"/>
              </w:tabs>
              <w:ind w:left="-22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P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Age (years)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1.07 (1.06-1.09)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(1.0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</w:t>
            </w:r>
            <w:r w:rsidR="00206169">
              <w:rPr>
                <w:rFonts w:ascii="Times New Roman" w:hAnsi="Times New Roman"/>
                <w:sz w:val="24"/>
                <w:szCs w:val="24"/>
              </w:rPr>
              <w:t>4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(1.0</w:t>
            </w:r>
            <w:r w:rsidR="00206169">
              <w:rPr>
                <w:rFonts w:ascii="Times New Roman" w:hAnsi="Times New Roman"/>
                <w:sz w:val="24"/>
                <w:szCs w:val="24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-1.0</w:t>
            </w:r>
            <w:r w:rsidR="00206169">
              <w:rPr>
                <w:rFonts w:ascii="Times New Roman" w:hAnsi="Times New Roman"/>
                <w:sz w:val="24"/>
                <w:szCs w:val="24"/>
              </w:rPr>
              <w:t>6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</w:t>
            </w:r>
            <w:r w:rsidR="00206169">
              <w:rPr>
                <w:rFonts w:ascii="Times New Roman" w:hAnsi="Times New Roman"/>
                <w:sz w:val="24"/>
                <w:szCs w:val="24"/>
              </w:rPr>
              <w:t>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 xml:space="preserve">Male </w:t>
            </w:r>
            <w:r w:rsidR="00746D8B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0.51 (0.39-0.66)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</w:t>
            </w:r>
            <w:r w:rsidR="00206169">
              <w:rPr>
                <w:rFonts w:ascii="Times New Roman" w:hAnsi="Times New Roman"/>
                <w:sz w:val="24"/>
                <w:szCs w:val="24"/>
              </w:rPr>
              <w:t>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70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-1.3</w:t>
            </w:r>
            <w:r w:rsidR="00206169">
              <w:rPr>
                <w:rFonts w:ascii="Times New Roman" w:hAnsi="Times New Roman"/>
                <w:sz w:val="24"/>
                <w:szCs w:val="24"/>
              </w:rPr>
              <w:t>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ST elevation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0.99 (0.77-1.29)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06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(0.7</w:t>
            </w:r>
            <w:r w:rsidR="00206169">
              <w:rPr>
                <w:rFonts w:ascii="Times New Roman" w:hAnsi="Times New Roman"/>
                <w:sz w:val="24"/>
                <w:szCs w:val="24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57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Killip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 xml:space="preserve"> class&gt;1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3.71 (2.76-4.99)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985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(1.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-2.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86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9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5 (1.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37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-2.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77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eGFR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(ml min</w:t>
            </w:r>
            <w:r w:rsidRPr="003818D1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/1.73m</w:t>
            </w:r>
            <w:r w:rsidRPr="003818D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0.96 (0.95-0.97)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0.98 (0.97-0.99)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0.99 (0.9</w:t>
            </w:r>
            <w:r w:rsidR="00206169">
              <w:rPr>
                <w:rFonts w:ascii="Times New Roman" w:hAnsi="Times New Roman"/>
                <w:sz w:val="24"/>
                <w:szCs w:val="24"/>
              </w:rPr>
              <w:t>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</w:t>
            </w:r>
            <w:r w:rsidR="00206169">
              <w:rPr>
                <w:rFonts w:ascii="Times New Roman" w:hAnsi="Times New Roman"/>
                <w:sz w:val="24"/>
                <w:szCs w:val="24"/>
              </w:rPr>
              <w:t>1.00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206169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Heart rate (beats min</w:t>
            </w:r>
            <w:r w:rsidRPr="003818D1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1.01 (1.01-1.02)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1.00 (0.99-1.00)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1.00 (0.99-1.00)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Systolic BP (mm Hg)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0.99 (0.98-0.99)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0.004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0.99 (0.98-0.99)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985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9856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0.99 (0.98-0.99)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2061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AB2" w:rsidRPr="003818D1" w:rsidTr="004E03B8">
        <w:tc>
          <w:tcPr>
            <w:tcW w:w="11307" w:type="dxa"/>
            <w:gridSpan w:val="7"/>
            <w:vAlign w:val="bottom"/>
          </w:tcPr>
          <w:p w:rsidR="00F34AB2" w:rsidRPr="003818D1" w:rsidRDefault="00F34AB2" w:rsidP="00F34AB2">
            <w:pPr>
              <w:tabs>
                <w:tab w:val="left" w:pos="220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Past history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Ischemic heart disease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1.59 (1.22-2.06)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985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7 (0.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62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22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82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(0.5</w:t>
            </w:r>
            <w:r w:rsidR="00206169">
              <w:rPr>
                <w:rFonts w:ascii="Times New Roman" w:hAnsi="Times New Roman"/>
                <w:sz w:val="24"/>
                <w:szCs w:val="24"/>
              </w:rPr>
              <w:t>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Hypertension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1.70 (1.30-2.23)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9856B8" w:rsidP="00985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1.02</w:t>
            </w:r>
            <w:r w:rsidR="00F34AB2"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34AB2" w:rsidRPr="003818D1">
              <w:rPr>
                <w:rFonts w:ascii="Times New Roman" w:hAnsi="Times New Roman"/>
                <w:sz w:val="24"/>
                <w:szCs w:val="24"/>
              </w:rPr>
              <w:t>2-1.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F34AB2"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F34AB2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  <w:r w:rsidR="00F34AB2" w:rsidRPr="003818D1">
              <w:rPr>
                <w:rFonts w:ascii="Times New Roman" w:hAnsi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34AB2" w:rsidRPr="003818D1">
              <w:rPr>
                <w:rFonts w:ascii="Times New Roman" w:hAnsi="Times New Roman"/>
                <w:sz w:val="24"/>
                <w:szCs w:val="24"/>
              </w:rPr>
              <w:t>2-1.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F34AB2"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Diabetes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1.58 (1.19-2.09)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985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42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856B8">
              <w:rPr>
                <w:rFonts w:ascii="Times New Roman" w:hAnsi="Times New Roman"/>
                <w:sz w:val="24"/>
                <w:szCs w:val="24"/>
              </w:rPr>
              <w:t>1.01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98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9856B8" w:rsidP="00985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0.043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41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06169">
              <w:rPr>
                <w:rFonts w:ascii="Times New Roman" w:hAnsi="Times New Roman"/>
                <w:sz w:val="24"/>
                <w:szCs w:val="24"/>
              </w:rPr>
              <w:t>1.01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98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0.047</w:t>
            </w:r>
          </w:p>
        </w:tc>
      </w:tr>
      <w:tr w:rsidR="00F34AB2" w:rsidRPr="003818D1" w:rsidTr="004E03B8">
        <w:tc>
          <w:tcPr>
            <w:tcW w:w="11307" w:type="dxa"/>
            <w:gridSpan w:val="7"/>
            <w:vAlign w:val="bottom"/>
          </w:tcPr>
          <w:p w:rsidR="00F34AB2" w:rsidRPr="003818D1" w:rsidRDefault="00F34AB2" w:rsidP="00F34AB2">
            <w:pPr>
              <w:keepNext/>
              <w:tabs>
                <w:tab w:val="left" w:pos="2201"/>
              </w:tabs>
              <w:ind w:left="-227" w:firstLine="227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4AB2" w:rsidRPr="003818D1" w:rsidTr="004E03B8">
        <w:tc>
          <w:tcPr>
            <w:tcW w:w="11307" w:type="dxa"/>
            <w:gridSpan w:val="7"/>
            <w:vAlign w:val="bottom"/>
          </w:tcPr>
          <w:p w:rsidR="00F34AB2" w:rsidRPr="003818D1" w:rsidRDefault="00F34AB2" w:rsidP="00F34AB2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818D1">
              <w:rPr>
                <w:rFonts w:ascii="Times New Roman" w:hAnsi="Times New Roman"/>
                <w:b/>
                <w:sz w:val="24"/>
                <w:szCs w:val="24"/>
              </w:rPr>
              <w:t>Biomarkers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Log Troponin (</w:t>
            </w: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μg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>/L)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1.16 (1.00-1.33)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0.044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985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09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(0.9</w:t>
            </w:r>
            <w:r w:rsidR="009856B8">
              <w:rPr>
                <w:rFonts w:ascii="Times New Roman" w:hAnsi="Times New Roman"/>
                <w:sz w:val="24"/>
                <w:szCs w:val="24"/>
              </w:rPr>
              <w:t>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-1.3</w:t>
            </w:r>
            <w:r w:rsidR="009856B8">
              <w:rPr>
                <w:rFonts w:ascii="Times New Roman" w:hAnsi="Times New Roman"/>
                <w:sz w:val="24"/>
                <w:szCs w:val="24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09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(0.9</w:t>
            </w:r>
            <w:r w:rsidR="00206169">
              <w:rPr>
                <w:rFonts w:ascii="Times New Roman" w:hAnsi="Times New Roman"/>
                <w:sz w:val="24"/>
                <w:szCs w:val="24"/>
              </w:rPr>
              <w:t>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-1.3</w:t>
            </w:r>
            <w:r w:rsidR="00206169">
              <w:rPr>
                <w:rFonts w:ascii="Times New Roman" w:hAnsi="Times New Roman"/>
                <w:sz w:val="24"/>
                <w:szCs w:val="24"/>
              </w:rPr>
              <w:t>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2"/>
                <w:szCs w:val="22"/>
              </w:rPr>
            </w:pPr>
            <w:r w:rsidRPr="003818D1">
              <w:rPr>
                <w:rFonts w:ascii="Times New Roman" w:hAnsi="Times New Roman"/>
                <w:sz w:val="22"/>
                <w:szCs w:val="22"/>
              </w:rPr>
              <w:t xml:space="preserve">Log </w:t>
            </w:r>
            <w:proofErr w:type="spellStart"/>
            <w:r w:rsidRPr="003818D1">
              <w:rPr>
                <w:rFonts w:ascii="Times New Roman" w:hAnsi="Times New Roman"/>
                <w:sz w:val="22"/>
                <w:szCs w:val="22"/>
              </w:rPr>
              <w:t>NTproBNP</w:t>
            </w:r>
            <w:proofErr w:type="spellEnd"/>
            <w:r w:rsidRPr="003818D1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 w:rsidRPr="003818D1">
              <w:rPr>
                <w:rFonts w:ascii="Times New Roman" w:hAnsi="Times New Roman"/>
                <w:sz w:val="22"/>
                <w:szCs w:val="22"/>
              </w:rPr>
              <w:t>pmol</w:t>
            </w:r>
            <w:proofErr w:type="spellEnd"/>
            <w:r w:rsidRPr="003818D1">
              <w:rPr>
                <w:rFonts w:ascii="Times New Roman" w:hAnsi="Times New Roman"/>
                <w:sz w:val="22"/>
                <w:szCs w:val="22"/>
              </w:rPr>
              <w:t>/L)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3.21 (2.57-4.02)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985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65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(1.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23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-2.</w:t>
            </w:r>
            <w:r w:rsidR="009856B8">
              <w:rPr>
                <w:rFonts w:ascii="Times New Roman" w:hAnsi="Times New Roman"/>
                <w:sz w:val="24"/>
                <w:szCs w:val="24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9856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985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50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(1.1</w:t>
            </w:r>
            <w:r w:rsidR="00206169">
              <w:rPr>
                <w:rFonts w:ascii="Times New Roman" w:hAnsi="Times New Roman"/>
                <w:sz w:val="24"/>
                <w:szCs w:val="24"/>
              </w:rPr>
              <w:t>2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-2.0</w:t>
            </w:r>
            <w:r w:rsidR="00206169">
              <w:rPr>
                <w:rFonts w:ascii="Times New Roman" w:hAnsi="Times New Roman"/>
                <w:sz w:val="24"/>
                <w:szCs w:val="24"/>
              </w:rPr>
              <w:t>1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0.007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 xml:space="preserve">Log </w:t>
            </w: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ProSP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818D1">
              <w:rPr>
                <w:rFonts w:ascii="Times New Roman" w:hAnsi="Times New Roman"/>
                <w:sz w:val="24"/>
                <w:szCs w:val="24"/>
              </w:rPr>
              <w:t>pmol</w:t>
            </w:r>
            <w:proofErr w:type="spellEnd"/>
            <w:r w:rsidRPr="003818D1">
              <w:rPr>
                <w:rFonts w:ascii="Times New Roman" w:hAnsi="Times New Roman"/>
                <w:sz w:val="24"/>
                <w:szCs w:val="24"/>
              </w:rPr>
              <w:t>/L)</w:t>
            </w: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2.07 (1.87-2.29)</w:t>
            </w:r>
          </w:p>
        </w:tc>
        <w:tc>
          <w:tcPr>
            <w:tcW w:w="850" w:type="dxa"/>
            <w:vAlign w:val="bottom"/>
          </w:tcPr>
          <w:p w:rsidR="00F34AB2" w:rsidRPr="003818D1" w:rsidRDefault="00F34AB2" w:rsidP="00193E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bottom"/>
          </w:tcPr>
          <w:p w:rsidR="00F34AB2" w:rsidRPr="00646B2B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Excluded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38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 xml:space="preserve"> (1.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14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-1.</w:t>
            </w:r>
            <w:r w:rsidR="00206169">
              <w:rPr>
                <w:rFonts w:ascii="Times New Roman" w:hAnsi="Times New Roman"/>
                <w:sz w:val="24"/>
                <w:szCs w:val="24"/>
              </w:rPr>
              <w:t>67</w:t>
            </w:r>
            <w:r w:rsidRPr="003818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bottom"/>
          </w:tcPr>
          <w:p w:rsidR="00F34AB2" w:rsidRPr="003818D1" w:rsidRDefault="00F34AB2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8D1">
              <w:rPr>
                <w:rFonts w:ascii="Times New Roman" w:hAnsi="Times New Roman"/>
                <w:sz w:val="24"/>
                <w:szCs w:val="24"/>
              </w:rPr>
              <w:t>0.00</w:t>
            </w:r>
            <w:r w:rsidR="002061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4AB2" w:rsidRPr="003818D1" w:rsidTr="004E03B8">
        <w:tc>
          <w:tcPr>
            <w:tcW w:w="2660" w:type="dxa"/>
            <w:vAlign w:val="bottom"/>
          </w:tcPr>
          <w:p w:rsidR="00F34AB2" w:rsidRPr="003818D1" w:rsidRDefault="00F34AB2" w:rsidP="00F34A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F34AB2" w:rsidRPr="00646B2B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F34AB2" w:rsidRPr="003818D1" w:rsidRDefault="00F34AB2" w:rsidP="00F34A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169" w:rsidRPr="003818D1" w:rsidTr="004E03B8">
        <w:tc>
          <w:tcPr>
            <w:tcW w:w="2660" w:type="dxa"/>
            <w:vAlign w:val="bottom"/>
          </w:tcPr>
          <w:p w:rsidR="00206169" w:rsidRPr="00A36FFD" w:rsidRDefault="00206169" w:rsidP="002061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Log Likelihood χ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vAlign w:val="bottom"/>
          </w:tcPr>
          <w:p w:rsidR="00206169" w:rsidRPr="00646B2B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06169" w:rsidRPr="00646B2B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646B2B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201.25</w:t>
            </w:r>
          </w:p>
        </w:tc>
        <w:tc>
          <w:tcPr>
            <w:tcW w:w="992" w:type="dxa"/>
            <w:vAlign w:val="bottom"/>
          </w:tcPr>
          <w:p w:rsidR="00206169" w:rsidRPr="00646B2B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646B2B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227.63</w:t>
            </w:r>
          </w:p>
        </w:tc>
        <w:tc>
          <w:tcPr>
            <w:tcW w:w="992" w:type="dxa"/>
            <w:vAlign w:val="bottom"/>
          </w:tcPr>
          <w:p w:rsidR="00206169" w:rsidRPr="00646B2B" w:rsidRDefault="00D872C4" w:rsidP="00193EAA">
            <w:pPr>
              <w:ind w:right="-1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0.000</w:t>
            </w:r>
            <w:r w:rsidR="00193E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206169" w:rsidRPr="003818D1" w:rsidTr="004E03B8">
        <w:tc>
          <w:tcPr>
            <w:tcW w:w="2660" w:type="dxa"/>
            <w:vAlign w:val="bottom"/>
          </w:tcPr>
          <w:p w:rsidR="00206169" w:rsidRPr="003818D1" w:rsidRDefault="00206169" w:rsidP="002061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169" w:rsidRPr="003818D1" w:rsidTr="004E03B8">
        <w:tc>
          <w:tcPr>
            <w:tcW w:w="2660" w:type="dxa"/>
            <w:vAlign w:val="bottom"/>
          </w:tcPr>
          <w:p w:rsidR="00206169" w:rsidRPr="003818D1" w:rsidRDefault="00206169" w:rsidP="002061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169" w:rsidRPr="003818D1" w:rsidTr="004E03B8">
        <w:tc>
          <w:tcPr>
            <w:tcW w:w="2660" w:type="dxa"/>
            <w:vAlign w:val="bottom"/>
          </w:tcPr>
          <w:p w:rsidR="00206169" w:rsidRPr="003818D1" w:rsidRDefault="00206169" w:rsidP="002061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169" w:rsidRPr="003818D1" w:rsidTr="004E03B8">
        <w:tc>
          <w:tcPr>
            <w:tcW w:w="2660" w:type="dxa"/>
            <w:vAlign w:val="bottom"/>
          </w:tcPr>
          <w:p w:rsidR="00206169" w:rsidRPr="003818D1" w:rsidRDefault="00206169" w:rsidP="002061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169" w:rsidRPr="003818D1" w:rsidTr="004E03B8">
        <w:tc>
          <w:tcPr>
            <w:tcW w:w="2660" w:type="dxa"/>
            <w:vAlign w:val="bottom"/>
          </w:tcPr>
          <w:p w:rsidR="00206169" w:rsidRPr="003818D1" w:rsidRDefault="00206169" w:rsidP="002061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206169" w:rsidRPr="003818D1" w:rsidRDefault="00206169" w:rsidP="002061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7A88" w:rsidRDefault="00A47A88" w:rsidP="00A47A88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  <w:r>
        <w:rPr>
          <w:rFonts w:ascii="Times New Roman" w:hAnsi="Times New Roman" w:cs="Times New Roman"/>
          <w:b/>
          <w:sz w:val="24"/>
          <w:szCs w:val="24"/>
          <w:lang w:eastAsia="en-GB"/>
        </w:rPr>
        <w:br w:type="page"/>
      </w:r>
    </w:p>
    <w:p w:rsidR="00A47A88" w:rsidRPr="00646B2B" w:rsidRDefault="00A47A88" w:rsidP="00A47A88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tbl>
      <w:tblPr>
        <w:tblStyle w:val="TableGrid"/>
        <w:tblpPr w:leftFromText="180" w:rightFromText="180" w:vertAnchor="text" w:horzAnchor="page" w:tblpX="433" w:tblpY="1535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709"/>
        <w:gridCol w:w="1559"/>
        <w:gridCol w:w="850"/>
        <w:gridCol w:w="1701"/>
        <w:gridCol w:w="851"/>
        <w:gridCol w:w="1843"/>
        <w:gridCol w:w="992"/>
      </w:tblGrid>
      <w:tr w:rsidR="0096261F" w:rsidRPr="007A377F" w:rsidTr="00193EAA">
        <w:tc>
          <w:tcPr>
            <w:tcW w:w="1242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</w:rPr>
            </w:pPr>
            <w:r w:rsidRPr="00327911">
              <w:rPr>
                <w:rFonts w:ascii="Times New Roman" w:hAnsi="Times New Roman"/>
                <w:b/>
              </w:rPr>
              <w:t>MACE</w:t>
            </w:r>
          </w:p>
        </w:tc>
        <w:tc>
          <w:tcPr>
            <w:tcW w:w="1560" w:type="dxa"/>
            <w:vAlign w:val="center"/>
          </w:tcPr>
          <w:p w:rsidR="0096261F" w:rsidRPr="00327911" w:rsidRDefault="0096261F" w:rsidP="00E26D80">
            <w:pPr>
              <w:contextualSpacing/>
              <w:rPr>
                <w:rFonts w:ascii="Times New Roman" w:hAnsi="Times New Roman"/>
                <w:b/>
              </w:rPr>
            </w:pPr>
            <w:proofErr w:type="spellStart"/>
            <w:r w:rsidRPr="00327911">
              <w:rPr>
                <w:rFonts w:ascii="Times New Roman" w:hAnsi="Times New Roman"/>
                <w:b/>
              </w:rPr>
              <w:t>Univariable</w:t>
            </w:r>
            <w:proofErr w:type="spellEnd"/>
          </w:p>
          <w:p w:rsidR="0096261F" w:rsidRPr="00327911" w:rsidRDefault="0096261F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HR (95% CI)</w:t>
            </w:r>
          </w:p>
        </w:tc>
        <w:tc>
          <w:tcPr>
            <w:tcW w:w="709" w:type="dxa"/>
            <w:vAlign w:val="center"/>
          </w:tcPr>
          <w:p w:rsidR="0096261F" w:rsidRPr="00327911" w:rsidRDefault="001432B6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p</w:t>
            </w:r>
          </w:p>
        </w:tc>
        <w:tc>
          <w:tcPr>
            <w:tcW w:w="1559" w:type="dxa"/>
            <w:vAlign w:val="center"/>
          </w:tcPr>
          <w:p w:rsidR="0096261F" w:rsidRPr="00327911" w:rsidRDefault="0096261F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 xml:space="preserve">Multivariable </w:t>
            </w:r>
          </w:p>
          <w:p w:rsidR="0096261F" w:rsidRPr="00327911" w:rsidRDefault="0096261F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HR (95% CI)</w:t>
            </w:r>
          </w:p>
        </w:tc>
        <w:tc>
          <w:tcPr>
            <w:tcW w:w="850" w:type="dxa"/>
            <w:vAlign w:val="center"/>
          </w:tcPr>
          <w:p w:rsidR="0096261F" w:rsidRPr="00327911" w:rsidRDefault="001432B6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p</w:t>
            </w:r>
          </w:p>
        </w:tc>
        <w:tc>
          <w:tcPr>
            <w:tcW w:w="1701" w:type="dxa"/>
            <w:vAlign w:val="center"/>
          </w:tcPr>
          <w:p w:rsidR="0096261F" w:rsidRPr="00327911" w:rsidRDefault="0096261F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 xml:space="preserve">Multivariable </w:t>
            </w:r>
          </w:p>
          <w:p w:rsidR="0096261F" w:rsidRPr="00327911" w:rsidRDefault="0096261F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HR (95% CI)</w:t>
            </w:r>
          </w:p>
        </w:tc>
        <w:tc>
          <w:tcPr>
            <w:tcW w:w="851" w:type="dxa"/>
            <w:vAlign w:val="center"/>
          </w:tcPr>
          <w:p w:rsidR="0096261F" w:rsidRPr="00327911" w:rsidRDefault="001432B6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p</w:t>
            </w:r>
          </w:p>
        </w:tc>
        <w:tc>
          <w:tcPr>
            <w:tcW w:w="1843" w:type="dxa"/>
            <w:vAlign w:val="center"/>
          </w:tcPr>
          <w:p w:rsidR="0096261F" w:rsidRPr="00327911" w:rsidRDefault="0096261F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 xml:space="preserve">Multivariable </w:t>
            </w:r>
          </w:p>
          <w:p w:rsidR="0096261F" w:rsidRPr="00327911" w:rsidRDefault="0096261F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HR (95% CI)</w:t>
            </w:r>
          </w:p>
        </w:tc>
        <w:tc>
          <w:tcPr>
            <w:tcW w:w="992" w:type="dxa"/>
            <w:vAlign w:val="center"/>
          </w:tcPr>
          <w:p w:rsidR="0096261F" w:rsidRPr="00327911" w:rsidRDefault="001432B6" w:rsidP="00E26D80">
            <w:pPr>
              <w:contextualSpacing/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p</w:t>
            </w:r>
          </w:p>
        </w:tc>
      </w:tr>
      <w:tr w:rsidR="0096261F" w:rsidRPr="007A377F" w:rsidTr="00193EAA">
        <w:tc>
          <w:tcPr>
            <w:tcW w:w="1242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GRACE</w:t>
            </w:r>
          </w:p>
        </w:tc>
        <w:tc>
          <w:tcPr>
            <w:tcW w:w="1560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1.02 (1.02-1.03)</w:t>
            </w:r>
          </w:p>
        </w:tc>
        <w:tc>
          <w:tcPr>
            <w:tcW w:w="709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327911" w:rsidRPr="0032791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1.02 (1.01-1.02)</w:t>
            </w:r>
          </w:p>
        </w:tc>
        <w:tc>
          <w:tcPr>
            <w:tcW w:w="850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1.02 (1.01-1.02)</w:t>
            </w:r>
          </w:p>
        </w:tc>
        <w:tc>
          <w:tcPr>
            <w:tcW w:w="851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1.02 (1.01-1.02)</w:t>
            </w:r>
          </w:p>
        </w:tc>
        <w:tc>
          <w:tcPr>
            <w:tcW w:w="992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96261F" w:rsidRPr="007A377F" w:rsidTr="00193EAA">
        <w:tc>
          <w:tcPr>
            <w:tcW w:w="1242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A377F">
              <w:rPr>
                <w:rFonts w:ascii="Times New Roman" w:hAnsi="Times New Roman"/>
                <w:sz w:val="19"/>
                <w:szCs w:val="19"/>
              </w:rPr>
              <w:t>NTproBNP</w:t>
            </w:r>
            <w:proofErr w:type="spellEnd"/>
            <w:r w:rsidRPr="007A377F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2.02 (1.67-2.44)</w:t>
            </w:r>
          </w:p>
        </w:tc>
        <w:tc>
          <w:tcPr>
            <w:tcW w:w="709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1.29 (1.04-1.60)</w:t>
            </w:r>
          </w:p>
        </w:tc>
        <w:tc>
          <w:tcPr>
            <w:tcW w:w="850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1701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Excluded</w:t>
            </w:r>
          </w:p>
        </w:tc>
        <w:tc>
          <w:tcPr>
            <w:tcW w:w="851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1.29 (1.04-1.60)</w:t>
            </w:r>
          </w:p>
        </w:tc>
        <w:tc>
          <w:tcPr>
            <w:tcW w:w="992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</w:tr>
      <w:tr w:rsidR="0096261F" w:rsidRPr="007A377F" w:rsidTr="00193EAA">
        <w:tc>
          <w:tcPr>
            <w:tcW w:w="1242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A377F">
              <w:rPr>
                <w:rFonts w:ascii="Times New Roman" w:hAnsi="Times New Roman"/>
                <w:sz w:val="19"/>
                <w:szCs w:val="19"/>
              </w:rPr>
              <w:t>ProSP</w:t>
            </w:r>
            <w:proofErr w:type="spellEnd"/>
            <w:r w:rsidRPr="007A377F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1.76 (1.57-1.96)</w:t>
            </w:r>
          </w:p>
        </w:tc>
        <w:tc>
          <w:tcPr>
            <w:tcW w:w="709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Excluded</w:t>
            </w:r>
          </w:p>
        </w:tc>
        <w:tc>
          <w:tcPr>
            <w:tcW w:w="850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1.3</w:t>
            </w:r>
            <w:r w:rsidR="00A32166" w:rsidRPr="007A377F">
              <w:rPr>
                <w:rFonts w:ascii="Times New Roman" w:hAnsi="Times New Roman"/>
                <w:sz w:val="19"/>
                <w:szCs w:val="19"/>
              </w:rPr>
              <w:t>8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 xml:space="preserve"> (1.1</w:t>
            </w:r>
            <w:r w:rsidR="00A32166" w:rsidRPr="007A377F">
              <w:rPr>
                <w:rFonts w:ascii="Times New Roman" w:hAnsi="Times New Roman"/>
                <w:sz w:val="19"/>
                <w:szCs w:val="19"/>
              </w:rPr>
              <w:t>8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-1.</w:t>
            </w:r>
            <w:r w:rsidR="00A32166" w:rsidRPr="007A377F">
              <w:rPr>
                <w:rFonts w:ascii="Times New Roman" w:hAnsi="Times New Roman"/>
                <w:sz w:val="19"/>
                <w:szCs w:val="19"/>
              </w:rPr>
              <w:t>61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851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</w:t>
            </w:r>
            <w:r w:rsidR="00A32166" w:rsidRPr="00327911">
              <w:rPr>
                <w:rFonts w:ascii="Times New Roman" w:hAnsi="Times New Roman"/>
                <w:sz w:val="16"/>
                <w:szCs w:val="16"/>
              </w:rPr>
              <w:t>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1.31 (1.11-1.54)</w:t>
            </w:r>
          </w:p>
        </w:tc>
        <w:tc>
          <w:tcPr>
            <w:tcW w:w="992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</w:tr>
      <w:tr w:rsidR="0096261F" w:rsidRPr="007A377F" w:rsidTr="00193EAA">
        <w:trPr>
          <w:trHeight w:val="648"/>
        </w:trPr>
        <w:tc>
          <w:tcPr>
            <w:tcW w:w="1242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LLχ</w:t>
            </w:r>
            <w:r w:rsidRPr="007A377F">
              <w:rPr>
                <w:rFonts w:ascii="Times New Roman" w:hAnsi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A32166" w:rsidRPr="007A377F" w:rsidRDefault="00B67D4A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 xml:space="preserve">101.13 </w:t>
            </w:r>
          </w:p>
          <w:p w:rsidR="0096261F" w:rsidRPr="007A377F" w:rsidRDefault="00B67D4A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(GRACE only)</w:t>
            </w:r>
          </w:p>
        </w:tc>
        <w:tc>
          <w:tcPr>
            <w:tcW w:w="709" w:type="dxa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6261F" w:rsidRPr="007A377F" w:rsidRDefault="009626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108.57</w:t>
            </w:r>
          </w:p>
        </w:tc>
        <w:tc>
          <w:tcPr>
            <w:tcW w:w="850" w:type="dxa"/>
            <w:vAlign w:val="center"/>
          </w:tcPr>
          <w:p w:rsidR="0096261F" w:rsidRPr="00327911" w:rsidRDefault="00A32166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0.006*</w:t>
            </w:r>
          </w:p>
        </w:tc>
        <w:tc>
          <w:tcPr>
            <w:tcW w:w="1701" w:type="dxa"/>
            <w:vAlign w:val="center"/>
          </w:tcPr>
          <w:p w:rsidR="0096261F" w:rsidRPr="007A377F" w:rsidRDefault="00D878C2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122.84</w:t>
            </w:r>
          </w:p>
        </w:tc>
        <w:tc>
          <w:tcPr>
            <w:tcW w:w="851" w:type="dxa"/>
            <w:vAlign w:val="center"/>
          </w:tcPr>
          <w:p w:rsidR="0096261F" w:rsidRPr="00327911" w:rsidRDefault="00A32166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7A377F" w:rsidRPr="00327911">
              <w:rPr>
                <w:rFonts w:ascii="Times New Roman" w:hAnsi="Times New Roman"/>
                <w:sz w:val="16"/>
                <w:szCs w:val="16"/>
              </w:rPr>
              <w:t>1</w:t>
            </w:r>
            <w:r w:rsidRPr="00327911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1843" w:type="dxa"/>
            <w:vAlign w:val="center"/>
          </w:tcPr>
          <w:p w:rsidR="0096261F" w:rsidRPr="007A377F" w:rsidRDefault="00D878C2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126.63</w:t>
            </w:r>
          </w:p>
        </w:tc>
        <w:tc>
          <w:tcPr>
            <w:tcW w:w="992" w:type="dxa"/>
            <w:vAlign w:val="center"/>
          </w:tcPr>
          <w:p w:rsidR="0096261F" w:rsidRPr="00327911" w:rsidRDefault="00A32166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7A377F" w:rsidRPr="00327911">
              <w:rPr>
                <w:rFonts w:ascii="Times New Roman" w:hAnsi="Times New Roman"/>
                <w:sz w:val="16"/>
                <w:szCs w:val="16"/>
              </w:rPr>
              <w:t>1</w:t>
            </w:r>
            <w:r w:rsidRPr="00327911">
              <w:rPr>
                <w:rFonts w:ascii="Times New Roman" w:hAnsi="Times New Roman"/>
                <w:sz w:val="16"/>
                <w:szCs w:val="16"/>
              </w:rPr>
              <w:t>*†</w:t>
            </w:r>
          </w:p>
        </w:tc>
      </w:tr>
      <w:tr w:rsidR="0096261F" w:rsidRPr="007A377F" w:rsidTr="00193EAA">
        <w:trPr>
          <w:trHeight w:val="572"/>
        </w:trPr>
        <w:tc>
          <w:tcPr>
            <w:tcW w:w="11307" w:type="dxa"/>
            <w:gridSpan w:val="9"/>
            <w:vAlign w:val="center"/>
          </w:tcPr>
          <w:p w:rsidR="0096261F" w:rsidRPr="00327911" w:rsidRDefault="0096261F" w:rsidP="00E26D80">
            <w:pPr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Death and/or re-AMI</w:t>
            </w:r>
          </w:p>
        </w:tc>
      </w:tr>
      <w:tr w:rsidR="003B611F" w:rsidRPr="007A377F" w:rsidTr="00193EAA">
        <w:tc>
          <w:tcPr>
            <w:tcW w:w="1242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GRACE</w:t>
            </w:r>
          </w:p>
        </w:tc>
        <w:tc>
          <w:tcPr>
            <w:tcW w:w="1560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1.02 (1.01-1.02)</w:t>
            </w:r>
          </w:p>
        </w:tc>
        <w:tc>
          <w:tcPr>
            <w:tcW w:w="709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1.02 (1.01-1.02)</w:t>
            </w:r>
          </w:p>
        </w:tc>
        <w:tc>
          <w:tcPr>
            <w:tcW w:w="850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1.01 (1.01-1.02)</w:t>
            </w:r>
          </w:p>
        </w:tc>
        <w:tc>
          <w:tcPr>
            <w:tcW w:w="851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1.01 (1.01-1.02)</w:t>
            </w:r>
          </w:p>
        </w:tc>
        <w:tc>
          <w:tcPr>
            <w:tcW w:w="992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B611F" w:rsidRPr="007A377F" w:rsidTr="00193EAA">
        <w:tc>
          <w:tcPr>
            <w:tcW w:w="1242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A377F">
              <w:rPr>
                <w:rFonts w:ascii="Times New Roman" w:hAnsi="Times New Roman"/>
                <w:sz w:val="19"/>
                <w:szCs w:val="19"/>
              </w:rPr>
              <w:t>NTproBNP</w:t>
            </w:r>
            <w:proofErr w:type="spellEnd"/>
            <w:r w:rsidRPr="007A377F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1.89 (1.53-2.33)</w:t>
            </w:r>
          </w:p>
        </w:tc>
        <w:tc>
          <w:tcPr>
            <w:tcW w:w="709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1.3</w:t>
            </w:r>
            <w:r w:rsidR="000E409E" w:rsidRPr="007A377F">
              <w:rPr>
                <w:rFonts w:ascii="Times New Roman" w:hAnsi="Times New Roman"/>
                <w:sz w:val="19"/>
                <w:szCs w:val="19"/>
              </w:rPr>
              <w:t>8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 xml:space="preserve"> (1.</w:t>
            </w:r>
            <w:r w:rsidR="005A1659" w:rsidRPr="007A377F">
              <w:rPr>
                <w:rFonts w:ascii="Times New Roman" w:hAnsi="Times New Roman"/>
                <w:sz w:val="19"/>
                <w:szCs w:val="19"/>
              </w:rPr>
              <w:t>08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-1.</w:t>
            </w:r>
            <w:r w:rsidR="005A1659" w:rsidRPr="007A377F">
              <w:rPr>
                <w:rFonts w:ascii="Times New Roman" w:hAnsi="Times New Roman"/>
                <w:sz w:val="19"/>
                <w:szCs w:val="19"/>
              </w:rPr>
              <w:t>75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850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</w:t>
            </w:r>
            <w:r w:rsidR="005A1659" w:rsidRPr="0032791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Excluded</w:t>
            </w:r>
          </w:p>
        </w:tc>
        <w:tc>
          <w:tcPr>
            <w:tcW w:w="851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</w:t>
            </w:r>
            <w:r w:rsidR="005A1659" w:rsidRPr="007A377F">
              <w:rPr>
                <w:rFonts w:ascii="Times New Roman" w:hAnsi="Times New Roman"/>
                <w:sz w:val="19"/>
                <w:szCs w:val="19"/>
              </w:rPr>
              <w:t>24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 xml:space="preserve"> (0.9</w:t>
            </w:r>
            <w:r w:rsidR="005A1659" w:rsidRPr="007A377F">
              <w:rPr>
                <w:rFonts w:ascii="Times New Roman" w:hAnsi="Times New Roman"/>
                <w:sz w:val="19"/>
                <w:szCs w:val="19"/>
              </w:rPr>
              <w:t>8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-1.</w:t>
            </w:r>
            <w:r w:rsidR="005A1659" w:rsidRPr="007A377F">
              <w:rPr>
                <w:rFonts w:ascii="Times New Roman" w:hAnsi="Times New Roman"/>
                <w:sz w:val="19"/>
                <w:szCs w:val="19"/>
              </w:rPr>
              <w:t>57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992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NS</w:t>
            </w:r>
          </w:p>
        </w:tc>
      </w:tr>
      <w:tr w:rsidR="003B611F" w:rsidRPr="007A377F" w:rsidTr="00193EAA">
        <w:tc>
          <w:tcPr>
            <w:tcW w:w="1242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A377F">
              <w:rPr>
                <w:rFonts w:ascii="Times New Roman" w:hAnsi="Times New Roman"/>
                <w:sz w:val="19"/>
                <w:szCs w:val="19"/>
              </w:rPr>
              <w:t>ProSP</w:t>
            </w:r>
            <w:proofErr w:type="spellEnd"/>
            <w:r w:rsidRPr="007A377F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1.70 (1.52-1.90)</w:t>
            </w:r>
          </w:p>
        </w:tc>
        <w:tc>
          <w:tcPr>
            <w:tcW w:w="709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Excluded</w:t>
            </w:r>
          </w:p>
        </w:tc>
        <w:tc>
          <w:tcPr>
            <w:tcW w:w="850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1.4</w:t>
            </w:r>
            <w:r w:rsidR="00AC51FA" w:rsidRPr="007A377F">
              <w:rPr>
                <w:rFonts w:ascii="Times New Roman" w:hAnsi="Times New Roman"/>
                <w:sz w:val="19"/>
                <w:szCs w:val="19"/>
              </w:rPr>
              <w:t>7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 xml:space="preserve"> (1.2</w:t>
            </w:r>
            <w:r w:rsidR="00AC51FA" w:rsidRPr="007A377F">
              <w:rPr>
                <w:rFonts w:ascii="Times New Roman" w:hAnsi="Times New Roman"/>
                <w:sz w:val="19"/>
                <w:szCs w:val="19"/>
              </w:rPr>
              <w:t>6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-1.</w:t>
            </w:r>
            <w:r w:rsidR="00AC51FA" w:rsidRPr="007A377F">
              <w:rPr>
                <w:rFonts w:ascii="Times New Roman" w:hAnsi="Times New Roman"/>
                <w:sz w:val="19"/>
                <w:szCs w:val="19"/>
              </w:rPr>
              <w:t>72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851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</w:t>
            </w:r>
            <w:r w:rsidR="005A1659" w:rsidRPr="007A377F">
              <w:rPr>
                <w:rFonts w:ascii="Times New Roman" w:hAnsi="Times New Roman"/>
                <w:sz w:val="19"/>
                <w:szCs w:val="19"/>
              </w:rPr>
              <w:t>42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 xml:space="preserve"> (1.</w:t>
            </w:r>
            <w:r w:rsidR="005A1659" w:rsidRPr="007A377F">
              <w:rPr>
                <w:rFonts w:ascii="Times New Roman" w:hAnsi="Times New Roman"/>
                <w:sz w:val="19"/>
                <w:szCs w:val="19"/>
              </w:rPr>
              <w:t>2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1-1.</w:t>
            </w:r>
            <w:r w:rsidR="005A1659" w:rsidRPr="007A377F">
              <w:rPr>
                <w:rFonts w:ascii="Times New Roman" w:hAnsi="Times New Roman"/>
                <w:sz w:val="19"/>
                <w:szCs w:val="19"/>
              </w:rPr>
              <w:t>67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992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B611F" w:rsidRPr="007A377F" w:rsidTr="00193EAA">
        <w:trPr>
          <w:trHeight w:val="663"/>
        </w:trPr>
        <w:tc>
          <w:tcPr>
            <w:tcW w:w="1242" w:type="dxa"/>
            <w:vAlign w:val="center"/>
          </w:tcPr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LLχ</w:t>
            </w:r>
            <w:r w:rsidRPr="007A377F">
              <w:rPr>
                <w:rFonts w:ascii="Times New Roman" w:hAnsi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3B611F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58.36</w:t>
            </w:r>
          </w:p>
          <w:p w:rsidR="003B611F" w:rsidRPr="007A377F" w:rsidRDefault="003B611F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(GRACE only)</w:t>
            </w:r>
          </w:p>
        </w:tc>
        <w:tc>
          <w:tcPr>
            <w:tcW w:w="709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B611F" w:rsidRPr="007A377F" w:rsidRDefault="005A1659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63.89</w:t>
            </w:r>
          </w:p>
        </w:tc>
        <w:tc>
          <w:tcPr>
            <w:tcW w:w="850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</w:t>
            </w:r>
            <w:r w:rsidR="00861E39" w:rsidRPr="00327911">
              <w:rPr>
                <w:rFonts w:ascii="Times New Roman" w:hAnsi="Times New Roman"/>
                <w:sz w:val="16"/>
                <w:szCs w:val="16"/>
              </w:rPr>
              <w:t>19</w:t>
            </w:r>
            <w:r w:rsidRPr="00327911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:rsidR="003B611F" w:rsidRPr="007A377F" w:rsidRDefault="00AC51FA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85.53</w:t>
            </w:r>
          </w:p>
        </w:tc>
        <w:tc>
          <w:tcPr>
            <w:tcW w:w="851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</w:t>
            </w:r>
            <w:r w:rsidR="00861E39" w:rsidRPr="00327911">
              <w:rPr>
                <w:rFonts w:ascii="Times New Roman" w:hAnsi="Times New Roman"/>
                <w:sz w:val="16"/>
                <w:szCs w:val="16"/>
              </w:rPr>
              <w:t>0</w:t>
            </w:r>
            <w:r w:rsidR="007A377F" w:rsidRPr="00327911">
              <w:rPr>
                <w:rFonts w:ascii="Times New Roman" w:hAnsi="Times New Roman"/>
                <w:sz w:val="16"/>
                <w:szCs w:val="16"/>
              </w:rPr>
              <w:t>1</w:t>
            </w:r>
            <w:r w:rsidRPr="00327911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1843" w:type="dxa"/>
            <w:vAlign w:val="center"/>
          </w:tcPr>
          <w:p w:rsidR="003B611F" w:rsidRPr="007A377F" w:rsidRDefault="005A1659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88.42</w:t>
            </w:r>
          </w:p>
        </w:tc>
        <w:tc>
          <w:tcPr>
            <w:tcW w:w="992" w:type="dxa"/>
            <w:vAlign w:val="center"/>
          </w:tcPr>
          <w:p w:rsidR="003B611F" w:rsidRPr="00327911" w:rsidRDefault="003B611F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7A377F" w:rsidRPr="00327911">
              <w:rPr>
                <w:rFonts w:ascii="Times New Roman" w:hAnsi="Times New Roman"/>
                <w:sz w:val="16"/>
                <w:szCs w:val="16"/>
              </w:rPr>
              <w:t>1</w:t>
            </w:r>
            <w:r w:rsidRPr="00327911">
              <w:rPr>
                <w:rFonts w:ascii="Times New Roman" w:hAnsi="Times New Roman"/>
                <w:sz w:val="16"/>
                <w:szCs w:val="16"/>
              </w:rPr>
              <w:t>*†</w:t>
            </w:r>
          </w:p>
        </w:tc>
      </w:tr>
      <w:tr w:rsidR="003B611F" w:rsidRPr="007A377F" w:rsidTr="00193EAA">
        <w:trPr>
          <w:trHeight w:val="572"/>
        </w:trPr>
        <w:tc>
          <w:tcPr>
            <w:tcW w:w="11307" w:type="dxa"/>
            <w:gridSpan w:val="9"/>
            <w:vAlign w:val="center"/>
          </w:tcPr>
          <w:p w:rsidR="00327911" w:rsidRPr="00327911" w:rsidRDefault="003B611F" w:rsidP="00E26D80">
            <w:pPr>
              <w:rPr>
                <w:rFonts w:ascii="Times New Roman" w:hAnsi="Times New Roman"/>
                <w:b/>
              </w:rPr>
            </w:pPr>
            <w:r w:rsidRPr="00327911">
              <w:rPr>
                <w:rFonts w:ascii="Times New Roman" w:hAnsi="Times New Roman"/>
                <w:b/>
              </w:rPr>
              <w:t>Death and/or HF</w:t>
            </w:r>
          </w:p>
        </w:tc>
      </w:tr>
      <w:tr w:rsidR="000E409E" w:rsidRPr="007A377F" w:rsidTr="00193EAA">
        <w:tc>
          <w:tcPr>
            <w:tcW w:w="1242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GRACE</w:t>
            </w:r>
          </w:p>
        </w:tc>
        <w:tc>
          <w:tcPr>
            <w:tcW w:w="1560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1.03 (1.02-1.04)</w:t>
            </w:r>
          </w:p>
        </w:tc>
        <w:tc>
          <w:tcPr>
            <w:tcW w:w="709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1.03 (1.02-1.03)</w:t>
            </w:r>
          </w:p>
        </w:tc>
        <w:tc>
          <w:tcPr>
            <w:tcW w:w="850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3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 xml:space="preserve"> (1.0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2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-1.0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3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851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1.02 (1.02-1.03)</w:t>
            </w:r>
          </w:p>
        </w:tc>
        <w:tc>
          <w:tcPr>
            <w:tcW w:w="992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0E409E" w:rsidRPr="007A377F" w:rsidTr="00193EAA">
        <w:tc>
          <w:tcPr>
            <w:tcW w:w="1242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A377F">
              <w:rPr>
                <w:rFonts w:ascii="Times New Roman" w:hAnsi="Times New Roman"/>
                <w:sz w:val="19"/>
                <w:szCs w:val="19"/>
              </w:rPr>
              <w:t>NTproBNP</w:t>
            </w:r>
            <w:proofErr w:type="spellEnd"/>
            <w:r w:rsidRPr="007A377F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3.22 (2.47-4.20)</w:t>
            </w:r>
          </w:p>
        </w:tc>
        <w:tc>
          <w:tcPr>
            <w:tcW w:w="709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2.0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6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 xml:space="preserve"> (1.5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0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-2.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82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850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Excluded</w:t>
            </w:r>
          </w:p>
        </w:tc>
        <w:tc>
          <w:tcPr>
            <w:tcW w:w="851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1.85 (1.34-2.55)</w:t>
            </w:r>
          </w:p>
        </w:tc>
        <w:tc>
          <w:tcPr>
            <w:tcW w:w="992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0E409E" w:rsidRPr="007A377F" w:rsidTr="00193EAA">
        <w:tc>
          <w:tcPr>
            <w:tcW w:w="1242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7A377F">
              <w:rPr>
                <w:rFonts w:ascii="Times New Roman" w:hAnsi="Times New Roman"/>
                <w:sz w:val="19"/>
                <w:szCs w:val="19"/>
              </w:rPr>
              <w:t>ProSP</w:t>
            </w:r>
            <w:proofErr w:type="spellEnd"/>
            <w:r w:rsidRPr="007A377F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1.95 (1.74-2.19)</w:t>
            </w:r>
          </w:p>
        </w:tc>
        <w:tc>
          <w:tcPr>
            <w:tcW w:w="709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Excluded</w:t>
            </w:r>
          </w:p>
        </w:tc>
        <w:tc>
          <w:tcPr>
            <w:tcW w:w="850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43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 xml:space="preserve"> (1.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19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-1.7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1</w:t>
            </w:r>
            <w:r w:rsidRPr="007A377F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  <w:tc>
          <w:tcPr>
            <w:tcW w:w="851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8B3DF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1.28 (1.05-1.56)</w:t>
            </w:r>
          </w:p>
        </w:tc>
        <w:tc>
          <w:tcPr>
            <w:tcW w:w="992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</w:tr>
      <w:tr w:rsidR="000E409E" w:rsidRPr="007A377F" w:rsidTr="00193EAA">
        <w:trPr>
          <w:trHeight w:val="675"/>
        </w:trPr>
        <w:tc>
          <w:tcPr>
            <w:tcW w:w="1242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LLχ</w:t>
            </w:r>
            <w:r w:rsidRPr="007A377F">
              <w:rPr>
                <w:rFonts w:ascii="Times New Roman" w:hAnsi="Times New Roman"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0E409E" w:rsidRPr="007A377F" w:rsidRDefault="0004692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130.66</w:t>
            </w:r>
          </w:p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(GRACE only)</w:t>
            </w:r>
          </w:p>
        </w:tc>
        <w:tc>
          <w:tcPr>
            <w:tcW w:w="709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42.55</w:t>
            </w:r>
          </w:p>
        </w:tc>
        <w:tc>
          <w:tcPr>
            <w:tcW w:w="850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</w:t>
            </w:r>
            <w:r w:rsidR="00E26D80" w:rsidRPr="00327911">
              <w:rPr>
                <w:rFonts w:ascii="Times New Roman" w:hAnsi="Times New Roman"/>
                <w:sz w:val="16"/>
                <w:szCs w:val="16"/>
              </w:rPr>
              <w:t>0</w:t>
            </w:r>
            <w:r w:rsidR="007A377F" w:rsidRPr="00327911">
              <w:rPr>
                <w:rFonts w:ascii="Times New Roman" w:hAnsi="Times New Roman"/>
                <w:sz w:val="16"/>
                <w:szCs w:val="16"/>
              </w:rPr>
              <w:t>1</w:t>
            </w:r>
            <w:r w:rsidRPr="00327911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1701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52.05</w:t>
            </w:r>
          </w:p>
        </w:tc>
        <w:tc>
          <w:tcPr>
            <w:tcW w:w="851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7A377F" w:rsidRPr="00327911">
              <w:rPr>
                <w:rFonts w:ascii="Times New Roman" w:hAnsi="Times New Roman"/>
                <w:sz w:val="16"/>
                <w:szCs w:val="16"/>
              </w:rPr>
              <w:t>1</w:t>
            </w:r>
            <w:r w:rsidRPr="00327911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1843" w:type="dxa"/>
            <w:vAlign w:val="center"/>
          </w:tcPr>
          <w:p w:rsidR="000E409E" w:rsidRPr="007A377F" w:rsidRDefault="000E409E" w:rsidP="00E26D80">
            <w:pPr>
              <w:rPr>
                <w:rFonts w:ascii="Times New Roman" w:hAnsi="Times New Roman"/>
                <w:sz w:val="19"/>
                <w:szCs w:val="19"/>
              </w:rPr>
            </w:pPr>
            <w:r w:rsidRPr="007A377F">
              <w:rPr>
                <w:rFonts w:ascii="Times New Roman" w:hAnsi="Times New Roman"/>
                <w:sz w:val="19"/>
                <w:szCs w:val="19"/>
              </w:rPr>
              <w:t>1</w:t>
            </w:r>
            <w:r w:rsidR="0004692E" w:rsidRPr="007A377F">
              <w:rPr>
                <w:rFonts w:ascii="Times New Roman" w:hAnsi="Times New Roman"/>
                <w:sz w:val="19"/>
                <w:szCs w:val="19"/>
              </w:rPr>
              <w:t>59.27</w:t>
            </w:r>
          </w:p>
        </w:tc>
        <w:tc>
          <w:tcPr>
            <w:tcW w:w="992" w:type="dxa"/>
            <w:vAlign w:val="center"/>
          </w:tcPr>
          <w:p w:rsidR="000E409E" w:rsidRPr="00327911" w:rsidRDefault="000E409E" w:rsidP="00E26D80">
            <w:pPr>
              <w:rPr>
                <w:rFonts w:ascii="Times New Roman" w:hAnsi="Times New Roman"/>
                <w:sz w:val="16"/>
                <w:szCs w:val="16"/>
              </w:rPr>
            </w:pPr>
            <w:r w:rsidRPr="00327911">
              <w:rPr>
                <w:rFonts w:ascii="Times New Roman" w:hAnsi="Times New Roman"/>
                <w:sz w:val="16"/>
                <w:szCs w:val="16"/>
              </w:rPr>
              <w:t>0.000</w:t>
            </w:r>
            <w:r w:rsidR="007A377F" w:rsidRPr="00327911">
              <w:rPr>
                <w:rFonts w:ascii="Times New Roman" w:hAnsi="Times New Roman"/>
                <w:sz w:val="16"/>
                <w:szCs w:val="16"/>
              </w:rPr>
              <w:t>1</w:t>
            </w:r>
            <w:r w:rsidRPr="00327911">
              <w:rPr>
                <w:rFonts w:ascii="Times New Roman" w:hAnsi="Times New Roman"/>
                <w:sz w:val="16"/>
                <w:szCs w:val="16"/>
              </w:rPr>
              <w:t>*†</w:t>
            </w:r>
          </w:p>
        </w:tc>
      </w:tr>
    </w:tbl>
    <w:p w:rsidR="00A47A88" w:rsidRPr="00294DA8" w:rsidRDefault="00A47A88" w:rsidP="00A47A88">
      <w:pPr>
        <w:rPr>
          <w:rFonts w:ascii="Times New Roman" w:hAnsi="Times New Roman" w:cs="Times New Roman"/>
          <w:sz w:val="24"/>
          <w:szCs w:val="24"/>
          <w:lang w:eastAsia="en-GB"/>
        </w:rPr>
      </w:pPr>
      <w:proofErr w:type="gramStart"/>
      <w:r w:rsidRPr="00646B2B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Table </w:t>
      </w:r>
      <w:r w:rsidR="00CF69C5">
        <w:rPr>
          <w:rFonts w:ascii="Times New Roman" w:hAnsi="Times New Roman" w:cs="Times New Roman"/>
          <w:b/>
          <w:sz w:val="24"/>
          <w:szCs w:val="24"/>
          <w:lang w:eastAsia="en-GB"/>
        </w:rPr>
        <w:t>6</w:t>
      </w:r>
      <w:r w:rsidRPr="00646B2B">
        <w:rPr>
          <w:rFonts w:ascii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646B2B">
        <w:rPr>
          <w:rFonts w:ascii="Times New Roman" w:hAnsi="Times New Roman" w:cs="Times New Roman"/>
          <w:sz w:val="24"/>
          <w:szCs w:val="24"/>
          <w:lang w:eastAsia="en-GB"/>
        </w:rPr>
        <w:t xml:space="preserve">Cox regression analysis for endpoints at 6 months (MACE, death and/or </w:t>
      </w:r>
      <w:r w:rsidR="008F7B12">
        <w:rPr>
          <w:rFonts w:ascii="Times New Roman" w:hAnsi="Times New Roman" w:cs="Times New Roman"/>
          <w:sz w:val="24"/>
          <w:szCs w:val="24"/>
          <w:lang w:eastAsia="en-GB"/>
        </w:rPr>
        <w:t>re-A</w:t>
      </w:r>
      <w:r w:rsidRPr="00646B2B">
        <w:rPr>
          <w:rFonts w:ascii="Times New Roman" w:hAnsi="Times New Roman" w:cs="Times New Roman"/>
          <w:sz w:val="24"/>
          <w:szCs w:val="24"/>
          <w:lang w:eastAsia="en-GB"/>
        </w:rPr>
        <w:t>MI, death and/or HF)</w:t>
      </w:r>
      <w:r w:rsidR="00294DA8">
        <w:rPr>
          <w:rFonts w:ascii="Times New Roman" w:hAnsi="Times New Roman" w:cs="Times New Roman"/>
          <w:sz w:val="24"/>
          <w:szCs w:val="24"/>
          <w:lang w:eastAsia="en-GB"/>
        </w:rPr>
        <w:t>.</w:t>
      </w:r>
      <w:proofErr w:type="gramEnd"/>
      <w:r w:rsidR="00294DA8">
        <w:rPr>
          <w:rFonts w:ascii="Times New Roman" w:hAnsi="Times New Roman" w:cs="Times New Roman"/>
          <w:sz w:val="24"/>
          <w:szCs w:val="24"/>
          <w:lang w:eastAsia="en-GB"/>
        </w:rPr>
        <w:t xml:space="preserve"> LLχ</w:t>
      </w:r>
      <w:r w:rsidR="00294DA8">
        <w:rPr>
          <w:rFonts w:ascii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294DA8">
        <w:rPr>
          <w:rFonts w:ascii="Times New Roman" w:hAnsi="Times New Roman" w:cs="Times New Roman"/>
          <w:sz w:val="24"/>
          <w:szCs w:val="24"/>
          <w:lang w:eastAsia="en-GB"/>
        </w:rPr>
        <w:t xml:space="preserve"> refers to the log likelihood χ</w:t>
      </w:r>
      <w:r w:rsidR="00294DA8">
        <w:rPr>
          <w:rFonts w:ascii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294DA8">
        <w:rPr>
          <w:rFonts w:ascii="Times New Roman" w:hAnsi="Times New Roman" w:cs="Times New Roman"/>
          <w:sz w:val="24"/>
          <w:szCs w:val="24"/>
          <w:lang w:eastAsia="en-GB"/>
        </w:rPr>
        <w:t xml:space="preserve"> of the model with associated </w:t>
      </w:r>
      <w:r w:rsidR="001432B6">
        <w:rPr>
          <w:rFonts w:ascii="Times New Roman" w:hAnsi="Times New Roman" w:cs="Times New Roman"/>
          <w:sz w:val="24"/>
          <w:szCs w:val="24"/>
          <w:lang w:eastAsia="en-GB"/>
        </w:rPr>
        <w:t>p</w:t>
      </w:r>
      <w:r w:rsidR="00294DA8">
        <w:rPr>
          <w:rFonts w:ascii="Times New Roman" w:hAnsi="Times New Roman" w:cs="Times New Roman"/>
          <w:sz w:val="24"/>
          <w:szCs w:val="24"/>
          <w:lang w:eastAsia="en-GB"/>
        </w:rPr>
        <w:t xml:space="preserve"> value for added value of the biomarker(s)</w:t>
      </w:r>
      <w:r w:rsidR="00B67D4A">
        <w:rPr>
          <w:rFonts w:ascii="Times New Roman" w:hAnsi="Times New Roman" w:cs="Times New Roman"/>
          <w:sz w:val="24"/>
          <w:szCs w:val="24"/>
          <w:lang w:eastAsia="en-GB"/>
        </w:rPr>
        <w:t xml:space="preserve"> (* compared to GRACE only; † compared to GRACE and </w:t>
      </w:r>
      <w:proofErr w:type="spellStart"/>
      <w:r w:rsidR="00B67D4A">
        <w:rPr>
          <w:rFonts w:ascii="Times New Roman" w:hAnsi="Times New Roman" w:cs="Times New Roman"/>
          <w:sz w:val="24"/>
          <w:szCs w:val="24"/>
          <w:lang w:eastAsia="en-GB"/>
        </w:rPr>
        <w:t>NTproBNP</w:t>
      </w:r>
      <w:proofErr w:type="spellEnd"/>
      <w:r w:rsidR="00B67D4A">
        <w:rPr>
          <w:rFonts w:ascii="Times New Roman" w:hAnsi="Times New Roman" w:cs="Times New Roman"/>
          <w:sz w:val="24"/>
          <w:szCs w:val="24"/>
          <w:lang w:eastAsia="en-GB"/>
        </w:rPr>
        <w:t xml:space="preserve"> model).     ‡</w:t>
      </w:r>
      <w:r w:rsidR="00294DA8">
        <w:rPr>
          <w:rFonts w:ascii="Times New Roman" w:hAnsi="Times New Roman" w:cs="Times New Roman"/>
          <w:sz w:val="24"/>
          <w:szCs w:val="24"/>
          <w:lang w:eastAsia="en-GB"/>
        </w:rPr>
        <w:t xml:space="preserve">. </w:t>
      </w:r>
    </w:p>
    <w:p w:rsidR="00A47A88" w:rsidRPr="00646B2B" w:rsidRDefault="00A47A88" w:rsidP="00A47A88">
      <w:pPr>
        <w:rPr>
          <w:rFonts w:ascii="Times New Roman" w:hAnsi="Times New Roman" w:cs="Times New Roman"/>
          <w:sz w:val="24"/>
          <w:szCs w:val="24"/>
          <w:lang w:eastAsia="en-GB"/>
        </w:rPr>
      </w:pPr>
    </w:p>
    <w:p w:rsidR="00A47A88" w:rsidRPr="00646B2B" w:rsidRDefault="00A47A88" w:rsidP="00A47A88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A47A88" w:rsidRPr="00646B2B" w:rsidRDefault="00A47A88" w:rsidP="00A47A88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A47A88" w:rsidRPr="00646B2B" w:rsidRDefault="00A47A88" w:rsidP="00A47A88">
      <w:pPr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A47A88" w:rsidRDefault="00A47A88">
      <w:pPr>
        <w:rPr>
          <w:rFonts w:cstheme="minorHAnsi"/>
          <w:b/>
          <w:sz w:val="24"/>
          <w:szCs w:val="24"/>
          <w:lang w:eastAsia="en-GB"/>
        </w:rPr>
      </w:pPr>
      <w:r>
        <w:rPr>
          <w:rFonts w:cstheme="minorHAnsi"/>
          <w:b/>
          <w:sz w:val="24"/>
          <w:szCs w:val="24"/>
          <w:lang w:eastAsia="en-GB"/>
        </w:rPr>
        <w:br w:type="page"/>
      </w:r>
    </w:p>
    <w:p w:rsidR="00616ED9" w:rsidRPr="00794645" w:rsidRDefault="00616ED9" w:rsidP="00616ED9">
      <w:pPr>
        <w:rPr>
          <w:rFonts w:cstheme="minorHAnsi"/>
          <w:b/>
          <w:sz w:val="24"/>
          <w:szCs w:val="24"/>
          <w:lang w:eastAsia="en-GB"/>
        </w:rPr>
        <w:sectPr w:rsidR="00616ED9" w:rsidRPr="00794645" w:rsidSect="003D3795">
          <w:footerReference w:type="default" r:id="rId11"/>
          <w:pgSz w:w="11906" w:h="16838"/>
          <w:pgMar w:top="1440" w:right="1440" w:bottom="1276" w:left="1440" w:header="708" w:footer="708" w:gutter="0"/>
          <w:cols w:space="708"/>
          <w:docGrid w:linePitch="360"/>
        </w:sectPr>
      </w:pPr>
    </w:p>
    <w:p w:rsidR="002649B5" w:rsidRPr="0074101D" w:rsidRDefault="002649B5" w:rsidP="002649B5">
      <w:pPr>
        <w:pStyle w:val="NoSpacing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74101D">
        <w:rPr>
          <w:rFonts w:asciiTheme="minorHAnsi" w:hAnsiTheme="minorHAnsi" w:cstheme="minorHAnsi"/>
          <w:b/>
          <w:sz w:val="24"/>
          <w:szCs w:val="24"/>
        </w:rPr>
        <w:lastRenderedPageBreak/>
        <w:t xml:space="preserve">Table </w:t>
      </w:r>
      <w:r w:rsidR="0045584B">
        <w:rPr>
          <w:rFonts w:asciiTheme="minorHAnsi" w:hAnsiTheme="minorHAnsi" w:cstheme="minorHAnsi"/>
          <w:b/>
          <w:sz w:val="24"/>
          <w:szCs w:val="24"/>
        </w:rPr>
        <w:t>7</w:t>
      </w:r>
      <w:r w:rsidRPr="0074101D">
        <w:rPr>
          <w:rFonts w:asciiTheme="minorHAnsi" w:hAnsiTheme="minorHAnsi" w:cstheme="minorHAnsi"/>
          <w:b/>
          <w:sz w:val="24"/>
          <w:szCs w:val="24"/>
        </w:rPr>
        <w:t>.</w:t>
      </w:r>
      <w:proofErr w:type="gramEnd"/>
    </w:p>
    <w:p w:rsidR="002649B5" w:rsidRPr="004E03B8" w:rsidRDefault="002649B5" w:rsidP="002649B5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proofErr w:type="gramStart"/>
      <w:r w:rsidRPr="004E03B8">
        <w:rPr>
          <w:rFonts w:ascii="Times New Roman" w:hAnsi="Times New Roman"/>
          <w:sz w:val="24"/>
          <w:szCs w:val="24"/>
        </w:rPr>
        <w:t>Reclassification analysis using continuous reclassification</w:t>
      </w:r>
      <w:r w:rsidR="00F74EDC" w:rsidRPr="004E03B8">
        <w:rPr>
          <w:rFonts w:ascii="Times New Roman" w:hAnsi="Times New Roman"/>
          <w:sz w:val="24"/>
          <w:szCs w:val="24"/>
        </w:rPr>
        <w:t xml:space="preserve"> </w:t>
      </w:r>
      <w:r w:rsidRPr="004E03B8">
        <w:rPr>
          <w:rFonts w:ascii="Times New Roman" w:hAnsi="Times New Roman"/>
          <w:sz w:val="24"/>
          <w:szCs w:val="24"/>
        </w:rPr>
        <w:t xml:space="preserve">showing the net reclassification improvement (NRI) and the significance of the NRI, of adding </w:t>
      </w:r>
      <w:proofErr w:type="spellStart"/>
      <w:r w:rsidR="00966177" w:rsidRPr="004E03B8">
        <w:rPr>
          <w:rFonts w:ascii="Times New Roman" w:hAnsi="Times New Roman"/>
          <w:sz w:val="24"/>
          <w:szCs w:val="24"/>
        </w:rPr>
        <w:t>NTproBNP</w:t>
      </w:r>
      <w:proofErr w:type="spellEnd"/>
      <w:r w:rsidR="00966177" w:rsidRPr="004E03B8">
        <w:rPr>
          <w:rFonts w:ascii="Times New Roman" w:hAnsi="Times New Roman"/>
          <w:sz w:val="24"/>
          <w:szCs w:val="24"/>
        </w:rPr>
        <w:t xml:space="preserve"> or </w:t>
      </w:r>
      <w:proofErr w:type="spellStart"/>
      <w:r w:rsidR="00576876" w:rsidRPr="004E03B8">
        <w:rPr>
          <w:rFonts w:ascii="Times New Roman" w:hAnsi="Times New Roman"/>
          <w:sz w:val="24"/>
          <w:szCs w:val="24"/>
        </w:rPr>
        <w:t>ProSP</w:t>
      </w:r>
      <w:proofErr w:type="spellEnd"/>
      <w:r w:rsidRPr="004E03B8">
        <w:rPr>
          <w:rFonts w:ascii="Times New Roman" w:hAnsi="Times New Roman"/>
          <w:sz w:val="24"/>
          <w:szCs w:val="24"/>
        </w:rPr>
        <w:t xml:space="preserve"> to the classification using GRACE scoring only</w:t>
      </w:r>
      <w:r w:rsidR="00966177" w:rsidRPr="004E03B8">
        <w:rPr>
          <w:rFonts w:ascii="Times New Roman" w:hAnsi="Times New Roman"/>
          <w:sz w:val="24"/>
          <w:szCs w:val="24"/>
        </w:rPr>
        <w:t xml:space="preserve"> and for adding </w:t>
      </w:r>
      <w:proofErr w:type="spellStart"/>
      <w:r w:rsidR="00966177" w:rsidRPr="004E03B8">
        <w:rPr>
          <w:rFonts w:ascii="Times New Roman" w:hAnsi="Times New Roman"/>
          <w:sz w:val="24"/>
          <w:szCs w:val="24"/>
        </w:rPr>
        <w:t>ProSP</w:t>
      </w:r>
      <w:proofErr w:type="spellEnd"/>
      <w:r w:rsidR="00966177" w:rsidRPr="004E03B8">
        <w:rPr>
          <w:rFonts w:ascii="Times New Roman" w:hAnsi="Times New Roman"/>
          <w:sz w:val="24"/>
          <w:szCs w:val="24"/>
        </w:rPr>
        <w:t xml:space="preserve"> to the classification using GRACE scoring with </w:t>
      </w:r>
      <w:proofErr w:type="spellStart"/>
      <w:r w:rsidR="00966177" w:rsidRPr="004E03B8">
        <w:rPr>
          <w:rFonts w:ascii="Times New Roman" w:hAnsi="Times New Roman"/>
          <w:sz w:val="24"/>
          <w:szCs w:val="24"/>
        </w:rPr>
        <w:t>NTproBNP</w:t>
      </w:r>
      <w:proofErr w:type="spellEnd"/>
      <w:r w:rsidRPr="004E03B8">
        <w:rPr>
          <w:rFonts w:ascii="Times New Roman" w:hAnsi="Times New Roman"/>
          <w:sz w:val="24"/>
          <w:szCs w:val="24"/>
        </w:rPr>
        <w:t>, for the endpoint</w:t>
      </w:r>
      <w:r w:rsidR="00C456FB" w:rsidRPr="004E03B8">
        <w:rPr>
          <w:rFonts w:ascii="Times New Roman" w:hAnsi="Times New Roman"/>
          <w:sz w:val="24"/>
          <w:szCs w:val="24"/>
        </w:rPr>
        <w:t>s</w:t>
      </w:r>
      <w:r w:rsidRPr="004E03B8">
        <w:rPr>
          <w:rFonts w:ascii="Times New Roman" w:hAnsi="Times New Roman"/>
          <w:sz w:val="24"/>
          <w:szCs w:val="24"/>
        </w:rPr>
        <w:t xml:space="preserve"> of death and/or </w:t>
      </w:r>
      <w:r w:rsidR="008F7B12" w:rsidRPr="004E03B8">
        <w:rPr>
          <w:rFonts w:ascii="Times New Roman" w:hAnsi="Times New Roman"/>
          <w:sz w:val="24"/>
          <w:szCs w:val="24"/>
        </w:rPr>
        <w:t>re-AMI</w:t>
      </w:r>
      <w:r w:rsidR="00C456FB" w:rsidRPr="004E03B8">
        <w:rPr>
          <w:rFonts w:ascii="Times New Roman" w:hAnsi="Times New Roman"/>
          <w:sz w:val="24"/>
          <w:szCs w:val="24"/>
        </w:rPr>
        <w:t>, MACE and death and/or HF at 6 months</w:t>
      </w:r>
      <w:r w:rsidRPr="004E03B8">
        <w:rPr>
          <w:rFonts w:ascii="Times New Roman" w:hAnsi="Times New Roman"/>
          <w:sz w:val="24"/>
          <w:szCs w:val="24"/>
        </w:rPr>
        <w:t>.</w:t>
      </w:r>
      <w:proofErr w:type="gramEnd"/>
    </w:p>
    <w:p w:rsidR="003F64EA" w:rsidRDefault="003F64EA">
      <w:pPr>
        <w:rPr>
          <w:rFonts w:eastAsia="Calibri" w:cstheme="minorHAnsi"/>
          <w:sz w:val="24"/>
          <w:szCs w:val="24"/>
        </w:rPr>
      </w:pPr>
    </w:p>
    <w:tbl>
      <w:tblPr>
        <w:tblW w:w="9757" w:type="dxa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752"/>
        <w:gridCol w:w="1048"/>
        <w:gridCol w:w="1916"/>
        <w:gridCol w:w="956"/>
        <w:gridCol w:w="2034"/>
        <w:gridCol w:w="967"/>
      </w:tblGrid>
      <w:tr w:rsidR="0012101E" w:rsidRPr="003F64EA" w:rsidTr="00896E98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12101E" w:rsidRPr="00C73FD3" w:rsidRDefault="0012101E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Outcome</w:t>
            </w:r>
          </w:p>
        </w:tc>
        <w:tc>
          <w:tcPr>
            <w:tcW w:w="2800" w:type="dxa"/>
            <w:gridSpan w:val="2"/>
            <w:shd w:val="clear" w:color="auto" w:fill="auto"/>
            <w:noWrap/>
            <w:vAlign w:val="bottom"/>
            <w:hideMark/>
          </w:tcPr>
          <w:p w:rsidR="0012101E" w:rsidRPr="00C73FD3" w:rsidRDefault="0012101E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6m Death/MI</w:t>
            </w:r>
          </w:p>
        </w:tc>
        <w:tc>
          <w:tcPr>
            <w:tcW w:w="2872" w:type="dxa"/>
            <w:gridSpan w:val="2"/>
            <w:shd w:val="clear" w:color="auto" w:fill="auto"/>
            <w:noWrap/>
            <w:vAlign w:val="bottom"/>
            <w:hideMark/>
          </w:tcPr>
          <w:p w:rsidR="0012101E" w:rsidRPr="00C73FD3" w:rsidRDefault="0012101E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6m MACE</w:t>
            </w:r>
          </w:p>
        </w:tc>
        <w:tc>
          <w:tcPr>
            <w:tcW w:w="3001" w:type="dxa"/>
            <w:gridSpan w:val="2"/>
            <w:shd w:val="clear" w:color="auto" w:fill="auto"/>
            <w:noWrap/>
            <w:vAlign w:val="bottom"/>
            <w:hideMark/>
          </w:tcPr>
          <w:p w:rsidR="0012101E" w:rsidRPr="00C73FD3" w:rsidRDefault="0012101E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6m Death/HF</w:t>
            </w:r>
          </w:p>
        </w:tc>
      </w:tr>
      <w:tr w:rsidR="0012101E" w:rsidRPr="003F64EA" w:rsidTr="00931ADA">
        <w:trPr>
          <w:trHeight w:val="300"/>
        </w:trPr>
        <w:tc>
          <w:tcPr>
            <w:tcW w:w="9757" w:type="dxa"/>
            <w:gridSpan w:val="7"/>
            <w:shd w:val="clear" w:color="auto" w:fill="auto"/>
            <w:noWrap/>
            <w:vAlign w:val="bottom"/>
            <w:hideMark/>
          </w:tcPr>
          <w:p w:rsidR="0012101E" w:rsidRPr="00C73FD3" w:rsidRDefault="0012101E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</w:p>
        </w:tc>
      </w:tr>
      <w:tr w:rsidR="00B92CE1" w:rsidRPr="003F64EA" w:rsidTr="00931ADA">
        <w:trPr>
          <w:trHeight w:val="300"/>
        </w:trPr>
        <w:tc>
          <w:tcPr>
            <w:tcW w:w="9757" w:type="dxa"/>
            <w:gridSpan w:val="7"/>
            <w:shd w:val="clear" w:color="auto" w:fill="auto"/>
            <w:noWrap/>
            <w:vAlign w:val="bottom"/>
            <w:hideMark/>
          </w:tcPr>
          <w:p w:rsidR="00B92CE1" w:rsidRPr="00C73FD3" w:rsidRDefault="00B92CE1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Adding </w:t>
            </w:r>
            <w:proofErr w:type="spellStart"/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NTproBNP</w:t>
            </w:r>
            <w:proofErr w:type="spellEnd"/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to GRACE</w:t>
            </w:r>
          </w:p>
        </w:tc>
      </w:tr>
      <w:tr w:rsidR="0042505B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42505B" w:rsidRPr="00C73FD3" w:rsidRDefault="0042505B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Endpoint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42505B" w:rsidRPr="00C73FD3" w:rsidRDefault="0042505B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NRI (95% CI)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42505B" w:rsidRPr="00C73FD3" w:rsidRDefault="0042505B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42505B" w:rsidRPr="00C73FD3" w:rsidRDefault="0042505B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NRI (95% CI)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42505B" w:rsidRPr="00C73FD3" w:rsidRDefault="0042505B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42505B" w:rsidRPr="00C73FD3" w:rsidRDefault="0042505B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NRI (95% CI)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42505B" w:rsidRPr="00C73FD3" w:rsidRDefault="0042505B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</w:t>
            </w:r>
          </w:p>
        </w:tc>
      </w:tr>
      <w:tr w:rsidR="00931ADA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No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-7.7 (-14.5,-1.0)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.025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-7.5 (-14.5,-0.6)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.033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7.2 (0.5,13.9)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.034</w:t>
            </w:r>
          </w:p>
        </w:tc>
      </w:tr>
      <w:tr w:rsidR="00931ADA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37.3 (21.3, 53.3)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33.7(19.6, 47.8)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37.4 (20.3, 54.5)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</w:tr>
      <w:tr w:rsidR="00931ADA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Total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29.6 (12.2, 47.0)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.001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26.1(10.4, 41.9)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.001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44.6 (26.2, 63.0)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</w:tr>
      <w:tr w:rsidR="00931ADA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931ADA" w:rsidRPr="003F64EA" w:rsidTr="00931ADA">
        <w:trPr>
          <w:trHeight w:val="300"/>
        </w:trPr>
        <w:tc>
          <w:tcPr>
            <w:tcW w:w="9757" w:type="dxa"/>
            <w:gridSpan w:val="7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Adding </w:t>
            </w:r>
            <w:proofErr w:type="spellStart"/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ProSP</w:t>
            </w:r>
            <w:proofErr w:type="spellEnd"/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to GRACE</w:t>
            </w:r>
          </w:p>
        </w:tc>
      </w:tr>
      <w:tr w:rsidR="00931ADA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Endpoint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NRI (95% CI)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NRI (95% CI)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NRI (95% CI)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</w:t>
            </w:r>
          </w:p>
        </w:tc>
      </w:tr>
      <w:tr w:rsidR="00931ADA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No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22.3 (15.5, 29.1)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18.6 (11.6, 25.5)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20.0 (13.4, 26.7)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931ADA" w:rsidRPr="00C73FD3" w:rsidRDefault="00931ADA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</w:tr>
      <w:tr w:rsidR="005237B6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896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89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9.3 (-6.7, 25.3)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89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NS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523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  <w:r w:rsidR="00DE67F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 (-9.4, 18.8)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523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NS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5237B6" w:rsidRPr="00C73FD3" w:rsidRDefault="00DE67FC" w:rsidP="00DE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8.4</w:t>
            </w:r>
            <w:r w:rsidR="005237B6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(-</w:t>
            </w: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8.7</w:t>
            </w:r>
            <w:r w:rsidR="005237B6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, 2</w:t>
            </w: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5.5</w:t>
            </w:r>
            <w:r w:rsidR="005237B6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89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NS</w:t>
            </w:r>
          </w:p>
        </w:tc>
      </w:tr>
      <w:tr w:rsidR="005237B6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Total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31.6 (14.2, 49.0)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23.3 (7.5, 39.0)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.004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28.4 (10.1, 46.8)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.002</w:t>
            </w:r>
          </w:p>
        </w:tc>
      </w:tr>
      <w:tr w:rsidR="005237B6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  <w:tr w:rsidR="005237B6" w:rsidRPr="003F64EA" w:rsidTr="00931ADA">
        <w:trPr>
          <w:trHeight w:val="300"/>
        </w:trPr>
        <w:tc>
          <w:tcPr>
            <w:tcW w:w="9757" w:type="dxa"/>
            <w:gridSpan w:val="7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Adding </w:t>
            </w:r>
            <w:proofErr w:type="spellStart"/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ProSP</w:t>
            </w:r>
            <w:proofErr w:type="spellEnd"/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 xml:space="preserve"> to GRACE and </w:t>
            </w:r>
            <w:proofErr w:type="spellStart"/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NTproBNP</w:t>
            </w:r>
            <w:proofErr w:type="spellEnd"/>
          </w:p>
        </w:tc>
      </w:tr>
      <w:tr w:rsidR="005237B6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Endpoint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NRI (95% CI)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NRI (95% CI)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NRI (95% CI)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p</w:t>
            </w:r>
          </w:p>
        </w:tc>
      </w:tr>
      <w:tr w:rsidR="005237B6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No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18.0 (11.2, 24.8)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13.6 (6.6, 20.5)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.000</w:t>
            </w:r>
            <w:r w:rsidR="002F3C5C"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3.3 (-3.4, 10.0)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NS</w:t>
            </w:r>
          </w:p>
        </w:tc>
      </w:tr>
      <w:tr w:rsidR="005237B6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Yes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9.3 (-6.7, 25.3)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NS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2.6 (-11.5, 16.7)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NS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6.9 (-10.3, 24.0)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NS</w:t>
            </w:r>
          </w:p>
        </w:tc>
      </w:tr>
      <w:tr w:rsidR="005237B6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Total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27.3 (10.0, 44.7)</w:t>
            </w: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.002</w:t>
            </w: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16.2 (0.4, 31.9)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.044</w:t>
            </w: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10.1 (-8.3, 28.5)</w:t>
            </w: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73FD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NS</w:t>
            </w:r>
          </w:p>
        </w:tc>
      </w:tr>
      <w:tr w:rsidR="005237B6" w:rsidRPr="003F64EA" w:rsidTr="00931ADA">
        <w:trPr>
          <w:trHeight w:val="300"/>
        </w:trPr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048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191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2034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  <w:hideMark/>
          </w:tcPr>
          <w:p w:rsidR="005237B6" w:rsidRPr="00C73FD3" w:rsidRDefault="005237B6" w:rsidP="002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</w:tbl>
    <w:p w:rsidR="003F64EA" w:rsidRDefault="003F64EA" w:rsidP="002649B5">
      <w:pPr>
        <w:pStyle w:val="NoSpacing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3F64EA" w:rsidRDefault="003F64EA">
      <w:pPr>
        <w:rPr>
          <w:rFonts w:eastAsia="Calibri" w:cstheme="minorHAnsi"/>
          <w:sz w:val="24"/>
          <w:szCs w:val="24"/>
        </w:rPr>
      </w:pPr>
    </w:p>
    <w:p w:rsidR="00931ADA" w:rsidRDefault="00931ADA">
      <w:pPr>
        <w:rPr>
          <w:rFonts w:eastAsia="Calibri" w:cstheme="minorHAnsi"/>
          <w:sz w:val="24"/>
          <w:szCs w:val="24"/>
        </w:rPr>
      </w:pPr>
    </w:p>
    <w:sectPr w:rsidR="00931ADA" w:rsidSect="003D3795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AAD" w:rsidRDefault="00D12AAD" w:rsidP="0009040A">
      <w:pPr>
        <w:spacing w:after="0" w:line="240" w:lineRule="auto"/>
      </w:pPr>
      <w:r>
        <w:separator/>
      </w:r>
    </w:p>
  </w:endnote>
  <w:endnote w:type="continuationSeparator" w:id="0">
    <w:p w:rsidR="00D12AAD" w:rsidRDefault="00D12AAD" w:rsidP="0009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empelGaramon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dvTT5235d5a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TT5235d5a9+2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TT5235d5a9+fb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4995107"/>
      <w:docPartObj>
        <w:docPartGallery w:val="Page Numbers (Bottom of Page)"/>
        <w:docPartUnique/>
      </w:docPartObj>
    </w:sdtPr>
    <w:sdtEndPr/>
    <w:sdtContent>
      <w:p w:rsidR="00D12AAD" w:rsidRDefault="00D12A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3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2AAD" w:rsidRDefault="00D12A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AAD" w:rsidRDefault="00D12AA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5301">
      <w:rPr>
        <w:noProof/>
      </w:rPr>
      <w:t>35</w:t>
    </w:r>
    <w:r>
      <w:rPr>
        <w:noProof/>
      </w:rPr>
      <w:fldChar w:fldCharType="end"/>
    </w:r>
  </w:p>
  <w:p w:rsidR="00D12AAD" w:rsidRDefault="00D12A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AAD" w:rsidRDefault="00D12AAD" w:rsidP="0009040A">
      <w:pPr>
        <w:spacing w:after="0" w:line="240" w:lineRule="auto"/>
      </w:pPr>
      <w:r>
        <w:separator/>
      </w:r>
    </w:p>
  </w:footnote>
  <w:footnote w:type="continuationSeparator" w:id="0">
    <w:p w:rsidR="00D12AAD" w:rsidRDefault="00D12AAD" w:rsidP="00090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E2BC5"/>
    <w:multiLevelType w:val="hybridMultilevel"/>
    <w:tmpl w:val="49A8304C"/>
    <w:lvl w:ilvl="0" w:tplc="5BC632E0">
      <w:start w:val="14"/>
      <w:numFmt w:val="decimal"/>
      <w:lvlText w:val="[%1]"/>
      <w:lvlJc w:val="left"/>
      <w:pPr>
        <w:ind w:left="128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2F017104"/>
    <w:multiLevelType w:val="hybridMultilevel"/>
    <w:tmpl w:val="9EBE8EB2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B477F4"/>
    <w:multiLevelType w:val="hybridMultilevel"/>
    <w:tmpl w:val="64F69F40"/>
    <w:lvl w:ilvl="0" w:tplc="90826D4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051BEC"/>
    <w:multiLevelType w:val="hybridMultilevel"/>
    <w:tmpl w:val="B89E32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6D2851"/>
    <w:multiLevelType w:val="hybridMultilevel"/>
    <w:tmpl w:val="EDD6F2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13B7D"/>
    <w:multiLevelType w:val="hybridMultilevel"/>
    <w:tmpl w:val="A4F245F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7013A"/>
    <w:multiLevelType w:val="hybridMultilevel"/>
    <w:tmpl w:val="97E226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BD"/>
    <w:rsid w:val="00003B63"/>
    <w:rsid w:val="00010A68"/>
    <w:rsid w:val="000119D4"/>
    <w:rsid w:val="00012577"/>
    <w:rsid w:val="00012CA8"/>
    <w:rsid w:val="000133BA"/>
    <w:rsid w:val="00015ABC"/>
    <w:rsid w:val="0002272A"/>
    <w:rsid w:val="000249F5"/>
    <w:rsid w:val="0002610E"/>
    <w:rsid w:val="0003137F"/>
    <w:rsid w:val="0003360C"/>
    <w:rsid w:val="00042C83"/>
    <w:rsid w:val="0004692E"/>
    <w:rsid w:val="000548FD"/>
    <w:rsid w:val="00055E38"/>
    <w:rsid w:val="0005793C"/>
    <w:rsid w:val="0006427D"/>
    <w:rsid w:val="0008064D"/>
    <w:rsid w:val="000840C8"/>
    <w:rsid w:val="0008658F"/>
    <w:rsid w:val="00087AD8"/>
    <w:rsid w:val="0009040A"/>
    <w:rsid w:val="00090EED"/>
    <w:rsid w:val="000932FC"/>
    <w:rsid w:val="000A345C"/>
    <w:rsid w:val="000A3B5C"/>
    <w:rsid w:val="000A5E2E"/>
    <w:rsid w:val="000B24CC"/>
    <w:rsid w:val="000B3D51"/>
    <w:rsid w:val="000B463A"/>
    <w:rsid w:val="000B7AA6"/>
    <w:rsid w:val="000C2982"/>
    <w:rsid w:val="000C4CB3"/>
    <w:rsid w:val="000C73BE"/>
    <w:rsid w:val="000D11FC"/>
    <w:rsid w:val="000D1428"/>
    <w:rsid w:val="000D16FF"/>
    <w:rsid w:val="000D25A0"/>
    <w:rsid w:val="000D3620"/>
    <w:rsid w:val="000D6A45"/>
    <w:rsid w:val="000E0AC6"/>
    <w:rsid w:val="000E169B"/>
    <w:rsid w:val="000E2E68"/>
    <w:rsid w:val="000E33AC"/>
    <w:rsid w:val="000E409E"/>
    <w:rsid w:val="000E4FB5"/>
    <w:rsid w:val="000E5BF8"/>
    <w:rsid w:val="000E6F50"/>
    <w:rsid w:val="000F3B9C"/>
    <w:rsid w:val="000F4892"/>
    <w:rsid w:val="001019C2"/>
    <w:rsid w:val="00102121"/>
    <w:rsid w:val="001039C5"/>
    <w:rsid w:val="001059C3"/>
    <w:rsid w:val="00112A1F"/>
    <w:rsid w:val="001148D0"/>
    <w:rsid w:val="00114F5A"/>
    <w:rsid w:val="00120D2E"/>
    <w:rsid w:val="0012101E"/>
    <w:rsid w:val="00121AC9"/>
    <w:rsid w:val="00122CDF"/>
    <w:rsid w:val="001321A2"/>
    <w:rsid w:val="0013623E"/>
    <w:rsid w:val="001425AA"/>
    <w:rsid w:val="001432B6"/>
    <w:rsid w:val="0014704A"/>
    <w:rsid w:val="00153C7C"/>
    <w:rsid w:val="00164610"/>
    <w:rsid w:val="0016656F"/>
    <w:rsid w:val="00167249"/>
    <w:rsid w:val="00171B2A"/>
    <w:rsid w:val="00175E1B"/>
    <w:rsid w:val="001760E0"/>
    <w:rsid w:val="001916A2"/>
    <w:rsid w:val="00193CDA"/>
    <w:rsid w:val="00193EAA"/>
    <w:rsid w:val="00195532"/>
    <w:rsid w:val="00195CF4"/>
    <w:rsid w:val="001A0446"/>
    <w:rsid w:val="001A141B"/>
    <w:rsid w:val="001A6142"/>
    <w:rsid w:val="001B01B1"/>
    <w:rsid w:val="001B1663"/>
    <w:rsid w:val="001B428B"/>
    <w:rsid w:val="001B5163"/>
    <w:rsid w:val="001C033F"/>
    <w:rsid w:val="001D0603"/>
    <w:rsid w:val="001D1E5D"/>
    <w:rsid w:val="001D2413"/>
    <w:rsid w:val="001E2E3B"/>
    <w:rsid w:val="001E40B8"/>
    <w:rsid w:val="001E519B"/>
    <w:rsid w:val="001E5F24"/>
    <w:rsid w:val="001E7DAD"/>
    <w:rsid w:val="001F0CE6"/>
    <w:rsid w:val="001F11F5"/>
    <w:rsid w:val="001F133A"/>
    <w:rsid w:val="001F19D0"/>
    <w:rsid w:val="001F43F3"/>
    <w:rsid w:val="00203603"/>
    <w:rsid w:val="00206169"/>
    <w:rsid w:val="0021363D"/>
    <w:rsid w:val="00214A0E"/>
    <w:rsid w:val="00214DBA"/>
    <w:rsid w:val="0022211C"/>
    <w:rsid w:val="002225F3"/>
    <w:rsid w:val="0023533A"/>
    <w:rsid w:val="0023761E"/>
    <w:rsid w:val="00243B46"/>
    <w:rsid w:val="00247D74"/>
    <w:rsid w:val="002512B1"/>
    <w:rsid w:val="00252AA5"/>
    <w:rsid w:val="002535FF"/>
    <w:rsid w:val="00260D4C"/>
    <w:rsid w:val="00262991"/>
    <w:rsid w:val="002649B5"/>
    <w:rsid w:val="00265D95"/>
    <w:rsid w:val="00265E37"/>
    <w:rsid w:val="00267558"/>
    <w:rsid w:val="00270169"/>
    <w:rsid w:val="00271492"/>
    <w:rsid w:val="0027470D"/>
    <w:rsid w:val="00281833"/>
    <w:rsid w:val="002821DB"/>
    <w:rsid w:val="002837D2"/>
    <w:rsid w:val="00284546"/>
    <w:rsid w:val="002863AE"/>
    <w:rsid w:val="0028699D"/>
    <w:rsid w:val="0028757D"/>
    <w:rsid w:val="002902F8"/>
    <w:rsid w:val="00290974"/>
    <w:rsid w:val="0029142D"/>
    <w:rsid w:val="00294DA8"/>
    <w:rsid w:val="00296007"/>
    <w:rsid w:val="002A2927"/>
    <w:rsid w:val="002A38E6"/>
    <w:rsid w:val="002B762F"/>
    <w:rsid w:val="002C4BE8"/>
    <w:rsid w:val="002C7B9D"/>
    <w:rsid w:val="002D1165"/>
    <w:rsid w:val="002D1905"/>
    <w:rsid w:val="002D271D"/>
    <w:rsid w:val="002D3D8A"/>
    <w:rsid w:val="002E4970"/>
    <w:rsid w:val="002F1283"/>
    <w:rsid w:val="002F1614"/>
    <w:rsid w:val="002F30C2"/>
    <w:rsid w:val="002F3C5C"/>
    <w:rsid w:val="002F3CE2"/>
    <w:rsid w:val="002F78B6"/>
    <w:rsid w:val="003017FB"/>
    <w:rsid w:val="00302873"/>
    <w:rsid w:val="00304756"/>
    <w:rsid w:val="00304DA3"/>
    <w:rsid w:val="00304FF6"/>
    <w:rsid w:val="003113C3"/>
    <w:rsid w:val="0032276E"/>
    <w:rsid w:val="00323426"/>
    <w:rsid w:val="00323B81"/>
    <w:rsid w:val="003246DD"/>
    <w:rsid w:val="00327911"/>
    <w:rsid w:val="003309F8"/>
    <w:rsid w:val="0033157C"/>
    <w:rsid w:val="0033182E"/>
    <w:rsid w:val="00331A13"/>
    <w:rsid w:val="0033426C"/>
    <w:rsid w:val="00334E3D"/>
    <w:rsid w:val="00335749"/>
    <w:rsid w:val="00342CA2"/>
    <w:rsid w:val="003436A9"/>
    <w:rsid w:val="00345BFC"/>
    <w:rsid w:val="003521CB"/>
    <w:rsid w:val="00363BAE"/>
    <w:rsid w:val="003641C7"/>
    <w:rsid w:val="00367334"/>
    <w:rsid w:val="00376A49"/>
    <w:rsid w:val="003818D1"/>
    <w:rsid w:val="00381B30"/>
    <w:rsid w:val="00382F84"/>
    <w:rsid w:val="00384449"/>
    <w:rsid w:val="00390996"/>
    <w:rsid w:val="00390F64"/>
    <w:rsid w:val="003974F4"/>
    <w:rsid w:val="00397A40"/>
    <w:rsid w:val="003A63A5"/>
    <w:rsid w:val="003B09F2"/>
    <w:rsid w:val="003B12B1"/>
    <w:rsid w:val="003B30E5"/>
    <w:rsid w:val="003B4B7B"/>
    <w:rsid w:val="003B611F"/>
    <w:rsid w:val="003C1A0A"/>
    <w:rsid w:val="003C1DB7"/>
    <w:rsid w:val="003C2A8F"/>
    <w:rsid w:val="003C4087"/>
    <w:rsid w:val="003D3795"/>
    <w:rsid w:val="003D4772"/>
    <w:rsid w:val="003D4C19"/>
    <w:rsid w:val="003D7412"/>
    <w:rsid w:val="003E1D87"/>
    <w:rsid w:val="003E385F"/>
    <w:rsid w:val="003F3238"/>
    <w:rsid w:val="003F3E7F"/>
    <w:rsid w:val="003F41C9"/>
    <w:rsid w:val="003F64EA"/>
    <w:rsid w:val="00400D5D"/>
    <w:rsid w:val="0040377C"/>
    <w:rsid w:val="00411290"/>
    <w:rsid w:val="00412BD0"/>
    <w:rsid w:val="00413099"/>
    <w:rsid w:val="00414034"/>
    <w:rsid w:val="004171F9"/>
    <w:rsid w:val="00421CE7"/>
    <w:rsid w:val="004237C0"/>
    <w:rsid w:val="0042505B"/>
    <w:rsid w:val="004261A3"/>
    <w:rsid w:val="00431CEE"/>
    <w:rsid w:val="00433D08"/>
    <w:rsid w:val="004345CA"/>
    <w:rsid w:val="00437D4F"/>
    <w:rsid w:val="00441CC4"/>
    <w:rsid w:val="00444B80"/>
    <w:rsid w:val="00450060"/>
    <w:rsid w:val="0045584B"/>
    <w:rsid w:val="0046308D"/>
    <w:rsid w:val="00464C6E"/>
    <w:rsid w:val="00467226"/>
    <w:rsid w:val="00471C7C"/>
    <w:rsid w:val="00471DD3"/>
    <w:rsid w:val="0047571F"/>
    <w:rsid w:val="0048098B"/>
    <w:rsid w:val="0048511C"/>
    <w:rsid w:val="004922EB"/>
    <w:rsid w:val="00493F9E"/>
    <w:rsid w:val="004957ED"/>
    <w:rsid w:val="00496183"/>
    <w:rsid w:val="00496EA5"/>
    <w:rsid w:val="004A29CC"/>
    <w:rsid w:val="004A38B4"/>
    <w:rsid w:val="004A462E"/>
    <w:rsid w:val="004A66B0"/>
    <w:rsid w:val="004B0269"/>
    <w:rsid w:val="004B0E4E"/>
    <w:rsid w:val="004B28EB"/>
    <w:rsid w:val="004B6304"/>
    <w:rsid w:val="004B6670"/>
    <w:rsid w:val="004B72D3"/>
    <w:rsid w:val="004B78B0"/>
    <w:rsid w:val="004C1295"/>
    <w:rsid w:val="004C1DEE"/>
    <w:rsid w:val="004C694C"/>
    <w:rsid w:val="004D30D3"/>
    <w:rsid w:val="004E03B8"/>
    <w:rsid w:val="004E1299"/>
    <w:rsid w:val="004E5A43"/>
    <w:rsid w:val="004E5ED5"/>
    <w:rsid w:val="004E63DC"/>
    <w:rsid w:val="004E7341"/>
    <w:rsid w:val="004F031F"/>
    <w:rsid w:val="004F2BFA"/>
    <w:rsid w:val="004F57FE"/>
    <w:rsid w:val="004F6934"/>
    <w:rsid w:val="005014A6"/>
    <w:rsid w:val="00501D1E"/>
    <w:rsid w:val="00501E80"/>
    <w:rsid w:val="00507F8F"/>
    <w:rsid w:val="0051039D"/>
    <w:rsid w:val="005141B9"/>
    <w:rsid w:val="00515627"/>
    <w:rsid w:val="005175E9"/>
    <w:rsid w:val="00520D28"/>
    <w:rsid w:val="00521147"/>
    <w:rsid w:val="00521F7E"/>
    <w:rsid w:val="005237B6"/>
    <w:rsid w:val="005259AC"/>
    <w:rsid w:val="00526A08"/>
    <w:rsid w:val="00532714"/>
    <w:rsid w:val="0053308F"/>
    <w:rsid w:val="0053545D"/>
    <w:rsid w:val="00541711"/>
    <w:rsid w:val="005417F2"/>
    <w:rsid w:val="00545BA9"/>
    <w:rsid w:val="005522FE"/>
    <w:rsid w:val="00552683"/>
    <w:rsid w:val="00553B3D"/>
    <w:rsid w:val="005561D1"/>
    <w:rsid w:val="005575D2"/>
    <w:rsid w:val="00557647"/>
    <w:rsid w:val="0056179B"/>
    <w:rsid w:val="0057143C"/>
    <w:rsid w:val="005716B0"/>
    <w:rsid w:val="00571A38"/>
    <w:rsid w:val="005733F1"/>
    <w:rsid w:val="005759F5"/>
    <w:rsid w:val="00576876"/>
    <w:rsid w:val="00582BD0"/>
    <w:rsid w:val="00584E72"/>
    <w:rsid w:val="00596163"/>
    <w:rsid w:val="0059677C"/>
    <w:rsid w:val="00597282"/>
    <w:rsid w:val="00597FAE"/>
    <w:rsid w:val="005A1659"/>
    <w:rsid w:val="005A16BE"/>
    <w:rsid w:val="005A235E"/>
    <w:rsid w:val="005A593E"/>
    <w:rsid w:val="005B1C8B"/>
    <w:rsid w:val="005B450B"/>
    <w:rsid w:val="005B7B7F"/>
    <w:rsid w:val="005C1DF0"/>
    <w:rsid w:val="005D2A8E"/>
    <w:rsid w:val="005D797C"/>
    <w:rsid w:val="005E0AF5"/>
    <w:rsid w:val="005E0FCC"/>
    <w:rsid w:val="005E4299"/>
    <w:rsid w:val="005E54C8"/>
    <w:rsid w:val="005F4A14"/>
    <w:rsid w:val="0060015F"/>
    <w:rsid w:val="00600919"/>
    <w:rsid w:val="006018B8"/>
    <w:rsid w:val="0060261C"/>
    <w:rsid w:val="006049BA"/>
    <w:rsid w:val="0060563F"/>
    <w:rsid w:val="006109AA"/>
    <w:rsid w:val="00610ED0"/>
    <w:rsid w:val="00613346"/>
    <w:rsid w:val="00615723"/>
    <w:rsid w:val="00616ED9"/>
    <w:rsid w:val="00620773"/>
    <w:rsid w:val="00622DEC"/>
    <w:rsid w:val="00630C28"/>
    <w:rsid w:val="00631D72"/>
    <w:rsid w:val="00633FFE"/>
    <w:rsid w:val="00636A9F"/>
    <w:rsid w:val="00644CA9"/>
    <w:rsid w:val="00650256"/>
    <w:rsid w:val="00653CB3"/>
    <w:rsid w:val="00653D6B"/>
    <w:rsid w:val="00654C05"/>
    <w:rsid w:val="006555F6"/>
    <w:rsid w:val="0066726F"/>
    <w:rsid w:val="00667EE6"/>
    <w:rsid w:val="0067066E"/>
    <w:rsid w:val="0067085D"/>
    <w:rsid w:val="00674A93"/>
    <w:rsid w:val="00677ED4"/>
    <w:rsid w:val="00680C78"/>
    <w:rsid w:val="0068118F"/>
    <w:rsid w:val="00683693"/>
    <w:rsid w:val="006864D9"/>
    <w:rsid w:val="006904A0"/>
    <w:rsid w:val="00692A69"/>
    <w:rsid w:val="0069318A"/>
    <w:rsid w:val="00695306"/>
    <w:rsid w:val="00697797"/>
    <w:rsid w:val="006A40EB"/>
    <w:rsid w:val="006A43F0"/>
    <w:rsid w:val="006A4EAE"/>
    <w:rsid w:val="006A7D93"/>
    <w:rsid w:val="006C03A2"/>
    <w:rsid w:val="006C6825"/>
    <w:rsid w:val="006D06D7"/>
    <w:rsid w:val="006D0D75"/>
    <w:rsid w:val="006D0F25"/>
    <w:rsid w:val="006D13C7"/>
    <w:rsid w:val="006D243B"/>
    <w:rsid w:val="006D4806"/>
    <w:rsid w:val="006D74D0"/>
    <w:rsid w:val="006E0269"/>
    <w:rsid w:val="006E70FC"/>
    <w:rsid w:val="006E733F"/>
    <w:rsid w:val="006F0176"/>
    <w:rsid w:val="006F2EC4"/>
    <w:rsid w:val="006F2ECE"/>
    <w:rsid w:val="006F3E56"/>
    <w:rsid w:val="006F4D79"/>
    <w:rsid w:val="006F5E1F"/>
    <w:rsid w:val="0070028E"/>
    <w:rsid w:val="007010FF"/>
    <w:rsid w:val="00702908"/>
    <w:rsid w:val="00704CF8"/>
    <w:rsid w:val="00706A68"/>
    <w:rsid w:val="0072557B"/>
    <w:rsid w:val="00734117"/>
    <w:rsid w:val="0074101D"/>
    <w:rsid w:val="0074299F"/>
    <w:rsid w:val="0074443B"/>
    <w:rsid w:val="00746BAE"/>
    <w:rsid w:val="00746D8B"/>
    <w:rsid w:val="00751E4B"/>
    <w:rsid w:val="00752D92"/>
    <w:rsid w:val="007533E2"/>
    <w:rsid w:val="0075660A"/>
    <w:rsid w:val="007566F2"/>
    <w:rsid w:val="00766E86"/>
    <w:rsid w:val="0077442C"/>
    <w:rsid w:val="00774A18"/>
    <w:rsid w:val="00776AF7"/>
    <w:rsid w:val="00777224"/>
    <w:rsid w:val="00785939"/>
    <w:rsid w:val="00794645"/>
    <w:rsid w:val="00795A4A"/>
    <w:rsid w:val="00797724"/>
    <w:rsid w:val="007A377F"/>
    <w:rsid w:val="007B4EF7"/>
    <w:rsid w:val="007B5569"/>
    <w:rsid w:val="007B597E"/>
    <w:rsid w:val="007C1F59"/>
    <w:rsid w:val="007C3BB5"/>
    <w:rsid w:val="007C3C71"/>
    <w:rsid w:val="007C53D5"/>
    <w:rsid w:val="007D079C"/>
    <w:rsid w:val="007D19EF"/>
    <w:rsid w:val="007D3BA9"/>
    <w:rsid w:val="007D3DC2"/>
    <w:rsid w:val="007D5970"/>
    <w:rsid w:val="007D7E22"/>
    <w:rsid w:val="007E3351"/>
    <w:rsid w:val="007E753B"/>
    <w:rsid w:val="007E793B"/>
    <w:rsid w:val="007F12B9"/>
    <w:rsid w:val="007F44D4"/>
    <w:rsid w:val="00802A82"/>
    <w:rsid w:val="00805072"/>
    <w:rsid w:val="00805810"/>
    <w:rsid w:val="00807158"/>
    <w:rsid w:val="008154F4"/>
    <w:rsid w:val="00815812"/>
    <w:rsid w:val="00816F42"/>
    <w:rsid w:val="00821263"/>
    <w:rsid w:val="00832141"/>
    <w:rsid w:val="00833871"/>
    <w:rsid w:val="008341F6"/>
    <w:rsid w:val="00835EE5"/>
    <w:rsid w:val="0083715D"/>
    <w:rsid w:val="00845C43"/>
    <w:rsid w:val="00861E39"/>
    <w:rsid w:val="008630E6"/>
    <w:rsid w:val="00866F9E"/>
    <w:rsid w:val="0087644A"/>
    <w:rsid w:val="0089058E"/>
    <w:rsid w:val="00895900"/>
    <w:rsid w:val="00896E98"/>
    <w:rsid w:val="008A414C"/>
    <w:rsid w:val="008B00F2"/>
    <w:rsid w:val="008B025E"/>
    <w:rsid w:val="008B0B11"/>
    <w:rsid w:val="008B141B"/>
    <w:rsid w:val="008B3DF6"/>
    <w:rsid w:val="008B4C11"/>
    <w:rsid w:val="008C645C"/>
    <w:rsid w:val="008C68C3"/>
    <w:rsid w:val="008C6CBD"/>
    <w:rsid w:val="008C6E83"/>
    <w:rsid w:val="008D1744"/>
    <w:rsid w:val="008D29A8"/>
    <w:rsid w:val="008D3625"/>
    <w:rsid w:val="008D6BD3"/>
    <w:rsid w:val="008D7AEB"/>
    <w:rsid w:val="008E13EC"/>
    <w:rsid w:val="008E2616"/>
    <w:rsid w:val="008E771D"/>
    <w:rsid w:val="008F216F"/>
    <w:rsid w:val="008F3141"/>
    <w:rsid w:val="008F38AA"/>
    <w:rsid w:val="008F518A"/>
    <w:rsid w:val="008F6319"/>
    <w:rsid w:val="008F7B12"/>
    <w:rsid w:val="008F7E03"/>
    <w:rsid w:val="00902F41"/>
    <w:rsid w:val="009035D6"/>
    <w:rsid w:val="00905378"/>
    <w:rsid w:val="00906E2A"/>
    <w:rsid w:val="00910521"/>
    <w:rsid w:val="00915C5E"/>
    <w:rsid w:val="009171AB"/>
    <w:rsid w:val="00917E80"/>
    <w:rsid w:val="00924606"/>
    <w:rsid w:val="00925DB6"/>
    <w:rsid w:val="00926702"/>
    <w:rsid w:val="009304F2"/>
    <w:rsid w:val="00931ADA"/>
    <w:rsid w:val="00931EAE"/>
    <w:rsid w:val="00933E8F"/>
    <w:rsid w:val="00935E66"/>
    <w:rsid w:val="009430E8"/>
    <w:rsid w:val="00945B8C"/>
    <w:rsid w:val="00952613"/>
    <w:rsid w:val="00953BC4"/>
    <w:rsid w:val="00956990"/>
    <w:rsid w:val="0096261F"/>
    <w:rsid w:val="00966177"/>
    <w:rsid w:val="009705E8"/>
    <w:rsid w:val="009716D2"/>
    <w:rsid w:val="009759E1"/>
    <w:rsid w:val="0097758A"/>
    <w:rsid w:val="0098223B"/>
    <w:rsid w:val="009856B8"/>
    <w:rsid w:val="00990133"/>
    <w:rsid w:val="009908C2"/>
    <w:rsid w:val="00993E22"/>
    <w:rsid w:val="00997D0B"/>
    <w:rsid w:val="009A2B8F"/>
    <w:rsid w:val="009A54FC"/>
    <w:rsid w:val="009A6FE2"/>
    <w:rsid w:val="009A734F"/>
    <w:rsid w:val="009B3A1B"/>
    <w:rsid w:val="009B3E50"/>
    <w:rsid w:val="009B527D"/>
    <w:rsid w:val="009B58B4"/>
    <w:rsid w:val="009C0080"/>
    <w:rsid w:val="009C050E"/>
    <w:rsid w:val="009C11AD"/>
    <w:rsid w:val="009C2113"/>
    <w:rsid w:val="009C3AF0"/>
    <w:rsid w:val="009C3B30"/>
    <w:rsid w:val="009C40AF"/>
    <w:rsid w:val="009C4790"/>
    <w:rsid w:val="009C4C8D"/>
    <w:rsid w:val="009D5CC0"/>
    <w:rsid w:val="009D720F"/>
    <w:rsid w:val="009E01AF"/>
    <w:rsid w:val="009E12FA"/>
    <w:rsid w:val="009E2C8C"/>
    <w:rsid w:val="009E3275"/>
    <w:rsid w:val="009F055F"/>
    <w:rsid w:val="009F05DB"/>
    <w:rsid w:val="00A01949"/>
    <w:rsid w:val="00A0370C"/>
    <w:rsid w:val="00A10824"/>
    <w:rsid w:val="00A25098"/>
    <w:rsid w:val="00A2755F"/>
    <w:rsid w:val="00A27CA2"/>
    <w:rsid w:val="00A32166"/>
    <w:rsid w:val="00A32B18"/>
    <w:rsid w:val="00A358C7"/>
    <w:rsid w:val="00A36FFD"/>
    <w:rsid w:val="00A407C6"/>
    <w:rsid w:val="00A4213E"/>
    <w:rsid w:val="00A45044"/>
    <w:rsid w:val="00A47059"/>
    <w:rsid w:val="00A47A88"/>
    <w:rsid w:val="00A47D38"/>
    <w:rsid w:val="00A565F0"/>
    <w:rsid w:val="00A56E7C"/>
    <w:rsid w:val="00A62D00"/>
    <w:rsid w:val="00A63622"/>
    <w:rsid w:val="00A63CA0"/>
    <w:rsid w:val="00A63CE7"/>
    <w:rsid w:val="00A6480E"/>
    <w:rsid w:val="00A70343"/>
    <w:rsid w:val="00A71FE3"/>
    <w:rsid w:val="00A7737C"/>
    <w:rsid w:val="00A80C6B"/>
    <w:rsid w:val="00A91B6F"/>
    <w:rsid w:val="00A92437"/>
    <w:rsid w:val="00A951AB"/>
    <w:rsid w:val="00AA0C8E"/>
    <w:rsid w:val="00AA1D17"/>
    <w:rsid w:val="00AA270A"/>
    <w:rsid w:val="00AA2BFE"/>
    <w:rsid w:val="00AA5D83"/>
    <w:rsid w:val="00AB108A"/>
    <w:rsid w:val="00AB2EC5"/>
    <w:rsid w:val="00AB6DF3"/>
    <w:rsid w:val="00AB7807"/>
    <w:rsid w:val="00AC02A2"/>
    <w:rsid w:val="00AC2D60"/>
    <w:rsid w:val="00AC51FA"/>
    <w:rsid w:val="00AD02D9"/>
    <w:rsid w:val="00AD35DC"/>
    <w:rsid w:val="00AD42A4"/>
    <w:rsid w:val="00AD440D"/>
    <w:rsid w:val="00AD44FA"/>
    <w:rsid w:val="00AD79BD"/>
    <w:rsid w:val="00AE2C76"/>
    <w:rsid w:val="00AE35C2"/>
    <w:rsid w:val="00AE78C2"/>
    <w:rsid w:val="00AF00D7"/>
    <w:rsid w:val="00AF03E1"/>
    <w:rsid w:val="00AF0948"/>
    <w:rsid w:val="00AF0B2F"/>
    <w:rsid w:val="00AF190C"/>
    <w:rsid w:val="00AF26C6"/>
    <w:rsid w:val="00AF2E90"/>
    <w:rsid w:val="00AF30F7"/>
    <w:rsid w:val="00AF57CA"/>
    <w:rsid w:val="00AF7041"/>
    <w:rsid w:val="00AF76A3"/>
    <w:rsid w:val="00B06CE8"/>
    <w:rsid w:val="00B07ABE"/>
    <w:rsid w:val="00B13A9E"/>
    <w:rsid w:val="00B174A7"/>
    <w:rsid w:val="00B176F3"/>
    <w:rsid w:val="00B21FE4"/>
    <w:rsid w:val="00B254AE"/>
    <w:rsid w:val="00B3117F"/>
    <w:rsid w:val="00B36625"/>
    <w:rsid w:val="00B369DC"/>
    <w:rsid w:val="00B43234"/>
    <w:rsid w:val="00B44802"/>
    <w:rsid w:val="00B45EF7"/>
    <w:rsid w:val="00B462C0"/>
    <w:rsid w:val="00B4673B"/>
    <w:rsid w:val="00B52C66"/>
    <w:rsid w:val="00B56DBE"/>
    <w:rsid w:val="00B57419"/>
    <w:rsid w:val="00B67D4A"/>
    <w:rsid w:val="00B70EF3"/>
    <w:rsid w:val="00B72457"/>
    <w:rsid w:val="00B81C9C"/>
    <w:rsid w:val="00B82DF5"/>
    <w:rsid w:val="00B83658"/>
    <w:rsid w:val="00B904E1"/>
    <w:rsid w:val="00B9098E"/>
    <w:rsid w:val="00B90DA0"/>
    <w:rsid w:val="00B92CE1"/>
    <w:rsid w:val="00B93406"/>
    <w:rsid w:val="00B9431B"/>
    <w:rsid w:val="00B955F5"/>
    <w:rsid w:val="00BB13F5"/>
    <w:rsid w:val="00BB2421"/>
    <w:rsid w:val="00BB40AA"/>
    <w:rsid w:val="00BC564A"/>
    <w:rsid w:val="00BD2FBC"/>
    <w:rsid w:val="00BD4A5E"/>
    <w:rsid w:val="00BD5970"/>
    <w:rsid w:val="00BD6FE0"/>
    <w:rsid w:val="00BD755A"/>
    <w:rsid w:val="00BE157E"/>
    <w:rsid w:val="00BE1FFA"/>
    <w:rsid w:val="00BF2809"/>
    <w:rsid w:val="00BF790D"/>
    <w:rsid w:val="00C1130F"/>
    <w:rsid w:val="00C1230A"/>
    <w:rsid w:val="00C1591E"/>
    <w:rsid w:val="00C17F2E"/>
    <w:rsid w:val="00C21F89"/>
    <w:rsid w:val="00C23320"/>
    <w:rsid w:val="00C23FBD"/>
    <w:rsid w:val="00C2629A"/>
    <w:rsid w:val="00C26E4E"/>
    <w:rsid w:val="00C34BE5"/>
    <w:rsid w:val="00C36096"/>
    <w:rsid w:val="00C403F2"/>
    <w:rsid w:val="00C41E77"/>
    <w:rsid w:val="00C456FB"/>
    <w:rsid w:val="00C46A3F"/>
    <w:rsid w:val="00C600E6"/>
    <w:rsid w:val="00C606F1"/>
    <w:rsid w:val="00C60F64"/>
    <w:rsid w:val="00C6293E"/>
    <w:rsid w:val="00C63D45"/>
    <w:rsid w:val="00C6612D"/>
    <w:rsid w:val="00C71C11"/>
    <w:rsid w:val="00C72D27"/>
    <w:rsid w:val="00C73FA2"/>
    <w:rsid w:val="00C73FD3"/>
    <w:rsid w:val="00C747EE"/>
    <w:rsid w:val="00C74ACB"/>
    <w:rsid w:val="00C77A39"/>
    <w:rsid w:val="00C818CD"/>
    <w:rsid w:val="00C91244"/>
    <w:rsid w:val="00C91D07"/>
    <w:rsid w:val="00C91E97"/>
    <w:rsid w:val="00C95C99"/>
    <w:rsid w:val="00C978BC"/>
    <w:rsid w:val="00CA0CBE"/>
    <w:rsid w:val="00CA2AAB"/>
    <w:rsid w:val="00CA79AF"/>
    <w:rsid w:val="00CB0717"/>
    <w:rsid w:val="00CB0BCB"/>
    <w:rsid w:val="00CB2625"/>
    <w:rsid w:val="00CB4F06"/>
    <w:rsid w:val="00CC2955"/>
    <w:rsid w:val="00CC2C98"/>
    <w:rsid w:val="00CC443C"/>
    <w:rsid w:val="00CC4659"/>
    <w:rsid w:val="00CC5AE7"/>
    <w:rsid w:val="00CC7382"/>
    <w:rsid w:val="00CE0823"/>
    <w:rsid w:val="00CE086C"/>
    <w:rsid w:val="00CE1126"/>
    <w:rsid w:val="00CE466F"/>
    <w:rsid w:val="00CF0974"/>
    <w:rsid w:val="00CF2AFA"/>
    <w:rsid w:val="00CF2F7D"/>
    <w:rsid w:val="00CF69C5"/>
    <w:rsid w:val="00D034C2"/>
    <w:rsid w:val="00D042E6"/>
    <w:rsid w:val="00D12AAD"/>
    <w:rsid w:val="00D12DA8"/>
    <w:rsid w:val="00D13E46"/>
    <w:rsid w:val="00D14346"/>
    <w:rsid w:val="00D1697D"/>
    <w:rsid w:val="00D25CB4"/>
    <w:rsid w:val="00D3198B"/>
    <w:rsid w:val="00D3221B"/>
    <w:rsid w:val="00D34E43"/>
    <w:rsid w:val="00D41C7A"/>
    <w:rsid w:val="00D46867"/>
    <w:rsid w:val="00D51C34"/>
    <w:rsid w:val="00D52AE5"/>
    <w:rsid w:val="00D537FC"/>
    <w:rsid w:val="00D560A0"/>
    <w:rsid w:val="00D56D7D"/>
    <w:rsid w:val="00D6073A"/>
    <w:rsid w:val="00D74D94"/>
    <w:rsid w:val="00D765C5"/>
    <w:rsid w:val="00D80102"/>
    <w:rsid w:val="00D80421"/>
    <w:rsid w:val="00D84777"/>
    <w:rsid w:val="00D85FEB"/>
    <w:rsid w:val="00D872C4"/>
    <w:rsid w:val="00D878C2"/>
    <w:rsid w:val="00D903F5"/>
    <w:rsid w:val="00D950EA"/>
    <w:rsid w:val="00D95437"/>
    <w:rsid w:val="00D95CBE"/>
    <w:rsid w:val="00D96E5C"/>
    <w:rsid w:val="00DA1248"/>
    <w:rsid w:val="00DA3F45"/>
    <w:rsid w:val="00DA4FD0"/>
    <w:rsid w:val="00DA7C36"/>
    <w:rsid w:val="00DB1E7E"/>
    <w:rsid w:val="00DC0161"/>
    <w:rsid w:val="00DC0920"/>
    <w:rsid w:val="00DC1555"/>
    <w:rsid w:val="00DC3860"/>
    <w:rsid w:val="00DC694C"/>
    <w:rsid w:val="00DD3092"/>
    <w:rsid w:val="00DD46F7"/>
    <w:rsid w:val="00DD68C1"/>
    <w:rsid w:val="00DE29A8"/>
    <w:rsid w:val="00DE353E"/>
    <w:rsid w:val="00DE3B6E"/>
    <w:rsid w:val="00DE67FC"/>
    <w:rsid w:val="00DF1427"/>
    <w:rsid w:val="00DF2A66"/>
    <w:rsid w:val="00DF52B2"/>
    <w:rsid w:val="00E00AF4"/>
    <w:rsid w:val="00E01912"/>
    <w:rsid w:val="00E04EC2"/>
    <w:rsid w:val="00E06D01"/>
    <w:rsid w:val="00E13C37"/>
    <w:rsid w:val="00E15C25"/>
    <w:rsid w:val="00E17C87"/>
    <w:rsid w:val="00E203A3"/>
    <w:rsid w:val="00E21203"/>
    <w:rsid w:val="00E2310D"/>
    <w:rsid w:val="00E25217"/>
    <w:rsid w:val="00E2625B"/>
    <w:rsid w:val="00E26D80"/>
    <w:rsid w:val="00E30CC3"/>
    <w:rsid w:val="00E31A1F"/>
    <w:rsid w:val="00E338E5"/>
    <w:rsid w:val="00E35D39"/>
    <w:rsid w:val="00E36B29"/>
    <w:rsid w:val="00E40EE2"/>
    <w:rsid w:val="00E53D3C"/>
    <w:rsid w:val="00E53F28"/>
    <w:rsid w:val="00E55706"/>
    <w:rsid w:val="00E5583F"/>
    <w:rsid w:val="00E56328"/>
    <w:rsid w:val="00E571FE"/>
    <w:rsid w:val="00E62080"/>
    <w:rsid w:val="00E62260"/>
    <w:rsid w:val="00E62F33"/>
    <w:rsid w:val="00E647B8"/>
    <w:rsid w:val="00E64B5D"/>
    <w:rsid w:val="00E675F3"/>
    <w:rsid w:val="00E70CDD"/>
    <w:rsid w:val="00E72B19"/>
    <w:rsid w:val="00E73E50"/>
    <w:rsid w:val="00E74866"/>
    <w:rsid w:val="00E77170"/>
    <w:rsid w:val="00E80713"/>
    <w:rsid w:val="00E8401B"/>
    <w:rsid w:val="00E863D1"/>
    <w:rsid w:val="00E8701F"/>
    <w:rsid w:val="00E912B0"/>
    <w:rsid w:val="00E9203B"/>
    <w:rsid w:val="00E924A9"/>
    <w:rsid w:val="00E932CA"/>
    <w:rsid w:val="00EA0293"/>
    <w:rsid w:val="00EA78E9"/>
    <w:rsid w:val="00EB020B"/>
    <w:rsid w:val="00EB0FA4"/>
    <w:rsid w:val="00EB2FF1"/>
    <w:rsid w:val="00EC016C"/>
    <w:rsid w:val="00ED0261"/>
    <w:rsid w:val="00ED3A89"/>
    <w:rsid w:val="00ED4860"/>
    <w:rsid w:val="00ED7B51"/>
    <w:rsid w:val="00EE21DA"/>
    <w:rsid w:val="00EE278E"/>
    <w:rsid w:val="00EE5133"/>
    <w:rsid w:val="00EE5EB2"/>
    <w:rsid w:val="00EF0357"/>
    <w:rsid w:val="00EF53C5"/>
    <w:rsid w:val="00EF6B17"/>
    <w:rsid w:val="00F073A3"/>
    <w:rsid w:val="00F133AF"/>
    <w:rsid w:val="00F20728"/>
    <w:rsid w:val="00F21DE9"/>
    <w:rsid w:val="00F23D37"/>
    <w:rsid w:val="00F34AB2"/>
    <w:rsid w:val="00F357BF"/>
    <w:rsid w:val="00F37EB6"/>
    <w:rsid w:val="00F4189D"/>
    <w:rsid w:val="00F4476F"/>
    <w:rsid w:val="00F4569E"/>
    <w:rsid w:val="00F47C65"/>
    <w:rsid w:val="00F50979"/>
    <w:rsid w:val="00F51520"/>
    <w:rsid w:val="00F52066"/>
    <w:rsid w:val="00F53D4B"/>
    <w:rsid w:val="00F54B83"/>
    <w:rsid w:val="00F605DC"/>
    <w:rsid w:val="00F669EA"/>
    <w:rsid w:val="00F67FE6"/>
    <w:rsid w:val="00F71B19"/>
    <w:rsid w:val="00F71B8F"/>
    <w:rsid w:val="00F74EDC"/>
    <w:rsid w:val="00F75301"/>
    <w:rsid w:val="00F7620D"/>
    <w:rsid w:val="00F763BC"/>
    <w:rsid w:val="00F76BE6"/>
    <w:rsid w:val="00F76FDF"/>
    <w:rsid w:val="00F77049"/>
    <w:rsid w:val="00F77280"/>
    <w:rsid w:val="00F776D6"/>
    <w:rsid w:val="00F86100"/>
    <w:rsid w:val="00F8651D"/>
    <w:rsid w:val="00F878A6"/>
    <w:rsid w:val="00F9136A"/>
    <w:rsid w:val="00F91FA4"/>
    <w:rsid w:val="00F96B00"/>
    <w:rsid w:val="00FA5BA8"/>
    <w:rsid w:val="00FA7CE6"/>
    <w:rsid w:val="00FB1507"/>
    <w:rsid w:val="00FB4E79"/>
    <w:rsid w:val="00FB56A3"/>
    <w:rsid w:val="00FB56E7"/>
    <w:rsid w:val="00FB6DEF"/>
    <w:rsid w:val="00FB7BE4"/>
    <w:rsid w:val="00FB7F24"/>
    <w:rsid w:val="00FC252C"/>
    <w:rsid w:val="00FC50E1"/>
    <w:rsid w:val="00FC59B1"/>
    <w:rsid w:val="00FC6BB8"/>
    <w:rsid w:val="00FD1AFB"/>
    <w:rsid w:val="00FD28F9"/>
    <w:rsid w:val="00FD4354"/>
    <w:rsid w:val="00FD4D88"/>
    <w:rsid w:val="00FE2680"/>
    <w:rsid w:val="00FE3317"/>
    <w:rsid w:val="00FF36FC"/>
    <w:rsid w:val="00FF43E4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9"/>
    <w:qFormat/>
    <w:rsid w:val="000D25A0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2701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2701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D25A0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D1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D1165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NoSpacing">
    <w:name w:val="No Spacing"/>
    <w:uiPriority w:val="99"/>
    <w:qFormat/>
    <w:rsid w:val="001760E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915C5E"/>
    <w:pPr>
      <w:ind w:left="720"/>
      <w:contextualSpacing/>
    </w:pPr>
  </w:style>
  <w:style w:type="character" w:customStyle="1" w:styleId="volume">
    <w:name w:val="volume"/>
    <w:basedOn w:val="DefaultParagraphFont"/>
    <w:uiPriority w:val="99"/>
    <w:rsid w:val="008F518A"/>
  </w:style>
  <w:style w:type="character" w:customStyle="1" w:styleId="pages">
    <w:name w:val="pages"/>
    <w:basedOn w:val="DefaultParagraphFont"/>
    <w:uiPriority w:val="99"/>
    <w:rsid w:val="008F518A"/>
  </w:style>
  <w:style w:type="character" w:customStyle="1" w:styleId="Heading2Char">
    <w:name w:val="Heading 2 Char"/>
    <w:basedOn w:val="DefaultParagraphFont"/>
    <w:link w:val="Heading2"/>
    <w:uiPriority w:val="99"/>
    <w:rsid w:val="002701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7016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99"/>
    <w:rsid w:val="002701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270169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en-GB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Hyperlink">
    <w:name w:val="Hyperlink"/>
    <w:basedOn w:val="DefaultParagraphFont"/>
    <w:uiPriority w:val="99"/>
    <w:unhideWhenUsed/>
    <w:rsid w:val="00270169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270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16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16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16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27016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70169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169"/>
    <w:rPr>
      <w:rFonts w:ascii="Calibri" w:eastAsia="Calibri" w:hAnsi="Calibri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99"/>
    <w:rsid w:val="002701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0169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27016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0169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70169"/>
    <w:rPr>
      <w:rFonts w:ascii="Calibri" w:eastAsia="Calibri" w:hAnsi="Calibri" w:cs="Times New Roman"/>
    </w:rPr>
  </w:style>
  <w:style w:type="character" w:customStyle="1" w:styleId="ti">
    <w:name w:val="ti"/>
    <w:basedOn w:val="DefaultParagraphFont"/>
    <w:uiPriority w:val="99"/>
    <w:rsid w:val="00270169"/>
  </w:style>
  <w:style w:type="paragraph" w:styleId="NormalWeb">
    <w:name w:val="Normal (Web)"/>
    <w:basedOn w:val="Normal"/>
    <w:uiPriority w:val="99"/>
    <w:semiHidden/>
    <w:unhideWhenUsed/>
    <w:rsid w:val="00270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ighlight">
    <w:name w:val="highlight"/>
    <w:basedOn w:val="DefaultParagraphFont"/>
    <w:uiPriority w:val="99"/>
    <w:rsid w:val="00270169"/>
  </w:style>
  <w:style w:type="table" w:styleId="TableColorful2">
    <w:name w:val="Table Colorful 2"/>
    <w:basedOn w:val="TableNormal"/>
    <w:uiPriority w:val="99"/>
    <w:rsid w:val="00270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link w:val="BodyTextChar"/>
    <w:uiPriority w:val="99"/>
    <w:rsid w:val="002701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27016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9"/>
    <w:qFormat/>
    <w:rsid w:val="000D25A0"/>
    <w:pPr>
      <w:spacing w:before="240" w:after="12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2701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2701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D25A0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D1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D1165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NoSpacing">
    <w:name w:val="No Spacing"/>
    <w:uiPriority w:val="99"/>
    <w:qFormat/>
    <w:rsid w:val="001760E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915C5E"/>
    <w:pPr>
      <w:ind w:left="720"/>
      <w:contextualSpacing/>
    </w:pPr>
  </w:style>
  <w:style w:type="character" w:customStyle="1" w:styleId="volume">
    <w:name w:val="volume"/>
    <w:basedOn w:val="DefaultParagraphFont"/>
    <w:uiPriority w:val="99"/>
    <w:rsid w:val="008F518A"/>
  </w:style>
  <w:style w:type="character" w:customStyle="1" w:styleId="pages">
    <w:name w:val="pages"/>
    <w:basedOn w:val="DefaultParagraphFont"/>
    <w:uiPriority w:val="99"/>
    <w:rsid w:val="008F518A"/>
  </w:style>
  <w:style w:type="character" w:customStyle="1" w:styleId="Heading2Char">
    <w:name w:val="Heading 2 Char"/>
    <w:basedOn w:val="DefaultParagraphFont"/>
    <w:link w:val="Heading2"/>
    <w:uiPriority w:val="99"/>
    <w:rsid w:val="002701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27016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99"/>
    <w:rsid w:val="002701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270169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en-GB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Hyperlink">
    <w:name w:val="Hyperlink"/>
    <w:basedOn w:val="DefaultParagraphFont"/>
    <w:uiPriority w:val="99"/>
    <w:unhideWhenUsed/>
    <w:rsid w:val="00270169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270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16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16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169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27016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70169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169"/>
    <w:rPr>
      <w:rFonts w:ascii="Calibri" w:eastAsia="Calibri" w:hAnsi="Calibri" w:cs="Times New Roman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99"/>
    <w:rsid w:val="0027016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0169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27016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70169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70169"/>
    <w:rPr>
      <w:rFonts w:ascii="Calibri" w:eastAsia="Calibri" w:hAnsi="Calibri" w:cs="Times New Roman"/>
    </w:rPr>
  </w:style>
  <w:style w:type="character" w:customStyle="1" w:styleId="ti">
    <w:name w:val="ti"/>
    <w:basedOn w:val="DefaultParagraphFont"/>
    <w:uiPriority w:val="99"/>
    <w:rsid w:val="00270169"/>
  </w:style>
  <w:style w:type="paragraph" w:styleId="NormalWeb">
    <w:name w:val="Normal (Web)"/>
    <w:basedOn w:val="Normal"/>
    <w:uiPriority w:val="99"/>
    <w:semiHidden/>
    <w:unhideWhenUsed/>
    <w:rsid w:val="00270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ighlight">
    <w:name w:val="highlight"/>
    <w:basedOn w:val="DefaultParagraphFont"/>
    <w:uiPriority w:val="99"/>
    <w:rsid w:val="00270169"/>
  </w:style>
  <w:style w:type="table" w:styleId="TableColorful2">
    <w:name w:val="Table Colorful 2"/>
    <w:basedOn w:val="TableNormal"/>
    <w:uiPriority w:val="99"/>
    <w:rsid w:val="00270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link w:val="BodyTextChar"/>
    <w:uiPriority w:val="99"/>
    <w:rsid w:val="002701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2701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00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0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9023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72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015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37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84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18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56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701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311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39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2257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91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84068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5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02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506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9748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29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4948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36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79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39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09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89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84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16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21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10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52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69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36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83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36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233280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552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215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1414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1758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91888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073099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8782589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8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633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053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0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08906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03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81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47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7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8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0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62A07889.dotm</Template>
  <TotalTime>259</TotalTime>
  <Pages>35</Pages>
  <Words>6336</Words>
  <Characters>36120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42372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lln1</dc:creator>
  <cp:lastModifiedBy>lln1</cp:lastModifiedBy>
  <cp:revision>15</cp:revision>
  <cp:lastPrinted>2013-06-19T11:11:00Z</cp:lastPrinted>
  <dcterms:created xsi:type="dcterms:W3CDTF">2014-04-29T10:21:00Z</dcterms:created>
  <dcterms:modified xsi:type="dcterms:W3CDTF">2014-05-08T12:33:00Z</dcterms:modified>
</cp:coreProperties>
</file>