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F6590" w:rsidRPr="006313F0" w:rsidRDefault="006313F0">
      <w:pPr>
        <w:pBdr>
          <w:bottom w:val="single" w:sz="6" w:space="1" w:color="auto"/>
        </w:pBdr>
        <w:rPr>
          <w:rFonts w:ascii="Myriad Web Pro" w:hAnsi="Myriad Web Pro" w:cs="Times New Roman"/>
          <w:b/>
          <w:smallCaps/>
          <w:sz w:val="18"/>
          <w:szCs w:val="18"/>
        </w:rPr>
      </w:pPr>
      <w:bookmarkStart w:id="0" w:name="_GoBack"/>
      <w:bookmarkEnd w:id="0"/>
      <w:r>
        <w:rPr>
          <w:rFonts w:ascii="Myriad Web Pro" w:hAnsi="Myriad Web Pro" w:cs="Times New Roman"/>
          <w:b/>
          <w:smallCaps/>
          <w:sz w:val="18"/>
          <w:szCs w:val="18"/>
        </w:rPr>
        <w:t>Supplementary Figures</w:t>
      </w:r>
    </w:p>
    <w:p w:rsidR="006F6590" w:rsidRDefault="006F72C2" w:rsidP="006F6590">
      <w:pPr>
        <w:jc w:val="center"/>
        <w:rPr>
          <w:rFonts w:ascii="Myriad Web Pro" w:hAnsi="Myriad Web Pro"/>
          <w:b/>
          <w:noProof/>
          <w:sz w:val="18"/>
          <w:szCs w:val="18"/>
          <w:lang w:eastAsia="en-GB"/>
        </w:rPr>
      </w:pPr>
      <w:r w:rsidRPr="00AC3C72">
        <w:rPr>
          <w:rFonts w:ascii="Myriad Web Pro" w:hAnsi="Myriad Web Pro" w:cs="Times New Roman"/>
          <w:b/>
          <w:noProof/>
          <w:sz w:val="18"/>
          <w:szCs w:val="18"/>
          <w:lang w:eastAsia="en-GB"/>
        </w:rPr>
        <mc:AlternateContent>
          <mc:Choice Requires="wps">
            <w:drawing>
              <wp:anchor distT="0" distB="0" distL="114300" distR="114300" simplePos="0" relativeHeight="251672576" behindDoc="0" locked="0" layoutInCell="1" allowOverlap="1" wp14:anchorId="7D8FD6EE" wp14:editId="12357448">
                <wp:simplePos x="0" y="0"/>
                <wp:positionH relativeFrom="column">
                  <wp:posOffset>-3555904</wp:posOffset>
                </wp:positionH>
                <wp:positionV relativeFrom="paragraph">
                  <wp:posOffset>183084</wp:posOffset>
                </wp:positionV>
                <wp:extent cx="344805" cy="258445"/>
                <wp:effectExtent l="0" t="0" r="0" b="8255"/>
                <wp:wrapNone/>
                <wp:docPr id="1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4805" cy="258445"/>
                        </a:xfrm>
                        <a:prstGeom prst="rect">
                          <a:avLst/>
                        </a:prstGeom>
                        <a:solidFill>
                          <a:srgbClr val="FFFFFF"/>
                        </a:solidFill>
                        <a:ln w="9525">
                          <a:noFill/>
                          <a:miter lim="800000"/>
                          <a:headEnd/>
                          <a:tailEnd/>
                        </a:ln>
                      </wps:spPr>
                      <wps:txbx>
                        <w:txbxContent>
                          <w:p w:rsidR="006F72C2" w:rsidRPr="006F72C2" w:rsidRDefault="006F72C2" w:rsidP="006F72C2">
                            <w:pPr>
                              <w:rPr>
                                <w:rFonts w:ascii="Myriad Web Pro" w:hAnsi="Myriad Web Pro" w:cs="Times New Roman"/>
                                <w:sz w:val="18"/>
                                <w:szCs w:val="18"/>
                              </w:rPr>
                            </w:pPr>
                            <w:r>
                              <w:rPr>
                                <w:rFonts w:ascii="Myriad Web Pro" w:hAnsi="Myriad Web Pro" w:cs="Times New Roman"/>
                                <w:sz w:val="18"/>
                                <w:szCs w:val="18"/>
                              </w:rPr>
                              <w:t>(A)</w:t>
                            </w:r>
                          </w:p>
                          <w:p w:rsidR="006F72C2" w:rsidRDefault="006F72C2" w:rsidP="006F72C2"/>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D8FD6EE" id="_x0000_t202" coordsize="21600,21600" o:spt="202" path="m,l,21600r21600,l21600,xe">
                <v:stroke joinstyle="miter"/>
                <v:path gradientshapeok="t" o:connecttype="rect"/>
              </v:shapetype>
              <v:shape id="Text Box 2" o:spid="_x0000_s1026" type="#_x0000_t202" style="position:absolute;left:0;text-align:left;margin-left:-280pt;margin-top:14.4pt;width:27.15pt;height:20.3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" stroked="f">
                <v:textbox>
                  <w:txbxContent>
                    <w:p w:rsidR="006F72C2" w:rsidRPr="006F72C2" w:rsidRDefault="006F72C2" w:rsidP="006F72C2">
                      <w:pPr>
                        <w:rPr>
                          <w:rFonts w:ascii="Myriad Web Pro" w:hAnsi="Myriad Web Pro" w:cs="Times New Roman"/>
                          <w:sz w:val="18"/>
                          <w:szCs w:val="18"/>
                        </w:rPr>
                      </w:pPr>
                      <w:r>
                        <w:rPr>
                          <w:rFonts w:ascii="Myriad Web Pro" w:hAnsi="Myriad Web Pro" w:cs="Times New Roman"/>
                          <w:sz w:val="18"/>
                          <w:szCs w:val="18"/>
                        </w:rPr>
                        <w:t>(A)</w:t>
                      </w:r>
                    </w:p>
                    <w:p w:rsidR="006F72C2" w:rsidRDefault="006F72C2" w:rsidP="006F72C2"/>
                  </w:txbxContent>
                </v:textbox>
              </v:shape>
            </w:pict>
          </mc:Fallback>
        </mc:AlternateContent>
      </w:r>
      <w:r>
        <w:rPr>
          <w:rFonts w:ascii="Myriad Web Pro" w:hAnsi="Myriad Web Pro"/>
          <w:b/>
          <w:noProof/>
          <w:sz w:val="18"/>
          <w:szCs w:val="18"/>
          <w:lang w:eastAsia="en-GB"/>
        </w:rPr>
        <w:drawing>
          <wp:anchor distT="0" distB="0" distL="114300" distR="114300" simplePos="0" relativeHeight="251665408" behindDoc="0" locked="0" layoutInCell="1" allowOverlap="1" wp14:anchorId="26DF2245" wp14:editId="5932666A">
            <wp:simplePos x="0" y="0"/>
            <wp:positionH relativeFrom="column">
              <wp:posOffset>-198755</wp:posOffset>
            </wp:positionH>
            <wp:positionV relativeFrom="paragraph">
              <wp:posOffset>123190</wp:posOffset>
            </wp:positionV>
            <wp:extent cx="4002405" cy="3726180"/>
            <wp:effectExtent l="0" t="0" r="0" b="7620"/>
            <wp:wrapSquare wrapText="bothSides"/>
            <wp:docPr id="1" name="Picture 1" descr="C:\Users\djw98\AppData\Local\Temp\scp19781\genetics\data\GWA\Robert\data\Biobank\handgrip\adj_ht_bmi\Manhattan\Revision\FINAL_Manhatta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jw98\AppData\Local\Temp\scp19781\genetics\data\GWA\Robert\data\Biobank\handgrip\adj_ht_bmi\Manhattan\Revision\FINAL_Manhattan.png"/>
                    <pic:cNvPicPr>
                      <a:picLocks noChangeAspect="1" noChangeArrowheads="1"/>
                    </pic:cNvPicPr>
                  </pic:nvPicPr>
                  <pic:blipFill rotWithShape="1">
                    <a:blip r:embed="rId6">
                      <a:extLst>
                        <a:ext uri="{28A0092B-C50C-407E-A947-70E740481C1C}">
                          <a14:useLocalDpi xmlns:a14="http://schemas.microsoft.com/office/drawing/2010/main" val="0"/>
                        </a:ext>
                      </a:extLst>
                    </a:blip>
                    <a:srcRect t="10169" r="6163" b="2465"/>
                    <a:stretch/>
                  </pic:blipFill>
                  <pic:spPr bwMode="auto">
                    <a:xfrm>
                      <a:off x="0" y="0"/>
                      <a:ext cx="4002405" cy="372618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6F6590" w:rsidRDefault="006F6590" w:rsidP="006F6590">
      <w:pPr>
        <w:jc w:val="center"/>
        <w:rPr>
          <w:rFonts w:ascii="Myriad Web Pro" w:hAnsi="Myriad Web Pro"/>
          <w:b/>
          <w:sz w:val="18"/>
          <w:szCs w:val="18"/>
        </w:rPr>
      </w:pPr>
    </w:p>
    <w:p w:rsidR="001B3178" w:rsidRDefault="006F72C2" w:rsidP="001B3178">
      <w:pPr>
        <w:rPr>
          <w:rFonts w:ascii="Myriad Web Pro" w:hAnsi="Myriad Web Pro"/>
          <w:b/>
          <w:sz w:val="18"/>
          <w:szCs w:val="18"/>
        </w:rPr>
      </w:pPr>
      <w:r w:rsidRPr="00AC3C72">
        <w:rPr>
          <w:rFonts w:ascii="Myriad Web Pro" w:hAnsi="Myriad Web Pro" w:cs="Times New Roman"/>
          <w:b/>
          <w:noProof/>
          <w:sz w:val="18"/>
          <w:szCs w:val="18"/>
          <w:lang w:eastAsia="en-GB"/>
        </w:rPr>
        <mc:AlternateContent>
          <mc:Choice Requires="wps">
            <w:drawing>
              <wp:anchor distT="0" distB="0" distL="114300" distR="114300" simplePos="0" relativeHeight="251674624" behindDoc="0" locked="0" layoutInCell="1" allowOverlap="1" wp14:anchorId="50D0C86F" wp14:editId="74A62B34">
                <wp:simplePos x="0" y="0"/>
                <wp:positionH relativeFrom="column">
                  <wp:posOffset>-3609975</wp:posOffset>
                </wp:positionH>
                <wp:positionV relativeFrom="paragraph">
                  <wp:posOffset>3609340</wp:posOffset>
                </wp:positionV>
                <wp:extent cx="344805" cy="258445"/>
                <wp:effectExtent l="0" t="0" r="0" b="8255"/>
                <wp:wrapNone/>
                <wp:docPr id="1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4805" cy="258445"/>
                        </a:xfrm>
                        <a:prstGeom prst="rect">
                          <a:avLst/>
                        </a:prstGeom>
                        <a:solidFill>
                          <a:srgbClr val="FFFFFF"/>
                        </a:solidFill>
                        <a:ln w="9525">
                          <a:noFill/>
                          <a:miter lim="800000"/>
                          <a:headEnd/>
                          <a:tailEnd/>
                        </a:ln>
                      </wps:spPr>
                      <wps:txbx>
                        <w:txbxContent>
                          <w:p w:rsidR="006F72C2" w:rsidRPr="006F72C2" w:rsidRDefault="006F72C2" w:rsidP="006F72C2">
                            <w:pPr>
                              <w:rPr>
                                <w:rFonts w:ascii="Myriad Web Pro" w:hAnsi="Myriad Web Pro" w:cs="Times New Roman"/>
                                <w:sz w:val="18"/>
                                <w:szCs w:val="18"/>
                              </w:rPr>
                            </w:pPr>
                            <w:r>
                              <w:rPr>
                                <w:rFonts w:ascii="Myriad Web Pro" w:hAnsi="Myriad Web Pro" w:cs="Times New Roman"/>
                                <w:sz w:val="18"/>
                                <w:szCs w:val="18"/>
                              </w:rPr>
                              <w:t>(B)</w:t>
                            </w:r>
                          </w:p>
                          <w:p w:rsidR="006F72C2" w:rsidRDefault="006F72C2" w:rsidP="006F72C2"/>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0D0C86F" id="_x0000_s1027" type="#_x0000_t202" style="position:absolute;margin-left:-284.25pt;margin-top:284.2pt;width:27.15pt;height:20.3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" stroked="f">
                <v:textbox>
                  <w:txbxContent>
                    <w:p w:rsidR="006F72C2" w:rsidRPr="006F72C2" w:rsidRDefault="006F72C2" w:rsidP="006F72C2">
                      <w:pPr>
                        <w:rPr>
                          <w:rFonts w:ascii="Myriad Web Pro" w:hAnsi="Myriad Web Pro" w:cs="Times New Roman"/>
                          <w:sz w:val="18"/>
                          <w:szCs w:val="18"/>
                        </w:rPr>
                      </w:pPr>
                      <w:r>
                        <w:rPr>
                          <w:rFonts w:ascii="Myriad Web Pro" w:hAnsi="Myriad Web Pro" w:cs="Times New Roman"/>
                          <w:sz w:val="18"/>
                          <w:szCs w:val="18"/>
                        </w:rPr>
                        <w:t>(B)</w:t>
                      </w:r>
                    </w:p>
                    <w:p w:rsidR="006F72C2" w:rsidRDefault="006F72C2" w:rsidP="006F72C2"/>
                  </w:txbxContent>
                </v:textbox>
              </v:shape>
            </w:pict>
          </mc:Fallback>
        </mc:AlternateContent>
      </w:r>
      <w:r w:rsidR="006F6590">
        <w:rPr>
          <w:rFonts w:ascii="Myriad Web Pro" w:hAnsi="Myriad Web Pro"/>
          <w:b/>
          <w:noProof/>
          <w:sz w:val="18"/>
          <w:szCs w:val="18"/>
          <w:lang w:eastAsia="en-GB"/>
        </w:rPr>
        <w:drawing>
          <wp:anchor distT="0" distB="0" distL="114300" distR="114300" simplePos="0" relativeHeight="251668480" behindDoc="0" locked="0" layoutInCell="1" allowOverlap="1" wp14:anchorId="139917BB" wp14:editId="733013F5">
            <wp:simplePos x="0" y="0"/>
            <wp:positionH relativeFrom="column">
              <wp:posOffset>-4117340</wp:posOffset>
            </wp:positionH>
            <wp:positionV relativeFrom="paragraph">
              <wp:posOffset>3459480</wp:posOffset>
            </wp:positionV>
            <wp:extent cx="2725420" cy="2639695"/>
            <wp:effectExtent l="0" t="0" r="0" b="8255"/>
            <wp:wrapSquare wrapText="bothSides"/>
            <wp:docPr id="8" name="Picture 8" descr="C:\Users\djw98\AppData\Local\Temp\scp58605\genetics\data\GWA\Robert\data\Biobank\handgrip\adj_ht_bmi\Manhattan\Revision\FINAL_QQ.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djw98\AppData\Local\Temp\scp58605\genetics\data\GWA\Robert\data\Biobank\handgrip\adj_ht_bmi\Manhattan\Revision\FINAL_QQ.png"/>
                    <pic:cNvPicPr>
                      <a:picLocks noChangeAspect="1" noChangeArrowheads="1"/>
                    </pic:cNvPicPr>
                  </pic:nvPicPr>
                  <pic:blipFill rotWithShape="1">
                    <a:blip r:embed="rId7">
                      <a:extLst>
                        <a:ext uri="{28A0092B-C50C-407E-A947-70E740481C1C}">
                          <a14:useLocalDpi xmlns:a14="http://schemas.microsoft.com/office/drawing/2010/main" val="0"/>
                        </a:ext>
                      </a:extLst>
                    </a:blip>
                    <a:srcRect t="9584" r="6666"/>
                    <a:stretch/>
                  </pic:blipFill>
                  <pic:spPr bwMode="auto">
                    <a:xfrm>
                      <a:off x="0" y="0"/>
                      <a:ext cx="2725420" cy="263969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6F6590" w:rsidRPr="006F6590">
        <w:rPr>
          <w:rFonts w:ascii="Myriad Web Pro" w:hAnsi="Myriad Web Pro"/>
          <w:b/>
          <w:noProof/>
          <w:sz w:val="18"/>
          <w:szCs w:val="18"/>
          <w:lang w:eastAsia="en-GB"/>
        </w:rPr>
        <mc:AlternateContent>
          <mc:Choice Requires="wps">
            <w:drawing>
              <wp:anchor distT="0" distB="0" distL="114300" distR="114300" simplePos="0" relativeHeight="251667456" behindDoc="0" locked="0" layoutInCell="1" allowOverlap="1" wp14:anchorId="167A9298" wp14:editId="77569CF8">
                <wp:simplePos x="0" y="0"/>
                <wp:positionH relativeFrom="column">
                  <wp:posOffset>-112395</wp:posOffset>
                </wp:positionH>
                <wp:positionV relativeFrom="paragraph">
                  <wp:posOffset>793714</wp:posOffset>
                </wp:positionV>
                <wp:extent cx="750498" cy="207034"/>
                <wp:effectExtent l="0" t="0" r="0" b="2540"/>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0498" cy="207034"/>
                        </a:xfrm>
                        <a:prstGeom prst="rect">
                          <a:avLst/>
                        </a:prstGeom>
                        <a:solidFill>
                          <a:srgbClr val="FFFFFF"/>
                        </a:solidFill>
                        <a:ln w="9525">
                          <a:noFill/>
                          <a:miter lim="800000"/>
                          <a:headEnd/>
                          <a:tailEnd/>
                        </a:ln>
                      </wps:spPr>
                      <wps:txbx>
                        <w:txbxContent>
                          <w:p w:rsidR="006F6590" w:rsidRPr="006F6590" w:rsidRDefault="006F6590">
                            <w:pPr>
                              <w:rPr>
                                <w:color w:val="FF0000"/>
                                <w:vertAlign w:val="superscript"/>
                              </w:rPr>
                            </w:pPr>
                            <w:r w:rsidRPr="006F6590">
                              <w:rPr>
                                <w:rFonts w:ascii="Myriad Web Pro" w:hAnsi="Myriad Web Pro"/>
                                <w:i/>
                                <w:color w:val="FF0000"/>
                                <w:sz w:val="16"/>
                                <w:szCs w:val="16"/>
                              </w:rPr>
                              <w:t>p</w:t>
                            </w:r>
                            <w:r w:rsidRPr="006F6590">
                              <w:rPr>
                                <w:rFonts w:ascii="Myriad Web Pro" w:hAnsi="Myriad Web Pro"/>
                                <w:color w:val="FF0000"/>
                                <w:sz w:val="16"/>
                                <w:szCs w:val="16"/>
                              </w:rPr>
                              <w:t xml:space="preserve"> = 5 × 10</w:t>
                            </w:r>
                            <w:r w:rsidRPr="006F6590">
                              <w:rPr>
                                <w:rFonts w:ascii="Myriad Web Pro" w:hAnsi="Myriad Web Pro"/>
                                <w:color w:val="FF0000"/>
                                <w:sz w:val="16"/>
                                <w:szCs w:val="16"/>
                                <w:vertAlign w:val="superscript"/>
                              </w:rPr>
                              <w:t>-8</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67A9298" id="_x0000_s1028" type="#_x0000_t202" style="position:absolute;margin-left:-8.85pt;margin-top:62.5pt;width:59.1pt;height:16.3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" stroked="f">
                <v:textbox>
                  <w:txbxContent>
                    <w:p w:rsidR="006F6590" w:rsidRPr="006F6590" w:rsidRDefault="006F6590">
                      <w:pPr>
                        <w:rPr>
                          <w:color w:val="FF0000"/>
                          <w:vertAlign w:val="superscript"/>
                        </w:rPr>
                      </w:pPr>
                      <w:r w:rsidRPr="006F6590">
                        <w:rPr>
                          <w:rFonts w:ascii="Myriad Web Pro" w:hAnsi="Myriad Web Pro"/>
                          <w:i/>
                          <w:color w:val="FF0000"/>
                          <w:sz w:val="16"/>
                          <w:szCs w:val="16"/>
                        </w:rPr>
                        <w:t>p</w:t>
                      </w:r>
                      <w:r w:rsidRPr="006F6590">
                        <w:rPr>
                          <w:rFonts w:ascii="Myriad Web Pro" w:hAnsi="Myriad Web Pro"/>
                          <w:color w:val="FF0000"/>
                          <w:sz w:val="16"/>
                          <w:szCs w:val="16"/>
                        </w:rPr>
                        <w:t xml:space="preserve"> = 5 × 10</w:t>
                      </w:r>
                      <w:r w:rsidRPr="006F6590">
                        <w:rPr>
                          <w:rFonts w:ascii="Myriad Web Pro" w:hAnsi="Myriad Web Pro"/>
                          <w:color w:val="FF0000"/>
                          <w:sz w:val="16"/>
                          <w:szCs w:val="16"/>
                          <w:vertAlign w:val="superscript"/>
                        </w:rPr>
                        <w:t>-8</w:t>
                      </w:r>
                    </w:p>
                  </w:txbxContent>
                </v:textbox>
              </v:shape>
            </w:pict>
          </mc:Fallback>
        </mc:AlternateContent>
      </w:r>
    </w:p>
    <w:p w:rsidR="001B3178" w:rsidRDefault="001B3178" w:rsidP="001B3178">
      <w:pPr>
        <w:rPr>
          <w:rFonts w:ascii="Myriad Web Pro" w:hAnsi="Myriad Web Pro"/>
          <w:b/>
          <w:sz w:val="18"/>
          <w:szCs w:val="18"/>
        </w:rPr>
      </w:pPr>
    </w:p>
    <w:p w:rsidR="001B3178" w:rsidRDefault="001B3178" w:rsidP="001B3178">
      <w:pPr>
        <w:rPr>
          <w:rFonts w:ascii="Myriad Web Pro" w:hAnsi="Myriad Web Pro"/>
          <w:b/>
          <w:sz w:val="18"/>
          <w:szCs w:val="18"/>
        </w:rPr>
      </w:pPr>
    </w:p>
    <w:p w:rsidR="001B3178" w:rsidRDefault="001B3178" w:rsidP="001B3178">
      <w:pPr>
        <w:rPr>
          <w:rFonts w:ascii="Myriad Web Pro" w:hAnsi="Myriad Web Pro"/>
          <w:b/>
          <w:sz w:val="18"/>
          <w:szCs w:val="18"/>
        </w:rPr>
      </w:pPr>
    </w:p>
    <w:p w:rsidR="001B3178" w:rsidRDefault="001B3178" w:rsidP="001B3178">
      <w:pPr>
        <w:rPr>
          <w:rFonts w:ascii="Myriad Web Pro" w:hAnsi="Myriad Web Pro"/>
          <w:b/>
          <w:sz w:val="18"/>
          <w:szCs w:val="18"/>
        </w:rPr>
      </w:pPr>
    </w:p>
    <w:p w:rsidR="001B3178" w:rsidRDefault="001B3178" w:rsidP="001B3178">
      <w:pPr>
        <w:rPr>
          <w:rFonts w:ascii="Myriad Web Pro" w:hAnsi="Myriad Web Pro"/>
          <w:b/>
          <w:sz w:val="18"/>
          <w:szCs w:val="18"/>
        </w:rPr>
      </w:pPr>
    </w:p>
    <w:p w:rsidR="001B3178" w:rsidRDefault="001B3178" w:rsidP="001B3178">
      <w:pPr>
        <w:rPr>
          <w:rFonts w:ascii="Myriad Web Pro" w:hAnsi="Myriad Web Pro"/>
          <w:b/>
          <w:sz w:val="18"/>
          <w:szCs w:val="18"/>
        </w:rPr>
      </w:pPr>
    </w:p>
    <w:p w:rsidR="001B3178" w:rsidRDefault="001B3178" w:rsidP="001B3178">
      <w:pPr>
        <w:rPr>
          <w:rFonts w:ascii="Myriad Web Pro" w:hAnsi="Myriad Web Pro"/>
          <w:b/>
          <w:sz w:val="18"/>
          <w:szCs w:val="18"/>
        </w:rPr>
      </w:pPr>
    </w:p>
    <w:p w:rsidR="001B3178" w:rsidRDefault="001B3178" w:rsidP="001B3178">
      <w:pPr>
        <w:rPr>
          <w:rFonts w:ascii="Myriad Web Pro" w:hAnsi="Myriad Web Pro"/>
          <w:b/>
          <w:sz w:val="18"/>
          <w:szCs w:val="18"/>
        </w:rPr>
      </w:pPr>
    </w:p>
    <w:p w:rsidR="001B3178" w:rsidRDefault="001B3178" w:rsidP="001B3178">
      <w:pPr>
        <w:rPr>
          <w:rFonts w:ascii="Myriad Web Pro" w:hAnsi="Myriad Web Pro"/>
          <w:b/>
          <w:sz w:val="18"/>
          <w:szCs w:val="18"/>
        </w:rPr>
      </w:pPr>
    </w:p>
    <w:p w:rsidR="001B3178" w:rsidRDefault="001B3178" w:rsidP="001B3178">
      <w:pPr>
        <w:rPr>
          <w:rFonts w:ascii="Myriad Web Pro" w:hAnsi="Myriad Web Pro"/>
          <w:b/>
          <w:sz w:val="18"/>
          <w:szCs w:val="18"/>
        </w:rPr>
      </w:pPr>
    </w:p>
    <w:p w:rsidR="001B3178" w:rsidRDefault="001B3178" w:rsidP="001B3178">
      <w:pPr>
        <w:rPr>
          <w:rFonts w:ascii="Myriad Web Pro" w:hAnsi="Myriad Web Pro"/>
          <w:b/>
          <w:sz w:val="18"/>
          <w:szCs w:val="18"/>
        </w:rPr>
      </w:pPr>
    </w:p>
    <w:p w:rsidR="001B3178" w:rsidRDefault="001B3178" w:rsidP="001B3178">
      <w:pPr>
        <w:rPr>
          <w:rFonts w:ascii="Myriad Web Pro" w:hAnsi="Myriad Web Pro"/>
          <w:b/>
          <w:sz w:val="18"/>
          <w:szCs w:val="18"/>
        </w:rPr>
      </w:pPr>
    </w:p>
    <w:p w:rsidR="001B3178" w:rsidRDefault="001B3178" w:rsidP="001B3178">
      <w:pPr>
        <w:rPr>
          <w:rFonts w:ascii="Myriad Web Pro" w:hAnsi="Myriad Web Pro"/>
          <w:b/>
          <w:sz w:val="18"/>
          <w:szCs w:val="18"/>
        </w:rPr>
      </w:pPr>
    </w:p>
    <w:p w:rsidR="001B3178" w:rsidRDefault="001B3178" w:rsidP="001B3178">
      <w:pPr>
        <w:rPr>
          <w:rFonts w:ascii="Myriad Web Pro" w:hAnsi="Myriad Web Pro"/>
          <w:b/>
          <w:sz w:val="18"/>
          <w:szCs w:val="18"/>
        </w:rPr>
      </w:pPr>
    </w:p>
    <w:p w:rsidR="001B3178" w:rsidRDefault="001B3178" w:rsidP="001B3178">
      <w:pPr>
        <w:rPr>
          <w:rFonts w:ascii="Myriad Web Pro" w:hAnsi="Myriad Web Pro"/>
          <w:b/>
          <w:sz w:val="18"/>
          <w:szCs w:val="18"/>
        </w:rPr>
      </w:pPr>
    </w:p>
    <w:p w:rsidR="001B3178" w:rsidRDefault="001B3178" w:rsidP="001B3178">
      <w:pPr>
        <w:rPr>
          <w:rFonts w:ascii="Myriad Web Pro" w:hAnsi="Myriad Web Pro"/>
          <w:b/>
          <w:sz w:val="18"/>
          <w:szCs w:val="18"/>
        </w:rPr>
      </w:pPr>
    </w:p>
    <w:p w:rsidR="001B3178" w:rsidRDefault="001B3178" w:rsidP="001B3178">
      <w:pPr>
        <w:rPr>
          <w:rFonts w:ascii="Myriad Web Pro" w:hAnsi="Myriad Web Pro"/>
          <w:b/>
          <w:sz w:val="18"/>
          <w:szCs w:val="18"/>
        </w:rPr>
      </w:pPr>
    </w:p>
    <w:p w:rsidR="001B3178" w:rsidRDefault="001B3178" w:rsidP="001B3178">
      <w:pPr>
        <w:rPr>
          <w:rFonts w:ascii="Myriad Web Pro" w:hAnsi="Myriad Web Pro"/>
          <w:b/>
          <w:sz w:val="18"/>
          <w:szCs w:val="18"/>
        </w:rPr>
      </w:pPr>
    </w:p>
    <w:p w:rsidR="001B3178" w:rsidRDefault="001B3178" w:rsidP="001B3178">
      <w:pPr>
        <w:rPr>
          <w:rFonts w:ascii="Myriad Web Pro" w:hAnsi="Myriad Web Pro"/>
          <w:b/>
          <w:sz w:val="18"/>
          <w:szCs w:val="18"/>
        </w:rPr>
      </w:pPr>
    </w:p>
    <w:p w:rsidR="001B3178" w:rsidRDefault="001B3178" w:rsidP="001B3178">
      <w:pPr>
        <w:rPr>
          <w:rFonts w:ascii="Myriad Web Pro" w:hAnsi="Myriad Web Pro"/>
          <w:b/>
          <w:sz w:val="18"/>
          <w:szCs w:val="18"/>
        </w:rPr>
      </w:pPr>
    </w:p>
    <w:p w:rsidR="001B3178" w:rsidRDefault="001B3178" w:rsidP="001B3178">
      <w:pPr>
        <w:rPr>
          <w:rFonts w:ascii="Myriad Web Pro" w:hAnsi="Myriad Web Pro"/>
          <w:b/>
          <w:sz w:val="18"/>
          <w:szCs w:val="18"/>
        </w:rPr>
      </w:pPr>
    </w:p>
    <w:p w:rsidR="001B3178" w:rsidRDefault="001B3178" w:rsidP="001B3178">
      <w:pPr>
        <w:rPr>
          <w:rFonts w:ascii="Myriad Web Pro" w:hAnsi="Myriad Web Pro"/>
          <w:b/>
          <w:sz w:val="18"/>
          <w:szCs w:val="18"/>
        </w:rPr>
      </w:pPr>
    </w:p>
    <w:p w:rsidR="001B3178" w:rsidRPr="00B21DCF" w:rsidRDefault="001B3178" w:rsidP="001B3178">
      <w:pPr>
        <w:rPr>
          <w:rFonts w:ascii="Myriad Web Pro" w:hAnsi="Myriad Web Pro"/>
          <w:b/>
          <w:color w:val="FF0000"/>
          <w:sz w:val="18"/>
          <w:szCs w:val="18"/>
        </w:rPr>
      </w:pPr>
      <w:r w:rsidRPr="00B21DCF">
        <w:rPr>
          <w:rFonts w:ascii="Myriad Web Pro" w:hAnsi="Myriad Web Pro" w:cs="Times New Roman"/>
          <w:b/>
          <w:color w:val="FF0000"/>
          <w:sz w:val="18"/>
          <w:szCs w:val="18"/>
        </w:rPr>
        <w:t>Supplementary Figure 1</w:t>
      </w:r>
    </w:p>
    <w:p w:rsidR="001B3178" w:rsidRPr="00B21DCF" w:rsidRDefault="001B3178" w:rsidP="001B3178">
      <w:pPr>
        <w:pStyle w:val="ListParagraph"/>
        <w:numPr>
          <w:ilvl w:val="0"/>
          <w:numId w:val="3"/>
        </w:numPr>
        <w:rPr>
          <w:rFonts w:ascii="Myriad Web Pro" w:hAnsi="Myriad Web Pro" w:cs="Times New Roman"/>
          <w:color w:val="FF0000"/>
          <w:sz w:val="18"/>
          <w:szCs w:val="18"/>
        </w:rPr>
      </w:pPr>
      <w:r w:rsidRPr="00B21DCF">
        <w:rPr>
          <w:rFonts w:ascii="Myriad Web Pro" w:hAnsi="Myriad Web Pro" w:cs="Times New Roman"/>
          <w:color w:val="FF0000"/>
          <w:sz w:val="18"/>
          <w:szCs w:val="18"/>
        </w:rPr>
        <w:t>Manhattan plot of stage one association analyses in UK Biobank.  Independent loci which retain genome-wide significance in the combine</w:t>
      </w:r>
      <w:r w:rsidR="00091511" w:rsidRPr="00B21DCF">
        <w:rPr>
          <w:rFonts w:ascii="Myriad Web Pro" w:hAnsi="Myriad Web Pro" w:cs="Times New Roman"/>
          <w:color w:val="FF0000"/>
          <w:sz w:val="18"/>
          <w:szCs w:val="18"/>
        </w:rPr>
        <w:t xml:space="preserve">d analysis </w:t>
      </w:r>
      <w:r w:rsidRPr="00B21DCF">
        <w:rPr>
          <w:rFonts w:ascii="Myriad Web Pro" w:hAnsi="Myriad Web Pro" w:cs="Times New Roman"/>
          <w:color w:val="FF0000"/>
          <w:sz w:val="18"/>
          <w:szCs w:val="18"/>
        </w:rPr>
        <w:t xml:space="preserve">are shown in bright green.  </w:t>
      </w:r>
    </w:p>
    <w:p w:rsidR="001B3178" w:rsidRPr="00B21DCF" w:rsidRDefault="001B3178" w:rsidP="001B3178">
      <w:pPr>
        <w:pStyle w:val="ListParagraph"/>
        <w:numPr>
          <w:ilvl w:val="0"/>
          <w:numId w:val="3"/>
        </w:numPr>
        <w:rPr>
          <w:rFonts w:ascii="Myriad Web Pro" w:hAnsi="Myriad Web Pro" w:cs="Times New Roman"/>
          <w:color w:val="FF0000"/>
          <w:sz w:val="18"/>
          <w:szCs w:val="18"/>
        </w:rPr>
      </w:pPr>
      <w:r w:rsidRPr="00B21DCF">
        <w:rPr>
          <w:rFonts w:ascii="Myriad Web Pro" w:hAnsi="Myriad Web Pro" w:cs="Times New Roman"/>
          <w:color w:val="FF0000"/>
          <w:sz w:val="18"/>
          <w:szCs w:val="18"/>
        </w:rPr>
        <w:t>QQ-plot of stage one analyses in UK Biobank.  Genomic inflatio</w:t>
      </w:r>
      <w:r w:rsidR="00091511" w:rsidRPr="00B21DCF">
        <w:rPr>
          <w:rFonts w:ascii="Myriad Web Pro" w:hAnsi="Myriad Web Pro" w:cs="Times New Roman"/>
          <w:color w:val="FF0000"/>
          <w:sz w:val="18"/>
          <w:szCs w:val="18"/>
        </w:rPr>
        <w:t>n</w:t>
      </w:r>
      <w:r w:rsidRPr="00B21DCF">
        <w:rPr>
          <w:rFonts w:ascii="Myriad Web Pro" w:hAnsi="Myriad Web Pro" w:cs="Times New Roman"/>
          <w:color w:val="FF0000"/>
          <w:sz w:val="18"/>
          <w:szCs w:val="18"/>
        </w:rPr>
        <w:t xml:space="preserve"> c</w:t>
      </w:r>
      <w:r w:rsidR="00091511" w:rsidRPr="00B21DCF">
        <w:rPr>
          <w:rFonts w:ascii="Myriad Web Pro" w:hAnsi="Myriad Web Pro" w:cs="Times New Roman"/>
          <w:color w:val="FF0000"/>
          <w:sz w:val="18"/>
          <w:szCs w:val="18"/>
        </w:rPr>
        <w:t>alculated as</w:t>
      </w:r>
      <w:r w:rsidRPr="00B21DCF">
        <w:rPr>
          <w:rFonts w:ascii="Myriad Web Pro" w:hAnsi="Myriad Web Pro" w:cs="Times New Roman"/>
          <w:color w:val="FF0000"/>
          <w:sz w:val="18"/>
          <w:szCs w:val="18"/>
        </w:rPr>
        <w:t xml:space="preserve"> the intercept of LD score regression (LDSC) w</w:t>
      </w:r>
      <w:r w:rsidR="00A83FB0" w:rsidRPr="00B21DCF">
        <w:rPr>
          <w:rFonts w:ascii="Myriad Web Pro" w:hAnsi="Myriad Web Pro" w:cs="Times New Roman"/>
          <w:color w:val="FF0000"/>
          <w:sz w:val="18"/>
          <w:szCs w:val="18"/>
        </w:rPr>
        <w:t>as</w:t>
      </w:r>
      <w:r w:rsidR="008531B8" w:rsidRPr="00B21DCF">
        <w:rPr>
          <w:rFonts w:ascii="Myriad Web Pro" w:hAnsi="Myriad Web Pro" w:cs="Times New Roman"/>
          <w:color w:val="FF0000"/>
          <w:sz w:val="18"/>
          <w:szCs w:val="18"/>
        </w:rPr>
        <w:t xml:space="preserve"> 1.02 (95% CI 0.998 </w:t>
      </w:r>
      <w:r w:rsidR="006F1F9B" w:rsidRPr="00B21DCF">
        <w:rPr>
          <w:rFonts w:ascii="Myriad Web Pro" w:hAnsi="Myriad Web Pro" w:cs="Times New Roman"/>
          <w:color w:val="FF0000"/>
          <w:sz w:val="18"/>
          <w:szCs w:val="18"/>
        </w:rPr>
        <w:t>–</w:t>
      </w:r>
      <w:r w:rsidR="008531B8" w:rsidRPr="00B21DCF">
        <w:rPr>
          <w:rFonts w:ascii="Myriad Web Pro" w:hAnsi="Myriad Web Pro" w:cs="Times New Roman"/>
          <w:color w:val="FF0000"/>
          <w:sz w:val="18"/>
          <w:szCs w:val="18"/>
        </w:rPr>
        <w:t xml:space="preserve"> </w:t>
      </w:r>
      <w:r w:rsidR="006F1F9B" w:rsidRPr="00B21DCF">
        <w:rPr>
          <w:rFonts w:ascii="Myriad Web Pro" w:hAnsi="Myriad Web Pro" w:cs="Times New Roman"/>
          <w:color w:val="FF0000"/>
          <w:sz w:val="18"/>
          <w:szCs w:val="18"/>
        </w:rPr>
        <w:t>1.042)</w:t>
      </w:r>
      <w:r w:rsidR="00A83FB0" w:rsidRPr="00B21DCF">
        <w:rPr>
          <w:rFonts w:ascii="Myriad Web Pro" w:hAnsi="Myriad Web Pro" w:cs="Times New Roman"/>
          <w:color w:val="FF0000"/>
          <w:sz w:val="18"/>
          <w:szCs w:val="18"/>
        </w:rPr>
        <w:t xml:space="preserve"> </w:t>
      </w:r>
      <w:r w:rsidRPr="00B21DCF">
        <w:rPr>
          <w:rFonts w:ascii="Myriad Web Pro" w:hAnsi="Myriad Web Pro" w:cs="Times New Roman"/>
          <w:color w:val="FF0000"/>
          <w:sz w:val="18"/>
          <w:szCs w:val="18"/>
        </w:rPr>
        <w:t>, suggesting that</w:t>
      </w:r>
      <w:r w:rsidR="006F1F9B" w:rsidRPr="00B21DCF">
        <w:rPr>
          <w:rFonts w:ascii="Myriad Web Pro" w:hAnsi="Myriad Web Pro" w:cs="Times New Roman"/>
          <w:color w:val="FF0000"/>
          <w:sz w:val="18"/>
          <w:szCs w:val="18"/>
        </w:rPr>
        <w:t xml:space="preserve"> the apparent inflation </w:t>
      </w:r>
      <w:r w:rsidR="00091511" w:rsidRPr="00B21DCF">
        <w:rPr>
          <w:rFonts w:ascii="Myriad Web Pro" w:hAnsi="Myriad Web Pro" w:cs="Times New Roman"/>
          <w:color w:val="FF0000"/>
          <w:sz w:val="18"/>
          <w:szCs w:val="18"/>
        </w:rPr>
        <w:t>is</w:t>
      </w:r>
      <w:r w:rsidR="006F1F9B" w:rsidRPr="00B21DCF">
        <w:rPr>
          <w:rFonts w:ascii="Myriad Web Pro" w:hAnsi="Myriad Web Pro" w:cs="Times New Roman"/>
          <w:color w:val="FF0000"/>
          <w:sz w:val="18"/>
          <w:szCs w:val="18"/>
        </w:rPr>
        <w:t xml:space="preserve"> </w:t>
      </w:r>
      <w:r w:rsidRPr="00B21DCF">
        <w:rPr>
          <w:rFonts w:ascii="Myriad Web Pro" w:hAnsi="Myriad Web Pro" w:cs="Times New Roman"/>
          <w:color w:val="FF0000"/>
          <w:sz w:val="18"/>
          <w:szCs w:val="18"/>
        </w:rPr>
        <w:t xml:space="preserve">attributable to </w:t>
      </w:r>
      <w:proofErr w:type="spellStart"/>
      <w:r w:rsidRPr="00B21DCF">
        <w:rPr>
          <w:rFonts w:ascii="Myriad Web Pro" w:hAnsi="Myriad Web Pro" w:cs="Times New Roman"/>
          <w:color w:val="FF0000"/>
          <w:sz w:val="18"/>
          <w:szCs w:val="18"/>
        </w:rPr>
        <w:t>polygenicity</w:t>
      </w:r>
      <w:proofErr w:type="spellEnd"/>
      <w:r w:rsidRPr="00B21DCF">
        <w:rPr>
          <w:rFonts w:ascii="Myriad Web Pro" w:hAnsi="Myriad Web Pro" w:cs="Times New Roman"/>
          <w:color w:val="FF0000"/>
          <w:sz w:val="18"/>
          <w:szCs w:val="18"/>
        </w:rPr>
        <w:t xml:space="preserve"> of grip </w:t>
      </w:r>
      <w:r w:rsidR="008531B8" w:rsidRPr="00B21DCF">
        <w:rPr>
          <w:rFonts w:ascii="Myriad Web Pro" w:hAnsi="Myriad Web Pro" w:cs="Times New Roman"/>
          <w:color w:val="FF0000"/>
          <w:sz w:val="18"/>
          <w:szCs w:val="18"/>
        </w:rPr>
        <w:t>strength</w:t>
      </w:r>
      <w:r w:rsidRPr="00B21DCF">
        <w:rPr>
          <w:rFonts w:ascii="Myriad Web Pro" w:hAnsi="Myriad Web Pro" w:cs="Times New Roman"/>
          <w:color w:val="FF0000"/>
          <w:sz w:val="18"/>
          <w:szCs w:val="18"/>
        </w:rPr>
        <w:fldChar w:fldCharType="begin" w:fldLock="1"/>
      </w:r>
      <w:r w:rsidR="00A83FB0" w:rsidRPr="00B21DCF">
        <w:rPr>
          <w:rFonts w:ascii="Myriad Web Pro" w:hAnsi="Myriad Web Pro" w:cs="Times New Roman"/>
          <w:color w:val="FF0000"/>
          <w:sz w:val="18"/>
          <w:szCs w:val="18"/>
        </w:rPr>
        <w:instrText>ADDIN CSL_CITATION { "citationItems" : [ { "id" : "ITEM-1", "itemData" : { "DOI" : "10.1038/ng.3211", "ISSN" : "1546-1718", "PMID" : "25642630", "abstract" : "Both polygenicity (many small genetic effects) and confounding biases, such as cryptic relatedness and population stratification, can yield an inflated distribution of test statistics in genome-wide association studies (GWAS). However, current methods cannot distinguish between inflation from a true polygenic signal and bias. We have developed an approach, LD Score regression, that quantifies the contribution of each by examining the relationship between test statistics and linkage disequilibrium (LD). The LD Score regression intercept can be used to estimate a more powerful and accurate correction factor than genomic control. We find strong evidence that polygenicity accounts for the majority of the inflation in test statistics in many GWAS of large sample size.", "author" : [ { "dropping-particle" : "", "family" : "Bulik-Sullivan", "given" : "Brendan K", "non-dropping-particle" : "", "parse-names" : false, "suffix" : "" }, { "dropping-particle" : "", "family" : "Loh", "given" : "Po-Ru", "non-dropping-particle" : "", "parse-names" : false, "suffix" : "" }, { "dropping-particle" : "", "family" : "Finucane", "given" : "Hilary K", "non-dropping-particle" : "", "parse-names" : false, "suffix" : "" }, { "dropping-particle" : "", "family" : "Ripke", "given" : "Stephan", "non-dropping-particle" : "", "parse-names" : false, "suffix" : "" }, { "dropping-particle" : "", "family" : "Yang", "given" : "Jian", "non-dropping-particle" : "", "parse-names" : false, "suffix" : "" }, { "dropping-particle" : "", "family" : "Patterson", "given" : "Nick", "non-dropping-particle" : "", "parse-names" : false, "suffix" : "" }, { "dropping-particle" : "", "family" : "Daly", "given" : "Mark J", "non-dropping-particle" : "", "parse-names" : false, "suffix" : "" }, { "dropping-particle" : "", "family" : "Price", "given" : "Alkes L", "non-dropping-particle" : "", "parse-names" : false, "suffix" : "" }, { "dropping-particle" : "", "family" : "Neale", "given" : "Benjamin M", "non-dropping-particle" : "", "parse-names" : false, "suffix" : "" } ], "container-title" : "Nature Genetics", "id" : "ITEM-1", "issue" : "3", "issued" : { "date-parts" : [ [ "2015", "2", "2" ] ] }, "page" : "291-295", "publisher" : "Nature Publishing Group, a division of Macmillan Publishers Limited. All Rights Reserved.", "title" : "LD Score regression distinguishes confounding from polygenicity in genome-wide association studies.", "title-short" : "Nat Genet", "type" : "article-journal", "volume" : "47" }, "uris" : [ "http://www.mendeley.com/documents/?uuid=d9323d6a-dc74-4670-bac4-ba1e92a662b3" ] } ], "mendeley" : { "formattedCitation" : "&lt;sup&gt;1&lt;/sup&gt;", "plainTextFormattedCitation" : "1", "previouslyFormattedCitation" : "(Bulik-Sullivan et al. 2015)" }, "properties" : { "noteIndex" : 0 }, "schema" : "https://github.com/citation-style-language/schema/raw/master/csl-citation.json" }</w:instrText>
      </w:r>
      <w:r w:rsidRPr="00B21DCF">
        <w:rPr>
          <w:rFonts w:ascii="Myriad Web Pro" w:hAnsi="Myriad Web Pro" w:cs="Times New Roman"/>
          <w:color w:val="FF0000"/>
          <w:sz w:val="18"/>
          <w:szCs w:val="18"/>
        </w:rPr>
        <w:fldChar w:fldCharType="separate"/>
      </w:r>
      <w:r w:rsidR="00A83FB0" w:rsidRPr="00B21DCF">
        <w:rPr>
          <w:rFonts w:ascii="Myriad Web Pro" w:hAnsi="Myriad Web Pro" w:cs="Times New Roman"/>
          <w:noProof/>
          <w:color w:val="FF0000"/>
          <w:sz w:val="18"/>
          <w:szCs w:val="18"/>
          <w:vertAlign w:val="superscript"/>
        </w:rPr>
        <w:t>1</w:t>
      </w:r>
      <w:r w:rsidRPr="00B21DCF">
        <w:rPr>
          <w:rFonts w:ascii="Myriad Web Pro" w:hAnsi="Myriad Web Pro" w:cs="Times New Roman"/>
          <w:color w:val="FF0000"/>
          <w:sz w:val="18"/>
          <w:szCs w:val="18"/>
        </w:rPr>
        <w:fldChar w:fldCharType="end"/>
      </w:r>
      <w:r w:rsidRPr="00B21DCF">
        <w:rPr>
          <w:rFonts w:ascii="Myriad Web Pro" w:hAnsi="Myriad Web Pro" w:cs="Times New Roman"/>
          <w:color w:val="FF0000"/>
          <w:sz w:val="18"/>
          <w:szCs w:val="18"/>
        </w:rPr>
        <w:t xml:space="preserve"> </w:t>
      </w:r>
    </w:p>
    <w:p w:rsidR="001B3178" w:rsidRDefault="001B3178" w:rsidP="006F6590">
      <w:pPr>
        <w:rPr>
          <w:rFonts w:ascii="Myriad Web Pro" w:hAnsi="Myriad Web Pro"/>
          <w:b/>
          <w:sz w:val="18"/>
          <w:szCs w:val="18"/>
        </w:rPr>
      </w:pPr>
    </w:p>
    <w:p w:rsidR="00B966A5" w:rsidRPr="006313F0" w:rsidRDefault="00B966A5" w:rsidP="006F6590">
      <w:pPr>
        <w:rPr>
          <w:rFonts w:ascii="Myriad Web Pro" w:hAnsi="Myriad Web Pro"/>
          <w:b/>
          <w:sz w:val="18"/>
          <w:szCs w:val="18"/>
        </w:rPr>
      </w:pPr>
      <w:r w:rsidRPr="006313F0">
        <w:rPr>
          <w:rFonts w:ascii="Myriad Web Pro" w:hAnsi="Myriad Web Pro" w:cs="Times New Roman"/>
          <w:noProof/>
          <w:sz w:val="18"/>
          <w:szCs w:val="18"/>
          <w:lang w:eastAsia="en-GB"/>
        </w:rPr>
        <w:lastRenderedPageBreak/>
        <w:drawing>
          <wp:anchor distT="0" distB="0" distL="114300" distR="114300" simplePos="0" relativeHeight="251658240" behindDoc="1" locked="0" layoutInCell="1" allowOverlap="1" wp14:anchorId="2E3F6123" wp14:editId="507E4239">
            <wp:simplePos x="0" y="0"/>
            <wp:positionH relativeFrom="column">
              <wp:posOffset>-396875</wp:posOffset>
            </wp:positionH>
            <wp:positionV relativeFrom="paragraph">
              <wp:posOffset>-243205</wp:posOffset>
            </wp:positionV>
            <wp:extent cx="6656070" cy="6867525"/>
            <wp:effectExtent l="0" t="0" r="0" b="9525"/>
            <wp:wrapSquare wrapText="bothSides"/>
            <wp:docPr id="2" name="Picture 2" descr="C:\Users\djw98\AppData\Local\Temp\scp59704\genetics\data\GWA\Robert\data\Biobank\handgrip\adj_ht_bmi\DW\LZ_Regional_Plots\Plots_Proxies_Annotated\Filtered_LZ_Plots\RegionalPlots_Combined_1_August20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C:\Users\djw98\AppData\Local\Temp\scp59704\genetics\data\GWA\Robert\data\Biobank\handgrip\adj_ht_bmi\DW\LZ_Regional_Plots\Plots_Proxies_Annotated\Filtered_LZ_Plots\RegionalPlots_Combined_1_August2016.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656070" cy="6867525"/>
                    </a:xfrm>
                    <a:prstGeom prst="rect">
                      <a:avLst/>
                    </a:prstGeom>
                    <a:noFill/>
                    <a:extLst/>
                  </pic:spPr>
                </pic:pic>
              </a:graphicData>
            </a:graphic>
            <wp14:sizeRelH relativeFrom="page">
              <wp14:pctWidth>0</wp14:pctWidth>
            </wp14:sizeRelH>
            <wp14:sizeRelV relativeFrom="page">
              <wp14:pctHeight>0</wp14:pctHeight>
            </wp14:sizeRelV>
          </wp:anchor>
        </w:drawing>
      </w:r>
    </w:p>
    <w:p w:rsidR="00B966A5" w:rsidRPr="006313F0" w:rsidRDefault="006F72C2" w:rsidP="00B966A5">
      <w:pPr>
        <w:rPr>
          <w:rFonts w:ascii="Myriad Web Pro" w:hAnsi="Myriad Web Pro" w:cs="Times New Roman"/>
          <w:b/>
          <w:sz w:val="18"/>
          <w:szCs w:val="18"/>
        </w:rPr>
      </w:pPr>
      <w:r>
        <w:rPr>
          <w:rFonts w:ascii="Myriad Web Pro" w:hAnsi="Myriad Web Pro" w:cs="Times New Roman"/>
          <w:b/>
          <w:sz w:val="18"/>
          <w:szCs w:val="18"/>
        </w:rPr>
        <w:t>Supplementary Figure 2</w:t>
      </w:r>
      <w:r w:rsidR="00B966A5" w:rsidRPr="006313F0">
        <w:rPr>
          <w:rFonts w:ascii="Myriad Web Pro" w:hAnsi="Myriad Web Pro" w:cs="Times New Roman"/>
          <w:b/>
          <w:sz w:val="18"/>
          <w:szCs w:val="18"/>
        </w:rPr>
        <w:t xml:space="preserve"> (1 of 3)</w:t>
      </w:r>
    </w:p>
    <w:p w:rsidR="00B966A5" w:rsidRPr="00B21DCF" w:rsidRDefault="00B966A5" w:rsidP="00B966A5">
      <w:pPr>
        <w:rPr>
          <w:rFonts w:ascii="Myriad Web Pro" w:hAnsi="Myriad Web Pro" w:cs="Times New Roman"/>
          <w:color w:val="FF0000"/>
          <w:sz w:val="18"/>
          <w:szCs w:val="18"/>
        </w:rPr>
      </w:pPr>
      <w:r w:rsidRPr="006313F0">
        <w:rPr>
          <w:rFonts w:ascii="Myriad Web Pro" w:hAnsi="Myriad Web Pro" w:cs="Times New Roman"/>
          <w:sz w:val="18"/>
          <w:szCs w:val="18"/>
        </w:rPr>
        <w:t>Regional association plots of sixteen loci reaching genome-wide significance in combined stage one and stage two analyses</w:t>
      </w:r>
      <w:r w:rsidR="006F72C2">
        <w:rPr>
          <w:rFonts w:ascii="Myriad Web Pro" w:hAnsi="Myriad Web Pro" w:cs="Times New Roman"/>
          <w:sz w:val="18"/>
          <w:szCs w:val="18"/>
        </w:rPr>
        <w:t xml:space="preserve">.  </w:t>
      </w:r>
      <w:r w:rsidR="006F72C2" w:rsidRPr="00B21DCF">
        <w:rPr>
          <w:rFonts w:ascii="Myriad Web Pro" w:hAnsi="Myriad Web Pro" w:cs="Times New Roman"/>
          <w:color w:val="FF0000"/>
          <w:sz w:val="18"/>
          <w:szCs w:val="18"/>
        </w:rPr>
        <w:t xml:space="preserve">Outlined plot symbols denote a </w:t>
      </w:r>
      <w:r w:rsidR="000A3344" w:rsidRPr="00B21DCF">
        <w:rPr>
          <w:rFonts w:ascii="Myriad Web Pro" w:hAnsi="Myriad Web Pro" w:cs="Times New Roman"/>
          <w:color w:val="FF0000"/>
          <w:sz w:val="18"/>
          <w:szCs w:val="18"/>
        </w:rPr>
        <w:t xml:space="preserve">suggestive </w:t>
      </w:r>
      <w:r w:rsidR="006F72C2" w:rsidRPr="00B21DCF">
        <w:rPr>
          <w:rFonts w:ascii="Myriad Web Pro" w:hAnsi="Myriad Web Pro" w:cs="Times New Roman"/>
          <w:color w:val="FF0000"/>
          <w:sz w:val="18"/>
          <w:szCs w:val="18"/>
        </w:rPr>
        <w:t>variant</w:t>
      </w:r>
      <w:r w:rsidR="000A3344" w:rsidRPr="00B21DCF">
        <w:rPr>
          <w:rFonts w:ascii="Myriad Web Pro" w:hAnsi="Myriad Web Pro" w:cs="Times New Roman"/>
          <w:color w:val="FF0000"/>
          <w:sz w:val="18"/>
          <w:szCs w:val="18"/>
        </w:rPr>
        <w:t xml:space="preserve"> (p&lt;5×10</w:t>
      </w:r>
      <w:r w:rsidR="000A3344" w:rsidRPr="00B21DCF">
        <w:rPr>
          <w:rFonts w:ascii="Myriad Web Pro" w:hAnsi="Myriad Web Pro" w:cs="Times New Roman"/>
          <w:color w:val="FF0000"/>
          <w:sz w:val="18"/>
          <w:szCs w:val="18"/>
          <w:vertAlign w:val="superscript"/>
        </w:rPr>
        <w:t>-6</w:t>
      </w:r>
      <w:r w:rsidR="000A3344" w:rsidRPr="00B21DCF">
        <w:rPr>
          <w:rFonts w:ascii="Myriad Web Pro" w:hAnsi="Myriad Web Pro" w:cs="Times New Roman"/>
          <w:color w:val="FF0000"/>
          <w:sz w:val="18"/>
          <w:szCs w:val="18"/>
        </w:rPr>
        <w:t>)</w:t>
      </w:r>
      <w:r w:rsidR="006F72C2" w:rsidRPr="00B21DCF">
        <w:rPr>
          <w:rFonts w:ascii="Myriad Web Pro" w:hAnsi="Myriad Web Pro" w:cs="Times New Roman"/>
          <w:color w:val="FF0000"/>
          <w:sz w:val="18"/>
          <w:szCs w:val="18"/>
        </w:rPr>
        <w:t xml:space="preserve"> with coding consequences according to Variant Effect Predictor:  square = non-deleterious, inverted triangle = stop-gain, triangle = missense, diamond = splice region.</w:t>
      </w:r>
    </w:p>
    <w:p w:rsidR="00B966A5" w:rsidRPr="006313F0" w:rsidRDefault="000E491D" w:rsidP="00B966A5">
      <w:pPr>
        <w:tabs>
          <w:tab w:val="left" w:pos="1035"/>
        </w:tabs>
        <w:rPr>
          <w:rFonts w:ascii="Myriad Web Pro" w:hAnsi="Myriad Web Pro"/>
          <w:b/>
          <w:sz w:val="18"/>
          <w:szCs w:val="18"/>
        </w:rPr>
      </w:pPr>
      <w:r w:rsidRPr="006313F0">
        <w:rPr>
          <w:rFonts w:ascii="Myriad Web Pro" w:hAnsi="Myriad Web Pro"/>
          <w:b/>
          <w:noProof/>
          <w:sz w:val="18"/>
          <w:szCs w:val="18"/>
          <w:lang w:eastAsia="en-GB"/>
        </w:rPr>
        <w:lastRenderedPageBreak/>
        <w:drawing>
          <wp:anchor distT="0" distB="0" distL="114300" distR="114300" simplePos="0" relativeHeight="251659264" behindDoc="1" locked="0" layoutInCell="1" allowOverlap="1" wp14:anchorId="16BF5BA0" wp14:editId="462AD793">
            <wp:simplePos x="0" y="0"/>
            <wp:positionH relativeFrom="column">
              <wp:posOffset>-474980</wp:posOffset>
            </wp:positionH>
            <wp:positionV relativeFrom="paragraph">
              <wp:posOffset>-454025</wp:posOffset>
            </wp:positionV>
            <wp:extent cx="6659880" cy="6868795"/>
            <wp:effectExtent l="0" t="0" r="7620" b="8255"/>
            <wp:wrapTight wrapText="bothSides">
              <wp:wrapPolygon edited="0">
                <wp:start x="0" y="0"/>
                <wp:lineTo x="0" y="21566"/>
                <wp:lineTo x="21563" y="21566"/>
                <wp:lineTo x="21563" y="0"/>
                <wp:lineTo x="0" y="0"/>
              </wp:wrapPolygon>
            </wp:wrapTight>
            <wp:docPr id="3" name="Picture 3" descr="C:\Users\djw98\AppData\Local\Temp\scp05589\genetics\data\GWA\Robert\data\Biobank\handgrip\adj_ht_bmi\DW\LZ_Regional_Plots\Plots_Proxies_Annotated\Filtered_LZ_Plots\RegionalPlots_Combined_2_August20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C:\Users\djw98\AppData\Local\Temp\scp05589\genetics\data\GWA\Robert\data\Biobank\handgrip\adj_ht_bmi\DW\LZ_Regional_Plots\Plots_Proxies_Annotated\Filtered_LZ_Plots\RegionalPlots_Combined_2_August2016.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659880" cy="6868795"/>
                    </a:xfrm>
                    <a:prstGeom prst="rect">
                      <a:avLst/>
                    </a:prstGeom>
                    <a:noFill/>
                    <a:extLst/>
                  </pic:spPr>
                </pic:pic>
              </a:graphicData>
            </a:graphic>
            <wp14:sizeRelH relativeFrom="page">
              <wp14:pctWidth>0</wp14:pctWidth>
            </wp14:sizeRelH>
            <wp14:sizeRelV relativeFrom="page">
              <wp14:pctHeight>0</wp14:pctHeight>
            </wp14:sizeRelV>
          </wp:anchor>
        </w:drawing>
      </w:r>
    </w:p>
    <w:p w:rsidR="000E491D" w:rsidRPr="006313F0" w:rsidRDefault="006F72C2" w:rsidP="000E491D">
      <w:pPr>
        <w:rPr>
          <w:rFonts w:ascii="Myriad Web Pro" w:hAnsi="Myriad Web Pro" w:cs="Times New Roman"/>
          <w:b/>
          <w:sz w:val="18"/>
          <w:szCs w:val="18"/>
        </w:rPr>
      </w:pPr>
      <w:r>
        <w:rPr>
          <w:rFonts w:ascii="Myriad Web Pro" w:hAnsi="Myriad Web Pro" w:cs="Times New Roman"/>
          <w:b/>
          <w:sz w:val="18"/>
          <w:szCs w:val="18"/>
        </w:rPr>
        <w:t>Supplementary Figure 2</w:t>
      </w:r>
      <w:r w:rsidR="000E491D" w:rsidRPr="006313F0">
        <w:rPr>
          <w:rFonts w:ascii="Myriad Web Pro" w:hAnsi="Myriad Web Pro" w:cs="Times New Roman"/>
          <w:b/>
          <w:sz w:val="18"/>
          <w:szCs w:val="18"/>
        </w:rPr>
        <w:t xml:space="preserve"> (2 of 3)</w:t>
      </w:r>
    </w:p>
    <w:p w:rsidR="000E491D" w:rsidRPr="00B21DCF" w:rsidRDefault="000E491D" w:rsidP="000E491D">
      <w:pPr>
        <w:rPr>
          <w:rFonts w:ascii="Myriad Web Pro" w:hAnsi="Myriad Web Pro" w:cs="Times New Roman"/>
          <w:color w:val="FF0000"/>
          <w:sz w:val="18"/>
          <w:szCs w:val="18"/>
        </w:rPr>
      </w:pPr>
      <w:r w:rsidRPr="006313F0">
        <w:rPr>
          <w:rFonts w:ascii="Myriad Web Pro" w:hAnsi="Myriad Web Pro" w:cs="Times New Roman"/>
          <w:sz w:val="18"/>
          <w:szCs w:val="18"/>
        </w:rPr>
        <w:t>Regional association plots of sixteen loci reaching genome-wide significance in combined stage one and stage two analyses</w:t>
      </w:r>
      <w:r w:rsidR="006F72C2">
        <w:rPr>
          <w:rFonts w:ascii="Myriad Web Pro" w:hAnsi="Myriad Web Pro" w:cs="Times New Roman"/>
          <w:sz w:val="18"/>
          <w:szCs w:val="18"/>
        </w:rPr>
        <w:t xml:space="preserve">.  </w:t>
      </w:r>
      <w:r w:rsidR="006F72C2" w:rsidRPr="00B21DCF">
        <w:rPr>
          <w:rFonts w:ascii="Myriad Web Pro" w:hAnsi="Myriad Web Pro" w:cs="Times New Roman"/>
          <w:color w:val="FF0000"/>
          <w:sz w:val="18"/>
          <w:szCs w:val="18"/>
        </w:rPr>
        <w:t xml:space="preserve">Outlined plot symbols </w:t>
      </w:r>
      <w:r w:rsidR="000A3344" w:rsidRPr="00B21DCF">
        <w:rPr>
          <w:rFonts w:ascii="Myriad Web Pro" w:hAnsi="Myriad Web Pro" w:cs="Times New Roman"/>
          <w:color w:val="FF0000"/>
          <w:sz w:val="18"/>
          <w:szCs w:val="18"/>
        </w:rPr>
        <w:t>denote a suggestive variant (p&lt;5×10</w:t>
      </w:r>
      <w:r w:rsidR="000A3344" w:rsidRPr="00B21DCF">
        <w:rPr>
          <w:rFonts w:ascii="Myriad Web Pro" w:hAnsi="Myriad Web Pro" w:cs="Times New Roman"/>
          <w:color w:val="FF0000"/>
          <w:sz w:val="18"/>
          <w:szCs w:val="18"/>
          <w:vertAlign w:val="superscript"/>
        </w:rPr>
        <w:t>-6</w:t>
      </w:r>
      <w:r w:rsidR="000A3344" w:rsidRPr="00B21DCF">
        <w:rPr>
          <w:rFonts w:ascii="Myriad Web Pro" w:hAnsi="Myriad Web Pro" w:cs="Times New Roman"/>
          <w:color w:val="FF0000"/>
          <w:sz w:val="18"/>
          <w:szCs w:val="18"/>
        </w:rPr>
        <w:t xml:space="preserve">) </w:t>
      </w:r>
      <w:r w:rsidR="006F72C2" w:rsidRPr="00B21DCF">
        <w:rPr>
          <w:rFonts w:ascii="Myriad Web Pro" w:hAnsi="Myriad Web Pro" w:cs="Times New Roman"/>
          <w:color w:val="FF0000"/>
          <w:sz w:val="18"/>
          <w:szCs w:val="18"/>
        </w:rPr>
        <w:t>with coding consequences according to Variant Effect Predictor:  square = non-deleterious, inverted triangle = stop-gain, triangle = missense, diamond = splice region.</w:t>
      </w:r>
    </w:p>
    <w:p w:rsidR="00B966A5" w:rsidRPr="006313F0" w:rsidRDefault="00B966A5" w:rsidP="00B966A5">
      <w:pPr>
        <w:rPr>
          <w:rFonts w:ascii="Myriad Web Pro" w:hAnsi="Myriad Web Pro"/>
          <w:sz w:val="18"/>
          <w:szCs w:val="18"/>
        </w:rPr>
      </w:pPr>
    </w:p>
    <w:p w:rsidR="00B966A5" w:rsidRPr="006313F0" w:rsidRDefault="00B966A5" w:rsidP="00B966A5">
      <w:pPr>
        <w:rPr>
          <w:rFonts w:ascii="Myriad Web Pro" w:hAnsi="Myriad Web Pro"/>
          <w:sz w:val="18"/>
          <w:szCs w:val="18"/>
        </w:rPr>
      </w:pPr>
    </w:p>
    <w:p w:rsidR="00B966A5" w:rsidRPr="006313F0" w:rsidRDefault="00B966A5" w:rsidP="00B966A5">
      <w:pPr>
        <w:rPr>
          <w:rFonts w:ascii="Myriad Web Pro" w:hAnsi="Myriad Web Pro"/>
          <w:sz w:val="18"/>
          <w:szCs w:val="18"/>
        </w:rPr>
      </w:pPr>
    </w:p>
    <w:p w:rsidR="00B966A5" w:rsidRPr="006313F0" w:rsidRDefault="00B966A5" w:rsidP="00B966A5">
      <w:pPr>
        <w:rPr>
          <w:rFonts w:ascii="Myriad Web Pro" w:hAnsi="Myriad Web Pro"/>
          <w:sz w:val="18"/>
          <w:szCs w:val="18"/>
        </w:rPr>
      </w:pPr>
    </w:p>
    <w:p w:rsidR="000E491D" w:rsidRPr="006313F0" w:rsidRDefault="000E491D" w:rsidP="000E491D">
      <w:pPr>
        <w:rPr>
          <w:rFonts w:ascii="Myriad Web Pro" w:hAnsi="Myriad Web Pro"/>
          <w:sz w:val="18"/>
          <w:szCs w:val="18"/>
        </w:rPr>
      </w:pPr>
      <w:r w:rsidRPr="006313F0">
        <w:rPr>
          <w:rFonts w:ascii="Myriad Web Pro" w:hAnsi="Myriad Web Pro"/>
          <w:noProof/>
          <w:sz w:val="18"/>
          <w:szCs w:val="18"/>
          <w:lang w:eastAsia="en-GB"/>
        </w:rPr>
        <w:lastRenderedPageBreak/>
        <w:drawing>
          <wp:anchor distT="0" distB="0" distL="114300" distR="114300" simplePos="0" relativeHeight="251660288" behindDoc="1" locked="0" layoutInCell="1" allowOverlap="1" wp14:anchorId="749D030F" wp14:editId="468B3C6D">
            <wp:simplePos x="0" y="0"/>
            <wp:positionH relativeFrom="column">
              <wp:posOffset>-546735</wp:posOffset>
            </wp:positionH>
            <wp:positionV relativeFrom="paragraph">
              <wp:posOffset>-406400</wp:posOffset>
            </wp:positionV>
            <wp:extent cx="6660515" cy="4674870"/>
            <wp:effectExtent l="0" t="0" r="6985" b="0"/>
            <wp:wrapTight wrapText="bothSides">
              <wp:wrapPolygon edited="0">
                <wp:start x="0" y="0"/>
                <wp:lineTo x="0" y="21477"/>
                <wp:lineTo x="21561" y="21477"/>
                <wp:lineTo x="21561" y="0"/>
                <wp:lineTo x="0" y="0"/>
              </wp:wrapPolygon>
            </wp:wrapTight>
            <wp:docPr id="4" name="Picture 4" descr="C:\Users\djw98\AppData\Local\Temp\scp09546\genetics\data\GWA\Robert\data\Biobank\handgrip\adj_ht_bmi\DW\LZ_Regional_Plots\Plots_Proxies_Annotated\Filtered_LZ_Plots\RegionalPlots_Combined_3_August20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C:\Users\djw98\AppData\Local\Temp\scp09546\genetics\data\GWA\Robert\data\Biobank\handgrip\adj_ht_bmi\DW\LZ_Regional_Plots\Plots_Proxies_Annotated\Filtered_LZ_Plots\RegionalPlots_Combined_3_August2016.pn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b="31944"/>
                    <a:stretch/>
                  </pic:blipFill>
                  <pic:spPr bwMode="auto">
                    <a:xfrm>
                      <a:off x="0" y="0"/>
                      <a:ext cx="6660515" cy="467487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0E491D" w:rsidRPr="006313F0" w:rsidRDefault="006F72C2" w:rsidP="000E491D">
      <w:pPr>
        <w:rPr>
          <w:rFonts w:ascii="Myriad Web Pro" w:hAnsi="Myriad Web Pro" w:cs="Times New Roman"/>
          <w:b/>
          <w:sz w:val="18"/>
          <w:szCs w:val="18"/>
        </w:rPr>
      </w:pPr>
      <w:r>
        <w:rPr>
          <w:rFonts w:ascii="Myriad Web Pro" w:hAnsi="Myriad Web Pro" w:cs="Times New Roman"/>
          <w:b/>
          <w:sz w:val="18"/>
          <w:szCs w:val="18"/>
        </w:rPr>
        <w:t>Supplementary Figure 2</w:t>
      </w:r>
      <w:r w:rsidR="000E491D" w:rsidRPr="006313F0">
        <w:rPr>
          <w:rFonts w:ascii="Myriad Web Pro" w:hAnsi="Myriad Web Pro" w:cs="Times New Roman"/>
          <w:b/>
          <w:sz w:val="18"/>
          <w:szCs w:val="18"/>
        </w:rPr>
        <w:t xml:space="preserve"> (3 of 3)</w:t>
      </w:r>
    </w:p>
    <w:p w:rsidR="000E491D" w:rsidRPr="00B21DCF" w:rsidRDefault="000E491D" w:rsidP="000E491D">
      <w:pPr>
        <w:rPr>
          <w:rFonts w:ascii="Myriad Web Pro" w:hAnsi="Myriad Web Pro" w:cs="Times New Roman"/>
          <w:color w:val="FF0000"/>
          <w:sz w:val="18"/>
          <w:szCs w:val="18"/>
        </w:rPr>
      </w:pPr>
      <w:r w:rsidRPr="006313F0">
        <w:rPr>
          <w:rFonts w:ascii="Myriad Web Pro" w:hAnsi="Myriad Web Pro" w:cs="Times New Roman"/>
          <w:sz w:val="18"/>
          <w:szCs w:val="18"/>
        </w:rPr>
        <w:t>Regional association plots of sixteen loci reaching genome-wide significance in combined stage one and stage two analyses</w:t>
      </w:r>
      <w:r w:rsidR="006F72C2" w:rsidRPr="00B21DCF">
        <w:rPr>
          <w:rFonts w:ascii="Myriad Web Pro" w:hAnsi="Myriad Web Pro" w:cs="Times New Roman"/>
          <w:color w:val="FF0000"/>
          <w:sz w:val="18"/>
          <w:szCs w:val="18"/>
        </w:rPr>
        <w:t>.  Outlin</w:t>
      </w:r>
      <w:r w:rsidR="000A3344" w:rsidRPr="00B21DCF">
        <w:rPr>
          <w:rFonts w:ascii="Myriad Web Pro" w:hAnsi="Myriad Web Pro" w:cs="Times New Roman"/>
          <w:color w:val="FF0000"/>
          <w:sz w:val="18"/>
          <w:szCs w:val="18"/>
        </w:rPr>
        <w:t>ed plot symbols denote a suggestive variant (p&lt;5×10</w:t>
      </w:r>
      <w:r w:rsidR="000A3344" w:rsidRPr="00B21DCF">
        <w:rPr>
          <w:rFonts w:ascii="Myriad Web Pro" w:hAnsi="Myriad Web Pro" w:cs="Times New Roman"/>
          <w:color w:val="FF0000"/>
          <w:sz w:val="18"/>
          <w:szCs w:val="18"/>
          <w:vertAlign w:val="superscript"/>
        </w:rPr>
        <w:t>-6</w:t>
      </w:r>
      <w:r w:rsidR="000A3344" w:rsidRPr="00B21DCF">
        <w:rPr>
          <w:rFonts w:ascii="Myriad Web Pro" w:hAnsi="Myriad Web Pro" w:cs="Times New Roman"/>
          <w:color w:val="FF0000"/>
          <w:sz w:val="18"/>
          <w:szCs w:val="18"/>
        </w:rPr>
        <w:t>)</w:t>
      </w:r>
      <w:r w:rsidR="006F72C2" w:rsidRPr="00B21DCF">
        <w:rPr>
          <w:rFonts w:ascii="Myriad Web Pro" w:hAnsi="Myriad Web Pro" w:cs="Times New Roman"/>
          <w:color w:val="FF0000"/>
          <w:sz w:val="18"/>
          <w:szCs w:val="18"/>
        </w:rPr>
        <w:t xml:space="preserve"> with coding consequences according to Variant Effect Predictor:  square = non-deleterious, inverted triangle = stop-gain, triangle = missense, diamond = splice region.</w:t>
      </w:r>
    </w:p>
    <w:p w:rsidR="00B966A5" w:rsidRPr="006313F0" w:rsidRDefault="00B966A5" w:rsidP="00B966A5">
      <w:pPr>
        <w:rPr>
          <w:rFonts w:ascii="Myriad Web Pro" w:hAnsi="Myriad Web Pro"/>
          <w:sz w:val="18"/>
          <w:szCs w:val="18"/>
        </w:rPr>
      </w:pPr>
    </w:p>
    <w:p w:rsidR="00B966A5" w:rsidRPr="006313F0" w:rsidRDefault="00B966A5" w:rsidP="00B966A5">
      <w:pPr>
        <w:rPr>
          <w:rFonts w:ascii="Myriad Web Pro" w:hAnsi="Myriad Web Pro"/>
          <w:sz w:val="18"/>
          <w:szCs w:val="18"/>
        </w:rPr>
      </w:pPr>
    </w:p>
    <w:p w:rsidR="00B966A5" w:rsidRPr="006313F0" w:rsidRDefault="00B966A5" w:rsidP="00B966A5">
      <w:pPr>
        <w:rPr>
          <w:rFonts w:ascii="Myriad Web Pro" w:hAnsi="Myriad Web Pro"/>
          <w:sz w:val="18"/>
          <w:szCs w:val="18"/>
        </w:rPr>
      </w:pPr>
    </w:p>
    <w:p w:rsidR="00B966A5" w:rsidRPr="006313F0" w:rsidRDefault="00B966A5" w:rsidP="00B966A5">
      <w:pPr>
        <w:rPr>
          <w:rFonts w:ascii="Myriad Web Pro" w:hAnsi="Myriad Web Pro"/>
          <w:sz w:val="18"/>
          <w:szCs w:val="18"/>
        </w:rPr>
      </w:pPr>
    </w:p>
    <w:p w:rsidR="00B966A5" w:rsidRPr="006313F0" w:rsidRDefault="00B966A5" w:rsidP="00B966A5">
      <w:pPr>
        <w:rPr>
          <w:rFonts w:ascii="Myriad Web Pro" w:hAnsi="Myriad Web Pro"/>
          <w:sz w:val="18"/>
          <w:szCs w:val="18"/>
        </w:rPr>
      </w:pPr>
    </w:p>
    <w:p w:rsidR="00B966A5" w:rsidRPr="006313F0" w:rsidRDefault="00B966A5" w:rsidP="00B966A5">
      <w:pPr>
        <w:rPr>
          <w:rFonts w:ascii="Myriad Web Pro" w:hAnsi="Myriad Web Pro"/>
          <w:sz w:val="18"/>
          <w:szCs w:val="18"/>
        </w:rPr>
      </w:pPr>
    </w:p>
    <w:p w:rsidR="00B966A5" w:rsidRPr="006313F0" w:rsidRDefault="00B966A5" w:rsidP="00B966A5">
      <w:pPr>
        <w:rPr>
          <w:rFonts w:ascii="Myriad Web Pro" w:hAnsi="Myriad Web Pro"/>
          <w:sz w:val="18"/>
          <w:szCs w:val="18"/>
        </w:rPr>
      </w:pPr>
    </w:p>
    <w:p w:rsidR="00B966A5" w:rsidRPr="006313F0" w:rsidRDefault="00B966A5" w:rsidP="00B966A5">
      <w:pPr>
        <w:rPr>
          <w:rFonts w:ascii="Myriad Web Pro" w:hAnsi="Myriad Web Pro"/>
          <w:sz w:val="18"/>
          <w:szCs w:val="18"/>
        </w:rPr>
      </w:pPr>
    </w:p>
    <w:p w:rsidR="00B966A5" w:rsidRPr="006313F0" w:rsidRDefault="00B966A5" w:rsidP="00B966A5">
      <w:pPr>
        <w:rPr>
          <w:rFonts w:ascii="Myriad Web Pro" w:hAnsi="Myriad Web Pro"/>
          <w:sz w:val="18"/>
          <w:szCs w:val="18"/>
        </w:rPr>
      </w:pPr>
    </w:p>
    <w:p w:rsidR="00B966A5" w:rsidRPr="006313F0" w:rsidRDefault="00B966A5" w:rsidP="00B966A5">
      <w:pPr>
        <w:rPr>
          <w:rFonts w:ascii="Myriad Web Pro" w:hAnsi="Myriad Web Pro"/>
          <w:sz w:val="18"/>
          <w:szCs w:val="18"/>
        </w:rPr>
      </w:pPr>
    </w:p>
    <w:p w:rsidR="00B966A5" w:rsidRPr="006313F0" w:rsidRDefault="00B966A5" w:rsidP="00B966A5">
      <w:pPr>
        <w:rPr>
          <w:rFonts w:ascii="Myriad Web Pro" w:hAnsi="Myriad Web Pro"/>
          <w:sz w:val="18"/>
          <w:szCs w:val="18"/>
        </w:rPr>
      </w:pPr>
    </w:p>
    <w:p w:rsidR="00B966A5" w:rsidRPr="006313F0" w:rsidRDefault="00F01936" w:rsidP="00F01936">
      <w:pPr>
        <w:jc w:val="center"/>
        <w:rPr>
          <w:rFonts w:ascii="Myriad Web Pro" w:hAnsi="Myriad Web Pro"/>
          <w:sz w:val="18"/>
          <w:szCs w:val="18"/>
        </w:rPr>
      </w:pPr>
      <w:r w:rsidRPr="006313F0">
        <w:rPr>
          <w:rFonts w:ascii="Myriad Web Pro" w:hAnsi="Myriad Web Pro"/>
          <w:noProof/>
          <w:sz w:val="18"/>
          <w:szCs w:val="18"/>
          <w:lang w:eastAsia="en-GB"/>
        </w:rPr>
        <w:lastRenderedPageBreak/>
        <mc:AlternateContent>
          <mc:Choice Requires="wps">
            <w:drawing>
              <wp:anchor distT="0" distB="0" distL="114300" distR="114300" simplePos="0" relativeHeight="251662336" behindDoc="0" locked="0" layoutInCell="1" allowOverlap="1" wp14:anchorId="669A03AD" wp14:editId="3D8BFB22">
                <wp:simplePos x="0" y="0"/>
                <wp:positionH relativeFrom="column">
                  <wp:posOffset>700654</wp:posOffset>
                </wp:positionH>
                <wp:positionV relativeFrom="paragraph">
                  <wp:posOffset>635</wp:posOffset>
                </wp:positionV>
                <wp:extent cx="143510" cy="368935"/>
                <wp:effectExtent l="0" t="0" r="0" b="0"/>
                <wp:wrapNone/>
                <wp:docPr id="5" name="TextBox 1"/>
                <wp:cNvGraphicFramePr/>
                <a:graphic xmlns:a="http://schemas.openxmlformats.org/drawingml/2006/main">
                  <a:graphicData uri="http://schemas.microsoft.com/office/word/2010/wordprocessingShape">
                    <wps:wsp>
                      <wps:cNvSpPr txBox="1"/>
                      <wps:spPr>
                        <a:xfrm>
                          <a:off x="0" y="0"/>
                          <a:ext cx="143510" cy="368935"/>
                        </a:xfrm>
                        <a:prstGeom prst="rect">
                          <a:avLst/>
                        </a:prstGeom>
                        <a:noFill/>
                      </wps:spPr>
                      <wps:txbx>
                        <w:txbxContent>
                          <w:p w:rsidR="00F01936" w:rsidRDefault="00F01936" w:rsidP="00F01936">
                            <w:pPr>
                              <w:pStyle w:val="NormalWeb"/>
                              <w:spacing w:before="0" w:beforeAutospacing="0" w:after="0" w:afterAutospacing="0"/>
                            </w:pPr>
                            <w:proofErr w:type="gramStart"/>
                            <w:r>
                              <w:rPr>
                                <w:rFonts w:asciiTheme="minorHAnsi" w:hAnsi="Calibri" w:cstheme="minorBidi"/>
                                <w:color w:val="000000" w:themeColor="text1"/>
                                <w:kern w:val="24"/>
                                <w:sz w:val="36"/>
                                <w:szCs w:val="36"/>
                              </w:rPr>
                              <w:t>a</w:t>
                            </w:r>
                            <w:proofErr w:type="gramEnd"/>
                          </w:p>
                        </w:txbxContent>
                      </wps:txbx>
                      <wps:bodyPr wrap="square" rtlCol="0">
                        <a:spAutoFit/>
                      </wps:bodyPr>
                    </wps:wsp>
                  </a:graphicData>
                </a:graphic>
              </wp:anchor>
            </w:drawing>
          </mc:Choice>
          <mc:Fallback>
            <w:pict>
              <v:shape w14:anchorId="669A03AD" id="TextBox 1" o:spid="_x0000_s1029" type="#_x0000_t202" style="position:absolute;left:0;text-align:left;margin-left:55.15pt;margin-top:.05pt;width:11.3pt;height:29.05pt;z-index:2516623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" filled="f" stroked="f">
                <v:textbox style="mso-fit-shape-to-text:t">
                  <w:txbxContent>
                    <w:p w:rsidR="00F01936" w:rsidRDefault="00F01936" w:rsidP="00F01936">
                      <w:pPr>
                        <w:pStyle w:val="NormalWeb"/>
                        <w:spacing w:before="0" w:beforeAutospacing="0" w:after="0" w:afterAutospacing="0"/>
                      </w:pPr>
                      <w:proofErr w:type="gramStart"/>
                      <w:r>
                        <w:rPr>
                          <w:rFonts w:asciiTheme="minorHAnsi" w:hAnsi="Calibri" w:cstheme="minorBidi"/>
                          <w:color w:val="000000" w:themeColor="text1"/>
                          <w:kern w:val="24"/>
                          <w:sz w:val="36"/>
                          <w:szCs w:val="36"/>
                        </w:rPr>
                        <w:t>a</w:t>
                      </w:r>
                      <w:proofErr w:type="gramEnd"/>
                    </w:p>
                  </w:txbxContent>
                </v:textbox>
              </v:shape>
            </w:pict>
          </mc:Fallback>
        </mc:AlternateContent>
      </w:r>
      <w:r w:rsidRPr="006313F0">
        <w:rPr>
          <w:rFonts w:ascii="Myriad Web Pro" w:hAnsi="Myriad Web Pro"/>
          <w:noProof/>
          <w:sz w:val="18"/>
          <w:szCs w:val="18"/>
          <w:lang w:eastAsia="en-GB"/>
        </w:rPr>
        <w:t xml:space="preserve"> </w:t>
      </w:r>
      <w:r w:rsidRPr="006313F0">
        <w:rPr>
          <w:rFonts w:ascii="Myriad Web Pro" w:hAnsi="Myriad Web Pro"/>
          <w:noProof/>
          <w:sz w:val="18"/>
          <w:szCs w:val="18"/>
          <w:lang w:eastAsia="en-GB"/>
        </w:rPr>
        <w:drawing>
          <wp:inline distT="0" distB="0" distL="0" distR="0" wp14:anchorId="3E2E27C9" wp14:editId="0BB91B18">
            <wp:extent cx="4332575" cy="3155826"/>
            <wp:effectExtent l="0" t="0" r="0" b="6985"/>
            <wp:docPr id="4098" name="Picture 2" descr="V:\Programme1_DiabetesAetiology\People\Robert\Data analysis\BioBank\Results\Handgrip\Paper\PAPER_MOST_RECENT\Supplementary Figures\Supplementary Figure X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8" name="Picture 2" descr="V:\Programme1_DiabetesAetiology\People\Robert\Data analysis\BioBank\Results\Handgrip\Paper\PAPER_MOST_RECENT\Supplementary Figures\Supplementary Figure X1.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332575" cy="3155826"/>
                    </a:xfrm>
                    <a:prstGeom prst="rect">
                      <a:avLst/>
                    </a:prstGeom>
                    <a:noFill/>
                    <a:extLst>
                      <a:ext uri="{909E8E84-426E-40DD-AFC4-6F175D3DCCD1}">
                        <a14:hiddenFill xmlns:a14="http://schemas.microsoft.com/office/drawing/2010/main">
                          <a:solidFill>
                            <a:srgbClr val="FFFFFF"/>
                          </a:solidFill>
                        </a14:hiddenFill>
                      </a:ext>
                    </a:extLst>
                  </pic:spPr>
                </pic:pic>
              </a:graphicData>
            </a:graphic>
          </wp:inline>
        </w:drawing>
      </w:r>
      <w:r w:rsidRPr="006313F0">
        <w:rPr>
          <w:rFonts w:ascii="Myriad Web Pro" w:hAnsi="Myriad Web Pro"/>
          <w:noProof/>
          <w:sz w:val="18"/>
          <w:szCs w:val="18"/>
          <w:lang w:eastAsia="en-GB"/>
        </w:rPr>
        <w:t xml:space="preserve"> </w:t>
      </w:r>
    </w:p>
    <w:p w:rsidR="00B966A5" w:rsidRPr="006313F0" w:rsidRDefault="00F01936" w:rsidP="00F01936">
      <w:pPr>
        <w:tabs>
          <w:tab w:val="left" w:pos="2229"/>
        </w:tabs>
        <w:jc w:val="center"/>
        <w:rPr>
          <w:rFonts w:ascii="Myriad Web Pro" w:hAnsi="Myriad Web Pro"/>
          <w:sz w:val="18"/>
          <w:szCs w:val="18"/>
        </w:rPr>
      </w:pPr>
      <w:r w:rsidRPr="006313F0">
        <w:rPr>
          <w:rFonts w:ascii="Myriad Web Pro" w:hAnsi="Myriad Web Pro"/>
          <w:noProof/>
          <w:sz w:val="18"/>
          <w:szCs w:val="18"/>
          <w:lang w:eastAsia="en-GB"/>
        </w:rPr>
        <mc:AlternateContent>
          <mc:Choice Requires="wps">
            <w:drawing>
              <wp:anchor distT="0" distB="0" distL="114300" distR="114300" simplePos="0" relativeHeight="251664384" behindDoc="0" locked="0" layoutInCell="1" allowOverlap="1" wp14:anchorId="57512FB9" wp14:editId="60A0BB66">
                <wp:simplePos x="0" y="0"/>
                <wp:positionH relativeFrom="column">
                  <wp:posOffset>691763</wp:posOffset>
                </wp:positionH>
                <wp:positionV relativeFrom="paragraph">
                  <wp:posOffset>994</wp:posOffset>
                </wp:positionV>
                <wp:extent cx="262394" cy="368935"/>
                <wp:effectExtent l="0" t="0" r="0" b="0"/>
                <wp:wrapNone/>
                <wp:docPr id="6" name="TextBox 1"/>
                <wp:cNvGraphicFramePr/>
                <a:graphic xmlns:a="http://schemas.openxmlformats.org/drawingml/2006/main">
                  <a:graphicData uri="http://schemas.microsoft.com/office/word/2010/wordprocessingShape">
                    <wps:wsp>
                      <wps:cNvSpPr txBox="1"/>
                      <wps:spPr>
                        <a:xfrm>
                          <a:off x="0" y="0"/>
                          <a:ext cx="262394" cy="368935"/>
                        </a:xfrm>
                        <a:prstGeom prst="rect">
                          <a:avLst/>
                        </a:prstGeom>
                        <a:noFill/>
                      </wps:spPr>
                      <wps:txbx>
                        <w:txbxContent>
                          <w:p w:rsidR="00F01936" w:rsidRDefault="00F01936" w:rsidP="00F01936">
                            <w:pPr>
                              <w:pStyle w:val="NormalWeb"/>
                              <w:spacing w:before="0" w:beforeAutospacing="0" w:after="0" w:afterAutospacing="0"/>
                            </w:pPr>
                            <w:proofErr w:type="gramStart"/>
                            <w:r>
                              <w:rPr>
                                <w:rFonts w:asciiTheme="minorHAnsi" w:hAnsi="Calibri" w:cstheme="minorBidi"/>
                                <w:color w:val="000000" w:themeColor="text1"/>
                                <w:kern w:val="24"/>
                                <w:sz w:val="36"/>
                                <w:szCs w:val="36"/>
                              </w:rPr>
                              <w:t>b</w:t>
                            </w:r>
                            <w:proofErr w:type="gramEnd"/>
                          </w:p>
                        </w:txbxContent>
                      </wps:txbx>
                      <wps:bodyPr wrap="square" rtlCol="0">
                        <a:spAutoFit/>
                      </wps:bodyPr>
                    </wps:wsp>
                  </a:graphicData>
                </a:graphic>
                <wp14:sizeRelH relativeFrom="margin">
                  <wp14:pctWidth>0</wp14:pctWidth>
                </wp14:sizeRelH>
              </wp:anchor>
            </w:drawing>
          </mc:Choice>
          <mc:Fallback>
            <w:pict>
              <v:shape w14:anchorId="57512FB9" id="_x0000_s1030" type="#_x0000_t202" style="position:absolute;left:0;text-align:left;margin-left:54.45pt;margin-top:.1pt;width:20.65pt;height:29.05pt;z-index:2516643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" filled="f" stroked="f">
                <v:textbox style="mso-fit-shape-to-text:t">
                  <w:txbxContent>
                    <w:p w:rsidR="00F01936" w:rsidRDefault="00F01936" w:rsidP="00F01936">
                      <w:pPr>
                        <w:pStyle w:val="NormalWeb"/>
                        <w:spacing w:before="0" w:beforeAutospacing="0" w:after="0" w:afterAutospacing="0"/>
                      </w:pPr>
                      <w:proofErr w:type="gramStart"/>
                      <w:r>
                        <w:rPr>
                          <w:rFonts w:asciiTheme="minorHAnsi" w:hAnsi="Calibri" w:cstheme="minorBidi"/>
                          <w:color w:val="000000" w:themeColor="text1"/>
                          <w:kern w:val="24"/>
                          <w:sz w:val="36"/>
                          <w:szCs w:val="36"/>
                        </w:rPr>
                        <w:t>b</w:t>
                      </w:r>
                      <w:proofErr w:type="gramEnd"/>
                    </w:p>
                  </w:txbxContent>
                </v:textbox>
              </v:shape>
            </w:pict>
          </mc:Fallback>
        </mc:AlternateContent>
      </w:r>
      <w:r w:rsidRPr="006313F0">
        <w:rPr>
          <w:rFonts w:ascii="Myriad Web Pro" w:hAnsi="Myriad Web Pro"/>
          <w:noProof/>
          <w:sz w:val="18"/>
          <w:szCs w:val="18"/>
          <w:lang w:eastAsia="en-GB"/>
        </w:rPr>
        <w:drawing>
          <wp:inline distT="0" distB="0" distL="0" distR="0" wp14:anchorId="1142272D" wp14:editId="31E5AB23">
            <wp:extent cx="4332574" cy="3155826"/>
            <wp:effectExtent l="0" t="0" r="0" b="6985"/>
            <wp:docPr id="4099" name="Picture 3" descr="V:\Programme1_DiabetesAetiology\People\Robert\Data analysis\BioBank\Results\Handgrip\Paper\PAPER_MOST_RECENT\Supplementary Figures\Supplementary Figure X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9" name="Picture 3" descr="V:\Programme1_DiabetesAetiology\People\Robert\Data analysis\BioBank\Results\Handgrip\Paper\PAPER_MOST_RECENT\Supplementary Figures\Supplementary Figure X2.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332574" cy="3155826"/>
                    </a:xfrm>
                    <a:prstGeom prst="rect">
                      <a:avLst/>
                    </a:prstGeom>
                    <a:noFill/>
                    <a:extLst>
                      <a:ext uri="{909E8E84-426E-40DD-AFC4-6F175D3DCCD1}">
                        <a14:hiddenFill xmlns:a14="http://schemas.microsoft.com/office/drawing/2010/main">
                          <a:solidFill>
                            <a:srgbClr val="FFFFFF"/>
                          </a:solidFill>
                        </a14:hiddenFill>
                      </a:ext>
                    </a:extLst>
                  </pic:spPr>
                </pic:pic>
              </a:graphicData>
            </a:graphic>
          </wp:inline>
        </w:drawing>
      </w:r>
    </w:p>
    <w:p w:rsidR="00B966A5" w:rsidRPr="006313F0" w:rsidRDefault="00B966A5" w:rsidP="00B966A5">
      <w:pPr>
        <w:rPr>
          <w:rFonts w:ascii="Myriad Web Pro" w:hAnsi="Myriad Web Pro"/>
          <w:sz w:val="18"/>
          <w:szCs w:val="18"/>
        </w:rPr>
      </w:pPr>
    </w:p>
    <w:p w:rsidR="00B966A5" w:rsidRPr="006313F0" w:rsidRDefault="006F72C2" w:rsidP="00B966A5">
      <w:pPr>
        <w:rPr>
          <w:rFonts w:ascii="Myriad Web Pro" w:hAnsi="Myriad Web Pro" w:cs="Times New Roman"/>
          <w:b/>
          <w:sz w:val="18"/>
          <w:szCs w:val="18"/>
        </w:rPr>
      </w:pPr>
      <w:r>
        <w:rPr>
          <w:rFonts w:ascii="Myriad Web Pro" w:hAnsi="Myriad Web Pro" w:cs="Times New Roman"/>
          <w:b/>
          <w:sz w:val="18"/>
          <w:szCs w:val="18"/>
        </w:rPr>
        <w:t>Supplementary Figure 3</w:t>
      </w:r>
    </w:p>
    <w:p w:rsidR="00F01936" w:rsidRPr="006313F0" w:rsidRDefault="00F01936" w:rsidP="00B966A5">
      <w:pPr>
        <w:rPr>
          <w:rFonts w:ascii="Myriad Web Pro" w:hAnsi="Myriad Web Pro" w:cs="Times New Roman"/>
          <w:sz w:val="18"/>
          <w:szCs w:val="18"/>
        </w:rPr>
      </w:pPr>
      <w:r w:rsidRPr="006313F0">
        <w:rPr>
          <w:rFonts w:ascii="Myriad Web Pro" w:hAnsi="Myriad Web Pro" w:cs="Times New Roman"/>
          <w:sz w:val="18"/>
          <w:szCs w:val="18"/>
        </w:rPr>
        <w:t>Predicted mean grip strength by grip strength-increasing allele dosage at (a) rs2273555 (</w:t>
      </w:r>
      <w:r w:rsidRPr="006313F0">
        <w:rPr>
          <w:rFonts w:ascii="Myriad Web Pro" w:hAnsi="Myriad Web Pro" w:cs="Times New Roman"/>
          <w:i/>
          <w:sz w:val="18"/>
          <w:szCs w:val="18"/>
        </w:rPr>
        <w:t>GBF1</w:t>
      </w:r>
      <w:r w:rsidRPr="006313F0">
        <w:rPr>
          <w:rFonts w:ascii="Myriad Web Pro" w:hAnsi="Myriad Web Pro" w:cs="Times New Roman"/>
          <w:sz w:val="18"/>
          <w:szCs w:val="18"/>
        </w:rPr>
        <w:t>) and (b) rs10861798 (</w:t>
      </w:r>
      <w:r w:rsidRPr="006313F0">
        <w:rPr>
          <w:rFonts w:ascii="Myriad Web Pro" w:hAnsi="Myriad Web Pro" w:cs="Times New Roman"/>
          <w:i/>
          <w:sz w:val="18"/>
          <w:szCs w:val="18"/>
        </w:rPr>
        <w:t>SYT1</w:t>
      </w:r>
      <w:r w:rsidRPr="006313F0">
        <w:rPr>
          <w:rFonts w:ascii="Myriad Web Pro" w:hAnsi="Myriad Web Pro" w:cs="Times New Roman"/>
          <w:sz w:val="18"/>
          <w:szCs w:val="18"/>
        </w:rPr>
        <w:t>)</w:t>
      </w:r>
    </w:p>
    <w:p w:rsidR="00B966A5" w:rsidRPr="006313F0" w:rsidRDefault="00B966A5" w:rsidP="00B966A5">
      <w:pPr>
        <w:rPr>
          <w:rFonts w:ascii="Myriad Web Pro" w:hAnsi="Myriad Web Pro"/>
          <w:sz w:val="18"/>
          <w:szCs w:val="18"/>
        </w:rPr>
      </w:pPr>
    </w:p>
    <w:p w:rsidR="00B966A5" w:rsidRPr="006313F0" w:rsidRDefault="00B966A5" w:rsidP="00B966A5">
      <w:pPr>
        <w:rPr>
          <w:rFonts w:ascii="Myriad Web Pro" w:hAnsi="Myriad Web Pro"/>
          <w:sz w:val="18"/>
          <w:szCs w:val="18"/>
        </w:rPr>
      </w:pPr>
    </w:p>
    <w:p w:rsidR="00F01936" w:rsidRPr="006313F0" w:rsidRDefault="00F01936" w:rsidP="00B966A5">
      <w:pPr>
        <w:rPr>
          <w:rFonts w:ascii="Myriad Web Pro" w:hAnsi="Myriad Web Pro"/>
          <w:sz w:val="18"/>
          <w:szCs w:val="18"/>
        </w:rPr>
      </w:pPr>
    </w:p>
    <w:p w:rsidR="00F01936" w:rsidRPr="006313F0" w:rsidRDefault="00F01936" w:rsidP="00B966A5">
      <w:pPr>
        <w:rPr>
          <w:rFonts w:ascii="Myriad Web Pro" w:hAnsi="Myriad Web Pro"/>
          <w:sz w:val="18"/>
          <w:szCs w:val="18"/>
        </w:rPr>
      </w:pPr>
      <w:r w:rsidRPr="006313F0">
        <w:rPr>
          <w:rFonts w:ascii="Myriad Web Pro" w:hAnsi="Myriad Web Pro"/>
          <w:noProof/>
          <w:sz w:val="18"/>
          <w:szCs w:val="18"/>
          <w:lang w:eastAsia="en-GB"/>
        </w:rPr>
        <w:lastRenderedPageBreak/>
        <w:drawing>
          <wp:inline distT="0" distB="0" distL="0" distR="0" wp14:anchorId="52E3239F" wp14:editId="6EDA76A8">
            <wp:extent cx="5731510" cy="3223974"/>
            <wp:effectExtent l="0" t="0" r="2540" b="0"/>
            <wp:docPr id="5122" name="Picture 2" descr="V:\Programme1_DiabetesAetiology\People\Robert\Data analysis\BioBank\Results\Handgrip\Paper\PAPER_MOST_RECENT\For Robert_20May2016\Figure S3_Partitioned Heritabilit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2" name="Picture 2" descr="V:\Programme1_DiabetesAetiology\People\Robert\Data analysis\BioBank\Results\Handgrip\Paper\PAPER_MOST_RECENT\For Robert_20May2016\Figure S3_Partitioned Heritability.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31510" cy="3223974"/>
                    </a:xfrm>
                    <a:prstGeom prst="rect">
                      <a:avLst/>
                    </a:prstGeom>
                    <a:noFill/>
                    <a:extLst/>
                  </pic:spPr>
                </pic:pic>
              </a:graphicData>
            </a:graphic>
          </wp:inline>
        </w:drawing>
      </w:r>
    </w:p>
    <w:p w:rsidR="00F01936" w:rsidRPr="006313F0" w:rsidRDefault="00F01936" w:rsidP="00F01936">
      <w:pPr>
        <w:rPr>
          <w:rFonts w:ascii="Myriad Web Pro" w:hAnsi="Myriad Web Pro"/>
          <w:sz w:val="18"/>
          <w:szCs w:val="18"/>
        </w:rPr>
      </w:pPr>
    </w:p>
    <w:p w:rsidR="00F01936" w:rsidRPr="006313F0" w:rsidRDefault="006F72C2" w:rsidP="00F01936">
      <w:pPr>
        <w:rPr>
          <w:rFonts w:ascii="Myriad Web Pro" w:hAnsi="Myriad Web Pro" w:cs="Times New Roman"/>
          <w:b/>
          <w:sz w:val="18"/>
          <w:szCs w:val="18"/>
        </w:rPr>
      </w:pPr>
      <w:r>
        <w:rPr>
          <w:rFonts w:ascii="Myriad Web Pro" w:hAnsi="Myriad Web Pro" w:cs="Times New Roman"/>
          <w:b/>
          <w:sz w:val="18"/>
          <w:szCs w:val="18"/>
        </w:rPr>
        <w:t>Supplementary Figure 4</w:t>
      </w:r>
    </w:p>
    <w:p w:rsidR="00F01936" w:rsidRPr="006313F0" w:rsidRDefault="00F01936" w:rsidP="00F01936">
      <w:pPr>
        <w:rPr>
          <w:rFonts w:ascii="Myriad Web Pro" w:hAnsi="Myriad Web Pro" w:cs="Times New Roman"/>
          <w:sz w:val="18"/>
          <w:szCs w:val="18"/>
        </w:rPr>
      </w:pPr>
      <w:r w:rsidRPr="006313F0">
        <w:rPr>
          <w:rFonts w:ascii="Myriad Web Pro" w:hAnsi="Myriad Web Pro" w:cs="Times New Roman"/>
          <w:sz w:val="18"/>
          <w:szCs w:val="18"/>
        </w:rPr>
        <w:t>Tissue-specific partitioned heritability enrichment of grip strength associations across the genome</w:t>
      </w:r>
    </w:p>
    <w:p w:rsidR="00F01936" w:rsidRPr="006313F0" w:rsidRDefault="00F01936" w:rsidP="00F01936">
      <w:pPr>
        <w:rPr>
          <w:rFonts w:ascii="Myriad Web Pro" w:hAnsi="Myriad Web Pro" w:cs="Times New Roman"/>
          <w:sz w:val="18"/>
          <w:szCs w:val="18"/>
        </w:rPr>
      </w:pPr>
    </w:p>
    <w:p w:rsidR="00F01936" w:rsidRPr="006313F0" w:rsidRDefault="00F01936" w:rsidP="00F01936">
      <w:pPr>
        <w:rPr>
          <w:rFonts w:ascii="Myriad Web Pro" w:hAnsi="Myriad Web Pro" w:cs="Times New Roman"/>
          <w:sz w:val="18"/>
          <w:szCs w:val="18"/>
        </w:rPr>
      </w:pPr>
    </w:p>
    <w:p w:rsidR="00F01936" w:rsidRPr="006313F0" w:rsidRDefault="00F01936" w:rsidP="00F01936">
      <w:pPr>
        <w:rPr>
          <w:rFonts w:ascii="Myriad Web Pro" w:hAnsi="Myriad Web Pro" w:cs="Times New Roman"/>
          <w:sz w:val="18"/>
          <w:szCs w:val="18"/>
        </w:rPr>
      </w:pPr>
    </w:p>
    <w:p w:rsidR="00F01936" w:rsidRPr="006313F0" w:rsidRDefault="00F01936" w:rsidP="00F01936">
      <w:pPr>
        <w:rPr>
          <w:rFonts w:ascii="Myriad Web Pro" w:hAnsi="Myriad Web Pro" w:cs="Times New Roman"/>
          <w:sz w:val="18"/>
          <w:szCs w:val="18"/>
        </w:rPr>
      </w:pPr>
    </w:p>
    <w:p w:rsidR="00F01936" w:rsidRPr="006313F0" w:rsidRDefault="00F01936" w:rsidP="00F01936">
      <w:pPr>
        <w:rPr>
          <w:rFonts w:ascii="Myriad Web Pro" w:hAnsi="Myriad Web Pro" w:cs="Times New Roman"/>
          <w:sz w:val="18"/>
          <w:szCs w:val="18"/>
        </w:rPr>
      </w:pPr>
    </w:p>
    <w:p w:rsidR="00F01936" w:rsidRPr="006313F0" w:rsidRDefault="00F01936" w:rsidP="00F01936">
      <w:pPr>
        <w:rPr>
          <w:rFonts w:ascii="Myriad Web Pro" w:hAnsi="Myriad Web Pro" w:cs="Times New Roman"/>
          <w:sz w:val="18"/>
          <w:szCs w:val="18"/>
        </w:rPr>
      </w:pPr>
    </w:p>
    <w:p w:rsidR="00F01936" w:rsidRPr="006313F0" w:rsidRDefault="00F01936" w:rsidP="00F01936">
      <w:pPr>
        <w:rPr>
          <w:rFonts w:ascii="Myriad Web Pro" w:hAnsi="Myriad Web Pro" w:cs="Times New Roman"/>
          <w:sz w:val="18"/>
          <w:szCs w:val="18"/>
        </w:rPr>
      </w:pPr>
    </w:p>
    <w:p w:rsidR="00F01936" w:rsidRPr="006313F0" w:rsidRDefault="00F01936" w:rsidP="00F01936">
      <w:pPr>
        <w:rPr>
          <w:rFonts w:ascii="Myriad Web Pro" w:hAnsi="Myriad Web Pro" w:cs="Times New Roman"/>
          <w:sz w:val="18"/>
          <w:szCs w:val="18"/>
        </w:rPr>
      </w:pPr>
    </w:p>
    <w:p w:rsidR="00F01936" w:rsidRPr="006313F0" w:rsidRDefault="00F01936" w:rsidP="00F01936">
      <w:pPr>
        <w:rPr>
          <w:rFonts w:ascii="Myriad Web Pro" w:hAnsi="Myriad Web Pro" w:cs="Times New Roman"/>
          <w:sz w:val="18"/>
          <w:szCs w:val="18"/>
        </w:rPr>
      </w:pPr>
    </w:p>
    <w:p w:rsidR="00F01936" w:rsidRPr="006313F0" w:rsidRDefault="00F01936" w:rsidP="00F01936">
      <w:pPr>
        <w:rPr>
          <w:rFonts w:ascii="Myriad Web Pro" w:hAnsi="Myriad Web Pro" w:cs="Times New Roman"/>
          <w:sz w:val="18"/>
          <w:szCs w:val="18"/>
        </w:rPr>
      </w:pPr>
    </w:p>
    <w:p w:rsidR="00F01936" w:rsidRPr="006313F0" w:rsidRDefault="00F01936" w:rsidP="00F01936">
      <w:pPr>
        <w:rPr>
          <w:rFonts w:ascii="Myriad Web Pro" w:hAnsi="Myriad Web Pro" w:cs="Times New Roman"/>
          <w:sz w:val="18"/>
          <w:szCs w:val="18"/>
        </w:rPr>
      </w:pPr>
    </w:p>
    <w:p w:rsidR="00F01936" w:rsidRPr="006313F0" w:rsidRDefault="00F01936" w:rsidP="00F01936">
      <w:pPr>
        <w:rPr>
          <w:rFonts w:ascii="Myriad Web Pro" w:hAnsi="Myriad Web Pro" w:cs="Times New Roman"/>
          <w:sz w:val="18"/>
          <w:szCs w:val="18"/>
        </w:rPr>
      </w:pPr>
    </w:p>
    <w:p w:rsidR="00F01936" w:rsidRPr="006313F0" w:rsidRDefault="00F01936" w:rsidP="00F01936">
      <w:pPr>
        <w:rPr>
          <w:rFonts w:ascii="Myriad Web Pro" w:hAnsi="Myriad Web Pro" w:cs="Times New Roman"/>
          <w:sz w:val="18"/>
          <w:szCs w:val="18"/>
        </w:rPr>
      </w:pPr>
    </w:p>
    <w:p w:rsidR="00F01936" w:rsidRPr="006313F0" w:rsidRDefault="00F01936" w:rsidP="00F01936">
      <w:pPr>
        <w:rPr>
          <w:rFonts w:ascii="Myriad Web Pro" w:hAnsi="Myriad Web Pro" w:cs="Times New Roman"/>
          <w:sz w:val="18"/>
          <w:szCs w:val="18"/>
        </w:rPr>
      </w:pPr>
    </w:p>
    <w:p w:rsidR="00F01936" w:rsidRPr="006313F0" w:rsidRDefault="00F01936" w:rsidP="00F01936">
      <w:pPr>
        <w:rPr>
          <w:rFonts w:ascii="Myriad Web Pro" w:hAnsi="Myriad Web Pro" w:cs="Times New Roman"/>
          <w:sz w:val="18"/>
          <w:szCs w:val="18"/>
        </w:rPr>
      </w:pPr>
    </w:p>
    <w:p w:rsidR="00F01936" w:rsidRPr="006313F0" w:rsidRDefault="00F01936" w:rsidP="00F01936">
      <w:pPr>
        <w:jc w:val="center"/>
        <w:rPr>
          <w:rFonts w:ascii="Myriad Web Pro" w:hAnsi="Myriad Web Pro" w:cs="Times New Roman"/>
          <w:sz w:val="18"/>
          <w:szCs w:val="18"/>
        </w:rPr>
      </w:pPr>
      <w:r w:rsidRPr="006313F0">
        <w:rPr>
          <w:rFonts w:ascii="Myriad Web Pro" w:hAnsi="Myriad Web Pro" w:cs="Times New Roman"/>
          <w:noProof/>
          <w:sz w:val="18"/>
          <w:szCs w:val="18"/>
          <w:lang w:eastAsia="en-GB"/>
        </w:rPr>
        <w:lastRenderedPageBreak/>
        <w:drawing>
          <wp:inline distT="0" distB="0" distL="0" distR="0" wp14:anchorId="4E06FA73" wp14:editId="7CC2EB82">
            <wp:extent cx="4629150" cy="3371850"/>
            <wp:effectExtent l="0" t="0" r="0" b="0"/>
            <wp:docPr id="6146" name="Picture 2" descr="V:\Programme1_DiabetesAetiology\People\Robert\Data analysis\BioBank\Results\Handgrip\Paper\PAPER_MOST_RECENT\Supplementary Figures\Supplementary Figure X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46" name="Picture 2" descr="V:\Programme1_DiabetesAetiology\People\Robert\Data analysis\BioBank\Results\Handgrip\Paper\PAPER_MOST_RECENT\Supplementary Figures\Supplementary Figure X3.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29150" cy="3371850"/>
                    </a:xfrm>
                    <a:prstGeom prst="rect">
                      <a:avLst/>
                    </a:prstGeom>
                    <a:noFill/>
                    <a:extLst>
                      <a:ext uri="{909E8E84-426E-40DD-AFC4-6F175D3DCCD1}">
                        <a14:hiddenFill xmlns:a14="http://schemas.microsoft.com/office/drawing/2010/main">
                          <a:solidFill>
                            <a:srgbClr val="FFFFFF"/>
                          </a:solidFill>
                        </a14:hiddenFill>
                      </a:ext>
                    </a:extLst>
                  </pic:spPr>
                </pic:pic>
              </a:graphicData>
            </a:graphic>
          </wp:inline>
        </w:drawing>
      </w:r>
    </w:p>
    <w:p w:rsidR="00F01936" w:rsidRPr="006313F0" w:rsidRDefault="00F01936" w:rsidP="00F01936">
      <w:pPr>
        <w:rPr>
          <w:rFonts w:ascii="Myriad Web Pro" w:hAnsi="Myriad Web Pro" w:cs="Times New Roman"/>
          <w:sz w:val="18"/>
          <w:szCs w:val="18"/>
        </w:rPr>
      </w:pPr>
    </w:p>
    <w:p w:rsidR="00F01936" w:rsidRPr="006313F0" w:rsidRDefault="006F72C2" w:rsidP="00F01936">
      <w:pPr>
        <w:tabs>
          <w:tab w:val="left" w:pos="2742"/>
        </w:tabs>
        <w:rPr>
          <w:rFonts w:ascii="Myriad Web Pro" w:hAnsi="Myriad Web Pro" w:cs="Times New Roman"/>
          <w:b/>
          <w:sz w:val="18"/>
          <w:szCs w:val="18"/>
        </w:rPr>
      </w:pPr>
      <w:r>
        <w:rPr>
          <w:rFonts w:ascii="Myriad Web Pro" w:hAnsi="Myriad Web Pro" w:cs="Times New Roman"/>
          <w:b/>
          <w:sz w:val="18"/>
          <w:szCs w:val="18"/>
        </w:rPr>
        <w:t>Supplementary Figure 5</w:t>
      </w:r>
    </w:p>
    <w:p w:rsidR="00F01936" w:rsidRPr="006313F0" w:rsidRDefault="00F01936" w:rsidP="00F01936">
      <w:pPr>
        <w:tabs>
          <w:tab w:val="left" w:pos="2742"/>
        </w:tabs>
        <w:rPr>
          <w:rFonts w:ascii="Myriad Web Pro" w:hAnsi="Myriad Web Pro" w:cs="Times New Roman"/>
          <w:sz w:val="18"/>
          <w:szCs w:val="18"/>
        </w:rPr>
      </w:pPr>
      <w:r w:rsidRPr="006313F0">
        <w:rPr>
          <w:rFonts w:ascii="Myriad Web Pro" w:hAnsi="Myriad Web Pro" w:cs="Times New Roman"/>
          <w:sz w:val="18"/>
          <w:szCs w:val="18"/>
        </w:rPr>
        <w:t>Predicted mean grip strength by increasing dosage of the stop-gain allele (T) at rs1815739 (</w:t>
      </w:r>
      <w:r w:rsidRPr="006313F0">
        <w:rPr>
          <w:rFonts w:ascii="Myriad Web Pro" w:hAnsi="Myriad Web Pro" w:cs="Times New Roman"/>
          <w:i/>
          <w:sz w:val="18"/>
          <w:szCs w:val="18"/>
        </w:rPr>
        <w:t>R577X</w:t>
      </w:r>
      <w:r w:rsidRPr="006313F0">
        <w:rPr>
          <w:rFonts w:ascii="Myriad Web Pro" w:hAnsi="Myriad Web Pro" w:cs="Times New Roman"/>
          <w:sz w:val="18"/>
          <w:szCs w:val="18"/>
        </w:rPr>
        <w:t>)</w:t>
      </w:r>
    </w:p>
    <w:p w:rsidR="00F01936" w:rsidRPr="006313F0" w:rsidRDefault="00F01936" w:rsidP="00F01936">
      <w:pPr>
        <w:tabs>
          <w:tab w:val="left" w:pos="2742"/>
        </w:tabs>
        <w:rPr>
          <w:rFonts w:ascii="Myriad Web Pro" w:hAnsi="Myriad Web Pro" w:cs="Times New Roman"/>
          <w:sz w:val="18"/>
          <w:szCs w:val="18"/>
        </w:rPr>
      </w:pPr>
    </w:p>
    <w:p w:rsidR="00F01936" w:rsidRPr="006313F0" w:rsidRDefault="00F01936" w:rsidP="00F01936">
      <w:pPr>
        <w:tabs>
          <w:tab w:val="left" w:pos="2742"/>
        </w:tabs>
        <w:rPr>
          <w:rFonts w:ascii="Myriad Web Pro" w:hAnsi="Myriad Web Pro" w:cs="Times New Roman"/>
          <w:sz w:val="18"/>
          <w:szCs w:val="18"/>
        </w:rPr>
      </w:pPr>
    </w:p>
    <w:p w:rsidR="00F01936" w:rsidRPr="006313F0" w:rsidRDefault="00F01936" w:rsidP="00F01936">
      <w:pPr>
        <w:tabs>
          <w:tab w:val="left" w:pos="2742"/>
        </w:tabs>
        <w:rPr>
          <w:rFonts w:ascii="Myriad Web Pro" w:hAnsi="Myriad Web Pro" w:cs="Times New Roman"/>
          <w:sz w:val="18"/>
          <w:szCs w:val="18"/>
        </w:rPr>
      </w:pPr>
    </w:p>
    <w:p w:rsidR="00F01936" w:rsidRPr="006313F0" w:rsidRDefault="00F01936" w:rsidP="00F01936">
      <w:pPr>
        <w:tabs>
          <w:tab w:val="left" w:pos="2742"/>
        </w:tabs>
        <w:rPr>
          <w:rFonts w:ascii="Myriad Web Pro" w:hAnsi="Myriad Web Pro" w:cs="Times New Roman"/>
          <w:sz w:val="18"/>
          <w:szCs w:val="18"/>
        </w:rPr>
      </w:pPr>
    </w:p>
    <w:p w:rsidR="00F01936" w:rsidRPr="006313F0" w:rsidRDefault="00F01936" w:rsidP="00F01936">
      <w:pPr>
        <w:tabs>
          <w:tab w:val="left" w:pos="2742"/>
        </w:tabs>
        <w:rPr>
          <w:rFonts w:ascii="Myriad Web Pro" w:hAnsi="Myriad Web Pro" w:cs="Times New Roman"/>
          <w:sz w:val="18"/>
          <w:szCs w:val="18"/>
        </w:rPr>
      </w:pPr>
    </w:p>
    <w:p w:rsidR="00F01936" w:rsidRPr="006313F0" w:rsidRDefault="00F01936" w:rsidP="00F01936">
      <w:pPr>
        <w:tabs>
          <w:tab w:val="left" w:pos="2742"/>
        </w:tabs>
        <w:rPr>
          <w:rFonts w:ascii="Myriad Web Pro" w:hAnsi="Myriad Web Pro" w:cs="Times New Roman"/>
          <w:sz w:val="18"/>
          <w:szCs w:val="18"/>
        </w:rPr>
      </w:pPr>
    </w:p>
    <w:p w:rsidR="00F01936" w:rsidRPr="006313F0" w:rsidRDefault="00F01936" w:rsidP="00F01936">
      <w:pPr>
        <w:tabs>
          <w:tab w:val="left" w:pos="2742"/>
        </w:tabs>
        <w:rPr>
          <w:rFonts w:ascii="Myriad Web Pro" w:hAnsi="Myriad Web Pro" w:cs="Times New Roman"/>
          <w:sz w:val="18"/>
          <w:szCs w:val="18"/>
        </w:rPr>
      </w:pPr>
    </w:p>
    <w:p w:rsidR="00F01936" w:rsidRPr="006313F0" w:rsidRDefault="00F01936" w:rsidP="00F01936">
      <w:pPr>
        <w:tabs>
          <w:tab w:val="left" w:pos="2742"/>
        </w:tabs>
        <w:rPr>
          <w:rFonts w:ascii="Myriad Web Pro" w:hAnsi="Myriad Web Pro" w:cs="Times New Roman"/>
          <w:sz w:val="18"/>
          <w:szCs w:val="18"/>
        </w:rPr>
      </w:pPr>
    </w:p>
    <w:p w:rsidR="00F01936" w:rsidRPr="006313F0" w:rsidRDefault="00F01936" w:rsidP="00F01936">
      <w:pPr>
        <w:tabs>
          <w:tab w:val="left" w:pos="2742"/>
        </w:tabs>
        <w:rPr>
          <w:rFonts w:ascii="Myriad Web Pro" w:hAnsi="Myriad Web Pro" w:cs="Times New Roman"/>
          <w:sz w:val="18"/>
          <w:szCs w:val="18"/>
        </w:rPr>
      </w:pPr>
    </w:p>
    <w:p w:rsidR="00F01936" w:rsidRPr="006313F0" w:rsidRDefault="00F01936" w:rsidP="00F01936">
      <w:pPr>
        <w:tabs>
          <w:tab w:val="left" w:pos="2742"/>
        </w:tabs>
        <w:rPr>
          <w:rFonts w:ascii="Myriad Web Pro" w:hAnsi="Myriad Web Pro" w:cs="Times New Roman"/>
          <w:sz w:val="18"/>
          <w:szCs w:val="18"/>
        </w:rPr>
      </w:pPr>
    </w:p>
    <w:p w:rsidR="00F01936" w:rsidRPr="006313F0" w:rsidRDefault="00F01936" w:rsidP="00F01936">
      <w:pPr>
        <w:tabs>
          <w:tab w:val="left" w:pos="2742"/>
        </w:tabs>
        <w:rPr>
          <w:rFonts w:ascii="Myriad Web Pro" w:hAnsi="Myriad Web Pro" w:cs="Times New Roman"/>
          <w:sz w:val="18"/>
          <w:szCs w:val="18"/>
        </w:rPr>
      </w:pPr>
    </w:p>
    <w:p w:rsidR="00F01936" w:rsidRPr="006313F0" w:rsidRDefault="00F01936" w:rsidP="00F01936">
      <w:pPr>
        <w:tabs>
          <w:tab w:val="left" w:pos="2742"/>
        </w:tabs>
        <w:rPr>
          <w:rFonts w:ascii="Myriad Web Pro" w:hAnsi="Myriad Web Pro" w:cs="Times New Roman"/>
          <w:sz w:val="18"/>
          <w:szCs w:val="18"/>
        </w:rPr>
      </w:pPr>
    </w:p>
    <w:p w:rsidR="00F01936" w:rsidRPr="006313F0" w:rsidRDefault="00F01936" w:rsidP="00F01936">
      <w:pPr>
        <w:tabs>
          <w:tab w:val="left" w:pos="2742"/>
        </w:tabs>
        <w:rPr>
          <w:rFonts w:ascii="Myriad Web Pro" w:hAnsi="Myriad Web Pro" w:cs="Times New Roman"/>
          <w:sz w:val="18"/>
          <w:szCs w:val="18"/>
        </w:rPr>
      </w:pPr>
    </w:p>
    <w:p w:rsidR="00F01936" w:rsidRPr="006313F0" w:rsidRDefault="00F01936" w:rsidP="00F01936">
      <w:pPr>
        <w:tabs>
          <w:tab w:val="left" w:pos="2742"/>
        </w:tabs>
        <w:rPr>
          <w:rFonts w:ascii="Myriad Web Pro" w:hAnsi="Myriad Web Pro" w:cs="Times New Roman"/>
          <w:sz w:val="18"/>
          <w:szCs w:val="18"/>
        </w:rPr>
      </w:pPr>
    </w:p>
    <w:p w:rsidR="00F01936" w:rsidRPr="006313F0" w:rsidRDefault="00F01936" w:rsidP="00F01936">
      <w:pPr>
        <w:tabs>
          <w:tab w:val="left" w:pos="2742"/>
        </w:tabs>
        <w:jc w:val="center"/>
        <w:rPr>
          <w:rFonts w:ascii="Myriad Web Pro" w:hAnsi="Myriad Web Pro" w:cs="Times New Roman"/>
          <w:sz w:val="18"/>
          <w:szCs w:val="18"/>
        </w:rPr>
      </w:pPr>
      <w:r w:rsidRPr="006313F0">
        <w:rPr>
          <w:rFonts w:ascii="Myriad Web Pro" w:hAnsi="Myriad Web Pro" w:cs="Times New Roman"/>
          <w:noProof/>
          <w:sz w:val="18"/>
          <w:szCs w:val="18"/>
          <w:lang w:eastAsia="en-GB"/>
        </w:rPr>
        <w:lastRenderedPageBreak/>
        <w:drawing>
          <wp:inline distT="0" distB="0" distL="0" distR="0" wp14:anchorId="5CD1E358" wp14:editId="7B0B903D">
            <wp:extent cx="3779912" cy="3779912"/>
            <wp:effectExtent l="0" t="0" r="0" b="0"/>
            <wp:docPr id="1026" name="Picture 2" descr="V:\Programme1_DiabetesAetiology\People\Robert\Data analysis\BioBank\Results\Handgrip\MRs\Figures_MRs_horm_hgs\InRes_Handgrip_funne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descr="V:\Programme1_DiabetesAetiology\People\Robert\Data analysis\BioBank\Results\Handgrip\MRs\Figures_MRs_horm_hgs\InRes_Handgrip_funnel.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779912" cy="3779912"/>
                    </a:xfrm>
                    <a:prstGeom prst="rect">
                      <a:avLst/>
                    </a:prstGeom>
                    <a:noFill/>
                    <a:extLst>
                      <a:ext uri="{909E8E84-426E-40DD-AFC4-6F175D3DCCD1}">
                        <a14:hiddenFill xmlns:a14="http://schemas.microsoft.com/office/drawing/2010/main">
                          <a:solidFill>
                            <a:srgbClr val="FFFFFF"/>
                          </a:solidFill>
                        </a14:hiddenFill>
                      </a:ext>
                    </a:extLst>
                  </pic:spPr>
                </pic:pic>
              </a:graphicData>
            </a:graphic>
          </wp:inline>
        </w:drawing>
      </w:r>
    </w:p>
    <w:p w:rsidR="00F01936" w:rsidRPr="006313F0" w:rsidRDefault="00F01936" w:rsidP="00F01936">
      <w:pPr>
        <w:tabs>
          <w:tab w:val="left" w:pos="2742"/>
        </w:tabs>
        <w:jc w:val="center"/>
        <w:rPr>
          <w:rFonts w:ascii="Myriad Web Pro" w:hAnsi="Myriad Web Pro" w:cs="Times New Roman"/>
          <w:sz w:val="18"/>
          <w:szCs w:val="18"/>
        </w:rPr>
      </w:pPr>
      <w:r w:rsidRPr="006313F0">
        <w:rPr>
          <w:rFonts w:ascii="Myriad Web Pro" w:hAnsi="Myriad Web Pro" w:cs="Times New Roman"/>
          <w:noProof/>
          <w:sz w:val="18"/>
          <w:szCs w:val="18"/>
          <w:lang w:eastAsia="en-GB"/>
        </w:rPr>
        <w:drawing>
          <wp:inline distT="0" distB="0" distL="0" distR="0" wp14:anchorId="05A97C3C" wp14:editId="520FB7E1">
            <wp:extent cx="3779912" cy="3779912"/>
            <wp:effectExtent l="0" t="0" r="0" b="0"/>
            <wp:docPr id="7" name="Picture 2" descr="C:\Users\djw98\AppData\Local\Microsoft\Windows\Temporary Internet Files\Content.Outlook\P39746FH\FastIn_Handgrip_funne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descr="C:\Users\djw98\AppData\Local\Microsoft\Windows\Temporary Internet Files\Content.Outlook\P39746FH\FastIn_Handgrip_funnel.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779912" cy="3779912"/>
                    </a:xfrm>
                    <a:prstGeom prst="rect">
                      <a:avLst/>
                    </a:prstGeom>
                    <a:noFill/>
                    <a:extLst>
                      <a:ext uri="{909E8E84-426E-40DD-AFC4-6F175D3DCCD1}">
                        <a14:hiddenFill xmlns:a14="http://schemas.microsoft.com/office/drawing/2010/main">
                          <a:solidFill>
                            <a:srgbClr val="FFFFFF"/>
                          </a:solidFill>
                        </a14:hiddenFill>
                      </a:ext>
                    </a:extLst>
                  </pic:spPr>
                </pic:pic>
              </a:graphicData>
            </a:graphic>
          </wp:inline>
        </w:drawing>
      </w:r>
    </w:p>
    <w:p w:rsidR="00F01936" w:rsidRPr="006313F0" w:rsidRDefault="006F72C2" w:rsidP="00F01936">
      <w:pPr>
        <w:rPr>
          <w:rFonts w:ascii="Myriad Web Pro" w:hAnsi="Myriad Web Pro" w:cs="Times New Roman"/>
          <w:b/>
          <w:sz w:val="18"/>
          <w:szCs w:val="18"/>
        </w:rPr>
      </w:pPr>
      <w:r>
        <w:rPr>
          <w:rFonts w:ascii="Myriad Web Pro" w:hAnsi="Myriad Web Pro" w:cs="Times New Roman"/>
          <w:b/>
          <w:sz w:val="18"/>
          <w:szCs w:val="18"/>
        </w:rPr>
        <w:t>Supplementary Figure 6</w:t>
      </w:r>
    </w:p>
    <w:p w:rsidR="00F01936" w:rsidRPr="006313F0" w:rsidRDefault="00F01936" w:rsidP="00F01936">
      <w:pPr>
        <w:rPr>
          <w:rFonts w:ascii="Myriad Web Pro" w:hAnsi="Myriad Web Pro" w:cs="Times New Roman"/>
          <w:sz w:val="18"/>
          <w:szCs w:val="18"/>
        </w:rPr>
      </w:pPr>
      <w:r w:rsidRPr="006313F0">
        <w:rPr>
          <w:rFonts w:ascii="Myriad Web Pro" w:hAnsi="Myriad Web Pro" w:cs="Times New Roman"/>
          <w:sz w:val="18"/>
          <w:szCs w:val="18"/>
        </w:rPr>
        <w:t>Funnel plots showing heterogeneity in the effect of SNPs for insulin resistance and fasting insulin on grip strength</w:t>
      </w:r>
    </w:p>
    <w:p w:rsidR="00F01936" w:rsidRPr="006313F0" w:rsidRDefault="00F01936" w:rsidP="00F01936">
      <w:pPr>
        <w:rPr>
          <w:rFonts w:ascii="Myriad Web Pro" w:hAnsi="Myriad Web Pro" w:cs="Times New Roman"/>
          <w:sz w:val="18"/>
          <w:szCs w:val="18"/>
        </w:rPr>
      </w:pPr>
    </w:p>
    <w:p w:rsidR="001B3178" w:rsidRDefault="001B3178" w:rsidP="00F01936">
      <w:pPr>
        <w:spacing w:after="0" w:line="240" w:lineRule="auto"/>
        <w:jc w:val="both"/>
        <w:rPr>
          <w:rFonts w:ascii="Myriad Web Pro" w:hAnsi="Myriad Web Pro"/>
          <w:b/>
          <w:sz w:val="18"/>
          <w:szCs w:val="18"/>
        </w:rPr>
      </w:pPr>
    </w:p>
    <w:p w:rsidR="00F01936" w:rsidRPr="006313F0" w:rsidRDefault="00F01936" w:rsidP="00F01936">
      <w:pPr>
        <w:spacing w:after="0" w:line="240" w:lineRule="auto"/>
        <w:jc w:val="both"/>
        <w:rPr>
          <w:rFonts w:ascii="Myriad Web Pro" w:hAnsi="Myriad Web Pro"/>
          <w:b/>
          <w:smallCaps/>
          <w:sz w:val="18"/>
          <w:szCs w:val="18"/>
        </w:rPr>
      </w:pPr>
      <w:r w:rsidRPr="006313F0">
        <w:rPr>
          <w:rFonts w:ascii="Myriad Web Pro" w:hAnsi="Myriad Web Pro"/>
          <w:b/>
          <w:smallCaps/>
          <w:sz w:val="18"/>
          <w:szCs w:val="18"/>
        </w:rPr>
        <w:lastRenderedPageBreak/>
        <w:t>Supplementary Note:  Description of Additional Cohorts</w:t>
      </w:r>
    </w:p>
    <w:p w:rsidR="00F01936" w:rsidRPr="006313F0" w:rsidRDefault="00F01936" w:rsidP="00F01936">
      <w:pPr>
        <w:pBdr>
          <w:bottom w:val="single" w:sz="6" w:space="1" w:color="auto"/>
        </w:pBdr>
        <w:spacing w:after="0" w:line="240" w:lineRule="auto"/>
        <w:jc w:val="both"/>
        <w:rPr>
          <w:rFonts w:ascii="Myriad Web Pro" w:hAnsi="Myriad Web Pro"/>
          <w:b/>
          <w:sz w:val="18"/>
          <w:szCs w:val="18"/>
        </w:rPr>
      </w:pPr>
    </w:p>
    <w:p w:rsidR="00F01936" w:rsidRPr="006313F0" w:rsidRDefault="00F01936" w:rsidP="00F01936">
      <w:pPr>
        <w:spacing w:after="0" w:line="240" w:lineRule="auto"/>
        <w:jc w:val="both"/>
        <w:rPr>
          <w:rFonts w:ascii="Myriad Web Pro" w:hAnsi="Myriad Web Pro"/>
          <w:b/>
          <w:sz w:val="18"/>
          <w:szCs w:val="18"/>
        </w:rPr>
      </w:pPr>
    </w:p>
    <w:p w:rsidR="00F01936" w:rsidRPr="006313F0" w:rsidRDefault="00F01936" w:rsidP="00F01936">
      <w:pPr>
        <w:spacing w:after="0" w:line="240" w:lineRule="auto"/>
        <w:jc w:val="both"/>
        <w:rPr>
          <w:rFonts w:ascii="Myriad Web Pro" w:hAnsi="Myriad Web Pro"/>
          <w:b/>
          <w:sz w:val="18"/>
          <w:szCs w:val="18"/>
        </w:rPr>
      </w:pPr>
    </w:p>
    <w:p w:rsidR="00F01936" w:rsidRPr="006313F0" w:rsidRDefault="00F01936" w:rsidP="00F01936">
      <w:pPr>
        <w:spacing w:after="0" w:line="240" w:lineRule="auto"/>
        <w:jc w:val="both"/>
        <w:rPr>
          <w:rFonts w:ascii="Myriad Web Pro" w:hAnsi="Myriad Web Pro"/>
          <w:b/>
          <w:sz w:val="18"/>
          <w:szCs w:val="18"/>
        </w:rPr>
      </w:pPr>
      <w:r w:rsidRPr="006313F0">
        <w:rPr>
          <w:rFonts w:ascii="Myriad Web Pro" w:hAnsi="Myriad Web Pro"/>
          <w:b/>
          <w:sz w:val="18"/>
          <w:szCs w:val="18"/>
        </w:rPr>
        <w:t>Stage II Cohorts</w:t>
      </w:r>
    </w:p>
    <w:p w:rsidR="00F01936" w:rsidRPr="006313F0" w:rsidRDefault="00F01936" w:rsidP="00F01936">
      <w:pPr>
        <w:spacing w:after="0" w:line="240" w:lineRule="auto"/>
        <w:jc w:val="both"/>
        <w:rPr>
          <w:rFonts w:ascii="Myriad Web Pro" w:hAnsi="Myriad Web Pro"/>
          <w:i/>
          <w:sz w:val="18"/>
          <w:szCs w:val="18"/>
        </w:rPr>
      </w:pPr>
    </w:p>
    <w:p w:rsidR="00F01936" w:rsidRPr="006313F0" w:rsidRDefault="00F01936" w:rsidP="00F01936">
      <w:pPr>
        <w:spacing w:after="0" w:line="240" w:lineRule="auto"/>
        <w:jc w:val="both"/>
        <w:rPr>
          <w:rFonts w:ascii="Myriad Web Pro" w:hAnsi="Myriad Web Pro"/>
          <w:i/>
          <w:sz w:val="18"/>
          <w:szCs w:val="18"/>
        </w:rPr>
      </w:pPr>
    </w:p>
    <w:p w:rsidR="00F01936" w:rsidRPr="006313F0" w:rsidRDefault="00F01936" w:rsidP="00F01936">
      <w:pPr>
        <w:spacing w:after="0" w:line="240" w:lineRule="auto"/>
        <w:jc w:val="both"/>
        <w:rPr>
          <w:rFonts w:ascii="Myriad Web Pro" w:hAnsi="Myriad Web Pro"/>
          <w:i/>
          <w:sz w:val="18"/>
          <w:szCs w:val="18"/>
        </w:rPr>
      </w:pPr>
      <w:r w:rsidRPr="006313F0">
        <w:rPr>
          <w:rFonts w:ascii="Myriad Web Pro" w:hAnsi="Myriad Web Pro"/>
          <w:i/>
          <w:sz w:val="18"/>
          <w:szCs w:val="18"/>
        </w:rPr>
        <w:t>EPIC-Norfolk</w:t>
      </w:r>
    </w:p>
    <w:p w:rsidR="00F01936" w:rsidRPr="006313F0" w:rsidRDefault="00F01936" w:rsidP="00F01936">
      <w:pPr>
        <w:spacing w:after="0" w:line="240" w:lineRule="auto"/>
        <w:jc w:val="both"/>
        <w:rPr>
          <w:rFonts w:ascii="Myriad Web Pro" w:hAnsi="Myriad Web Pro"/>
          <w:i/>
          <w:sz w:val="18"/>
          <w:szCs w:val="18"/>
        </w:rPr>
      </w:pPr>
    </w:p>
    <w:p w:rsidR="00F01936" w:rsidRPr="006313F0" w:rsidRDefault="00F01936" w:rsidP="00F01936">
      <w:pPr>
        <w:spacing w:after="0" w:line="240" w:lineRule="auto"/>
        <w:ind w:left="720"/>
        <w:jc w:val="both"/>
        <w:rPr>
          <w:rFonts w:ascii="Myriad Web Pro" w:hAnsi="Myriad Web Pro"/>
          <w:sz w:val="18"/>
          <w:szCs w:val="18"/>
        </w:rPr>
      </w:pPr>
      <w:r w:rsidRPr="006313F0">
        <w:rPr>
          <w:rFonts w:ascii="Myriad Web Pro" w:hAnsi="Myriad Web Pro"/>
          <w:sz w:val="18"/>
          <w:szCs w:val="18"/>
        </w:rPr>
        <w:t>Part of the international multi-centre European Prospective Investigation of Cancer (EPIC), EPIC-Norfolk (</w:t>
      </w:r>
      <w:hyperlink r:id="rId17" w:history="1">
        <w:r w:rsidRPr="006313F0">
          <w:rPr>
            <w:rStyle w:val="Hyperlink"/>
            <w:rFonts w:ascii="Myriad Web Pro" w:hAnsi="Myriad Web Pro"/>
            <w:sz w:val="18"/>
            <w:szCs w:val="18"/>
          </w:rPr>
          <w:t>www.srl.cam.ac.uk/epic/</w:t>
        </w:r>
      </w:hyperlink>
      <w:r w:rsidRPr="006313F0">
        <w:rPr>
          <w:rFonts w:ascii="Myriad Web Pro" w:hAnsi="Myriad Web Pro"/>
          <w:sz w:val="18"/>
          <w:szCs w:val="18"/>
        </w:rPr>
        <w:t xml:space="preserve">) is an ongoing prospective population-based observational study of British adults aged 40-79 years at recruitment, enrolled between 1993-1997 by direct contact from collaborating NHS General Practice lists in Norwich and Norfolk, UK.  The initial EPIC-Norfolk sample contains 25639 individuals who attended a baseline assessment upon recruitment, and have been contacted for follow-up assessments and repeat measures at intervals since.  The data used in the present analyses is from the third health check (2004-2011), during which detailed anthropometric and lifestyle factors were characterised in participants, and blood drawn for biomarker analysis and DNA extraction </w:t>
      </w:r>
      <w:r w:rsidRPr="006313F0">
        <w:rPr>
          <w:rFonts w:ascii="Myriad Web Pro" w:hAnsi="Myriad Web Pro"/>
          <w:sz w:val="18"/>
          <w:szCs w:val="18"/>
        </w:rPr>
        <w:fldChar w:fldCharType="begin" w:fldLock="1"/>
      </w:r>
      <w:r w:rsidR="00A83FB0">
        <w:rPr>
          <w:rFonts w:ascii="Myriad Web Pro" w:hAnsi="Myriad Web Pro"/>
          <w:sz w:val="18"/>
          <w:szCs w:val="18"/>
        </w:rPr>
        <w:instrText>ADDIN CSL_CITATION { "citationItems" : [ { "id" : "ITEM-1", "itemData" : { "DOI" : "10.1093/ije/dyt086", "ISSN" : "1464-3685", "PMID" : "23771720", "abstract" : "The European Prospective Investigation of Cancer (EPIC) is a 10-country collaborative study in which EPIC-Norfolk is one of the UK centres. EPIC-Norfolk examined 25 639 men and women resident in East Anglia (aged 40-79 years), between 1993 and 1997. The EPIC collaboration was set up to examine the dietary determinants of cancer, but the remit in the EPIC-Norfolk cohort was broadened from the outset to include determinants of other health conditions and chronic diseases. EPIC-Norfolk completed a third round of health examinations (EPIC-Norfolk 3 or 3HC) in December 2011, on 8623 participants in the age range 48-92 years. EPIC-Norfolk focused on objective measures of cognitive function, physical capability and visual health, adapting this existing mid-life cohort to the current need to investigate healthy and independent living for ageing societies. With a wealth of longitudinal data and a biobank (including DNA) collected at up to three separate time points, EPIC-Norfolk offers the unique opportunity to investigate the association of lifestyle and biological factors, including genetic exposures, with a range of health outcomes in middle and later life. Information for data access can be found on the study website, details as given in this cohort profile.", "author" : [ { "dropping-particle" : "", "family" : "Hayat", "given" : "Shabina A", "non-dropping-particle" : "", "parse-names" : false, "suffix" : "" }, { "dropping-particle" : "", "family" : "Luben", "given" : "Robert", "non-dropping-particle" : "", "parse-names" : false, "suffix" : "" }, { "dropping-particle" : "", "family" : "Keevil", "given" : "Victoria L", "non-dropping-particle" : "", "parse-names" : false, "suffix" : "" }, { "dropping-particle" : "", "family" : "Moore", "given" : "Stephanie", "non-dropping-particle" : "", "parse-names" : false, "suffix" : "" }, { "dropping-particle" : "", "family" : "Dalzell", "given" : "Nichola", "non-dropping-particle" : "", "parse-names" : false, "suffix" : "" }, { "dropping-particle" : "", "family" : "Bhaniani", "given" : "Amit", "non-dropping-particle" : "", "parse-names" : false, "suffix" : "" }, { "dropping-particle" : "", "family" : "Khawaja", "given" : "Anthony P", "non-dropping-particle" : "", "parse-names" : false, "suffix" : "" }, { "dropping-particle" : "", "family" : "Foster", "given" : "Paul", "non-dropping-particle" : "", "parse-names" : false, "suffix" : "" }, { "dropping-particle" : "", "family" : "Brayne", "given" : "Carol", "non-dropping-particle" : "", "parse-names" : false, "suffix" : "" }, { "dropping-particle" : "", "family" : "Wareham", "given" : "Nicholas J", "non-dropping-particle" : "", "parse-names" : false, "suffix" : "" }, { "dropping-particle" : "", "family" : "Khaw", "given" : "Kay-Tee", "non-dropping-particle" : "", "parse-names" : false, "suffix" : "" } ], "container-title" : "International journal of epidemiology", "id" : "ITEM-1", "issue" : "4", "issued" : { "date-parts" : [ [ "2014", "8" ] ] }, "page" : "1063-72", "title" : "Cohort profile: A prospective cohort study of objective physical and cognitive capability and visual health in an ageing population of men and women in Norfolk (EPIC-Norfolk 3).", "type" : "article-journal", "volume" : "43" }, "uris" : [ "http://www.mendeley.com/documents/?uuid=7e9b2a95-188f-4704-a11a-6db7f1284e96" ] } ], "mendeley" : { "formattedCitation" : "&lt;sup&gt;2&lt;/sup&gt;", "plainTextFormattedCitation" : "2", "previouslyFormattedCitation" : "(Hayat et al. 2014)" }, "properties" : { "noteIndex" : 0 }, "schema" : "https://github.com/citation-style-language/schema/raw/master/csl-citation.json" }</w:instrText>
      </w:r>
      <w:r w:rsidRPr="006313F0">
        <w:rPr>
          <w:rFonts w:ascii="Myriad Web Pro" w:hAnsi="Myriad Web Pro"/>
          <w:sz w:val="18"/>
          <w:szCs w:val="18"/>
        </w:rPr>
        <w:fldChar w:fldCharType="separate"/>
      </w:r>
      <w:r w:rsidR="00A83FB0" w:rsidRPr="00A83FB0">
        <w:rPr>
          <w:rFonts w:ascii="Myriad Web Pro" w:hAnsi="Myriad Web Pro"/>
          <w:noProof/>
          <w:sz w:val="18"/>
          <w:szCs w:val="18"/>
          <w:vertAlign w:val="superscript"/>
        </w:rPr>
        <w:t>2</w:t>
      </w:r>
      <w:r w:rsidRPr="006313F0">
        <w:rPr>
          <w:rFonts w:ascii="Myriad Web Pro" w:hAnsi="Myriad Web Pro"/>
          <w:sz w:val="18"/>
          <w:szCs w:val="18"/>
        </w:rPr>
        <w:fldChar w:fldCharType="end"/>
      </w:r>
      <w:r w:rsidRPr="006313F0">
        <w:rPr>
          <w:rFonts w:ascii="Myriad Web Pro" w:hAnsi="Myriad Web Pro"/>
          <w:sz w:val="18"/>
          <w:szCs w:val="18"/>
        </w:rPr>
        <w:t>.  Details of the genotyping process, quality control and imputation for EPIC-Norfolk are detailed in Supplementary Table 1.  Written informed consent was supplied by all participants.  Ethical approval for EPIC-Norfolk was granted by the Norfolk and Norwich Research Ethics Committee (now the East of England Research Ethics Committee).</w:t>
      </w:r>
    </w:p>
    <w:p w:rsidR="00F01936" w:rsidRPr="006313F0" w:rsidRDefault="00F01936" w:rsidP="00F01936">
      <w:pPr>
        <w:spacing w:after="0" w:line="240" w:lineRule="auto"/>
        <w:ind w:left="720"/>
        <w:jc w:val="both"/>
        <w:rPr>
          <w:rFonts w:ascii="Myriad Web Pro" w:hAnsi="Myriad Web Pro"/>
          <w:sz w:val="18"/>
          <w:szCs w:val="18"/>
        </w:rPr>
      </w:pPr>
    </w:p>
    <w:p w:rsidR="00F01936" w:rsidRPr="006313F0" w:rsidRDefault="00F01936" w:rsidP="00F01936">
      <w:pPr>
        <w:spacing w:after="0" w:line="240" w:lineRule="auto"/>
        <w:jc w:val="both"/>
        <w:rPr>
          <w:rFonts w:ascii="Myriad Web Pro" w:hAnsi="Myriad Web Pro"/>
          <w:i/>
          <w:sz w:val="18"/>
          <w:szCs w:val="18"/>
        </w:rPr>
      </w:pPr>
      <w:r w:rsidRPr="006313F0">
        <w:rPr>
          <w:rFonts w:ascii="Myriad Web Pro" w:hAnsi="Myriad Web Pro"/>
          <w:i/>
          <w:sz w:val="18"/>
          <w:szCs w:val="18"/>
        </w:rPr>
        <w:t>The Fenland Study</w:t>
      </w:r>
    </w:p>
    <w:p w:rsidR="00F01936" w:rsidRPr="006313F0" w:rsidRDefault="00F01936" w:rsidP="00F01936">
      <w:pPr>
        <w:spacing w:after="0" w:line="240" w:lineRule="auto"/>
        <w:jc w:val="both"/>
        <w:rPr>
          <w:rFonts w:ascii="Myriad Web Pro" w:hAnsi="Myriad Web Pro"/>
          <w:i/>
          <w:sz w:val="18"/>
          <w:szCs w:val="18"/>
        </w:rPr>
      </w:pPr>
    </w:p>
    <w:p w:rsidR="00F01936" w:rsidRPr="006313F0" w:rsidRDefault="00F01936" w:rsidP="00F01936">
      <w:pPr>
        <w:spacing w:after="0" w:line="240" w:lineRule="auto"/>
        <w:ind w:left="720"/>
        <w:jc w:val="both"/>
        <w:rPr>
          <w:rFonts w:ascii="Myriad Web Pro" w:hAnsi="Myriad Web Pro"/>
          <w:sz w:val="18"/>
          <w:szCs w:val="18"/>
        </w:rPr>
      </w:pPr>
      <w:r w:rsidRPr="006313F0">
        <w:rPr>
          <w:rFonts w:ascii="Myriad Web Pro" w:hAnsi="Myriad Web Pro"/>
          <w:sz w:val="18"/>
          <w:szCs w:val="18"/>
        </w:rPr>
        <w:t>The Fenland Study (</w:t>
      </w:r>
      <w:hyperlink r:id="rId18" w:history="1">
        <w:r w:rsidRPr="006313F0">
          <w:rPr>
            <w:rStyle w:val="Hyperlink"/>
            <w:rFonts w:ascii="Myriad Web Pro" w:hAnsi="Myriad Web Pro"/>
            <w:sz w:val="18"/>
            <w:szCs w:val="18"/>
          </w:rPr>
          <w:t>www.mrc-epid.cam.ac.uk/research/studies/fenland/fenland-technical-summary/</w:t>
        </w:r>
      </w:hyperlink>
      <w:r w:rsidRPr="006313F0">
        <w:rPr>
          <w:rFonts w:ascii="Myriad Web Pro" w:hAnsi="Myriad Web Pro"/>
          <w:sz w:val="18"/>
          <w:szCs w:val="18"/>
        </w:rPr>
        <w:t xml:space="preserve">) is an ongoing, population-based cohort study (started in 2005) designed to investigate the association between genetic and lifestyle environmental factors and the risk of obesity, insulin sensitivity, </w:t>
      </w:r>
      <w:proofErr w:type="spellStart"/>
      <w:r w:rsidRPr="006313F0">
        <w:rPr>
          <w:rFonts w:ascii="Myriad Web Pro" w:hAnsi="Myriad Web Pro"/>
          <w:sz w:val="18"/>
          <w:szCs w:val="18"/>
        </w:rPr>
        <w:t>hyperglycemia</w:t>
      </w:r>
      <w:proofErr w:type="spellEnd"/>
      <w:r w:rsidRPr="006313F0">
        <w:rPr>
          <w:rFonts w:ascii="Myriad Web Pro" w:hAnsi="Myriad Web Pro"/>
          <w:sz w:val="18"/>
          <w:szCs w:val="18"/>
        </w:rPr>
        <w:t xml:space="preserve"> and related metabolic traits in men and women aged 30 to 55 years </w:t>
      </w:r>
      <w:r w:rsidRPr="006313F0">
        <w:rPr>
          <w:rFonts w:ascii="Myriad Web Pro" w:hAnsi="Myriad Web Pro"/>
          <w:sz w:val="18"/>
          <w:szCs w:val="18"/>
        </w:rPr>
        <w:fldChar w:fldCharType="begin" w:fldLock="1"/>
      </w:r>
      <w:r w:rsidR="00A83FB0">
        <w:rPr>
          <w:rFonts w:ascii="Myriad Web Pro" w:hAnsi="Myriad Web Pro"/>
          <w:sz w:val="18"/>
          <w:szCs w:val="18"/>
        </w:rPr>
        <w:instrText>ADDIN CSL_CITATION { "citationItems" : [ { "id" : "ITEM-1", "itemData" : { "DOI" : "10.3945/ajcn.2010.29247", "ISSN" : "1938-3207", "PMID" : "20519560", "abstract" : "BACKGROUND: Several studies reported inverse associations between birth weight and central adiposity in adults. However, few studies investigated the contributions of different abdominal fat compartments. OBJECTIVE: We examined associations between birth weight and adult visceral and subcutaneous abdominal fat in the population-based Fenland study. DESIGN: A total of 1092 adults (437 men and 655 women) aged 30-55 y had available data on reported birth weight, standard anthropometric measures, and visceral and subcutaneous abdominal fat estimated by ultrasound. In a subgroup (n = 766), dual-energy X-ray absorptiometry assessment of total abdominal fat was performed. Linear regression models were used to analyze relations between birth weight and the various fat variables adjusted for sex, age, education, smoking, and body mass index (BMI). RESULTS: After adjustment for adult BMI, there was an inverse association between birth weight and total abdominal fat [B (partial regression coefficient expressed as SD/1-kg change in birth weight) = -0.09, P = 0.002] and visceral fat (B = -0.07, P = 0.01) but not between birth weight and subcutaneous abdominal fat (B = -0.01, P = 0.3). Tests for interaction showed that adult BMI modified the association between birth weight and visceral fat (P for interaction = 0.01). In stratified analysis, the association between birth weight and visceral fat was apparent only in individuals with the highest BMI tertile (B = -0.08, P = 0.04). CONCLUSIONS: The inverse association between birth weight and adult abdominal fat appeared to be specific to visceral fat. However, associations with birth weight were apparent only after adjustment for adult BMI. Therefore, we suggest that rapid postnatal weight gain, rather than birth weight alone, leads to increased visceral fat.", "author" : [ { "dropping-particle" : "", "family" : "Lucia Rolfe", "given" : "Emanuella", "non-dropping-particle" : "De", "parse-names" : false, "suffix" : "" }, { "dropping-particle" : "", "family" : "Loos", "given" : "Ruth J F", "non-dropping-particle" : "", "parse-names" : false, "suffix" : "" }, { "dropping-particle" : "", "family" : "Druet", "given" : "C\u00e9line", "non-dropping-particle" : "", "parse-names" : false, "suffix" : "" }, { "dropping-particle" : "", "family" : "Stolk", "given" : "Ronald P", "non-dropping-particle" : "", "parse-names" : false, "suffix" : "" }, { "dropping-particle" : "", "family" : "Ekelund", "given" : "Ulf", "non-dropping-particle" : "", "parse-names" : false, "suffix" : "" }, { "dropping-particle" : "", "family" : "Griffin", "given" : "Simon J", "non-dropping-particle" : "", "parse-names" : false, "suffix" : "" }, { "dropping-particle" : "", "family" : "Forouhi", "given" : "Nita G", "non-dropping-particle" : "", "parse-names" : false, "suffix" : "" }, { "dropping-particle" : "", "family" : "Wareham", "given" : "Nicholas J", "non-dropping-particle" : "", "parse-names" : false, "suffix" : "" }, { "dropping-particle" : "", "family" : "Ong", "given" : "Ken K", "non-dropping-particle" : "", "parse-names" : false, "suffix" : "" } ], "container-title" : "The American journal of clinical nutrition", "id" : "ITEM-1", "issue" : "2", "issued" : { "date-parts" : [ [ "2010", "8", "1" ] ] }, "note" : "Fenland Methods Paper", "page" : "347-52", "title" : "Association between birth weight and visceral fat in adults.", "type" : "article-journal", "volume" : "92" }, "uris" : [ "http://www.mendeley.com/documents/?uuid=eb08b924-4527-4ba1-91c9-4451a272338a" ] } ], "mendeley" : { "formattedCitation" : "&lt;sup&gt;3&lt;/sup&gt;", "plainTextFormattedCitation" : "3", "previouslyFormattedCitation" : "(De Lucia Rolfe et al. 2010)" }, "properties" : { "noteIndex" : 0 }, "schema" : "https://github.com/citation-style-language/schema/raw/master/csl-citation.json" }</w:instrText>
      </w:r>
      <w:r w:rsidRPr="006313F0">
        <w:rPr>
          <w:rFonts w:ascii="Myriad Web Pro" w:hAnsi="Myriad Web Pro"/>
          <w:sz w:val="18"/>
          <w:szCs w:val="18"/>
        </w:rPr>
        <w:fldChar w:fldCharType="separate"/>
      </w:r>
      <w:r w:rsidR="00A83FB0" w:rsidRPr="00A83FB0">
        <w:rPr>
          <w:rFonts w:ascii="Myriad Web Pro" w:hAnsi="Myriad Web Pro"/>
          <w:noProof/>
          <w:sz w:val="18"/>
          <w:szCs w:val="18"/>
          <w:vertAlign w:val="superscript"/>
        </w:rPr>
        <w:t>3</w:t>
      </w:r>
      <w:r w:rsidRPr="006313F0">
        <w:rPr>
          <w:rFonts w:ascii="Myriad Web Pro" w:hAnsi="Myriad Web Pro"/>
          <w:sz w:val="18"/>
          <w:szCs w:val="18"/>
        </w:rPr>
        <w:fldChar w:fldCharType="end"/>
      </w:r>
      <w:r w:rsidRPr="006313F0">
        <w:rPr>
          <w:rFonts w:ascii="Myriad Web Pro" w:hAnsi="Myriad Web Pro"/>
          <w:sz w:val="18"/>
          <w:szCs w:val="18"/>
        </w:rPr>
        <w:t xml:space="preserve">.  Potential volunteers were recruited from National Health Service (NHS) General Practice registrations in the Fenland, Ely and Cambridge areas of the Cambridgeshire Primary Care Trust, UK. Exclusion criteria for the study were:  prevalent diabetes, pregnant and lactating women, </w:t>
      </w:r>
      <w:proofErr w:type="gramStart"/>
      <w:r w:rsidRPr="006313F0">
        <w:rPr>
          <w:rFonts w:ascii="Myriad Web Pro" w:hAnsi="Myriad Web Pro"/>
          <w:sz w:val="18"/>
          <w:szCs w:val="18"/>
        </w:rPr>
        <w:t>terminal</w:t>
      </w:r>
      <w:proofErr w:type="gramEnd"/>
      <w:r w:rsidRPr="006313F0">
        <w:rPr>
          <w:rFonts w:ascii="Myriad Web Pro" w:hAnsi="Myriad Web Pro"/>
          <w:sz w:val="18"/>
          <w:szCs w:val="18"/>
        </w:rPr>
        <w:t xml:space="preserve"> illness with prognosis less than one year from the date of contact, psychotic illness, or inability to walk unaided.  Baseline phenotype assessment was undertaken during a dedicated assessment visit at MRC Epidemiology Unit Clinical Research Facilities in Ely, </w:t>
      </w:r>
      <w:proofErr w:type="spellStart"/>
      <w:r w:rsidRPr="006313F0">
        <w:rPr>
          <w:rFonts w:ascii="Myriad Web Pro" w:hAnsi="Myriad Web Pro"/>
          <w:sz w:val="18"/>
          <w:szCs w:val="18"/>
        </w:rPr>
        <w:t>Wisbech</w:t>
      </w:r>
      <w:proofErr w:type="spellEnd"/>
      <w:r w:rsidRPr="006313F0">
        <w:rPr>
          <w:rFonts w:ascii="Myriad Web Pro" w:hAnsi="Myriad Web Pro"/>
          <w:sz w:val="18"/>
          <w:szCs w:val="18"/>
        </w:rPr>
        <w:t xml:space="preserve"> or Cambridge. Participants attended after an overnight fast for a detailed clinical examination, and blood samples were collected. The Local Research Ethics Committee granted ethical approval for the study and all participants gave written informed consent.</w:t>
      </w:r>
    </w:p>
    <w:p w:rsidR="00F01936" w:rsidRPr="006313F0" w:rsidRDefault="00F01936" w:rsidP="00F01936">
      <w:pPr>
        <w:spacing w:after="0" w:line="240" w:lineRule="auto"/>
        <w:jc w:val="both"/>
        <w:rPr>
          <w:rFonts w:ascii="Myriad Web Pro" w:hAnsi="Myriad Web Pro"/>
          <w:i/>
          <w:sz w:val="18"/>
          <w:szCs w:val="18"/>
        </w:rPr>
      </w:pPr>
    </w:p>
    <w:p w:rsidR="00F01936" w:rsidRPr="006313F0" w:rsidRDefault="00F01936" w:rsidP="00F01936">
      <w:pPr>
        <w:spacing w:after="0" w:line="240" w:lineRule="auto"/>
        <w:jc w:val="both"/>
        <w:rPr>
          <w:rFonts w:ascii="Myriad Web Pro" w:hAnsi="Myriad Web Pro"/>
          <w:i/>
          <w:sz w:val="18"/>
          <w:szCs w:val="18"/>
        </w:rPr>
      </w:pPr>
      <w:r w:rsidRPr="006313F0">
        <w:rPr>
          <w:rFonts w:ascii="Myriad Web Pro" w:hAnsi="Myriad Web Pro"/>
          <w:i/>
          <w:sz w:val="18"/>
          <w:szCs w:val="18"/>
        </w:rPr>
        <w:t>Cohorts for Heart and Aging Research in Genomic Epidemiology (CHARGE) Consortium</w:t>
      </w:r>
    </w:p>
    <w:p w:rsidR="00F01936" w:rsidRPr="006313F0" w:rsidRDefault="00F01936" w:rsidP="00F01936">
      <w:pPr>
        <w:spacing w:after="0" w:line="240" w:lineRule="auto"/>
        <w:ind w:firstLine="720"/>
        <w:jc w:val="both"/>
        <w:rPr>
          <w:rFonts w:ascii="Myriad Web Pro" w:hAnsi="Myriad Web Pro" w:cs="Arial"/>
          <w:sz w:val="18"/>
          <w:szCs w:val="18"/>
        </w:rPr>
      </w:pPr>
    </w:p>
    <w:p w:rsidR="00F01936" w:rsidRPr="006313F0" w:rsidRDefault="00F01936" w:rsidP="00F01936">
      <w:pPr>
        <w:spacing w:after="0" w:line="240" w:lineRule="auto"/>
        <w:ind w:firstLine="720"/>
        <w:jc w:val="both"/>
        <w:rPr>
          <w:rFonts w:ascii="Myriad Web Pro" w:hAnsi="Myriad Web Pro" w:cs="Arial"/>
          <w:sz w:val="18"/>
          <w:szCs w:val="18"/>
        </w:rPr>
      </w:pPr>
      <w:r w:rsidRPr="006313F0">
        <w:rPr>
          <w:rFonts w:ascii="Myriad Web Pro" w:hAnsi="Myriad Web Pro" w:cs="Arial"/>
          <w:sz w:val="18"/>
          <w:szCs w:val="18"/>
        </w:rPr>
        <w:t xml:space="preserve">Fourteen cohorts contributed to the CHARGE grip strength GWAS </w:t>
      </w:r>
      <w:r w:rsidRPr="006313F0">
        <w:rPr>
          <w:rFonts w:ascii="Myriad Web Pro" w:hAnsi="Myriad Web Pro" w:cs="Arial"/>
          <w:sz w:val="18"/>
          <w:szCs w:val="18"/>
        </w:rPr>
        <w:fldChar w:fldCharType="begin" w:fldLock="1"/>
      </w:r>
      <w:r w:rsidR="00A83FB0">
        <w:rPr>
          <w:rFonts w:ascii="Myriad Web Pro" w:hAnsi="Myriad Web Pro" w:cs="Arial"/>
          <w:sz w:val="18"/>
          <w:szCs w:val="18"/>
        </w:rPr>
        <w:instrText>ADDIN CSL_CITATION { "citationItems" : [ { "id" : "ITEM-1", "itemData" : { "DOI" : "10.1111/acel.12468", "ISSN" : "14749718", "author" : [ { "dropping-particle" : "", "family" : "Matteini", "given" : "Amy M.", "non-dropping-particle" : "", "parse-names" : false, "suffix" : "" }, { "dropping-particle" : "", "family" : "Tanaka", "given" : "Toshiko", "non-dropping-particle" : "", "parse-names" : false, "suffix" : "" }, { "dropping-particle" : "", "family" : "Karasik", "given" : "David", "non-dropping-particle" : "", "parse-names" : false, "suffix" : "" }, { "dropping-particle" : "", "family" : "Atzmon", "given" : "Gil", "non-dropping-particle" : "", "parse-names" : false, "suffix" : "" }, { "dropping-particle" : "", "family" : "Chou", "given" : "Wen-Chi", "non-dropping-particle" : "", "parse-names" : false, "suffix" : "" }, { "dropping-particle" : "", "family" : "Eicher", "given" : "John D.", "non-dropping-particle" : "", "parse-names" : false, "suffix" : "" }, { "dropping-particle" : "", "family" : "Johnson", "given" : "Andrew D.", "non-dropping-particle" : "", "parse-names" : false, "suffix" : "" }, { "dropping-particle" : "", "family" : "Arnold", "given" : "Alice M.", "non-dropping-particle" : "", "parse-names" : false, "suffix" : "" }, { "dropping-particle" : "", "family" : "Callisaya", "given" : "Michele L.", "non-dropping-particle" : "", "parse-names" : false, "suffix" : "" }, { "dropping-particle" : "", "family" : "Davies", "given" : "Gail", "non-dropping-particle" : "", "parse-names" : false, "suffix" : "" }, { "dropping-particle" : "", "family" : "Evans", "given" : "Daniel S.", "non-dropping-particle" : "", "parse-names" : false, "suffix" : "" }, { "dropping-particle" : "", "family" : "Holtfreter", "given" : "Birte", "non-dropping-particle" : "", "parse-names" : false, "suffix" : "" }, { "dropping-particle" : "", "family" : "Lohman", "given" : "Kurt", "non-dropping-particle" : "", "parse-names" : false, "suffix" : "" }, { "dropping-particle" : "", "family" : "Lunetta", "given" : "Kathryn L.", "non-dropping-particle" : "", "parse-names" : false, "suffix" : "" }, { "dropping-particle" : "", "family" : "Mangino", "given" : "Massimo", "non-dropping-particle" : "", "parse-names" : false, "suffix" : "" }, { "dropping-particle" : "V.", "family" : "Smith", "given" : "Albert", "non-dropping-particle" : "", "parse-names" : false, "suffix" : "" }, { "dropping-particle" : "", "family" : "Smith", "given" : "Jennifer A.", "non-dropping-particle" : "", "parse-names" : false, "suffix" : "" }, { "dropping-particle" : "", "family" : "Teumer", "given" : "Alexander", "non-dropping-particle" : "", "parse-names" : false, "suffix" : "" }, { "dropping-particle" : "", "family" : "Yu", "given" : "Lei", "non-dropping-particle" : "", "parse-names" : false, "suffix" : "" }, { "dropping-particle" : "", "family" : "Arking", "given" : "Dan E.", "non-dropping-particle" : "", "parse-names" : false, "suffix" : "" }, { "dropping-particle" : "", "family" : "Buchman", "given" : "Aron S.", "non-dropping-particle" : "", "parse-names" : false, "suffix" : "" }, { "dropping-particle" : "", "family" : "Chibinik", "given" : "Lori B.", "non-dropping-particle" : "", "parse-names" : false, "suffix" : "" }, { "dropping-particle" : "", "family" : "Jager", "given" : "Philip L.", "non-dropping-particle" : "De", "parse-names" : false, "suffix" : "" }, { "dropping-particle" : "", "family" : "Evans", "given" : "Denis A.", "non-dropping-particle" : "", "parse-names" : false, "suffix" : "" }, { "dropping-particle" : "", "family" : "Faul", "given" : "Jessica D.", "non-dropping-particle" : "", "parse-names" : false, "suffix" : "" }, { "dropping-particle" : "", "family" : "Garcia", "given" : "Melissa E.", "non-dropping-particle" : "", "parse-names" : false, "suffix" : "" }, { "dropping-particle" : "", "family" : "Gillham-Nasenya", "given" : "Irina", "non-dropping-particle" : "", "parse-names" : false, "suffix" : "" }, { "dropping-particle" : "", "family" : "Gudnason", "given" : "Vilmundur", "non-dropping-particle" : "", "parse-names" : false, "suffix" : "" }, { "dropping-particle" : "", "family" : "Hofman", "given" : "Albert", "non-dropping-particle" : "", "parse-names" : false, "suffix" : "" }, { "dropping-particle" : "", "family" : "Hsu", "given" : "Yi-Hsiang", "non-dropping-particle" : "", "parse-names" : false, "suffix" : "" }, { "dropping-particle" : "", "family" : "Ittermann", "given" : "Till", "non-dropping-particle" : "", "parse-names" : false, "suffix" : "" }, { "dropping-particle" : "", "family" : "Lahousse", "given" : "Lies", "non-dropping-particle" : "", "parse-names" : false, "suffix" : "" }, { "dropping-particle" : "", "family" : "Liewald", "given" : "David C.", "non-dropping-particle" : "", "parse-names" : false, "suffix" : "" }, { "dropping-particle" : "", "family" : "Liu", "given" : "Yongmei", "non-dropping-particle" : "", "parse-names" : false, "suffix" : "" }, { "dropping-particle" : "", "family" : "Lopez", "given" : "Lorna", "non-dropping-particle" : "", "parse-names" : false, "suffix" : "" }, { "dropping-particle" : "", "family" : "Rivadeneira", "given" : "Fernando", "non-dropping-particle" : "", "parse-names" : false, "suffix" : "" }, { "dropping-particle" : "", "family" : "Rotter", "given" : "Jerome I.", "non-dropping-particle" : "", "parse-names" : false, "suffix" : "" }, { "dropping-particle" : "", "family" : "Siggeirsdottir", "given" : "Kristin", "non-dropping-particle" : "", "parse-names" : false, "suffix" : "" }, { "dropping-particle" : "", "family" : "Starr", "given" : "John M.", "non-dropping-particle" : "", "parse-names" : false, "suffix" : "" }, { "dropping-particle" : "", "family" : "Thomson", "given" : "Russell", "non-dropping-particle" : "", "parse-names" : false, "suffix" : "" }, { "dropping-particle" : "", "family" : "Tranah", "given" : "Gregory J.", "non-dropping-particle" : "", "parse-names" : false, "suffix" : "" }, { "dropping-particle" : "", "family" : "Uitterlinden", "given" : "Andr\u00e9 G.", "non-dropping-particle" : "", "parse-names" : false, "suffix" : "" }, { "dropping-particle" : "", "family" : "V\u00f6lker", "given" : "Uwe", "non-dropping-particle" : "", "parse-names" : false, "suffix" : "" }, { "dropping-particle" : "", "family" : "V\u00f6lzke", "given" : "Henry", "non-dropping-particle" : "", "parse-names" : false, "suffix" : "" }, { "dropping-particle" : "", "family" : "Weir", "given" : "David R.", "non-dropping-particle" : "", "parse-names" : false, "suffix" : "" }, { "dropping-particle" : "", "family" : "Yaffe", "given" : "Kristine", "non-dropping-particle" : "", "parse-names" : false, "suffix" : "" }, { "dropping-particle" : "", "family" : "Zhao", "given" : "Wei", "non-dropping-particle" : "", "parse-names" : false, "suffix" : "" }, { "dropping-particle" : "", "family" : "Zhuang", "given" : "Wei Vivian", "non-dropping-particle" : "", "parse-names" : false, "suffix" : "" }, { "dropping-particle" : "", "family" : "Zmuda", "given" : "Joseph M.", "non-dropping-particle" : "", "parse-names" : false, "suffix" : "" }, { "dropping-particle" : "", "family" : "Bennett", "given" : "David A.", "non-dropping-particle" : "", "parse-names" : false, "suffix" : "" }, { "dropping-particle" : "", "family" : "Cummings", "given" : "Steven R.", "non-dropping-particle" : "", "parse-names" : false, "suffix" : "" }, { "dropping-particle" : "", "family" : "Deary", "given" : "Ian J.", "non-dropping-particle" : "", "parse-names" : false, "suffix" : "" }, { "dropping-particle" : "", "family" : "Ferrucci", "given" : "Luigi", "non-dropping-particle" : "", "parse-names" : false, "suffix" : "" }, { "dropping-particle" : "", "family" : "Harris", "given" : "Tamara B.", "non-dropping-particle" : "", "parse-names" : false, "suffix" : "" }, { "dropping-particle" : "", "family" : "Kardia", "given" : "Sharon L. R.", "non-dropping-particle" : "", "parse-names" : false, "suffix" : "" }, { "dropping-particle" : "", "family" : "Kocher", "given" : "Thomas", "non-dropping-particle" : "", "parse-names" : false, "suffix" : "" }, { "dropping-particle" : "", "family" : "Kritchevsky", "given" : "Stephen B.", "non-dropping-particle" : "", "parse-names" : false, "suffix" : "" }, { "dropping-particle" : "", "family" : "Psaty", "given" : "Bruce M.", "non-dropping-particle" : "", "parse-names" : false, "suffix" : "" }, { "dropping-particle" : "", "family" : "Seshadri", "given" : "Sudha", "non-dropping-particle" : "", "parse-names" : false, "suffix" : "" }, { "dropping-particle" : "", "family" : "Spector", "given" : "Timothy D.", "non-dropping-particle" : "", "parse-names" : false, "suffix" : "" }, { "dropping-particle" : "", "family" : "Srikanth", "given" : "Velandai K.", "non-dropping-particle" : "", "parse-names" : false, "suffix" : "" }, { "dropping-particle" : "", "family" : "Windham", "given" : "B. Gwen", "non-dropping-particle" : "", "parse-names" : false, "suffix" : "" }, { "dropping-particle" : "", "family" : "Zillikens", "given" : "M. Carola", "non-dropping-particle" : "", "parse-names" : false, "suffix" : "" }, { "dropping-particle" : "", "family" : "Newman", "given" : "Anne B.", "non-dropping-particle" : "", "parse-names" : false, "suffix" : "" }, { "dropping-particle" : "", "family" : "Walston", "given" : "Jeremy D.", "non-dropping-particle" : "", "parse-names" : false, "suffix" : "" }, { "dropping-particle" : "", "family" : "Kiel", "given" : "Douglas P.", "non-dropping-particle" : "", "parse-names" : false, "suffix" : "" }, { "dropping-particle" : "", "family" : "Murabito", "given" : "Joanne M.", "non-dropping-particle" : "", "parse-names" : false, "suffix" : "" } ], "container-title" : "Aging Cell", "id" : "ITEM-1", "issued" : { "date-parts" : [ [ "2016", "6" ] ] }, "page" : "1-9", "title" : "GWAS analysis of handgrip and lower body strength in older adults in the CHARGE consortium", "type" : "article-journal" }, "uris" : [ "http://www.mendeley.com/documents/?uuid=318d9332-47b1-4b13-977b-30220452e0ea" ] } ], "mendeley" : { "formattedCitation" : "&lt;sup&gt;4&lt;/sup&gt;", "plainTextFormattedCitation" : "4", "previouslyFormattedCitation" : "(Matteini et al. 2016)" }, "properties" : { "noteIndex" : 0 }, "schema" : "https://github.com/citation-style-language/schema/raw/master/csl-citation.json" }</w:instrText>
      </w:r>
      <w:r w:rsidRPr="006313F0">
        <w:rPr>
          <w:rFonts w:ascii="Myriad Web Pro" w:hAnsi="Myriad Web Pro" w:cs="Arial"/>
          <w:sz w:val="18"/>
          <w:szCs w:val="18"/>
        </w:rPr>
        <w:fldChar w:fldCharType="separate"/>
      </w:r>
      <w:r w:rsidR="00A83FB0" w:rsidRPr="00A83FB0">
        <w:rPr>
          <w:rFonts w:ascii="Myriad Web Pro" w:hAnsi="Myriad Web Pro" w:cs="Arial"/>
          <w:noProof/>
          <w:sz w:val="18"/>
          <w:szCs w:val="18"/>
          <w:vertAlign w:val="superscript"/>
        </w:rPr>
        <w:t>4</w:t>
      </w:r>
      <w:r w:rsidRPr="006313F0">
        <w:rPr>
          <w:rFonts w:ascii="Myriad Web Pro" w:hAnsi="Myriad Web Pro" w:cs="Arial"/>
          <w:sz w:val="18"/>
          <w:szCs w:val="18"/>
        </w:rPr>
        <w:fldChar w:fldCharType="end"/>
      </w:r>
      <w:r w:rsidRPr="006313F0">
        <w:rPr>
          <w:rFonts w:ascii="Myriad Web Pro" w:hAnsi="Myriad Web Pro" w:cs="Arial"/>
          <w:sz w:val="18"/>
          <w:szCs w:val="18"/>
        </w:rPr>
        <w:t>:</w:t>
      </w:r>
    </w:p>
    <w:p w:rsidR="00F01936" w:rsidRPr="006313F0" w:rsidRDefault="00F01936" w:rsidP="00F01936">
      <w:pPr>
        <w:spacing w:after="0" w:line="240" w:lineRule="auto"/>
        <w:jc w:val="both"/>
        <w:rPr>
          <w:rFonts w:ascii="Myriad Web Pro" w:hAnsi="Myriad Web Pro" w:cs="Arial"/>
          <w:b/>
          <w:sz w:val="18"/>
          <w:szCs w:val="18"/>
        </w:rPr>
      </w:pPr>
    </w:p>
    <w:p w:rsidR="00F01936" w:rsidRPr="006313F0" w:rsidRDefault="00F01936" w:rsidP="00F01936">
      <w:pPr>
        <w:spacing w:after="0" w:line="240" w:lineRule="auto"/>
        <w:ind w:left="1440" w:hanging="720"/>
        <w:jc w:val="both"/>
        <w:rPr>
          <w:rFonts w:ascii="Myriad Web Pro" w:hAnsi="Myriad Web Pro" w:cs="Arial"/>
          <w:sz w:val="18"/>
          <w:szCs w:val="18"/>
        </w:rPr>
      </w:pPr>
      <w:r w:rsidRPr="006313F0">
        <w:rPr>
          <w:rFonts w:ascii="Myriad Web Pro" w:hAnsi="Myriad Web Pro" w:cs="Arial"/>
          <w:b/>
          <w:sz w:val="18"/>
          <w:szCs w:val="18"/>
        </w:rPr>
        <w:t>AGES</w:t>
      </w:r>
      <w:r w:rsidRPr="006313F0">
        <w:rPr>
          <w:rFonts w:ascii="Myriad Web Pro" w:hAnsi="Myriad Web Pro" w:cs="Arial"/>
          <w:sz w:val="18"/>
          <w:szCs w:val="18"/>
        </w:rPr>
        <w:t>:</w:t>
      </w:r>
      <w:r w:rsidRPr="006313F0">
        <w:rPr>
          <w:rFonts w:ascii="Myriad Web Pro" w:hAnsi="Myriad Web Pro" w:cs="Arial"/>
          <w:sz w:val="18"/>
          <w:szCs w:val="18"/>
        </w:rPr>
        <w:tab/>
        <w:t xml:space="preserve">The AGES–Reykjavik Study is a population-based study of older individuals from the 40-year long Reykjavik Study. Participants were aged between 66 and 96 years and were randomly recruited between 2002 and 2006 from surviving Reykjavik Study members </w:t>
      </w:r>
      <w:r w:rsidRPr="006313F0">
        <w:rPr>
          <w:rFonts w:ascii="Myriad Web Pro" w:hAnsi="Myriad Web Pro" w:cs="Arial"/>
          <w:sz w:val="18"/>
          <w:szCs w:val="18"/>
        </w:rPr>
        <w:fldChar w:fldCharType="begin" w:fldLock="1"/>
      </w:r>
      <w:r w:rsidR="00A83FB0">
        <w:rPr>
          <w:rFonts w:ascii="Myriad Web Pro" w:hAnsi="Myriad Web Pro" w:cs="Arial"/>
          <w:sz w:val="18"/>
          <w:szCs w:val="18"/>
        </w:rPr>
        <w:instrText>ADDIN CSL_CITATION { "citationItems" : [ { "id" : "ITEM-1", "itemData" : { "DOI" : "10.1093/aje/kwk115", "ISSN" : "0002-9262", "PMID" : "17351290", "abstract" : "In anticipation of the sequencing of the human genome and description of the human proteome, the Age, Gene/Environment Susceptibility-Reykjavik Study (AGES-Reykjavik) was initiated in 2002. AGES-Reykjavik was designed to examine risk factors, including genetic susceptibility and gene/environment interaction, in relation to disease and disability in old age. The study is multidisciplinary, providing detailed phenotypes related to the cardiovascular, neurocognitive (including sensory), and musculoskeletal systems, and to body composition and metabolic regulation. Relevant quantitative traits, subclinical indicators of disease, and medical diagnoses are identified by using biomarkers, imaging, and other physiologic indicators. The AGES-Reykjavik sample is drawn from an established population-based cohort, the Reykjavik Study. This cohort of men and women born between 1907 and 1935 has been followed in Iceland since 1967 by the Icelandic Heart Association. The AGES-Reykjavik cohort, with cardiovascular risk factor assessments earlier in life and detailed late-life phenotypes of quantitative traits, will create a comprehensive study of aging nested in a relatively genetically homogeneous older population. This approach should facilitate identification of genetic factors that contribute to healthy aging as well as the chronic conditions common in old age.", "author" : [ { "dropping-particle" : "", "family" : "Harris", "given" : "Tamara B", "non-dropping-particle" : "", "parse-names" : false, "suffix" : "" }, { "dropping-particle" : "", "family" : "Launer", "given" : "Lenore J", "non-dropping-particle" : "", "parse-names" : false, "suffix" : "" }, { "dropping-particle" : "", "family" : "Eiriksdottir", "given" : "Gudny", "non-dropping-particle" : "", "parse-names" : false, "suffix" : "" }, { "dropping-particle" : "", "family" : "Kjartansson", "given" : "Olafur", "non-dropping-particle" : "", "parse-names" : false, "suffix" : "" }, { "dropping-particle" : "V", "family" : "Jonsson", "given" : "Palmi", "non-dropping-particle" : "", "parse-names" : false, "suffix" : "" }, { "dropping-particle" : "", "family" : "Sigurdsson", "given" : "Gunnar", "non-dropping-particle" : "", "parse-names" : false, "suffix" : "" }, { "dropping-particle" : "", "family" : "Thorgeirsson", "given" : "Gudmundur", "non-dropping-particle" : "", "parse-names" : false, "suffix" : "" }, { "dropping-particle" : "", "family" : "Aspelund", "given" : "Thor", "non-dropping-particle" : "", "parse-names" : false, "suffix" : "" }, { "dropping-particle" : "", "family" : "Garcia", "given" : "Melissa E", "non-dropping-particle" : "", "parse-names" : false, "suffix" : "" }, { "dropping-particle" : "", "family" : "Cotch", "given" : "Mary Frances", "non-dropping-particle" : "", "parse-names" : false, "suffix" : "" }, { "dropping-particle" : "", "family" : "Hoffman", "given" : "Howard J", "non-dropping-particle" : "", "parse-names" : false, "suffix" : "" }, { "dropping-particle" : "", "family" : "Gudnason", "given" : "Vilmundur", "non-dropping-particle" : "", "parse-names" : false, "suffix" : "" } ], "container-title" : "American journal of epidemiology", "id" : "ITEM-1", "issue" : "9", "issued" : { "date-parts" : [ [ "2007", "5" ] ] }, "page" : "1076-87", "title" : "Age, Gene/Environment Susceptibility-Reykjavik Study: multidisciplinary applied phenomics.", "type" : "article-journal", "volume" : "165" }, "uris" : [ "http://www.mendeley.com/documents/?uuid=a5ce51b8-3089-41f4-9de3-cd8ffde39218", "http://www.mendeley.com/documents/?uuid=891a5ad5-655b-4ce3-ad47-08480107aae0" ] } ], "mendeley" : { "formattedCitation" : "&lt;sup&gt;5&lt;/sup&gt;", "plainTextFormattedCitation" : "5", "previouslyFormattedCitation" : "(Harris et al. 2007)" }, "properties" : { "noteIndex" : 0 }, "schema" : "https://github.com/citation-style-language/schema/raw/master/csl-citation.json" }</w:instrText>
      </w:r>
      <w:r w:rsidRPr="006313F0">
        <w:rPr>
          <w:rFonts w:ascii="Myriad Web Pro" w:hAnsi="Myriad Web Pro" w:cs="Arial"/>
          <w:sz w:val="18"/>
          <w:szCs w:val="18"/>
        </w:rPr>
        <w:fldChar w:fldCharType="separate"/>
      </w:r>
      <w:r w:rsidR="00A83FB0" w:rsidRPr="00A83FB0">
        <w:rPr>
          <w:rFonts w:ascii="Myriad Web Pro" w:hAnsi="Myriad Web Pro" w:cs="Arial"/>
          <w:noProof/>
          <w:sz w:val="18"/>
          <w:szCs w:val="18"/>
          <w:vertAlign w:val="superscript"/>
        </w:rPr>
        <w:t>5</w:t>
      </w:r>
      <w:r w:rsidRPr="006313F0">
        <w:rPr>
          <w:rFonts w:ascii="Myriad Web Pro" w:hAnsi="Myriad Web Pro" w:cs="Arial"/>
          <w:sz w:val="18"/>
          <w:szCs w:val="18"/>
        </w:rPr>
        <w:fldChar w:fldCharType="end"/>
      </w:r>
      <w:r w:rsidRPr="006313F0">
        <w:rPr>
          <w:rFonts w:ascii="Myriad Web Pro" w:hAnsi="Myriad Web Pro" w:cs="Arial"/>
          <w:sz w:val="18"/>
          <w:szCs w:val="18"/>
        </w:rPr>
        <w:t>. Informed consent was obtained from all participants. Details of the investigations are described in the study's baseline article.</w:t>
      </w:r>
    </w:p>
    <w:p w:rsidR="00F01936" w:rsidRPr="006313F0" w:rsidRDefault="00F01936" w:rsidP="00F01936">
      <w:pPr>
        <w:spacing w:after="0" w:line="240" w:lineRule="auto"/>
        <w:ind w:firstLine="720"/>
        <w:jc w:val="both"/>
        <w:rPr>
          <w:rFonts w:ascii="Myriad Web Pro" w:hAnsi="Myriad Web Pro" w:cs="Arial"/>
          <w:sz w:val="18"/>
          <w:szCs w:val="18"/>
        </w:rPr>
      </w:pPr>
    </w:p>
    <w:p w:rsidR="00F01936" w:rsidRPr="006313F0" w:rsidRDefault="00F01936" w:rsidP="00F01936">
      <w:pPr>
        <w:spacing w:after="0" w:line="240" w:lineRule="auto"/>
        <w:ind w:left="1440" w:hanging="720"/>
        <w:jc w:val="both"/>
        <w:rPr>
          <w:rFonts w:ascii="Myriad Web Pro" w:hAnsi="Myriad Web Pro" w:cs="Arial"/>
          <w:sz w:val="18"/>
          <w:szCs w:val="18"/>
        </w:rPr>
      </w:pPr>
      <w:r w:rsidRPr="006313F0">
        <w:rPr>
          <w:rFonts w:ascii="Myriad Web Pro" w:hAnsi="Myriad Web Pro" w:cs="Arial"/>
          <w:b/>
          <w:sz w:val="18"/>
          <w:szCs w:val="18"/>
        </w:rPr>
        <w:t>CHS</w:t>
      </w:r>
      <w:r w:rsidRPr="006313F0">
        <w:rPr>
          <w:rFonts w:ascii="Myriad Web Pro" w:hAnsi="Myriad Web Pro" w:cs="Arial"/>
          <w:sz w:val="18"/>
          <w:szCs w:val="18"/>
        </w:rPr>
        <w:t>:</w:t>
      </w:r>
      <w:r w:rsidRPr="006313F0">
        <w:rPr>
          <w:rFonts w:ascii="Myriad Web Pro" w:hAnsi="Myriad Web Pro" w:cs="Arial"/>
          <w:sz w:val="18"/>
          <w:szCs w:val="18"/>
        </w:rPr>
        <w:tab/>
        <w:t xml:space="preserve">The CHS is a population-based cohort study of risk factors for CHD and stroke in adults ≥65 years conducted across four field </w:t>
      </w:r>
      <w:proofErr w:type="spellStart"/>
      <w:r w:rsidRPr="006313F0">
        <w:rPr>
          <w:rFonts w:ascii="Myriad Web Pro" w:hAnsi="Myriad Web Pro" w:cs="Arial"/>
          <w:sz w:val="18"/>
          <w:szCs w:val="18"/>
        </w:rPr>
        <w:t>centers</w:t>
      </w:r>
      <w:proofErr w:type="spellEnd"/>
      <w:r w:rsidRPr="006313F0">
        <w:rPr>
          <w:rFonts w:ascii="Myriad Web Pro" w:hAnsi="Myriad Web Pro" w:cs="Arial"/>
          <w:sz w:val="18"/>
          <w:szCs w:val="18"/>
        </w:rPr>
        <w:t xml:space="preserve">  </w:t>
      </w:r>
      <w:r w:rsidRPr="006313F0">
        <w:rPr>
          <w:rFonts w:ascii="Myriad Web Pro" w:hAnsi="Myriad Web Pro" w:cs="Arial"/>
          <w:sz w:val="18"/>
          <w:szCs w:val="18"/>
        </w:rPr>
        <w:fldChar w:fldCharType="begin" w:fldLock="1"/>
      </w:r>
      <w:r w:rsidR="00A83FB0">
        <w:rPr>
          <w:rFonts w:ascii="Myriad Web Pro" w:hAnsi="Myriad Web Pro" w:cs="Arial"/>
          <w:sz w:val="18"/>
          <w:szCs w:val="18"/>
        </w:rPr>
        <w:instrText>ADDIN CSL_CITATION { "citationItems" : [ { "id" : "ITEM-1", "itemData" : { "ISSN" : "1047-2797", "PMID" : "1669507", "abstract" : "The Cardiovascular Health Study (CHS) is a population-based, longitudinal study of coronary heart disease and stroke in adults aged 65 years and older. The main objective of the study is to identify factors related to the onset and course of coronary heart disease and stroke. CHS is designed to determine the importance of conventional cardiovascular disease (CVD) risk factors in older adults, and to identify new risk factors in this age group, especially those that may be protective and modifiable. The study design called for enrollment of 1250 men and women in each of four communities: Forsyth County, North Carolina; Sacramento County, California; Washington County, Maryland; and Pittsburgh, Pennsylvania. Eligible participants were sampled from Medicare eligibility lists in each area. Extensive physical and laboratory evaluations were performed at baseline to identify the presence and severity of CVD risk factors such as hypertension, hypercholesterolemia and glucose intolerance; subclinical disease such as carotid artery atherosclerosis, left ventricular enlargement, and transient ischemia; and clinically overt CVD. These examinations in CHS permit evaluation of CVD risk factors in older adults, particularly in groups previously under-represented in epidemiologic studies, such as women and the very old. The first of two examination cycles began in June 1989. A second comprehensive examination will be repeated three years later. Periodic interim contacts are scheduled to ascertain and verify the incidence of CVD events, the frequency of recurrent events, and the sequellae of CVD.", "author" : [ { "dropping-particle" : "", "family" : "Fried", "given" : "L P", "non-dropping-particle" : "", "parse-names" : false, "suffix" : "" }, { "dropping-particle" : "", "family" : "Borhani", "given" : "N O", "non-dropping-particle" : "", "parse-names" : false, "suffix" : "" }, { "dropping-particle" : "", "family" : "Enright", "given" : "P", "non-dropping-particle" : "", "parse-names" : false, "suffix" : "" }, { "dropping-particle" : "", "family" : "Furberg", "given" : "C D", "non-dropping-particle" : "", "parse-names" : false, "suffix" : "" }, { "dropping-particle" : "", "family" : "Gardin", "given" : "J M", "non-dropping-particle" : "", "parse-names" : false, "suffix" : "" }, { "dropping-particle" : "", "family" : "Kronmal", "given" : "R A", "non-dropping-particle" : "", "parse-names" : false, "suffix" : "" }, { "dropping-particle" : "", "family" : "Kuller", "given" : "L H", "non-dropping-particle" : "", "parse-names" : false, "suffix" : "" }, { "dropping-particle" : "", "family" : "Manolio", "given" : "T A", "non-dropping-particle" : "", "parse-names" : false, "suffix" : "" }, { "dropping-particle" : "", "family" : "Mittelmark", "given" : "M B", "non-dropping-particle" : "", "parse-names" : false, "suffix" : "" }, { "dropping-particle" : "", "family" : "Newman", "given" : "A", "non-dropping-particle" : "", "parse-names" : false, "suffix" : "" } ], "container-title" : "Annals of epidemiology", "id" : "ITEM-1", "issue" : "3", "issued" : { "date-parts" : [ [ "1991", "2" ] ] }, "page" : "263-76", "title" : "The Cardiovascular Health Study: design and rationale.", "type" : "article-journal", "volume" : "1" }, "uris" : [ "http://www.mendeley.com/documents/?uuid=f8fadf52-b489-4238-aa55-792a0a9535aa", "http://www.mendeley.com/documents/?uuid=b94a78aa-4079-45fa-8996-573fc0179432" ] } ], "mendeley" : { "formattedCitation" : "&lt;sup&gt;6&lt;/sup&gt;", "plainTextFormattedCitation" : "6", "previouslyFormattedCitation" : "(Fried et al. 1991)" }, "properties" : { "noteIndex" : 0 }, "schema" : "https://github.com/citation-style-language/schema/raw/master/csl-citation.json" }</w:instrText>
      </w:r>
      <w:r w:rsidRPr="006313F0">
        <w:rPr>
          <w:rFonts w:ascii="Myriad Web Pro" w:hAnsi="Myriad Web Pro" w:cs="Arial"/>
          <w:sz w:val="18"/>
          <w:szCs w:val="18"/>
        </w:rPr>
        <w:fldChar w:fldCharType="separate"/>
      </w:r>
      <w:r w:rsidR="00A83FB0" w:rsidRPr="00A83FB0">
        <w:rPr>
          <w:rFonts w:ascii="Myriad Web Pro" w:hAnsi="Myriad Web Pro" w:cs="Arial"/>
          <w:noProof/>
          <w:sz w:val="18"/>
          <w:szCs w:val="18"/>
          <w:vertAlign w:val="superscript"/>
        </w:rPr>
        <w:t>6</w:t>
      </w:r>
      <w:r w:rsidRPr="006313F0">
        <w:rPr>
          <w:rFonts w:ascii="Myriad Web Pro" w:hAnsi="Myriad Web Pro" w:cs="Arial"/>
          <w:sz w:val="18"/>
          <w:szCs w:val="18"/>
        </w:rPr>
        <w:fldChar w:fldCharType="end"/>
      </w:r>
      <w:r w:rsidRPr="006313F0">
        <w:rPr>
          <w:rFonts w:ascii="Myriad Web Pro" w:hAnsi="Myriad Web Pro" w:cs="Arial"/>
          <w:sz w:val="18"/>
          <w:szCs w:val="18"/>
        </w:rPr>
        <w:t xml:space="preserve">.  The original predominantly Caucasian cohort of 5,201 persons was recruited in 1989-1990 from random samples of the Medicare eligibility lists; subsequently, an additional predominantly African-American cohort of 687 persons was enrolled for a total sample of 5,888. DNA was extracted from blood samples drawn on all participants at their baseline examination in 1989-90. In 2007-2008, genotyping was performed at the General Clinical Research </w:t>
      </w:r>
      <w:proofErr w:type="spellStart"/>
      <w:r w:rsidRPr="006313F0">
        <w:rPr>
          <w:rFonts w:ascii="Myriad Web Pro" w:hAnsi="Myriad Web Pro" w:cs="Arial"/>
          <w:sz w:val="18"/>
          <w:szCs w:val="18"/>
        </w:rPr>
        <w:t>Center's</w:t>
      </w:r>
      <w:proofErr w:type="spellEnd"/>
      <w:r w:rsidRPr="006313F0">
        <w:rPr>
          <w:rFonts w:ascii="Myriad Web Pro" w:hAnsi="Myriad Web Pro" w:cs="Arial"/>
          <w:sz w:val="18"/>
          <w:szCs w:val="18"/>
        </w:rPr>
        <w:t xml:space="preserve"> Phenotyping/Genotyping Laboratory at Cedars-Sinai using the Illumina 370CNV </w:t>
      </w:r>
      <w:proofErr w:type="spellStart"/>
      <w:r w:rsidRPr="006313F0">
        <w:rPr>
          <w:rFonts w:ascii="Myriad Web Pro" w:hAnsi="Myriad Web Pro" w:cs="Arial"/>
          <w:sz w:val="18"/>
          <w:szCs w:val="18"/>
        </w:rPr>
        <w:t>BeadChip</w:t>
      </w:r>
      <w:proofErr w:type="spellEnd"/>
      <w:r w:rsidRPr="006313F0">
        <w:rPr>
          <w:rFonts w:ascii="Myriad Web Pro" w:hAnsi="Myriad Web Pro" w:cs="Arial"/>
          <w:sz w:val="18"/>
          <w:szCs w:val="18"/>
        </w:rPr>
        <w:t xml:space="preserve"> system on 3980 CHS participants who were free of CVD at baseline, consented to genetic testing, and had DNA available for genotyping</w:t>
      </w:r>
    </w:p>
    <w:p w:rsidR="00F01936" w:rsidRPr="006313F0" w:rsidRDefault="00F01936" w:rsidP="00F01936">
      <w:pPr>
        <w:spacing w:after="0" w:line="240" w:lineRule="auto"/>
        <w:ind w:firstLine="720"/>
        <w:jc w:val="both"/>
        <w:rPr>
          <w:rFonts w:ascii="Myriad Web Pro" w:hAnsi="Myriad Web Pro" w:cs="Arial"/>
          <w:sz w:val="18"/>
          <w:szCs w:val="18"/>
        </w:rPr>
      </w:pPr>
    </w:p>
    <w:p w:rsidR="00F01936" w:rsidRPr="006313F0" w:rsidRDefault="00F01936" w:rsidP="00F01936">
      <w:pPr>
        <w:spacing w:after="0" w:line="240" w:lineRule="auto"/>
        <w:ind w:left="1440" w:hanging="720"/>
        <w:jc w:val="both"/>
        <w:rPr>
          <w:rFonts w:ascii="Myriad Web Pro" w:hAnsi="Myriad Web Pro" w:cs="Arial"/>
          <w:sz w:val="18"/>
          <w:szCs w:val="18"/>
        </w:rPr>
      </w:pPr>
      <w:r w:rsidRPr="006313F0">
        <w:rPr>
          <w:rFonts w:ascii="Myriad Web Pro" w:hAnsi="Myriad Web Pro" w:cs="Arial"/>
          <w:b/>
          <w:sz w:val="18"/>
          <w:szCs w:val="18"/>
        </w:rPr>
        <w:t>FHS</w:t>
      </w:r>
      <w:r w:rsidRPr="006313F0">
        <w:rPr>
          <w:rFonts w:ascii="Myriad Web Pro" w:hAnsi="Myriad Web Pro" w:cs="Arial"/>
          <w:sz w:val="18"/>
          <w:szCs w:val="18"/>
        </w:rPr>
        <w:t>:</w:t>
      </w:r>
      <w:r w:rsidRPr="006313F0">
        <w:rPr>
          <w:rFonts w:ascii="Myriad Web Pro" w:hAnsi="Myriad Web Pro" w:cs="Arial"/>
          <w:sz w:val="18"/>
          <w:szCs w:val="18"/>
        </w:rPr>
        <w:tab/>
        <w:t xml:space="preserve">The Framingham Heart Study was initiated in 1948 to study determinants of cardiovascular disease and other major illnesses. The Original Cohort included 5,209 men and women, aged 28-62 years at </w:t>
      </w:r>
      <w:proofErr w:type="spellStart"/>
      <w:r w:rsidRPr="006313F0">
        <w:rPr>
          <w:rFonts w:ascii="Myriad Web Pro" w:hAnsi="Myriad Web Pro" w:cs="Arial"/>
          <w:sz w:val="18"/>
          <w:szCs w:val="18"/>
        </w:rPr>
        <w:t>enrollment</w:t>
      </w:r>
      <w:proofErr w:type="spellEnd"/>
      <w:r w:rsidRPr="006313F0">
        <w:rPr>
          <w:rFonts w:ascii="Myriad Web Pro" w:hAnsi="Myriad Web Pro" w:cs="Arial"/>
          <w:sz w:val="18"/>
          <w:szCs w:val="18"/>
        </w:rPr>
        <w:t xml:space="preserve"> who have undergone routine biennial examinations </w:t>
      </w:r>
      <w:r w:rsidRPr="006313F0">
        <w:rPr>
          <w:rFonts w:ascii="Myriad Web Pro" w:hAnsi="Myriad Web Pro" w:cs="Arial"/>
          <w:sz w:val="18"/>
          <w:szCs w:val="18"/>
        </w:rPr>
        <w:fldChar w:fldCharType="begin" w:fldLock="1"/>
      </w:r>
      <w:r w:rsidR="00A83FB0">
        <w:rPr>
          <w:rFonts w:ascii="Myriad Web Pro" w:hAnsi="Myriad Web Pro" w:cs="Arial"/>
          <w:sz w:val="18"/>
          <w:szCs w:val="18"/>
        </w:rPr>
        <w:instrText>ADDIN CSL_CITATION { "citationItems" : [ { "id" : "ITEM-1", "itemData" : { "ISSN" : "0002-9572", "PMID" : "14819398", "author" : [ { "dropping-particle" : "", "family" : "DAWBER", "given" : "T R", "non-dropping-particle" : "", "parse-names" : false, "suffix" : "" }, { "dropping-particle" : "", "family" : "MEADORS", "given" : "G F", "non-dropping-particle" : "", "parse-names" : false, "suffix" : "" }, { "dropping-particle" : "", "family" : "MOORE", "given" : "F E", "non-dropping-particle" : "", "parse-names" : false, "suffix" : "" } ], "container-title" : "American journal of public health and the nation's health", "id" : "ITEM-1", "issue" : "3", "issued" : { "date-parts" : [ [ "1951", "3" ] ] }, "page" : "279-81", "title" : "Epidemiological approaches to heart disease: the Framingham Study.", "type" : "article-journal", "volume" : "41" }, "uris" : [ "http://www.mendeley.com/documents/?uuid=91b23446-df1c-4abf-826d-f7dac1729ba2", "http://www.mendeley.com/documents/?uuid=8e7750df-95bd-4356-a291-7588731c6897" ] } ], "mendeley" : { "formattedCitation" : "&lt;sup&gt;7&lt;/sup&gt;", "plainTextFormattedCitation" : "7", "previouslyFormattedCitation" : "(DAWBER et al. 1951)" }, "properties" : { "noteIndex" : 0 }, "schema" : "https://github.com/citation-style-language/schema/raw/master/csl-citation.json" }</w:instrText>
      </w:r>
      <w:r w:rsidRPr="006313F0">
        <w:rPr>
          <w:rFonts w:ascii="Myriad Web Pro" w:hAnsi="Myriad Web Pro" w:cs="Arial"/>
          <w:sz w:val="18"/>
          <w:szCs w:val="18"/>
        </w:rPr>
        <w:fldChar w:fldCharType="separate"/>
      </w:r>
      <w:r w:rsidR="00A83FB0" w:rsidRPr="00A83FB0">
        <w:rPr>
          <w:rFonts w:ascii="Myriad Web Pro" w:hAnsi="Myriad Web Pro" w:cs="Arial"/>
          <w:noProof/>
          <w:sz w:val="18"/>
          <w:szCs w:val="18"/>
          <w:vertAlign w:val="superscript"/>
        </w:rPr>
        <w:t>7</w:t>
      </w:r>
      <w:r w:rsidRPr="006313F0">
        <w:rPr>
          <w:rFonts w:ascii="Myriad Web Pro" w:hAnsi="Myriad Web Pro" w:cs="Arial"/>
          <w:sz w:val="18"/>
          <w:szCs w:val="18"/>
        </w:rPr>
        <w:fldChar w:fldCharType="end"/>
      </w:r>
      <w:r w:rsidRPr="006313F0">
        <w:rPr>
          <w:rFonts w:ascii="Myriad Web Pro" w:hAnsi="Myriad Web Pro" w:cs="Arial"/>
          <w:sz w:val="18"/>
          <w:szCs w:val="18"/>
        </w:rPr>
        <w:t xml:space="preserve">.  In 1971, Offspring of the Original Cohort participants and Offspring spouses including 5,124 men and women, aged 5 to 70 years, were enrolled into the Framingham Offspring Study. Offspring participants have been examined approximately every 4 years. In the 1990s, DNA was obtained for genetic studies from surviving Original Cohort and Offspring participants.  All participants provided informed consent for all assessments through the Boston University Medical </w:t>
      </w:r>
      <w:proofErr w:type="spellStart"/>
      <w:r w:rsidRPr="006313F0">
        <w:rPr>
          <w:rFonts w:ascii="Myriad Web Pro" w:hAnsi="Myriad Web Pro" w:cs="Arial"/>
          <w:sz w:val="18"/>
          <w:szCs w:val="18"/>
        </w:rPr>
        <w:t>Center</w:t>
      </w:r>
      <w:proofErr w:type="spellEnd"/>
      <w:r w:rsidRPr="006313F0">
        <w:rPr>
          <w:rFonts w:ascii="Myriad Web Pro" w:hAnsi="Myriad Web Pro" w:cs="Arial"/>
          <w:sz w:val="18"/>
          <w:szCs w:val="18"/>
        </w:rPr>
        <w:t xml:space="preserve"> IRB. </w:t>
      </w:r>
    </w:p>
    <w:p w:rsidR="00F01936" w:rsidRPr="006313F0" w:rsidRDefault="00F01936" w:rsidP="00F01936">
      <w:pPr>
        <w:spacing w:after="0" w:line="240" w:lineRule="auto"/>
        <w:ind w:firstLine="720"/>
        <w:jc w:val="both"/>
        <w:rPr>
          <w:rFonts w:ascii="Myriad Web Pro" w:hAnsi="Myriad Web Pro" w:cs="Arial"/>
          <w:sz w:val="18"/>
          <w:szCs w:val="18"/>
        </w:rPr>
      </w:pPr>
    </w:p>
    <w:p w:rsidR="00F01936" w:rsidRPr="006313F0" w:rsidRDefault="00F01936" w:rsidP="00F01936">
      <w:pPr>
        <w:spacing w:after="0" w:line="240" w:lineRule="auto"/>
        <w:ind w:left="2160" w:hanging="1440"/>
        <w:jc w:val="both"/>
        <w:rPr>
          <w:rFonts w:ascii="Myriad Web Pro" w:hAnsi="Myriad Web Pro" w:cs="Arial"/>
          <w:sz w:val="18"/>
          <w:szCs w:val="18"/>
        </w:rPr>
      </w:pPr>
      <w:r w:rsidRPr="006313F0">
        <w:rPr>
          <w:rFonts w:ascii="Myriad Web Pro" w:hAnsi="Myriad Web Pro" w:cs="Arial"/>
          <w:b/>
          <w:sz w:val="18"/>
          <w:szCs w:val="18"/>
        </w:rPr>
        <w:lastRenderedPageBreak/>
        <w:t>Health</w:t>
      </w:r>
      <w:r w:rsidRPr="006313F0">
        <w:rPr>
          <w:rFonts w:ascii="Myriad Web Pro" w:hAnsi="Myriad Web Pro" w:cs="Arial"/>
          <w:sz w:val="18"/>
          <w:szCs w:val="18"/>
        </w:rPr>
        <w:t>-</w:t>
      </w:r>
      <w:r w:rsidRPr="006313F0">
        <w:rPr>
          <w:rFonts w:ascii="Myriad Web Pro" w:hAnsi="Myriad Web Pro" w:cs="Arial"/>
          <w:b/>
          <w:sz w:val="18"/>
          <w:szCs w:val="18"/>
        </w:rPr>
        <w:t>ABC</w:t>
      </w:r>
      <w:r w:rsidRPr="006313F0">
        <w:rPr>
          <w:rFonts w:ascii="Myriad Web Pro" w:hAnsi="Myriad Web Pro" w:cs="Arial"/>
          <w:sz w:val="18"/>
          <w:szCs w:val="18"/>
        </w:rPr>
        <w:t xml:space="preserve">: </w:t>
      </w:r>
      <w:r w:rsidRPr="006313F0">
        <w:rPr>
          <w:rFonts w:ascii="Myriad Web Pro" w:hAnsi="Myriad Web Pro" w:cs="Arial"/>
          <w:sz w:val="18"/>
          <w:szCs w:val="18"/>
        </w:rPr>
        <w:tab/>
        <w:t xml:space="preserve">Between March 1997 and July 1998, 3,075 black and white men and women aged 70 to 80 were recruited to participate in the Health ABC Study; characteristics of the cohort have been described elsewhere </w:t>
      </w:r>
      <w:r w:rsidRPr="006313F0">
        <w:rPr>
          <w:rFonts w:ascii="Myriad Web Pro" w:hAnsi="Myriad Web Pro" w:cs="Arial"/>
          <w:sz w:val="18"/>
          <w:szCs w:val="18"/>
        </w:rPr>
        <w:fldChar w:fldCharType="begin" w:fldLock="1"/>
      </w:r>
      <w:r w:rsidR="00A83FB0">
        <w:rPr>
          <w:rFonts w:ascii="Myriad Web Pro" w:hAnsi="Myriad Web Pro" w:cs="Arial"/>
          <w:sz w:val="18"/>
          <w:szCs w:val="18"/>
        </w:rPr>
        <w:instrText>ADDIN CSL_CITATION { "citationItems" : [ { "id" : "ITEM-1", "itemData" : { "ISSN" : "0077-8923", "PMID" : "10865790", "abstract" : "The validity of waist circumference and sagittal diameter as surrogate measures of visceral fat were assessed using preliminary cross-sectional data from the Health, Aging and Body Composition Study, a cohort of 3,075 men and women aged 70-79. Weight, body mass index, waist circumference, waist/thigh ratio, and sagittal diameter were compared by correlation, graphical analysis, and regression to total body fat as measured by dual-energy X-ray absorptiometry (Hologic 4500A), and to visceral fat area as measured by computerized tomography. We included 2,830 persons, 1,439 women and 1,391 men with complete data on all measurements. For both men and women, all measurements were strongly correlated with both total body fat and visceral fat except the waist/thigh ratio. However, waist circumference, sagittal diameter, weight, and body mass index were more closely related to total body fat than to visceral fat area (R2 for the linear regression of waist circumference on total body fat was 0.69 in women and men; R2 for linear regression of waist circumference on visceral fat area was 0.40 in women, and 0.49 in men). These data suggest that the contribution of visceral fat to health risks will be better assessed by directly measuring this fat depot.", "author" : [ { "dropping-particle" : "", "family" : "Harris", "given" : "T B", "non-dropping-particle" : "", "parse-names" : false, "suffix" : "" }, { "dropping-particle" : "", "family" : "Visser", "given" : "M", "non-dropping-particle" : "", "parse-names" : false, "suffix" : "" }, { "dropping-particle" : "", "family" : "Everhart", "given" : "J", "non-dropping-particle" : "", "parse-names" : false, "suffix" : "" }, { "dropping-particle" : "", "family" : "Cauley", "given" : "J", "non-dropping-particle" : "", "parse-names" : false, "suffix" : "" }, { "dropping-particle" : "", "family" : "Tylavsky", "given" : "F", "non-dropping-particle" : "", "parse-names" : false, "suffix" : "" }, { "dropping-particle" : "", "family" : "Fuerst", "given" : "T", "non-dropping-particle" : "", "parse-names" : false, "suffix" : "" }, { "dropping-particle" : "", "family" : "Zamboni", "given" : "M", "non-dropping-particle" : "", "parse-names" : false, "suffix" : "" }, { "dropping-particle" : "", "family" : "Taaffe", "given" : "D", "non-dropping-particle" : "", "parse-names" : false, "suffix" : "" }, { "dropping-particle" : "", "family" : "Resnick", "given" : "H E", "non-dropping-particle" : "", "parse-names" : false, "suffix" : "" }, { "dropping-particle" : "", "family" : "Scherzinger", "given" : "A", "non-dropping-particle" : "", "parse-names" : false, "suffix" : "" }, { "dropping-particle" : "", "family" : "Nevitt", "given" : "M", "non-dropping-particle" : "", "parse-names" : false, "suffix" : "" } ], "container-title" : "Annals of the New York Academy of Sciences", "id" : "ITEM-1", "issued" : { "date-parts" : [ [ "2000", "5" ] ] }, "page" : "462-73", "title" : "Waist circumference and sagittal diameter reflect total body fat better than visceral fat in older men and women. The Health, Aging and Body Composition Study.", "type" : "article-journal", "volume" : "904" }, "uris" : [ "http://www.mendeley.com/documents/?uuid=236f1d54-52e8-46e6-b969-4b36afa1f590", "http://www.mendeley.com/documents/?uuid=2d6cf9e3-ac95-440a-8ec1-dd0a80793b8a" ] } ], "mendeley" : { "formattedCitation" : "&lt;sup&gt;8&lt;/sup&gt;", "plainTextFormattedCitation" : "8", "previouslyFormattedCitation" : "(Harris et al. 2000)" }, "properties" : { "noteIndex" : 0 }, "schema" : "https://github.com/citation-style-language/schema/raw/master/csl-citation.json" }</w:instrText>
      </w:r>
      <w:r w:rsidRPr="006313F0">
        <w:rPr>
          <w:rFonts w:ascii="Myriad Web Pro" w:hAnsi="Myriad Web Pro" w:cs="Arial"/>
          <w:sz w:val="18"/>
          <w:szCs w:val="18"/>
        </w:rPr>
        <w:fldChar w:fldCharType="separate"/>
      </w:r>
      <w:r w:rsidR="00A83FB0" w:rsidRPr="00A83FB0">
        <w:rPr>
          <w:rFonts w:ascii="Myriad Web Pro" w:hAnsi="Myriad Web Pro" w:cs="Arial"/>
          <w:noProof/>
          <w:sz w:val="18"/>
          <w:szCs w:val="18"/>
          <w:vertAlign w:val="superscript"/>
        </w:rPr>
        <w:t>8</w:t>
      </w:r>
      <w:r w:rsidRPr="006313F0">
        <w:rPr>
          <w:rFonts w:ascii="Myriad Web Pro" w:hAnsi="Myriad Web Pro" w:cs="Arial"/>
          <w:sz w:val="18"/>
          <w:szCs w:val="18"/>
        </w:rPr>
        <w:fldChar w:fldCharType="end"/>
      </w:r>
      <w:r w:rsidRPr="006313F0">
        <w:rPr>
          <w:rFonts w:ascii="Myriad Web Pro" w:hAnsi="Myriad Web Pro" w:cs="Arial"/>
          <w:sz w:val="18"/>
          <w:szCs w:val="18"/>
        </w:rPr>
        <w:t>. Medicare beneficiary listings were used to recruit in metropolitan areas surrounding Pittsburgh, Pennsylvania, and Memphis, Tennessee. Eligibility criteria included having no difficulty walking one-quarter of a mile, climbing 10 steps, or performing activities of daily living (transferring, bathing, dressing, and eating); no history of active treatment for cancer in the prior 3 years; and no plans to move from the area within 3 years.</w:t>
      </w:r>
    </w:p>
    <w:p w:rsidR="00F01936" w:rsidRPr="006313F0" w:rsidRDefault="00F01936" w:rsidP="00F01936">
      <w:pPr>
        <w:spacing w:after="0" w:line="240" w:lineRule="auto"/>
        <w:ind w:firstLine="720"/>
        <w:jc w:val="both"/>
        <w:rPr>
          <w:rFonts w:ascii="Myriad Web Pro" w:hAnsi="Myriad Web Pro" w:cs="Arial"/>
          <w:sz w:val="18"/>
          <w:szCs w:val="18"/>
        </w:rPr>
      </w:pPr>
    </w:p>
    <w:p w:rsidR="00F01936" w:rsidRPr="006313F0" w:rsidRDefault="00F01936" w:rsidP="00F01936">
      <w:pPr>
        <w:spacing w:after="0" w:line="240" w:lineRule="auto"/>
        <w:ind w:left="1440" w:hanging="720"/>
        <w:jc w:val="both"/>
        <w:rPr>
          <w:rFonts w:ascii="Myriad Web Pro" w:hAnsi="Myriad Web Pro" w:cs="Arial"/>
          <w:sz w:val="18"/>
          <w:szCs w:val="18"/>
        </w:rPr>
      </w:pPr>
      <w:r w:rsidRPr="006313F0">
        <w:rPr>
          <w:rFonts w:ascii="Myriad Web Pro" w:hAnsi="Myriad Web Pro" w:cs="Arial"/>
          <w:b/>
          <w:sz w:val="18"/>
          <w:szCs w:val="18"/>
        </w:rPr>
        <w:t>HRS</w:t>
      </w:r>
      <w:r w:rsidRPr="006313F0">
        <w:rPr>
          <w:rFonts w:ascii="Myriad Web Pro" w:hAnsi="Myriad Web Pro" w:cs="Arial"/>
          <w:sz w:val="18"/>
          <w:szCs w:val="18"/>
        </w:rPr>
        <w:t>:</w:t>
      </w:r>
      <w:r w:rsidRPr="006313F0">
        <w:rPr>
          <w:rFonts w:ascii="Myriad Web Pro" w:hAnsi="Myriad Web Pro" w:cs="Arial"/>
          <w:sz w:val="18"/>
          <w:szCs w:val="18"/>
        </w:rPr>
        <w:tab/>
        <w:t xml:space="preserve">The Health and Retirement Study (HRS) is a longitudinal survey of a representative sample of Americans over the age of 50.  The current sample is over 26,000 persons in 17,000 households. The study interviews respondents every two years about income and wealth, health and use of health services, work and retirement, and family connections </w:t>
      </w:r>
      <w:r w:rsidRPr="006313F0">
        <w:rPr>
          <w:rFonts w:ascii="Myriad Web Pro" w:hAnsi="Myriad Web Pro" w:cs="Arial"/>
          <w:sz w:val="18"/>
          <w:szCs w:val="18"/>
        </w:rPr>
        <w:fldChar w:fldCharType="begin" w:fldLock="1"/>
      </w:r>
      <w:r w:rsidR="00A83FB0">
        <w:rPr>
          <w:rFonts w:ascii="Myriad Web Pro" w:hAnsi="Myriad Web Pro" w:cs="Arial"/>
          <w:sz w:val="18"/>
          <w:szCs w:val="18"/>
        </w:rPr>
        <w:instrText>ADDIN CSL_CITATION { "citationItems" : [ { "id" : "ITEM-1", "itemData" : { "DOI" : "10.1093/ije/dyu067", "ISSN" : "1464-3685", "PMID" : "24671021", "abstract" : "The Health and Retirement Study (HRS) is a nationally representative longitudinal survey of more than 37 000 individuals over age 50 in 23 000 households in the USA. The survey, which has been fielded every 2 years since 1992, was established to provide a national resource for data on the changing health and economic circumstances associated with ageing at both individual and population levels. Its multidisciplinary approach is focused on four broad topics-income and wealth; health, cognition and use of healthcare services; work and retirement; and family connections. HRS data are also linked at the individual level to administrative records from Social Security and Medicare, Veteran's Administration, the National Death Index and employer-provided pension plan information. Since 2006, data collection has expanded to include biomarkers and genetics as well as much greater depth in psychology and social context. This blend of economic, health and psychosocial information provides unprecedented potential to study increasingly complex questions about ageing and retirement. The HRS has been a leading force for rapid release of data while simultaneously protecting the confidentiality of respondents. Three categories of data-public, sensitive and restricted-can be accessed through procedures described on the HRS website (hrsonline.isr.umich.edu).", "author" : [ { "dropping-particle" : "", "family" : "Sonnega", "given" : "Amanda", "non-dropping-particle" : "", "parse-names" : false, "suffix" : "" }, { "dropping-particle" : "", "family" : "Faul", "given" : "Jessica D", "non-dropping-particle" : "", "parse-names" : false, "suffix" : "" }, { "dropping-particle" : "", "family" : "Ofstedal", "given" : "Mary Beth", "non-dropping-particle" : "", "parse-names" : false, "suffix" : "" }, { "dropping-particle" : "", "family" : "Langa", "given" : "Kenneth M", "non-dropping-particle" : "", "parse-names" : false, "suffix" : "" }, { "dropping-particle" : "", "family" : "Phillips", "given" : "John W R", "non-dropping-particle" : "", "parse-names" : false, "suffix" : "" }, { "dropping-particle" : "", "family" : "Weir", "given" : "David R", "non-dropping-particle" : "", "parse-names" : false, "suffix" : "" } ], "container-title" : "International journal of epidemiology", "id" : "ITEM-1", "issue" : "2", "issued" : { "date-parts" : [ [ "2014", "4" ] ] }, "page" : "576-85", "title" : "Cohort Profile: the Health and Retirement Study (HRS).", "type" : "article-journal", "volume" : "43" }, "uris" : [ "http://www.mendeley.com/documents/?uuid=1e2676a2-d593-40e1-bb10-c55c58503258", "http://www.mendeley.com/documents/?uuid=adcffc37-d30c-454b-bc5a-41569a911b84" ] } ], "mendeley" : { "formattedCitation" : "&lt;sup&gt;9&lt;/sup&gt;", "plainTextFormattedCitation" : "9", "previouslyFormattedCitation" : "(Sonnega et al. 2014)" }, "properties" : { "noteIndex" : 0 }, "schema" : "https://github.com/citation-style-language/schema/raw/master/csl-citation.json" }</w:instrText>
      </w:r>
      <w:r w:rsidRPr="006313F0">
        <w:rPr>
          <w:rFonts w:ascii="Myriad Web Pro" w:hAnsi="Myriad Web Pro" w:cs="Arial"/>
          <w:sz w:val="18"/>
          <w:szCs w:val="18"/>
        </w:rPr>
        <w:fldChar w:fldCharType="separate"/>
      </w:r>
      <w:r w:rsidR="00A83FB0" w:rsidRPr="00A83FB0">
        <w:rPr>
          <w:rFonts w:ascii="Myriad Web Pro" w:hAnsi="Myriad Web Pro" w:cs="Arial"/>
          <w:noProof/>
          <w:sz w:val="18"/>
          <w:szCs w:val="18"/>
          <w:vertAlign w:val="superscript"/>
        </w:rPr>
        <w:t>9</w:t>
      </w:r>
      <w:r w:rsidRPr="006313F0">
        <w:rPr>
          <w:rFonts w:ascii="Myriad Web Pro" w:hAnsi="Myriad Web Pro" w:cs="Arial"/>
          <w:sz w:val="18"/>
          <w:szCs w:val="18"/>
        </w:rPr>
        <w:fldChar w:fldCharType="end"/>
      </w:r>
      <w:r w:rsidRPr="006313F0">
        <w:rPr>
          <w:rFonts w:ascii="Myriad Web Pro" w:hAnsi="Myriad Web Pro" w:cs="Arial"/>
          <w:sz w:val="18"/>
          <w:szCs w:val="18"/>
        </w:rPr>
        <w:t>.   DNA was extracted from saliva collected during a face-to-face interview in the respondents' homes.  These data represent respondents who provided DNA samples and signed consent forms in 2006 and 2008.</w:t>
      </w:r>
    </w:p>
    <w:p w:rsidR="00F01936" w:rsidRPr="006313F0" w:rsidRDefault="00F01936" w:rsidP="00F01936">
      <w:pPr>
        <w:spacing w:after="0" w:line="240" w:lineRule="auto"/>
        <w:ind w:firstLine="720"/>
        <w:jc w:val="both"/>
        <w:rPr>
          <w:rFonts w:ascii="Myriad Web Pro" w:hAnsi="Myriad Web Pro" w:cs="Arial"/>
          <w:sz w:val="18"/>
          <w:szCs w:val="18"/>
        </w:rPr>
      </w:pPr>
    </w:p>
    <w:p w:rsidR="00F01936" w:rsidRPr="006313F0" w:rsidRDefault="00F01936" w:rsidP="00F01936">
      <w:pPr>
        <w:spacing w:after="0" w:line="240" w:lineRule="auto"/>
        <w:ind w:left="2160" w:hanging="1440"/>
        <w:jc w:val="both"/>
        <w:rPr>
          <w:rFonts w:ascii="Myriad Web Pro" w:hAnsi="Myriad Web Pro" w:cs="Arial"/>
          <w:sz w:val="18"/>
          <w:szCs w:val="18"/>
        </w:rPr>
      </w:pPr>
      <w:proofErr w:type="spellStart"/>
      <w:r w:rsidRPr="006313F0">
        <w:rPr>
          <w:rFonts w:ascii="Myriad Web Pro" w:hAnsi="Myriad Web Pro" w:cs="Arial"/>
          <w:b/>
          <w:sz w:val="18"/>
          <w:szCs w:val="18"/>
        </w:rPr>
        <w:t>InCHIANTI</w:t>
      </w:r>
      <w:proofErr w:type="spellEnd"/>
      <w:r w:rsidRPr="006313F0">
        <w:rPr>
          <w:rFonts w:ascii="Myriad Web Pro" w:hAnsi="Myriad Web Pro" w:cs="Arial"/>
          <w:sz w:val="18"/>
          <w:szCs w:val="18"/>
        </w:rPr>
        <w:t>:</w:t>
      </w:r>
      <w:r w:rsidRPr="006313F0">
        <w:rPr>
          <w:rFonts w:ascii="Myriad Web Pro" w:hAnsi="Myriad Web Pro" w:cs="Arial"/>
          <w:sz w:val="18"/>
          <w:szCs w:val="18"/>
        </w:rPr>
        <w:tab/>
        <w:t xml:space="preserve">The study participants consisted of men and women, aged 65 and older, who participated in the </w:t>
      </w:r>
      <w:proofErr w:type="spellStart"/>
      <w:r w:rsidRPr="006313F0">
        <w:rPr>
          <w:rFonts w:ascii="Myriad Web Pro" w:hAnsi="Myriad Web Pro" w:cs="Arial"/>
          <w:sz w:val="18"/>
          <w:szCs w:val="18"/>
        </w:rPr>
        <w:t>Invecchiare</w:t>
      </w:r>
      <w:proofErr w:type="spellEnd"/>
      <w:r w:rsidRPr="006313F0">
        <w:rPr>
          <w:rFonts w:ascii="Myriad Web Pro" w:hAnsi="Myriad Web Pro" w:cs="Arial"/>
          <w:sz w:val="18"/>
          <w:szCs w:val="18"/>
        </w:rPr>
        <w:t xml:space="preserve"> in Chianti, “Aging in the Chianti Area” (</w:t>
      </w:r>
      <w:proofErr w:type="spellStart"/>
      <w:r w:rsidRPr="006313F0">
        <w:rPr>
          <w:rFonts w:ascii="Myriad Web Pro" w:hAnsi="Myriad Web Pro" w:cs="Arial"/>
          <w:sz w:val="18"/>
          <w:szCs w:val="18"/>
        </w:rPr>
        <w:t>InCHIANTI</w:t>
      </w:r>
      <w:proofErr w:type="spellEnd"/>
      <w:r w:rsidRPr="006313F0">
        <w:rPr>
          <w:rFonts w:ascii="Myriad Web Pro" w:hAnsi="Myriad Web Pro" w:cs="Arial"/>
          <w:sz w:val="18"/>
          <w:szCs w:val="18"/>
        </w:rPr>
        <w:t xml:space="preserve">) study, conducted in two small towns in Tuscany, Italy. The rationale, design, and data collection have been described elsewhere, and the main outcome of this longitudinal study is mobility disability </w:t>
      </w:r>
      <w:r w:rsidRPr="006313F0">
        <w:rPr>
          <w:rFonts w:ascii="Myriad Web Pro" w:hAnsi="Myriad Web Pro" w:cs="Arial"/>
          <w:sz w:val="18"/>
          <w:szCs w:val="18"/>
        </w:rPr>
        <w:fldChar w:fldCharType="begin" w:fldLock="1"/>
      </w:r>
      <w:r w:rsidR="00A83FB0">
        <w:rPr>
          <w:rFonts w:ascii="Myriad Web Pro" w:hAnsi="Myriad Web Pro" w:cs="Arial"/>
          <w:sz w:val="18"/>
          <w:szCs w:val="18"/>
        </w:rPr>
        <w:instrText>ADDIN CSL_CITATION { "citationItems" : [ { "id" : "ITEM-1", "itemData" : { "ISSN" : "0002-8614", "PMID" : "11129752", "abstract" : "BACKGROUND: Older patients are often referred to geriatricians because of complaints of progressive difficulties in walking. The diagnostic and therapeutic approach to these patients is complex. Multiple physiologic subsystems may influence the ability to walk, and no standard criteria are currently available to establish whether these subsystems are functioning within the normal range. To address this lack of knowledge we conducted the InCHIANTI study.\n\nOBJECTIVE: To identify measures that clinicians can use to understand the causes of walking difficulties in older persons.\n\nDESIGN: A population-based study of persons living in the Chianti geographic area (Tuscany, Italy).\n\nPARTICIPANTS: 1,453 persons (age-range 20-102 years; 91.6% of the eligible) selected from city registry of Greve in Chianti and Bagno a Ripoli (Tuscany, Italy), using a multistage sampling method.\n\nMEASUREMENTS: Factors that influence walking ability were classified into six main physiologic subsystems: central nervous system, perceptual system, peripheral nervous system, muscles, bone/joints, and energy production/delivery. Measures of the integrity and functioning of each of these proposed subsystems were identified and administered to all participants.\n\nCONCLUSIONS: Data collected in InCHIANTI will be used to identify the main risk factors that influence loss of the ability to walk in older persons, to define physiologic subsystems that are critical for walking, to select the best measures of their integrity, and to establish critical ranges in these measures that are compatible with \"normal\" walking ability. The final goal is to translate epidemiological research into a geriatric clinical tool that makes possible more precise diagnosis and more effective treatment in patients with walking dysfunction.", "author" : [ { "dropping-particle" : "", "family" : "Ferrucci", "given" : "L", "non-dropping-particle" : "", "parse-names" : false, "suffix" : "" }, { "dropping-particle" : "", "family" : "Bandinelli", "given" : "S", "non-dropping-particle" : "", "parse-names" : false, "suffix" : "" }, { "dropping-particle" : "", "family" : "Benvenuti", "given" : "E", "non-dropping-particle" : "", "parse-names" : false, "suffix" : "" }, { "dropping-particle" : "", "family" : "Iorio", "given" : "A", "non-dropping-particle" : "Di", "parse-names" : false, "suffix" : "" }, { "dropping-particle" : "", "family" : "Macchi", "given" : "C", "non-dropping-particle" : "", "parse-names" : false, "suffix" : "" }, { "dropping-particle" : "", "family" : "Harris", "given" : "T B", "non-dropping-particle" : "", "parse-names" : false, "suffix" : "" }, { "dropping-particle" : "", "family" : "Guralnik", "given" : "J M", "non-dropping-particle" : "", "parse-names" : false, "suffix" : "" } ], "container-title" : "Journal of the American Geriatrics Society", "id" : "ITEM-1", "issue" : "12", "issued" : { "date-parts" : [ [ "2000", "12" ] ] }, "page" : "1618-25", "title" : "Subsystems contributing to the decline in ability to walk: bridging the gap between epidemiology and geriatric practice in the InCHIANTI study.", "type" : "article-journal", "volume" : "48" }, "uris" : [ "http://www.mendeley.com/documents/?uuid=5b0389d2-6259-4f94-9c1b-a14abc4b01e1", "http://www.mendeley.com/documents/?uuid=ffbb8add-7196-44fa-b44d-a2cfb27b5055" ] } ], "mendeley" : { "formattedCitation" : "&lt;sup&gt;10&lt;/sup&gt;", "plainTextFormattedCitation" : "10", "previouslyFormattedCitation" : "(Ferrucci et al. 2000)" }, "properties" : { "noteIndex" : 0 }, "schema" : "https://github.com/citation-style-language/schema/raw/master/csl-citation.json" }</w:instrText>
      </w:r>
      <w:r w:rsidRPr="006313F0">
        <w:rPr>
          <w:rFonts w:ascii="Myriad Web Pro" w:hAnsi="Myriad Web Pro" w:cs="Arial"/>
          <w:sz w:val="18"/>
          <w:szCs w:val="18"/>
        </w:rPr>
        <w:fldChar w:fldCharType="separate"/>
      </w:r>
      <w:r w:rsidR="00A83FB0" w:rsidRPr="00A83FB0">
        <w:rPr>
          <w:rFonts w:ascii="Myriad Web Pro" w:hAnsi="Myriad Web Pro" w:cs="Arial"/>
          <w:noProof/>
          <w:sz w:val="18"/>
          <w:szCs w:val="18"/>
          <w:vertAlign w:val="superscript"/>
        </w:rPr>
        <w:t>10</w:t>
      </w:r>
      <w:r w:rsidRPr="006313F0">
        <w:rPr>
          <w:rFonts w:ascii="Myriad Web Pro" w:hAnsi="Myriad Web Pro" w:cs="Arial"/>
          <w:sz w:val="18"/>
          <w:szCs w:val="18"/>
        </w:rPr>
        <w:fldChar w:fldCharType="end"/>
      </w:r>
      <w:r w:rsidRPr="006313F0">
        <w:rPr>
          <w:rFonts w:ascii="Myriad Web Pro" w:hAnsi="Myriad Web Pro" w:cs="Arial"/>
          <w:sz w:val="18"/>
          <w:szCs w:val="18"/>
        </w:rPr>
        <w:t xml:space="preserve">. Briefly, in August 1998, 1270 people aged 65 years and older were randomly selected from the population registry of </w:t>
      </w:r>
      <w:proofErr w:type="spellStart"/>
      <w:r w:rsidRPr="006313F0">
        <w:rPr>
          <w:rFonts w:ascii="Myriad Web Pro" w:hAnsi="Myriad Web Pro" w:cs="Arial"/>
          <w:sz w:val="18"/>
          <w:szCs w:val="18"/>
        </w:rPr>
        <w:t>Greve</w:t>
      </w:r>
      <w:proofErr w:type="spellEnd"/>
      <w:r w:rsidRPr="006313F0">
        <w:rPr>
          <w:rFonts w:ascii="Myriad Web Pro" w:hAnsi="Myriad Web Pro" w:cs="Arial"/>
          <w:sz w:val="18"/>
          <w:szCs w:val="18"/>
        </w:rPr>
        <w:t xml:space="preserve"> in Chianti (pop. 11,709) and </w:t>
      </w:r>
      <w:proofErr w:type="spellStart"/>
      <w:r w:rsidRPr="006313F0">
        <w:rPr>
          <w:rFonts w:ascii="Myriad Web Pro" w:hAnsi="Myriad Web Pro" w:cs="Arial"/>
          <w:sz w:val="18"/>
          <w:szCs w:val="18"/>
        </w:rPr>
        <w:t>Bagno</w:t>
      </w:r>
      <w:proofErr w:type="spellEnd"/>
      <w:r w:rsidRPr="006313F0">
        <w:rPr>
          <w:rFonts w:ascii="Myriad Web Pro" w:hAnsi="Myriad Web Pro" w:cs="Arial"/>
          <w:sz w:val="18"/>
          <w:szCs w:val="18"/>
        </w:rPr>
        <w:t xml:space="preserve"> a </w:t>
      </w:r>
      <w:proofErr w:type="spellStart"/>
      <w:r w:rsidRPr="006313F0">
        <w:rPr>
          <w:rFonts w:ascii="Myriad Web Pro" w:hAnsi="Myriad Web Pro" w:cs="Arial"/>
          <w:sz w:val="18"/>
          <w:szCs w:val="18"/>
        </w:rPr>
        <w:t>Ripoli</w:t>
      </w:r>
      <w:proofErr w:type="spellEnd"/>
      <w:r w:rsidRPr="006313F0">
        <w:rPr>
          <w:rFonts w:ascii="Myriad Web Pro" w:hAnsi="Myriad Web Pro" w:cs="Arial"/>
          <w:sz w:val="18"/>
          <w:szCs w:val="18"/>
        </w:rPr>
        <w:t xml:space="preserve"> (pop. 4,704), and of 1,256 eligible subjects, 1,155 (90.1%) agreed to participate. Participants received an extensive description of the study and participated after written, informed consent. The study protocol complied with the Declaration of Helsinki and was approved by the Italian National Institute of Research and Care on Aging Ethical Committee and by the Institutional Review Board of the Johns Hopkins University School of Medicine.</w:t>
      </w:r>
    </w:p>
    <w:p w:rsidR="00F01936" w:rsidRPr="006313F0" w:rsidRDefault="00F01936" w:rsidP="00F01936">
      <w:pPr>
        <w:spacing w:after="0" w:line="240" w:lineRule="auto"/>
        <w:ind w:firstLine="720"/>
        <w:jc w:val="both"/>
        <w:rPr>
          <w:rFonts w:ascii="Myriad Web Pro" w:hAnsi="Myriad Web Pro" w:cs="Arial"/>
          <w:sz w:val="18"/>
          <w:szCs w:val="18"/>
        </w:rPr>
      </w:pPr>
    </w:p>
    <w:p w:rsidR="00F01936" w:rsidRPr="006313F0" w:rsidRDefault="00F01936" w:rsidP="00F01936">
      <w:pPr>
        <w:spacing w:after="0" w:line="240" w:lineRule="auto"/>
        <w:ind w:left="1440" w:hanging="720"/>
        <w:jc w:val="both"/>
        <w:rPr>
          <w:rFonts w:ascii="Myriad Web Pro" w:hAnsi="Myriad Web Pro" w:cs="Arial"/>
          <w:sz w:val="18"/>
          <w:szCs w:val="18"/>
        </w:rPr>
      </w:pPr>
      <w:r w:rsidRPr="006313F0">
        <w:rPr>
          <w:rFonts w:ascii="Myriad Web Pro" w:hAnsi="Myriad Web Pro" w:cs="Arial"/>
          <w:b/>
          <w:sz w:val="18"/>
          <w:szCs w:val="18"/>
        </w:rPr>
        <w:t>LBC</w:t>
      </w:r>
      <w:r w:rsidRPr="006313F0">
        <w:rPr>
          <w:rFonts w:ascii="Myriad Web Pro" w:hAnsi="Myriad Web Pro" w:cs="Arial"/>
          <w:sz w:val="18"/>
          <w:szCs w:val="18"/>
        </w:rPr>
        <w:t>:</w:t>
      </w:r>
      <w:r w:rsidRPr="006313F0">
        <w:rPr>
          <w:rFonts w:ascii="Myriad Web Pro" w:hAnsi="Myriad Web Pro" w:cs="Arial"/>
          <w:sz w:val="18"/>
          <w:szCs w:val="18"/>
        </w:rPr>
        <w:tab/>
        <w:t xml:space="preserve">The Lothian Birth Cohort 1921 (LBC1921) cohort consists of 550 relatively healthy individuals, 316 females and 234 males, assessed on cognitive and medical traits at 79 years of age. They were born in 1921, most took part in the Scottish Mental Survey of 1932, and almost all lived independently in the Lothian region (Edinburgh City and surrounding area) in Scotland. When tested, the sample had a mean age of 79.1 years (SD = 0.6).  A full description of participant recruitment and testing can be found elsewhere </w:t>
      </w:r>
      <w:r w:rsidRPr="006313F0">
        <w:rPr>
          <w:rFonts w:ascii="Myriad Web Pro" w:hAnsi="Myriad Web Pro" w:cs="Arial"/>
          <w:sz w:val="18"/>
          <w:szCs w:val="18"/>
        </w:rPr>
        <w:fldChar w:fldCharType="begin" w:fldLock="1"/>
      </w:r>
      <w:r w:rsidR="00A83FB0">
        <w:rPr>
          <w:rFonts w:ascii="Myriad Web Pro" w:hAnsi="Myriad Web Pro" w:cs="Arial"/>
          <w:sz w:val="18"/>
          <w:szCs w:val="18"/>
        </w:rPr>
        <w:instrText>ADDIN CSL_CITATION { "citationItems" : [ { "id" : "ITEM-1", "itemData" : { "DOI" : "10.1037/0022-3514.86.1.130", "ISSN" : "0022-3514", "PMID" : "14717632", "abstract" : "The Scottish Mental Surveys of 1932 and 1947 collected valid IQ-type test scores for almost everyone born in 1921 and 1936 and attending school on June 1, 1932 (N=89,498) and June 4, 1947 (N=70,805). These surveys are described. This research, using the surveys' data, examined (a) the stability of intelligence differences across the life span, (b) the determinants of cognitive change from childhood to old age, and (c) the impact of childhood intelligence on survival and health in old age. Surviving participants of the Scottish Mental Surveys were tested, and the surveys' data were linked with public and health records. Novel findings on the stability of IQ scores from age 11 to age 80; sex differences in cognitive aging; the dedifferentiation hypothesis of cognitive aging; and the effect of childhood IQ on all-cause and specific mortality, morbidity, and frailty in old age are presented.", "author" : [ { "dropping-particle" : "", "family" : "Deary", "given" : "Ian J.", "non-dropping-particle" : "", "parse-names" : false, "suffix" : "" }, { "dropping-particle" : "", "family" : "Whiteman", "given" : "Martha C.", "non-dropping-particle" : "", "parse-names" : false, "suffix" : "" }, { "dropping-particle" : "", "family" : "Starr", "given" : "John M.", "non-dropping-particle" : "", "parse-names" : false, "suffix" : "" }, { "dropping-particle" : "", "family" : "Whalley", "given" : "Lawrence J.", "non-dropping-particle" : "", "parse-names" : false, "suffix" : "" }, { "dropping-particle" : "", "family" : "Fox", "given" : "Helen C.", "non-dropping-particle" : "", "parse-names" : false, "suffix" : "" } ], "container-title" : "Journal of Personality and Social Psychology", "id" : "ITEM-1", "issue" : "1", "issued" : { "date-parts" : [ [ "2004", "1" ] ] }, "page" : "130-147", "title" : "The Impact of Childhood Intelligence on Later Life: Following Up the Scottish Mental Surveys of 1932 and 1947.", "type" : "article-journal", "volume" : "86" }, "uris" : [ "http://www.mendeley.com/documents/?uuid=085bc4a2-3358-4a66-a978-491060703b98", "http://www.mendeley.com/documents/?uuid=4f984551-5cf9-41f5-b708-63b95605d60e" ] } ], "mendeley" : { "formattedCitation" : "&lt;sup&gt;11&lt;/sup&gt;", "plainTextFormattedCitation" : "11", "previouslyFormattedCitation" : "(Deary et al. 2004)" }, "properties" : { "noteIndex" : 0 }, "schema" : "https://github.com/citation-style-language/schema/raw/master/csl-citation.json" }</w:instrText>
      </w:r>
      <w:r w:rsidRPr="006313F0">
        <w:rPr>
          <w:rFonts w:ascii="Myriad Web Pro" w:hAnsi="Myriad Web Pro" w:cs="Arial"/>
          <w:sz w:val="18"/>
          <w:szCs w:val="18"/>
        </w:rPr>
        <w:fldChar w:fldCharType="separate"/>
      </w:r>
      <w:r w:rsidR="00A83FB0" w:rsidRPr="00A83FB0">
        <w:rPr>
          <w:rFonts w:ascii="Myriad Web Pro" w:hAnsi="Myriad Web Pro" w:cs="Arial"/>
          <w:noProof/>
          <w:sz w:val="18"/>
          <w:szCs w:val="18"/>
          <w:vertAlign w:val="superscript"/>
        </w:rPr>
        <w:t>11</w:t>
      </w:r>
      <w:r w:rsidRPr="006313F0">
        <w:rPr>
          <w:rFonts w:ascii="Myriad Web Pro" w:hAnsi="Myriad Web Pro" w:cs="Arial"/>
          <w:sz w:val="18"/>
          <w:szCs w:val="18"/>
        </w:rPr>
        <w:fldChar w:fldCharType="end"/>
      </w:r>
      <w:r w:rsidRPr="006313F0">
        <w:rPr>
          <w:rFonts w:ascii="Myriad Web Pro" w:hAnsi="Myriad Web Pro" w:cs="Arial"/>
          <w:sz w:val="18"/>
          <w:szCs w:val="18"/>
        </w:rPr>
        <w:t>. Ethics permission for the study was obtained from the Lothian Research Ethics Committee (LREC/1998/4/183). The research was carried out in compliance with the Helsinki Declaration. All subjects gave written, informed consent.</w:t>
      </w:r>
    </w:p>
    <w:p w:rsidR="00F01936" w:rsidRPr="006313F0" w:rsidRDefault="00F01936" w:rsidP="00F01936">
      <w:pPr>
        <w:spacing w:after="0" w:line="240" w:lineRule="auto"/>
        <w:ind w:firstLine="720"/>
        <w:jc w:val="both"/>
        <w:rPr>
          <w:rFonts w:ascii="Myriad Web Pro" w:hAnsi="Myriad Web Pro" w:cs="Arial"/>
          <w:sz w:val="18"/>
          <w:szCs w:val="18"/>
        </w:rPr>
      </w:pPr>
    </w:p>
    <w:p w:rsidR="00F01936" w:rsidRPr="006313F0" w:rsidRDefault="00F01936" w:rsidP="00F01936">
      <w:pPr>
        <w:spacing w:after="0" w:line="240" w:lineRule="auto"/>
        <w:ind w:left="1440"/>
        <w:jc w:val="both"/>
        <w:rPr>
          <w:rFonts w:ascii="Myriad Web Pro" w:hAnsi="Myriad Web Pro" w:cs="Arial"/>
          <w:sz w:val="18"/>
          <w:szCs w:val="18"/>
        </w:rPr>
      </w:pPr>
      <w:r w:rsidRPr="006313F0">
        <w:rPr>
          <w:rFonts w:ascii="Myriad Web Pro" w:hAnsi="Myriad Web Pro" w:cs="Arial"/>
          <w:sz w:val="18"/>
          <w:szCs w:val="18"/>
        </w:rPr>
        <w:t xml:space="preserve">The Lothian Birth Cohort 1936 (LBC1936) consists of 1,091 relatively healthy individuals assessed on cognitive and medical traits at 70 years of age. They were born in 1936, most took part in the Scottish Mental Survey of 1947, and almost all lived independently in the Lothian region of Scotland.  The sample of 548 men and 543 women had a mean age 69.6 years (SD = 0.8).  A full description of participant recruitment and testing can be found elsewhere </w:t>
      </w:r>
      <w:r w:rsidRPr="006313F0">
        <w:rPr>
          <w:rFonts w:ascii="Myriad Web Pro" w:hAnsi="Myriad Web Pro" w:cs="Arial"/>
          <w:sz w:val="18"/>
          <w:szCs w:val="18"/>
        </w:rPr>
        <w:fldChar w:fldCharType="begin" w:fldLock="1"/>
      </w:r>
      <w:r w:rsidR="00A83FB0">
        <w:rPr>
          <w:rFonts w:ascii="Myriad Web Pro" w:hAnsi="Myriad Web Pro" w:cs="Arial"/>
          <w:sz w:val="18"/>
          <w:szCs w:val="18"/>
        </w:rPr>
        <w:instrText>ADDIN CSL_CITATION { "citationItems" : [ { "id" : "ITEM-1", "itemData" : { "DOI" : "10.1186/1471-2318-7-28", "ISSN" : "1471-2318", "PMID" : "18053258", "abstract" : "BACKGROUND: Cognitive ageing is a major burden for society and a major influence in lowering people's independence and quality of life. It is the most feared aspect of ageing. There are large individual differences in age-related cognitive changes. Seeking the determinants of cognitive ageing is a research priority. A limitation of many studies is the lack of a sufficiently long period between cognitive assessments to examine determinants. Here, the aim is to examine influences on cognitive ageing between childhood and old age.\n\nMETHODS/DESIGN: The study is designed as a follow-up cohort study. The participants comprise surviving members of the Scottish Mental Survey of 1947 (SMS1947; N = 70,805) who reside in the Edinburgh area (Lothian) of Scotland. The SMS1947 applied a valid test of general intelligence to all children born in 1936 and attending Scottish schools in June 1947. A total of 1091 participants make up the Lothian Birth Cohort 1936. They undertook: a medical interview and examination; physical fitness testing; extensive cognitive testing (reasoning, memory, speed of information processing, and executive function); personality, quality of life and other psycho-social questionnaires; and a food frequency questionnaire. They have taken the same mental ability test (the Moray House Test No. 12) at age 11 and age 70. They provided blood samples for DNA extraction and testing and other biomarker analyses. Here we describe the background and aims of the study, the recruitment procedures and details of numbers tested, and the details of all examinations.\n\nDISCUSSION: The principal strength of this cohort is the rarely captured phenotype of lifetime cognitive change. There is additional rich information to examine the determinants of individual differences in this lifetime cognitive change. This protocol report is important in alerting other researchers to the data available in the cohort.", "author" : [ { "dropping-particle" : "", "family" : "Deary", "given" : "Ian J", "non-dropping-particle" : "", "parse-names" : false, "suffix" : "" }, { "dropping-particle" : "", "family" : "Gow", "given" : "Alan J", "non-dropping-particle" : "", "parse-names" : false, "suffix" : "" }, { "dropping-particle" : "", "family" : "Taylor", "given" : "Michelle D", "non-dropping-particle" : "", "parse-names" : false, "suffix" : "" }, { "dropping-particle" : "", "family" : "Corley", "given" : "Janie", "non-dropping-particle" : "", "parse-names" : false, "suffix" : "" }, { "dropping-particle" : "", "family" : "Brett", "given" : "Caroline", "non-dropping-particle" : "", "parse-names" : false, "suffix" : "" }, { "dropping-particle" : "", "family" : "Wilson", "given" : "Valerie", "non-dropping-particle" : "", "parse-names" : false, "suffix" : "" }, { "dropping-particle" : "", "family" : "Campbell", "given" : "Harry", "non-dropping-particle" : "", "parse-names" : false, "suffix" : "" }, { "dropping-particle" : "", "family" : "Whalley", "given" : "Lawrence J", "non-dropping-particle" : "", "parse-names" : false, "suffix" : "" }, { "dropping-particle" : "", "family" : "Visscher", "given" : "Peter M", "non-dropping-particle" : "", "parse-names" : false, "suffix" : "" }, { "dropping-particle" : "", "family" : "Porteous", "given" : "David J", "non-dropping-particle" : "", "parse-names" : false, "suffix" : "" }, { "dropping-particle" : "", "family" : "Starr", "given" : "John M", "non-dropping-particle" : "", "parse-names" : false, "suffix" : "" } ], "container-title" : "BMC geriatrics", "id" : "ITEM-1", "issued" : { "date-parts" : [ [ "2007", "1" ] ] }, "page" : "28", "title" : "The Lothian Birth Cohort 1936: a study to examine influences on cognitive ageing from age 11 to age 70 and beyond.", "type" : "article-journal", "volume" : "7" }, "uris" : [ "http://www.mendeley.com/documents/?uuid=f659e2d3-989d-4836-a903-65f4f829768a", "http://www.mendeley.com/documents/?uuid=76ab156c-52f8-45ed-9838-e5ea18a3108f" ] } ], "mendeley" : { "formattedCitation" : "&lt;sup&gt;12&lt;/sup&gt;", "plainTextFormattedCitation" : "12", "previouslyFormattedCitation" : "(Deary et al. 2007)" }, "properties" : { "noteIndex" : 0 }, "schema" : "https://github.com/citation-style-language/schema/raw/master/csl-citation.json" }</w:instrText>
      </w:r>
      <w:r w:rsidRPr="006313F0">
        <w:rPr>
          <w:rFonts w:ascii="Myriad Web Pro" w:hAnsi="Myriad Web Pro" w:cs="Arial"/>
          <w:sz w:val="18"/>
          <w:szCs w:val="18"/>
        </w:rPr>
        <w:fldChar w:fldCharType="separate"/>
      </w:r>
      <w:r w:rsidR="00A83FB0" w:rsidRPr="00A83FB0">
        <w:rPr>
          <w:rFonts w:ascii="Myriad Web Pro" w:hAnsi="Myriad Web Pro" w:cs="Arial"/>
          <w:noProof/>
          <w:sz w:val="18"/>
          <w:szCs w:val="18"/>
          <w:vertAlign w:val="superscript"/>
        </w:rPr>
        <w:t>12</w:t>
      </w:r>
      <w:r w:rsidRPr="006313F0">
        <w:rPr>
          <w:rFonts w:ascii="Myriad Web Pro" w:hAnsi="Myriad Web Pro" w:cs="Arial"/>
          <w:sz w:val="18"/>
          <w:szCs w:val="18"/>
        </w:rPr>
        <w:fldChar w:fldCharType="end"/>
      </w:r>
      <w:r w:rsidRPr="006313F0">
        <w:rPr>
          <w:rFonts w:ascii="Myriad Web Pro" w:hAnsi="Myriad Web Pro" w:cs="Arial"/>
          <w:sz w:val="18"/>
          <w:szCs w:val="18"/>
        </w:rPr>
        <w:t>. Ethics permission for the study was obtained from the Multi-Centre Research Ethics Committee for Scotland (MREC/01/0/56) and from Lothian Research Ethics Committee (LBC1936: LREC/2003/2/29). The research was carried out in compliance with the Helsinki Declaration. All subjects gave written, informed consent.</w:t>
      </w:r>
    </w:p>
    <w:p w:rsidR="00F01936" w:rsidRPr="006313F0" w:rsidRDefault="00F01936" w:rsidP="00F01936">
      <w:pPr>
        <w:spacing w:after="0" w:line="240" w:lineRule="auto"/>
        <w:ind w:firstLine="720"/>
        <w:jc w:val="both"/>
        <w:rPr>
          <w:rFonts w:ascii="Myriad Web Pro" w:hAnsi="Myriad Web Pro" w:cs="Arial"/>
          <w:sz w:val="18"/>
          <w:szCs w:val="18"/>
        </w:rPr>
      </w:pPr>
    </w:p>
    <w:p w:rsidR="00F01936" w:rsidRPr="006313F0" w:rsidRDefault="00F01936" w:rsidP="00F01936">
      <w:pPr>
        <w:spacing w:after="0" w:line="240" w:lineRule="auto"/>
        <w:ind w:left="1440" w:hanging="720"/>
        <w:jc w:val="both"/>
        <w:rPr>
          <w:rFonts w:ascii="Myriad Web Pro" w:hAnsi="Myriad Web Pro" w:cs="Arial"/>
          <w:sz w:val="18"/>
          <w:szCs w:val="18"/>
        </w:rPr>
      </w:pPr>
      <w:r w:rsidRPr="006313F0">
        <w:rPr>
          <w:rFonts w:ascii="Myriad Web Pro" w:hAnsi="Myriad Web Pro" w:cs="Arial"/>
          <w:b/>
          <w:sz w:val="18"/>
          <w:szCs w:val="18"/>
        </w:rPr>
        <w:t>MAP</w:t>
      </w:r>
      <w:r w:rsidRPr="006313F0">
        <w:rPr>
          <w:rFonts w:ascii="Myriad Web Pro" w:hAnsi="Myriad Web Pro" w:cs="Arial"/>
          <w:sz w:val="18"/>
          <w:szCs w:val="18"/>
        </w:rPr>
        <w:t>:</w:t>
      </w:r>
      <w:r w:rsidRPr="006313F0">
        <w:rPr>
          <w:rFonts w:ascii="Myriad Web Pro" w:hAnsi="Myriad Web Pro" w:cs="Arial"/>
          <w:sz w:val="18"/>
          <w:szCs w:val="18"/>
        </w:rPr>
        <w:tab/>
        <w:t xml:space="preserve">The Memory and Aging Project (MAP) is a longitudinal clinical-pathologic cohort study of aging. The study </w:t>
      </w:r>
      <w:proofErr w:type="spellStart"/>
      <w:r w:rsidRPr="006313F0">
        <w:rPr>
          <w:rFonts w:ascii="Myriad Web Pro" w:hAnsi="Myriad Web Pro" w:cs="Arial"/>
          <w:sz w:val="18"/>
          <w:szCs w:val="18"/>
        </w:rPr>
        <w:t>enrolls</w:t>
      </w:r>
      <w:proofErr w:type="spellEnd"/>
      <w:r w:rsidRPr="006313F0">
        <w:rPr>
          <w:rFonts w:ascii="Myriad Web Pro" w:hAnsi="Myriad Web Pro" w:cs="Arial"/>
          <w:sz w:val="18"/>
          <w:szCs w:val="18"/>
        </w:rPr>
        <w:t xml:space="preserve"> older adults without known dementia who agree to an annual assessment of risk factors, blood donation and a structured clinical evaluation </w:t>
      </w:r>
      <w:r w:rsidRPr="006313F0">
        <w:rPr>
          <w:rFonts w:ascii="Myriad Web Pro" w:hAnsi="Myriad Web Pro" w:cs="Arial"/>
          <w:sz w:val="18"/>
          <w:szCs w:val="18"/>
        </w:rPr>
        <w:fldChar w:fldCharType="begin" w:fldLock="1"/>
      </w:r>
      <w:r w:rsidR="00A83FB0">
        <w:rPr>
          <w:rFonts w:ascii="Myriad Web Pro" w:hAnsi="Myriad Web Pro" w:cs="Arial"/>
          <w:sz w:val="18"/>
          <w:szCs w:val="18"/>
        </w:rPr>
        <w:instrText>ADDIN CSL_CITATION { "citationItems" : [ { "id" : "ITEM-1", "itemData" : { "DOI" : "10.1159/000087446", "ISSN" : "0251-5350", "PMID" : "16103727", "abstract" : "The long-term objective of the Rush Memory and Aging Project is to identify the postmortem indices linking genetic and environmental risk factors to the development of Alzheimer's disease (AD). The overall study design involves a detailed assessment of risk factors for AD in older persons without known dementia who agree to annual clinical evaluation and organ donation at the time of death. In contrast to other clinical-pathologic studies which are conducted on special populations, the Rush Memory and Aging Project enrolled a cohort with much greater diversity in terms of educational attainment, in addition to gender, race, and ethnicity. From September of 1997 through April of 2005, more than 1,000 older persons without known dementia from more than 30 residential facilities across the Chicago metropolitan area agreed to participate. Their mean age was 81 years, about a third had 12 or fewer years of education, a third were men, and about 10% were members of a racial or ethnic minority group. More than 950 already have completed their baseline clinical evaluation.", "author" : [ { "dropping-particle" : "", "family" : "Bennett", "given" : "David A", "non-dropping-particle" : "", "parse-names" : false, "suffix" : "" }, { "dropping-particle" : "", "family" : "Schneider", "given" : "Julie A", "non-dropping-particle" : "", "parse-names" : false, "suffix" : "" }, { "dropping-particle" : "", "family" : "Buchman", "given" : "Aron S", "non-dropping-particle" : "", "parse-names" : false, "suffix" : "" }, { "dropping-particle" : "", "family" : "Mendes de Leon", "given" : "Carlos", "non-dropping-particle" : "", "parse-names" : false, "suffix" : "" }, { "dropping-particle" : "", "family" : "Bienias", "given" : "Julia L", "non-dropping-particle" : "", "parse-names" : false, "suffix" : "" }, { "dropping-particle" : "", "family" : "Wilson", "given" : "Robert S", "non-dropping-particle" : "", "parse-names" : false, "suffix" : "" } ], "container-title" : "Neuroepidemiology", "id" : "ITEM-1", "issue" : "4", "issued" : { "date-parts" : [ [ "2005", "1" ] ] }, "page" : "163-75", "title" : "The Rush Memory and Aging Project: study design and baseline characteristics of the study cohort.", "type" : "article-journal", "volume" : "25" }, "uris" : [ "http://www.mendeley.com/documents/?uuid=7c5e8196-a6e3-40e0-9b7a-6d081c95bdb7", "http://www.mendeley.com/documents/?uuid=f635b3cf-5dda-4e95-8def-3c3a5a7baa76" ] } ], "mendeley" : { "formattedCitation" : "&lt;sup&gt;13&lt;/sup&gt;", "plainTextFormattedCitation" : "13", "previouslyFormattedCitation" : "(Bennett et al. 2005)" }, "properties" : { "noteIndex" : 0 }, "schema" : "https://github.com/citation-style-language/schema/raw/master/csl-citation.json" }</w:instrText>
      </w:r>
      <w:r w:rsidRPr="006313F0">
        <w:rPr>
          <w:rFonts w:ascii="Myriad Web Pro" w:hAnsi="Myriad Web Pro" w:cs="Arial"/>
          <w:sz w:val="18"/>
          <w:szCs w:val="18"/>
        </w:rPr>
        <w:fldChar w:fldCharType="separate"/>
      </w:r>
      <w:r w:rsidR="00A83FB0" w:rsidRPr="00A83FB0">
        <w:rPr>
          <w:rFonts w:ascii="Myriad Web Pro" w:hAnsi="Myriad Web Pro" w:cs="Arial"/>
          <w:noProof/>
          <w:sz w:val="18"/>
          <w:szCs w:val="18"/>
          <w:vertAlign w:val="superscript"/>
        </w:rPr>
        <w:t>13</w:t>
      </w:r>
      <w:r w:rsidRPr="006313F0">
        <w:rPr>
          <w:rFonts w:ascii="Myriad Web Pro" w:hAnsi="Myriad Web Pro" w:cs="Arial"/>
          <w:sz w:val="18"/>
          <w:szCs w:val="18"/>
        </w:rPr>
        <w:fldChar w:fldCharType="end"/>
      </w:r>
      <w:r w:rsidRPr="006313F0">
        <w:rPr>
          <w:rFonts w:ascii="Myriad Web Pro" w:hAnsi="Myriad Web Pro" w:cs="Arial"/>
          <w:sz w:val="18"/>
          <w:szCs w:val="18"/>
        </w:rPr>
        <w:t xml:space="preserve">. All participants sign an Anatomical Gift Act and agree to the donation of brain, the entire spinal cord and selected nerve and muscles at the time of death. Study participants are primarily recruited from retirement communities throughout </w:t>
      </w:r>
      <w:proofErr w:type="spellStart"/>
      <w:r w:rsidRPr="006313F0">
        <w:rPr>
          <w:rFonts w:ascii="Myriad Web Pro" w:hAnsi="Myriad Web Pro" w:cs="Arial"/>
          <w:sz w:val="18"/>
          <w:szCs w:val="18"/>
        </w:rPr>
        <w:t>northeastern</w:t>
      </w:r>
      <w:proofErr w:type="spellEnd"/>
      <w:r w:rsidRPr="006313F0">
        <w:rPr>
          <w:rFonts w:ascii="Myriad Web Pro" w:hAnsi="Myriad Web Pro" w:cs="Arial"/>
          <w:sz w:val="18"/>
          <w:szCs w:val="18"/>
        </w:rPr>
        <w:t xml:space="preserve"> Illinois. Since October 1997, about 1,650 participants have completed their baseline evaluation. The follow-up rate of survivors exceeds 90%, and the autopsy rate exceeds 80%.  The Religious Order Study (ROS) is a longitudinal clinical-pathologic cohort study of aging. The study </w:t>
      </w:r>
      <w:proofErr w:type="spellStart"/>
      <w:r w:rsidRPr="006313F0">
        <w:rPr>
          <w:rFonts w:ascii="Myriad Web Pro" w:hAnsi="Myriad Web Pro" w:cs="Arial"/>
          <w:sz w:val="18"/>
          <w:szCs w:val="18"/>
        </w:rPr>
        <w:t>enrolls</w:t>
      </w:r>
      <w:proofErr w:type="spellEnd"/>
      <w:r w:rsidRPr="006313F0">
        <w:rPr>
          <w:rFonts w:ascii="Myriad Web Pro" w:hAnsi="Myriad Web Pro" w:cs="Arial"/>
          <w:sz w:val="18"/>
          <w:szCs w:val="18"/>
        </w:rPr>
        <w:t xml:space="preserve"> older adults without known dementia who agree to an annual assessment of risk factors, blood donation and a detailed evaluation </w:t>
      </w:r>
      <w:r w:rsidRPr="006313F0">
        <w:rPr>
          <w:rFonts w:ascii="Myriad Web Pro" w:hAnsi="Myriad Web Pro" w:cs="Arial"/>
          <w:sz w:val="18"/>
          <w:szCs w:val="18"/>
        </w:rPr>
        <w:fldChar w:fldCharType="begin" w:fldLock="1"/>
      </w:r>
      <w:r w:rsidR="00A83FB0">
        <w:rPr>
          <w:rFonts w:ascii="Myriad Web Pro" w:hAnsi="Myriad Web Pro" w:cs="Arial"/>
          <w:sz w:val="18"/>
          <w:szCs w:val="18"/>
        </w:rPr>
        <w:instrText>ADDIN CSL_CITATION { "citationItems" : [ { "id" : "ITEM-1", "itemData" : { "ISSN" : "1875-5828", "PMID" : "22471860", "abstract" : "UNLABELLED: The Religious Orders Study is a longitudinal clinical-pathologic cohort study of aging and Alzheimer's disease (AD). In this manuscript, we summarize the study methods including the study design and describe the clinical evaluation, assessment of risk factors, collection of ante-mortem biological specimens, brain autopsy and collection of selected postmortem data.\n\nTHE RESULTS: (1) review the relation of neuropathologic indices to clinical diagnoses and cognition proximate to death; (2) examine the relation of risk factors to clinical outcomes; (3) examine the relation of risk factors to measures of neuropathology; and (4) summarize additional study findings. We then discuss and contextualize the study findings.", "author" : [ { "dropping-particle" : "", "family" : "Bennett", "given" : "David A", "non-dropping-particle" : "", "parse-names" : false, "suffix" : "" }, { "dropping-particle" : "", "family" : "Schneider", "given" : "Julie A", "non-dropping-particle" : "", "parse-names" : false, "suffix" : "" }, { "dropping-particle" : "", "family" : "Arvanitakis", "given" : "Zoe", "non-dropping-particle" : "", "parse-names" : false, "suffix" : "" }, { "dropping-particle" : "", "family" : "Wilson", "given" : "Robert S", "non-dropping-particle" : "", "parse-names" : false, "suffix" : "" } ], "container-title" : "Current Alzheimer research", "id" : "ITEM-1", "issue" : "6", "issued" : { "date-parts" : [ [ "2012", "7" ] ] }, "page" : "628-45", "title" : "Overview and findings from the religious orders study.", "type" : "article-journal", "volume" : "9" }, "uris" : [ "http://www.mendeley.com/documents/?uuid=c3d54369-3b8f-4154-b6b6-44578ee7c7b0", "http://www.mendeley.com/documents/?uuid=35feaf12-fd3d-4f6b-b6a5-09ad8dde2ce1" ] } ], "mendeley" : { "formattedCitation" : "&lt;sup&gt;14&lt;/sup&gt;", "plainTextFormattedCitation" : "14", "previouslyFormattedCitation" : "(Bennett et al. 2012)" }, "properties" : { "noteIndex" : 0 }, "schema" : "https://github.com/citation-style-language/schema/raw/master/csl-citation.json" }</w:instrText>
      </w:r>
      <w:r w:rsidRPr="006313F0">
        <w:rPr>
          <w:rFonts w:ascii="Myriad Web Pro" w:hAnsi="Myriad Web Pro" w:cs="Arial"/>
          <w:sz w:val="18"/>
          <w:szCs w:val="18"/>
        </w:rPr>
        <w:fldChar w:fldCharType="separate"/>
      </w:r>
      <w:r w:rsidR="00A83FB0" w:rsidRPr="00A83FB0">
        <w:rPr>
          <w:rFonts w:ascii="Myriad Web Pro" w:hAnsi="Myriad Web Pro" w:cs="Arial"/>
          <w:noProof/>
          <w:sz w:val="18"/>
          <w:szCs w:val="18"/>
          <w:vertAlign w:val="superscript"/>
        </w:rPr>
        <w:t>14</w:t>
      </w:r>
      <w:r w:rsidRPr="006313F0">
        <w:rPr>
          <w:rFonts w:ascii="Myriad Web Pro" w:hAnsi="Myriad Web Pro" w:cs="Arial"/>
          <w:sz w:val="18"/>
          <w:szCs w:val="18"/>
        </w:rPr>
        <w:fldChar w:fldCharType="end"/>
      </w:r>
      <w:r w:rsidRPr="006313F0">
        <w:rPr>
          <w:rFonts w:ascii="Myriad Web Pro" w:hAnsi="Myriad Web Pro" w:cs="Arial"/>
          <w:sz w:val="18"/>
          <w:szCs w:val="18"/>
        </w:rPr>
        <w:t xml:space="preserve">. All participants sign an Anatomical Gift Act and agree to donation of brain at the time of death. Study participants are primarily Catholic priests, nuns and brothers from about 40 groups in 12 states. Since January 1994, over 1,100 participants completed their baseline evaluation. Both the follow-up rate among survivors and the autopsy rate exceed 90%. </w:t>
      </w:r>
    </w:p>
    <w:p w:rsidR="00F01936" w:rsidRPr="006313F0" w:rsidRDefault="00F01936" w:rsidP="00F01936">
      <w:pPr>
        <w:spacing w:after="0" w:line="240" w:lineRule="auto"/>
        <w:ind w:firstLine="720"/>
        <w:jc w:val="both"/>
        <w:rPr>
          <w:rFonts w:ascii="Myriad Web Pro" w:hAnsi="Myriad Web Pro" w:cs="Arial"/>
          <w:sz w:val="18"/>
          <w:szCs w:val="18"/>
        </w:rPr>
      </w:pPr>
    </w:p>
    <w:p w:rsidR="00F01936" w:rsidRPr="006313F0" w:rsidRDefault="00F01936" w:rsidP="00F01936">
      <w:pPr>
        <w:spacing w:after="0" w:line="240" w:lineRule="auto"/>
        <w:ind w:left="1440" w:hanging="720"/>
        <w:jc w:val="both"/>
        <w:rPr>
          <w:rFonts w:ascii="Myriad Web Pro" w:hAnsi="Myriad Web Pro" w:cs="Arial"/>
          <w:sz w:val="18"/>
          <w:szCs w:val="18"/>
        </w:rPr>
      </w:pPr>
      <w:proofErr w:type="spellStart"/>
      <w:r w:rsidRPr="006313F0">
        <w:rPr>
          <w:rFonts w:ascii="Myriad Web Pro" w:hAnsi="Myriad Web Pro" w:cs="Arial"/>
          <w:b/>
          <w:sz w:val="18"/>
          <w:szCs w:val="18"/>
        </w:rPr>
        <w:t>MrOS</w:t>
      </w:r>
      <w:proofErr w:type="spellEnd"/>
      <w:r w:rsidRPr="006313F0">
        <w:rPr>
          <w:rFonts w:ascii="Myriad Web Pro" w:hAnsi="Myriad Web Pro" w:cs="Arial"/>
          <w:sz w:val="18"/>
          <w:szCs w:val="18"/>
        </w:rPr>
        <w:t>:</w:t>
      </w:r>
      <w:r w:rsidRPr="006313F0">
        <w:rPr>
          <w:rFonts w:ascii="Myriad Web Pro" w:hAnsi="Myriad Web Pro" w:cs="Arial"/>
          <w:sz w:val="18"/>
          <w:szCs w:val="18"/>
        </w:rPr>
        <w:tab/>
        <w:t>The Osteoporotic Fractures in Men Study (</w:t>
      </w:r>
      <w:proofErr w:type="spellStart"/>
      <w:r w:rsidRPr="006313F0">
        <w:rPr>
          <w:rFonts w:ascii="Myriad Web Pro" w:hAnsi="Myriad Web Pro" w:cs="Arial"/>
          <w:sz w:val="18"/>
          <w:szCs w:val="18"/>
        </w:rPr>
        <w:t>MrOS</w:t>
      </w:r>
      <w:proofErr w:type="spellEnd"/>
      <w:r w:rsidRPr="006313F0">
        <w:rPr>
          <w:rFonts w:ascii="Myriad Web Pro" w:hAnsi="Myriad Web Pro" w:cs="Arial"/>
          <w:sz w:val="18"/>
          <w:szCs w:val="18"/>
        </w:rPr>
        <w:t>) is a multi-</w:t>
      </w:r>
      <w:proofErr w:type="spellStart"/>
      <w:r w:rsidRPr="006313F0">
        <w:rPr>
          <w:rFonts w:ascii="Myriad Web Pro" w:hAnsi="Myriad Web Pro" w:cs="Arial"/>
          <w:sz w:val="18"/>
          <w:szCs w:val="18"/>
        </w:rPr>
        <w:t>center</w:t>
      </w:r>
      <w:proofErr w:type="spellEnd"/>
      <w:r w:rsidRPr="006313F0">
        <w:rPr>
          <w:rFonts w:ascii="Myriad Web Pro" w:hAnsi="Myriad Web Pro" w:cs="Arial"/>
          <w:sz w:val="18"/>
          <w:szCs w:val="18"/>
        </w:rPr>
        <w:t xml:space="preserve"> prospective, longitudinal, observational study of risk factors for vertebral and all non-vertebral fractures in older men, and of the sequelae of fractures in men </w:t>
      </w:r>
      <w:r w:rsidRPr="006313F0">
        <w:rPr>
          <w:rFonts w:ascii="Myriad Web Pro" w:hAnsi="Myriad Web Pro" w:cs="Arial"/>
          <w:sz w:val="18"/>
          <w:szCs w:val="18"/>
        </w:rPr>
        <w:fldChar w:fldCharType="begin" w:fldLock="1"/>
      </w:r>
      <w:r w:rsidR="00A83FB0">
        <w:rPr>
          <w:rFonts w:ascii="Myriad Web Pro" w:hAnsi="Myriad Web Pro" w:cs="Arial"/>
          <w:sz w:val="18"/>
          <w:szCs w:val="18"/>
        </w:rPr>
        <w:instrText>ADDIN CSL_CITATION { "citationItems" : [ { "id" : "ITEM-1", "itemData" : { "DOI" : "10.1016/j.cct.2005.05.005", "ISSN" : "1551-7144", "PMID" : "16085466", "abstract" : "Large, long term research studies present recruitment challenges that can be met with collaborative approaches to identify and enroll participants. The Osteoporotic Fractures in Men Study (MrOS), a multi-center observational study designed to determine risk factors for osteoporosis, fractures and prostate cancer in older men, recruited 5995 participants over a 25-month period. Enrolling a cohort that represented the race and age distribution of each community, and developing interest in an older male cohort about a condition commonly thought of as a \"women's disease,\" were major recruitment challenges. During the start-up phase, recruitment challenges and strategies were analyzed and collective approaches were developed to address ways to motivate the target population. Key methods included mailings using community and provider contact lists; regional and senior newspaper advertisements; and presentations targeted to seniors. Sites used a centrally developed recruitment brochure. Response to mass mailings at some sites surpassed 10-15% and appointment show rates averaged above 85%. The final number enrolled in MrOS was 5% more than the original recruitment goal of 5700. Minority recruitment was enhanced through the use of the Health Care Financing Administration and other databases that allowed for targeted recruitment. Overall, minority enrollment was approximately 10.56% of the cohort (244 African American, 191 Asian). Men age&gt;80 were enthusiastic and represent about 18% of enrollees. Through a coordinated approach of developing and refining recruitment strategies and materials, sites were able to adapt their original strategies and complete recruitment ahead of schedule.", "author" : [ { "dropping-particle" : "", "family" : "Blank", "given" : "Janet Babich", "non-dropping-particle" : "", "parse-names" : false, "suffix" : "" }, { "dropping-particle" : "", "family" : "Cawthon", "given" : "Peggy Mannen", "non-dropping-particle" : "", "parse-names" : false, "suffix" : "" }, { "dropping-particle" : "Lou", "family" : "Carrion-Petersen", "given" : "Mary", "non-dropping-particle" : "", "parse-names" : false, "suffix" : "" }, { "dropping-particle" : "", "family" : "Harper", "given" : "Loretta", "non-dropping-particle" : "", "parse-names" : false, "suffix" : "" }, { "dropping-particle" : "", "family" : "Johnson", "given" : "J Phillip", "non-dropping-particle" : "", "parse-names" : false, "suffix" : "" }, { "dropping-particle" : "", "family" : "Mitson", "given" : "Eileen", "non-dropping-particle" : "", "parse-names" : false, "suffix" : "" }, { "dropping-particle" : "", "family" : "Delay", "given" : "Romelia Ram\u00edrez", "non-dropping-particle" : "", "parse-names" : false, "suffix" : "" } ], "container-title" : "Contemporary clinical trials", "id" : "ITEM-1", "issue" : "5", "issued" : { "date-parts" : [ [ "2005", "10" ] ] }, "page" : "557-68", "title" : "Overview of recruitment for the osteoporotic fractures in men study (MrOS).", "type" : "article-journal", "volume" : "26" }, "uris" : [ "http://www.mendeley.com/documents/?uuid=a12e7e17-f0cf-4f87-a3a2-7aabea22883a", "http://www.mendeley.com/documents/?uuid=76a16f03-4632-4e35-8fde-f87c09d581e9" ] }, { "id" : "ITEM-2", "itemData" : { "DOI" : "10.1016/j.cct.2005.05.006", "ISSN" : "1551-7144", "PMID" : "16084776", "abstract" : "Very little information is available to direct the prevention or management of osteoporosis in men. The Osteoporotic Fractures in Men (MrOS) Study is a prospective cohort study designed to examine the extent to which fracture risk is related to bone mass, bone geometry, lifestyle, anthropometric and neuromuscular measures, and fall propensity, as well as to determine how fractures affect quality of life in men. The study is also designed to understand how osteoporosis is related to prostate disease. At baseline, participants completed questionnaires regarding medical history, medications, physical activity, diet, alcohol intake, and cigarette smoking. Objective measures of anthropometric, neuromuscular, vision, strength, and cognitive variables were obtained. Skeletal assessments included DEXA, calcaneal ultrasound, and vertebral radiographs. Vertebral and proximal femoral QCT was performed on a subset (65%). Serum, urine, and DNA specimens were collected. After the baseline assessments, a questionnaire is mailed to participants every 4 months to ascertain incident falls, fractures, prostate cancer, and deaths. After an average of 4.5 years, participants are scheduled to return for a second comprehensive visit. Men were eligible if &gt; or =65 years. 5995 men enrolled with a mean (+/-SD) age of 73.7 (+/-5.9) years, 11% of which were minorities. Most rated their health as good/excellent. Few were current smokers, although 59% had smoked previously, and 35% reported no alcohol intake, while 47% consumed at least 2 drinks per week. The mean (range) body mass index was 26.9 kg/m2 (17-56). A non-traumatic fracture after age 50 was reported by 17% of the cohort. The MrOS cohort should provide valuable information concerning the determinants of fracture in men and should help set the stage for the development of effective methods to identify those at risk.", "author" : [ { "dropping-particle" : "", "family" : "Orwoll", "given" : "Eric", "non-dropping-particle" : "", "parse-names" : false, "suffix" : "" }, { "dropping-particle" : "", "family" : "Blank", "given" : "Janet Babich", "non-dropping-particle" : "", "parse-names" : false, "suffix" : "" }, { "dropping-particle" : "", "family" : "Barrett-Connor", "given" : "Elizabeth", "non-dropping-particle" : "", "parse-names" : false, "suffix" : "" }, { "dropping-particle" : "", "family" : "Cauley", "given" : "Jane", "non-dropping-particle" : "", "parse-names" : false, "suffix" : "" }, { "dropping-particle" : "", "family" : "Cummings", "given" : "Steven", "non-dropping-particle" : "", "parse-names" : false, "suffix" : "" }, { "dropping-particle" : "", "family" : "Ensrud", "given" : "Kristine", "non-dropping-particle" : "", "parse-names" : false, "suffix" : "" }, { "dropping-particle" : "", "family" : "Lewis", "given" : "Cora", "non-dropping-particle" : "", "parse-names" : false, "suffix" : "" }, { "dropping-particle" : "", "family" : "Cawthon", "given" : "Peggy M", "non-dropping-particle" : "", "parse-names" : false, "suffix" : "" }, { "dropping-particle" : "", "family" : "Marcus", "given" : "Robert", "non-dropping-particle" : "", "parse-names" : false, "suffix" : "" }, { "dropping-particle" : "", "family" : "Marshall", "given" : "Lynn M", "non-dropping-particle" : "", "parse-names" : false, "suffix" : "" }, { "dropping-particle" : "", "family" : "McGowan", "given" : "Joan", "non-dropping-particle" : "", "parse-names" : false, "suffix" : "" }, { "dropping-particle" : "", "family" : "Phipps", "given" : "Kathy", "non-dropping-particle" : "", "parse-names" : false, "suffix" : "" }, { "dropping-particle" : "", "family" : "Sherman", "given" : "Sherry", "non-dropping-particle" : "", "parse-names" : false, "suffix" : "" }, { "dropping-particle" : "", "family" : "Stefanick", "given" : "Marcia L", "non-dropping-particle" : "", "parse-names" : false, "suffix" : "" }, { "dropping-particle" : "", "family" : "Stone", "given" : "Katie", "non-dropping-particle" : "", "parse-names" : false, "suffix" : "" } ], "container-title" : "Contemporary clinical trials", "id" : "ITEM-2", "issue" : "5", "issued" : { "date-parts" : [ [ "2005", "10" ] ] }, "page" : "569-85", "title" : "Design and baseline characteristics of the osteoporotic fractures in men (MrOS) study--a large observational study of the determinants of fracture in older men.", "type" : "article-journal", "volume" : "26" }, "uris" : [ "http://www.mendeley.com/documents/?uuid=25b5b91b-eae5-4abf-b961-035c1cef980b", "http://www.mendeley.com/documents/?uuid=200a7f3e-07ae-42e0-9183-8751d13ad6c5" ] } ], "mendeley" : { "formattedCitation" : "&lt;sup&gt;15,16&lt;/sup&gt;", "plainTextFormattedCitation" : "15,16", "previouslyFormattedCitation" : "(Blank et al. 2005; Orwoll et al. 2005)" }, "properties" : { "noteIndex" : 0 }, "schema" : "https://github.com/citation-style-language/schema/raw/master/csl-citation.json" }</w:instrText>
      </w:r>
      <w:r w:rsidRPr="006313F0">
        <w:rPr>
          <w:rFonts w:ascii="Myriad Web Pro" w:hAnsi="Myriad Web Pro" w:cs="Arial"/>
          <w:sz w:val="18"/>
          <w:szCs w:val="18"/>
        </w:rPr>
        <w:fldChar w:fldCharType="separate"/>
      </w:r>
      <w:r w:rsidR="00A83FB0" w:rsidRPr="00A83FB0">
        <w:rPr>
          <w:rFonts w:ascii="Myriad Web Pro" w:hAnsi="Myriad Web Pro" w:cs="Arial"/>
          <w:noProof/>
          <w:sz w:val="18"/>
          <w:szCs w:val="18"/>
          <w:vertAlign w:val="superscript"/>
        </w:rPr>
        <w:t>15,16</w:t>
      </w:r>
      <w:r w:rsidRPr="006313F0">
        <w:rPr>
          <w:rFonts w:ascii="Myriad Web Pro" w:hAnsi="Myriad Web Pro" w:cs="Arial"/>
          <w:sz w:val="18"/>
          <w:szCs w:val="18"/>
        </w:rPr>
        <w:fldChar w:fldCharType="end"/>
      </w:r>
      <w:r w:rsidRPr="006313F0">
        <w:rPr>
          <w:rFonts w:ascii="Myriad Web Pro" w:hAnsi="Myriad Web Pro" w:cs="Arial"/>
          <w:sz w:val="18"/>
          <w:szCs w:val="18"/>
        </w:rPr>
        <w:t xml:space="preserve">.  The original specific aims of the study include: (1) to define the </w:t>
      </w:r>
      <w:r w:rsidRPr="006313F0">
        <w:rPr>
          <w:rFonts w:ascii="Myriad Web Pro" w:hAnsi="Myriad Web Pro" w:cs="Arial"/>
          <w:sz w:val="18"/>
          <w:szCs w:val="18"/>
        </w:rPr>
        <w:lastRenderedPageBreak/>
        <w:t xml:space="preserve">skeletal determinants of fracture risk in older men, (2) to define lifestyle and medical factors related to fracture risk, (3) to establish the contribution of fall frequency to fracture risk in older men, (4) to determine to what extent androgen and oestrogen concentrations influence fracture risk, (5) to examine the effects of fractures on quality of life, (6) to identify sex differences in the predictors and outcomes of fracture, (7) to collect and store serum, urine and DNA for future analyses as directed by emerging evidence in the fields of aging and skeletal health, and (8) define the extent to which bone mass/fracture risk and prostate diseases are linked. From March 2000 to April 2002, 5994 community dwelling ambulatory men aged 65 years or older were recruited from six communities in the United States (Birmingham, AL; Minneapolis, MN; Palo Alto, CA; Monongahela Valley near Pittsburgh, PA; Portland, OR; and San Diego, CA). Inclusion criteria were designed to provide a study cohort that is representative of the broad population of older men. The </w:t>
      </w:r>
      <w:proofErr w:type="spellStart"/>
      <w:r w:rsidRPr="006313F0">
        <w:rPr>
          <w:rFonts w:ascii="Myriad Web Pro" w:hAnsi="Myriad Web Pro" w:cs="Arial"/>
          <w:sz w:val="18"/>
          <w:szCs w:val="18"/>
        </w:rPr>
        <w:t>MrOS</w:t>
      </w:r>
      <w:proofErr w:type="spellEnd"/>
      <w:r w:rsidRPr="006313F0">
        <w:rPr>
          <w:rFonts w:ascii="Myriad Web Pro" w:hAnsi="Myriad Web Pro" w:cs="Arial"/>
          <w:sz w:val="18"/>
          <w:szCs w:val="18"/>
        </w:rPr>
        <w:t xml:space="preserve"> inclusion criteria were: (1) ability to walk without the assistance of another, (2) absence of bilateral hip replacements, (3) ability to provide self-reported data, (4) residence near a clinical site for the duration of the study, (5) absence of a medical condition that (in the judgment of the investigator) would result in imminent death, (6) ability to understand and sign an informed consent, and (7) 65 years or older. To qualify as an </w:t>
      </w:r>
      <w:proofErr w:type="spellStart"/>
      <w:r w:rsidRPr="006313F0">
        <w:rPr>
          <w:rFonts w:ascii="Myriad Web Pro" w:hAnsi="Myriad Web Pro" w:cs="Arial"/>
          <w:sz w:val="18"/>
          <w:szCs w:val="18"/>
        </w:rPr>
        <w:t>enrollee</w:t>
      </w:r>
      <w:proofErr w:type="spellEnd"/>
      <w:r w:rsidRPr="006313F0">
        <w:rPr>
          <w:rFonts w:ascii="Myriad Web Pro" w:hAnsi="Myriad Web Pro" w:cs="Arial"/>
          <w:sz w:val="18"/>
          <w:szCs w:val="18"/>
        </w:rPr>
        <w:t xml:space="preserve">, the participant had to provide written informed consent, complete the self-administered questionnaire (SAQ), attend the clinic visit, and complete at least the anthropometric, DEXA, and vertebral X-ray procedures. The institutional review board at each </w:t>
      </w:r>
      <w:proofErr w:type="spellStart"/>
      <w:r w:rsidRPr="006313F0">
        <w:rPr>
          <w:rFonts w:ascii="Myriad Web Pro" w:hAnsi="Myriad Web Pro" w:cs="Arial"/>
          <w:sz w:val="18"/>
          <w:szCs w:val="18"/>
        </w:rPr>
        <w:t>center</w:t>
      </w:r>
      <w:proofErr w:type="spellEnd"/>
      <w:r w:rsidRPr="006313F0">
        <w:rPr>
          <w:rFonts w:ascii="Myriad Web Pro" w:hAnsi="Myriad Web Pro" w:cs="Arial"/>
          <w:sz w:val="18"/>
          <w:szCs w:val="18"/>
        </w:rPr>
        <w:t xml:space="preserve"> approved the study protocol, and written informed consent was obtained from all the participants.</w:t>
      </w:r>
    </w:p>
    <w:p w:rsidR="00F01936" w:rsidRPr="006313F0" w:rsidRDefault="00F01936" w:rsidP="00F01936">
      <w:pPr>
        <w:spacing w:after="0" w:line="240" w:lineRule="auto"/>
        <w:ind w:firstLine="720"/>
        <w:jc w:val="both"/>
        <w:rPr>
          <w:rFonts w:ascii="Myriad Web Pro" w:hAnsi="Myriad Web Pro" w:cs="Arial"/>
          <w:sz w:val="18"/>
          <w:szCs w:val="18"/>
        </w:rPr>
      </w:pPr>
    </w:p>
    <w:p w:rsidR="00F01936" w:rsidRPr="006313F0" w:rsidRDefault="00F01936" w:rsidP="00F01936">
      <w:pPr>
        <w:spacing w:after="0" w:line="240" w:lineRule="auto"/>
        <w:ind w:left="1440" w:hanging="720"/>
        <w:jc w:val="both"/>
        <w:rPr>
          <w:rFonts w:ascii="Myriad Web Pro" w:hAnsi="Myriad Web Pro" w:cs="Arial"/>
          <w:sz w:val="18"/>
          <w:szCs w:val="18"/>
        </w:rPr>
      </w:pPr>
      <w:r w:rsidRPr="006313F0">
        <w:rPr>
          <w:rFonts w:ascii="Myriad Web Pro" w:hAnsi="Myriad Web Pro" w:cs="Arial"/>
          <w:b/>
          <w:sz w:val="18"/>
          <w:szCs w:val="18"/>
        </w:rPr>
        <w:t>SHIP</w:t>
      </w:r>
      <w:r w:rsidRPr="006313F0">
        <w:rPr>
          <w:rFonts w:ascii="Myriad Web Pro" w:hAnsi="Myriad Web Pro" w:cs="Arial"/>
          <w:sz w:val="18"/>
          <w:szCs w:val="18"/>
        </w:rPr>
        <w:t>:</w:t>
      </w:r>
      <w:r w:rsidRPr="006313F0">
        <w:rPr>
          <w:rFonts w:ascii="Myriad Web Pro" w:hAnsi="Myriad Web Pro" w:cs="Arial"/>
          <w:sz w:val="18"/>
          <w:szCs w:val="18"/>
        </w:rPr>
        <w:tab/>
        <w:t xml:space="preserve">The Study of Health in Pomerania (SHIP) is a population based in West Pomerania, the north-east area of Germany </w:t>
      </w:r>
      <w:r w:rsidRPr="006313F0">
        <w:rPr>
          <w:rFonts w:ascii="Myriad Web Pro" w:hAnsi="Myriad Web Pro" w:cs="Arial"/>
          <w:sz w:val="18"/>
          <w:szCs w:val="18"/>
        </w:rPr>
        <w:fldChar w:fldCharType="begin" w:fldLock="1"/>
      </w:r>
      <w:r w:rsidR="00A83FB0">
        <w:rPr>
          <w:rFonts w:ascii="Myriad Web Pro" w:hAnsi="Myriad Web Pro" w:cs="Arial"/>
          <w:sz w:val="18"/>
          <w:szCs w:val="18"/>
        </w:rPr>
        <w:instrText>ADDIN CSL_CITATION { "citationItems" : [ { "id" : "ITEM-1", "itemData" : { "ISSN" : "0303-8408", "PMID" : "11565448", "abstract" : "OBJECTIVES: The reason for the Study of Health in Pomerania (SHIP) is the lack of epidemiological studies with a broad range of health indicators. Furthermore, in Germany there is a need for studies that take into account the particular situation of life after the reunification. One objective of SHIP is to provide prevalence estimates on a broad range of diseases, risk and health factors for a defined region in the former GDR.\n\nMETHODS: A sample of 7008 women and men aged 20 to 79 years in a north-east region of Germany, 4900 expected participants. The sample was drawn in two steps: First, 32 communities in the region were selected. Second, within the communities a simple random sample was drawn from residence registries, stratified by gender and age. The data collection and instruments include four parts: oral health examination, medical examination, health-related interview, and a health- and risk-factor-related questionnaire. The oral health examination includes the teeth, periodontium, oral mucosa, craniomandibular system, and prosthodontics. The medical examination includes blood pressure measurements, electrocardiography, echocardiography, carotid, thyroid and liver ultrasounds, neurological screening, blood and urine sampling. The computer-aided health-related interview includes cardiovascular symptoms, utilisation of medical services, health-related behaviours, and socioeconomic variables. The self-administered questionnaire comprises housing conditions, social network, work conditions, subjective well-being and individual consequences from the German reunification.", "author" : [ { "dropping-particle" : "", "family" : "John", "given" : "U", "non-dropping-particle" : "", "parse-names" : false, "suffix" : "" }, { "dropping-particle" : "", "family" : "Greiner", "given" : "B", "non-dropping-particle" : "", "parse-names" : false, "suffix" : "" }, { "dropping-particle" : "", "family" : "Hensel", "given" : "E", "non-dropping-particle" : "", "parse-names" : false, "suffix" : "" }, { "dropping-particle" : "", "family" : "L\u00fcdemann", "given" : "J", "non-dropping-particle" : "", "parse-names" : false, "suffix" : "" }, { "dropping-particle" : "", "family" : "Piek", "given" : "M", "non-dropping-particle" : "", "parse-names" : false, "suffix" : "" }, { "dropping-particle" : "", "family" : "Sauer", "given" : "S", "non-dropping-particle" : "", "parse-names" : false, "suffix" : "" }, { "dropping-particle" : "", "family" : "Adam", "given" : "C", "non-dropping-particle" : "", "parse-names" : false, "suffix" : "" }, { "dropping-particle" : "", "family" : "Born", "given" : "G", "non-dropping-particle" : "", "parse-names" : false, "suffix" : "" }, { "dropping-particle" : "", "family" : "Alte", "given" : "D", "non-dropping-particle" : "", "parse-names" : false, "suffix" : "" }, { "dropping-particle" : "", "family" : "Greiser", "given" : "E", "non-dropping-particle" : "", "parse-names" : false, "suffix" : "" }, { "dropping-particle" : "", "family" : "Haertel", "given" : "U", "non-dropping-particle" : "", "parse-names" : false, "suffix" : "" }, { "dropping-particle" : "", "family" : "Hense", "given" : "H W", "non-dropping-particle" : "", "parse-names" : false, "suffix" : "" }, { "dropping-particle" : "", "family" : "Haerting", "given" : "J", "non-dropping-particle" : "", "parse-names" : false, "suffix" : "" }, { "dropping-particle" : "", "family" : "Willich", "given" : "S", "non-dropping-particle" : "", "parse-names" : false, "suffix" : "" }, { "dropping-particle" : "", "family" : "Kessler", "given" : "C", "non-dropping-particle" : "", "parse-names" : false, "suffix" : "" } ], "container-title" : "Sozial- und Pr\u00e4ventivmedizin", "id" : "ITEM-1", "issue" : "3", "issued" : { "date-parts" : [ [ "2001", "1" ] ] }, "page" : "186-94", "title" : "Study of Health In Pomerania (SHIP): a health examination survey in an east German region: objectives and design.", "type" : "article-journal", "volume" : "46" }, "uris" : [ "http://www.mendeley.com/documents/?uuid=a433139f-1374-4315-bb55-fccb2b84feb8", "http://www.mendeley.com/documents/?uuid=b2e67257-ef6e-40be-aabc-465b9f1e88c8" ] }, { "id" : "ITEM-2", "itemData" : { "DOI" : "10.1093/ije/dyp394", "ISSN" : "1464-3685", "PMID" : "20167617", "author" : [ { "dropping-particle" : "", "family" : "V\u00f6lzke", "given" : "Henry", "non-dropping-particle" : "", "parse-names" : false, "suffix" : "" }, { "dropping-particle" : "", "family" : "Alte", "given" : "Dietrich", "non-dropping-particle" : "", "parse-names" : false, "suffix" : "" }, { "dropping-particle" : "", "family" : "Schmidt", "given" : "Carsten Oliver", "non-dropping-particle" : "", "parse-names" : false, "suffix" : "" }, { "dropping-particle" : "", "family" : "Radke", "given" : "D\u00f6rte", "non-dropping-particle" : "", "parse-names" : false, "suffix" : "" }, { "dropping-particle" : "", "family" : "Lorbeer", "given" : "Roberto", "non-dropping-particle" : "", "parse-names" : false, "suffix" : "" }, { "dropping-particle" : "", "family" : "Friedrich", "given" : "Nele", "non-dropping-particle" : "", "parse-names" : false, "suffix" : "" }, { "dropping-particle" : "", "family" : "Aumann", "given" : "Nicole", "non-dropping-particle" : "", "parse-names" : false, "suffix" : "" }, { "dropping-particle" : "", "family" : "Lau", "given" : "Katharina", "non-dropping-particle" : "", "parse-names" : false, "suffix" : "" }, { "dropping-particle" : "", "family" : "Piontek", "given" : "Michael", "non-dropping-particle" : "", "parse-names" : false, "suffix" : "" }, { "dropping-particle" : "", "family" : "Born", "given" : "Gabriele", "non-dropping-particle" : "", "parse-names" : false, "suffix" : "" }, { "dropping-particle" : "", "family" : "Havemann", "given" : "Christoph", "non-dropping-particle" : "", "parse-names" : false, "suffix" : "" }, { "dropping-particle" : "", "family" : "Ittermann", "given" : "Till", "non-dropping-particle" : "", "parse-names" : false, "suffix" : "" }, { "dropping-particle" : "", "family" : "Schipf", "given" : "Sabine", "non-dropping-particle" : "", "parse-names" : false, "suffix" : "" }, { "dropping-particle" : "", "family" : "Haring", "given" : "Robin", "non-dropping-particle" : "", "parse-names" : false, "suffix" : "" }, { "dropping-particle" : "", "family" : "Baumeister", "given" : "Sebastian E", "non-dropping-particle" : "", "parse-names" : false, "suffix" : "" }, { "dropping-particle" : "", "family" : "Wallaschofski", "given" : "Henri", "non-dropping-particle" : "", "parse-names" : false, "suffix" : "" }, { "dropping-particle" : "", "family" : "Nauck", "given" : "Matthias", "non-dropping-particle" : "", "parse-names" : false, "suffix" : "" }, { "dropping-particle" : "", "family" : "Frick", "given" : "Stephanie", "non-dropping-particle" : "", "parse-names" : false, "suffix" : "" }, { "dropping-particle" : "", "family" : "Arnold", "given" : "Andreas", "non-dropping-particle" : "", "parse-names" : false, "suffix" : "" }, { "dropping-particle" : "", "family" : "J\u00fcnger", "given" : "Michael", "non-dropping-particle" : "", "parse-names" : false, "suffix" : "" }, { "dropping-particle" : "", "family" : "Mayerle", "given" : "Julia", "non-dropping-particle" : "", "parse-names" : false, "suffix" : "" }, { "dropping-particle" : "", "family" : "Kraft", "given" : "Matthias", "non-dropping-particle" : "", "parse-names" : false, "suffix" : "" }, { "dropping-particle" : "", "family" : "Lerch", "given" : "Markus M", "non-dropping-particle" : "", "parse-names" : false, "suffix" : "" }, { "dropping-particle" : "", "family" : "D\u00f6rr", "given" : "Marcus", "non-dropping-particle" : "", "parse-names" : false, "suffix" : "" }, { "dropping-particle" : "", "family" : "Reffelmann", "given" : "Thorsten", "non-dropping-particle" : "", "parse-names" : false, "suffix" : "" }, { "dropping-particle" : "", "family" : "Empen", "given" : "Klaus", "non-dropping-particle" : "", "parse-names" : false, "suffix" : "" }, { "dropping-particle" : "", "family" : "Felix", "given" : "Stephan B", "non-dropping-particle" : "", "parse-names" : false, "suffix" : "" }, { "dropping-particle" : "", "family" : "Obst", "given" : "Anne", "non-dropping-particle" : "", "parse-names" : false, "suffix" : "" }, { "dropping-particle" : "", "family" : "Koch", "given" : "Beate", "non-dropping-particle" : "", "parse-names" : false, "suffix" : "" }, { "dropping-particle" : "", "family" : "Gl\u00e4ser", "given" : "Sven", "non-dropping-particle" : "", "parse-names" : false, "suffix" : "" }, { "dropping-particle" : "", "family" : "Ewert", "given" : "Ralf", "non-dropping-particle" : "", "parse-names" : false, "suffix" : "" }, { "dropping-particle" : "", "family" : "Fietze", "given" : "Ingo", "non-dropping-particle" : "", "parse-names" : false, "suffix" : "" }, { "dropping-particle" : "", "family" : "Penzel", "given" : "Thomas", "non-dropping-particle" : "", "parse-names" : false, "suffix" : "" }, { "dropping-particle" : "", "family" : "D\u00f6ren", "given" : "Martina", "non-dropping-particle" : "", "parse-names" : false, "suffix" : "" }, { "dropping-particle" : "", "family" : "Rathmann", "given" : "Wolfgang", "non-dropping-particle" : "", "parse-names" : false, "suffix" : "" }, { "dropping-particle" : "", "family" : "Haerting", "given" : "Johannes", "non-dropping-particle" : "", "parse-names" : false, "suffix" : "" }, { "dropping-particle" : "", "family" : "Hannemann", "given" : "Mario", "non-dropping-particle" : "", "parse-names" : false, "suffix" : "" }, { "dropping-particle" : "", "family" : "R\u00f6pcke", "given" : "J\u00fcrgen", "non-dropping-particle" : "", "parse-names" : false, "suffix" : "" }, { "dropping-particle" : "", "family" : "Schminke", "given" : "Ulf", "non-dropping-particle" : "", "parse-names" : false, "suffix" : "" }, { "dropping-particle" : "", "family" : "J\u00fcrgens", "given" : "Clemens", "non-dropping-particle" : "", "parse-names" : false, "suffix" : "" }, { "dropping-particle" : "", "family" : "Tost", "given" : "Frank", "non-dropping-particle" : "", "parse-names" : false, "suffix" : "" }, { "dropping-particle" : "", "family" : "Rettig", "given" : "Rainer", "non-dropping-particle" : "", "parse-names" : false, "suffix" : "" }, { "dropping-particle" : "", "family" : "Kors", "given" : "Jan A", "non-dropping-particle" : "", "parse-names" : false, "suffix" : "" }, { "dropping-particle" : "", "family" : "Ungerer", "given" : "Saskia", "non-dropping-particle" : "", "parse-names" : false, "suffix" : "" }, { "dropping-particle" : "", "family" : "Hegenscheid", "given" : "Katrin", "non-dropping-particle" : "", "parse-names" : false, "suffix" : "" }, { "dropping-particle" : "", "family" : "K\u00fchn", "given" : "Jens-Peter", "non-dropping-particle" : "", "parse-names" : false, "suffix" : "" }, { "dropping-particle" : "", "family" : "K\u00fchn", "given" : "Julia", "non-dropping-particle" : "", "parse-names" : false, "suffix" : "" }, { "dropping-particle" : "", "family" : "Hosten", "given" : "Norbert", "non-dropping-particle" : "", "parse-names" : false, "suffix" : "" }, { "dropping-particle" : "", "family" : "Puls", "given" : "Ralf", "non-dropping-particle" : "", "parse-names" : false, "suffix" : "" }, { "dropping-particle" : "", "family" : "Henke", "given" : "J\u00f6rg", "non-dropping-particle" : "", "parse-names" : false, "suffix" : "" }, { "dropping-particle" : "", "family" : "Gloger", "given" : "Oliver", "non-dropping-particle" : "", "parse-names" : false, "suffix" : "" }, { "dropping-particle" : "", "family" : "Teumer", "given" : "Alexander", "non-dropping-particle" : "", "parse-names" : false, "suffix" : "" }, { "dropping-particle" : "", "family" : "Homuth", "given" : "Georg", "non-dropping-particle" : "", "parse-names" : false, "suffix" : "" }, { "dropping-particle" : "", "family" : "V\u00f6lker", "given" : "Uwe", "non-dropping-particle" : "", "parse-names" : false, "suffix" : "" }, { "dropping-particle" : "", "family" : "Schwahn", "given" : "Christian", "non-dropping-particle" : "", "parse-names" : false, "suffix" : "" }, { "dropping-particle" : "", "family" : "Holtfreter", "given" : "Birte", "non-dropping-particle" : "", "parse-names" : false, "suffix" : "" }, { "dropping-particle" : "", "family" : "Polzer", "given" : "Ines", "non-dropping-particle" : "", "parse-names" : false, "suffix" : "" }, { "dropping-particle" : "", "family" : "Kohlmann", "given" : "Thomas", "non-dropping-particle" : "", "parse-names" : false, "suffix" : "" }, { "dropping-particle" : "", "family" : "Grabe", "given" : "Hans J", "non-dropping-particle" : "", "parse-names" : false, "suffix" : "" }, { "dropping-particle" : "", "family" : "Rosskopf", "given" : "Dieter", "non-dropping-particle" : "", "parse-names" : false, "suffix" : "" }, { "dropping-particle" : "", "family" : "Kroemer", "given" : "Heyo K", "non-dropping-particle" : "", "parse-names" : false, "suffix" : "" }, { "dropping-particle" : "", "family" : "Kocher", "given" : "Thomas", "non-dropping-particle" : "", "parse-names" : false, "suffix" : "" }, { "dropping-particle" : "", "family" : "Biffar", "given" : "Reiner", "non-dropping-particle" : "", "parse-names" : false, "suffix" : "" }, { "dropping-particle" : "", "family" : "John", "given" : "Ulrich", "non-dropping-particle" : "", "parse-names" : false, "suffix" : "" }, { "dropping-particle" : "", "family" : "Hoffmann", "given" : "Wolfgang", "non-dropping-particle" : "", "parse-names" : false, "suffix" : "" } ], "container-title" : "International journal of epidemiology", "id" : "ITEM-2", "issue" : "2", "issued" : { "date-parts" : [ [ "2011", "4" ] ] }, "page" : "294-307", "title" : "Cohort profile: the study of health in Pomerania.", "type" : "article-journal", "volume" : "40" }, "uris" : [ "http://www.mendeley.com/documents/?uuid=ecf8a243-b0d6-4744-af22-20af5b982d4f", "http://www.mendeley.com/documents/?uuid=ff548058-f291-4edb-8520-126f18e89623" ] } ], "mendeley" : { "formattedCitation" : "&lt;sup&gt;17,18&lt;/sup&gt;", "plainTextFormattedCitation" : "17,18", "previouslyFormattedCitation" : "(John et al. 2001; V\u00f6lzke et al. 2011)" }, "properties" : { "noteIndex" : 0 }, "schema" : "https://github.com/citation-style-language/schema/raw/master/csl-citation.json" }</w:instrText>
      </w:r>
      <w:r w:rsidRPr="006313F0">
        <w:rPr>
          <w:rFonts w:ascii="Myriad Web Pro" w:hAnsi="Myriad Web Pro" w:cs="Arial"/>
          <w:sz w:val="18"/>
          <w:szCs w:val="18"/>
        </w:rPr>
        <w:fldChar w:fldCharType="separate"/>
      </w:r>
      <w:r w:rsidR="00A83FB0" w:rsidRPr="00A83FB0">
        <w:rPr>
          <w:rFonts w:ascii="Myriad Web Pro" w:hAnsi="Myriad Web Pro" w:cs="Arial"/>
          <w:noProof/>
          <w:sz w:val="18"/>
          <w:szCs w:val="18"/>
          <w:vertAlign w:val="superscript"/>
        </w:rPr>
        <w:t>17,18</w:t>
      </w:r>
      <w:r w:rsidRPr="006313F0">
        <w:rPr>
          <w:rFonts w:ascii="Myriad Web Pro" w:hAnsi="Myriad Web Pro" w:cs="Arial"/>
          <w:sz w:val="18"/>
          <w:szCs w:val="18"/>
        </w:rPr>
        <w:fldChar w:fldCharType="end"/>
      </w:r>
      <w:r w:rsidRPr="006313F0">
        <w:rPr>
          <w:rFonts w:ascii="Myriad Web Pro" w:hAnsi="Myriad Web Pro" w:cs="Arial"/>
          <w:sz w:val="18"/>
          <w:szCs w:val="18"/>
        </w:rPr>
        <w:t>.  A sample from the population aged 20 to 79 years was drawn from population registries. First, the three cities of the region (with 17,076 to 65,977 inhabitants) and the 12 towns (with 1,516 to 3,044 inhabitants) were selected, and then 17 out of 97 smaller towns (with less than 1,500 inhabitants), were drawn at random. Second, from each of the selected communities, subjects were drawn at random, proportional to the population size of each community and stratified by age and gender. Only individuals with German citizenship and main residency in the study area were included. Finally, 7,008 subjects were sampled, with 292 persons of each gender in each of the twelve five-year age strata. In order to minimize drop-outs by migration or death, subjects were selected in two waves. The net sample (without migrated or deceased persons) comprised 6,267 eligible subjects. Selected persons received a maximum of three written invitations. In case of non-response, letters were followed by a phone call or by home visits if contact by phone was not possible. The SHIP population finally comprised 4,308 participants (corresponding to a final response of 68.7%). This study includes data of 320 individuals with complete GWAS data who participated in the 10-year follow-up examinations (SHIP-2).</w:t>
      </w:r>
    </w:p>
    <w:p w:rsidR="00F01936" w:rsidRPr="006313F0" w:rsidRDefault="00F01936" w:rsidP="00F01936">
      <w:pPr>
        <w:spacing w:after="0" w:line="240" w:lineRule="auto"/>
        <w:ind w:firstLine="720"/>
        <w:jc w:val="both"/>
        <w:rPr>
          <w:rFonts w:ascii="Myriad Web Pro" w:hAnsi="Myriad Web Pro" w:cs="Arial"/>
          <w:sz w:val="18"/>
          <w:szCs w:val="18"/>
        </w:rPr>
      </w:pPr>
    </w:p>
    <w:p w:rsidR="00F01936" w:rsidRPr="006313F0" w:rsidRDefault="00F01936" w:rsidP="00F01936">
      <w:pPr>
        <w:spacing w:after="0" w:line="240" w:lineRule="auto"/>
        <w:ind w:left="1440" w:hanging="720"/>
        <w:jc w:val="both"/>
        <w:rPr>
          <w:rFonts w:ascii="Myriad Web Pro" w:hAnsi="Myriad Web Pro" w:cs="Arial"/>
          <w:sz w:val="18"/>
          <w:szCs w:val="18"/>
        </w:rPr>
      </w:pPr>
      <w:r w:rsidRPr="006313F0">
        <w:rPr>
          <w:rFonts w:ascii="Myriad Web Pro" w:hAnsi="Myriad Web Pro" w:cs="Arial"/>
          <w:b/>
          <w:sz w:val="18"/>
          <w:szCs w:val="18"/>
        </w:rPr>
        <w:t>SOF</w:t>
      </w:r>
      <w:r w:rsidRPr="006313F0">
        <w:rPr>
          <w:rFonts w:ascii="Myriad Web Pro" w:hAnsi="Myriad Web Pro" w:cs="Arial"/>
          <w:sz w:val="18"/>
          <w:szCs w:val="18"/>
        </w:rPr>
        <w:t>:</w:t>
      </w:r>
      <w:r w:rsidRPr="006313F0">
        <w:rPr>
          <w:rFonts w:ascii="Myriad Web Pro" w:hAnsi="Myriad Web Pro" w:cs="Arial"/>
          <w:sz w:val="18"/>
          <w:szCs w:val="18"/>
        </w:rPr>
        <w:tab/>
        <w:t xml:space="preserve">The Study of Osteoporotic Fractures (SOF) is a prospective </w:t>
      </w:r>
      <w:proofErr w:type="spellStart"/>
      <w:r w:rsidRPr="006313F0">
        <w:rPr>
          <w:rFonts w:ascii="Myriad Web Pro" w:hAnsi="Myriad Web Pro" w:cs="Arial"/>
          <w:sz w:val="18"/>
          <w:szCs w:val="18"/>
        </w:rPr>
        <w:t>multicenter</w:t>
      </w:r>
      <w:proofErr w:type="spellEnd"/>
      <w:r w:rsidRPr="006313F0">
        <w:rPr>
          <w:rFonts w:ascii="Myriad Web Pro" w:hAnsi="Myriad Web Pro" w:cs="Arial"/>
          <w:sz w:val="18"/>
          <w:szCs w:val="18"/>
        </w:rPr>
        <w:t xml:space="preserve"> study of risk factors for vertebral and non-vertebral fractures </w:t>
      </w:r>
      <w:r w:rsidRPr="006313F0">
        <w:rPr>
          <w:rFonts w:ascii="Myriad Web Pro" w:hAnsi="Myriad Web Pro" w:cs="Arial"/>
          <w:sz w:val="18"/>
          <w:szCs w:val="18"/>
        </w:rPr>
        <w:fldChar w:fldCharType="begin" w:fldLock="1"/>
      </w:r>
      <w:r w:rsidR="00A83FB0">
        <w:rPr>
          <w:rFonts w:ascii="Myriad Web Pro" w:hAnsi="Myriad Web Pro" w:cs="Arial"/>
          <w:sz w:val="18"/>
          <w:szCs w:val="18"/>
        </w:rPr>
        <w:instrText>ADDIN CSL_CITATION { "citationItems" : [ { "id" : "ITEM-1", "itemData" : { "ISSN" : "0098-7484", "PMID" : "2404146", "abstract" : "To determine whether measurement of bone density predicts hip fracture in women, we prospectively studied 9703 nonblack women aged 65 years and older who had measurements of bone mineral density using single-photon absorptiometry in the calcaneus, distal radius, and proximal radius. During an average of 1.6 years of follow-up, 53 hip fractures occurred. The risk of hip fracture was inversely related to bone density at all three measurement sites. After adjusting for age, the relative risk of hip fracture was 1.66 for a decrease of 1 SD in the bone density at the calcaneus (95% confidence interval, 1.22 to 2.26), 1.55 (95% confidence interval, 1.13 to 2.11) at the distal radius, and 1.41 (95% confidence interval, 1.06 to 1.88) at the proximal radius. None of the three measurements was a significantly better predictor of hip fracture than the others. After adjusting for bone mineral density, the risk of hip fracture doubled for each 10-year increase in age (relative risk, 2.09; 95% confidence interval, 1.31 to 3.33). We conclude that decreased bone density in the appendicular skeleton is associated with an increased risk of hip fracture, but this accounts for only part of the age-related increase in risk of hip fracture among older women.", "author" : [ { "dropping-particle" : "", "family" : "Cummings", "given" : "S R", "non-dropping-particle" : "", "parse-names" : false, "suffix" : "" }, { "dropping-particle" : "", "family" : "Black", "given" : "D M", "non-dropping-particle" : "", "parse-names" : false, "suffix" : "" }, { "dropping-particle" : "", "family" : "Nevitt", "given" : "M C", "non-dropping-particle" : "", "parse-names" : false, "suffix" : "" }, { "dropping-particle" : "", "family" : "Browner", "given" : "W S", "non-dropping-particle" : "", "parse-names" : false, "suffix" : "" }, { "dropping-particle" : "", "family" : "Cauley", "given" : "J A", "non-dropping-particle" : "", "parse-names" : false, "suffix" : "" }, { "dropping-particle" : "", "family" : "Genant", "given" : "H K", "non-dropping-particle" : "", "parse-names" : false, "suffix" : "" }, { "dropping-particle" : "", "family" : "Mascioli", "given" : "S R", "non-dropping-particle" : "", "parse-names" : false, "suffix" : "" }, { "dropping-particle" : "", "family" : "Scott", "given" : "J C", "non-dropping-particle" : "", "parse-names" : false, "suffix" : "" }, { "dropping-particle" : "", "family" : "Seeley", "given" : "D G", "non-dropping-particle" : "", "parse-names" : false, "suffix" : "" }, { "dropping-particle" : "", "family" : "Steiger", "given" : "P", "non-dropping-particle" : "", "parse-names" : false, "suffix" : "" } ], "container-title" : "JAMA", "id" : "ITEM-1", "issue" : "5", "issued" : { "date-parts" : [ [ "1990", "2" ] ] }, "page" : "665-8", "title" : "Appendicular bone density and age predict hip fracture in women. The Study of Osteoporotic Fractures Research Group.", "type" : "article-journal", "volume" : "263" }, "uris" : [ "http://www.mendeley.com/documents/?uuid=dc39656e-92a3-43b0-a400-c3b68f87ad8a", "http://www.mendeley.com/documents/?uuid=5d39dacf-c138-40d8-ad44-f8a6c9145217" ] } ], "mendeley" : { "formattedCitation" : "&lt;sup&gt;19&lt;/sup&gt;", "plainTextFormattedCitation" : "19", "previouslyFormattedCitation" : "(Cummings et al. 1990)" }, "properties" : { "noteIndex" : 0 }, "schema" : "https://github.com/citation-style-language/schema/raw/master/csl-citation.json" }</w:instrText>
      </w:r>
      <w:r w:rsidRPr="006313F0">
        <w:rPr>
          <w:rFonts w:ascii="Myriad Web Pro" w:hAnsi="Myriad Web Pro" w:cs="Arial"/>
          <w:sz w:val="18"/>
          <w:szCs w:val="18"/>
        </w:rPr>
        <w:fldChar w:fldCharType="separate"/>
      </w:r>
      <w:r w:rsidR="00A83FB0" w:rsidRPr="00A83FB0">
        <w:rPr>
          <w:rFonts w:ascii="Myriad Web Pro" w:hAnsi="Myriad Web Pro" w:cs="Arial"/>
          <w:noProof/>
          <w:sz w:val="18"/>
          <w:szCs w:val="18"/>
          <w:vertAlign w:val="superscript"/>
        </w:rPr>
        <w:t>19</w:t>
      </w:r>
      <w:r w:rsidRPr="006313F0">
        <w:rPr>
          <w:rFonts w:ascii="Myriad Web Pro" w:hAnsi="Myriad Web Pro" w:cs="Arial"/>
          <w:sz w:val="18"/>
          <w:szCs w:val="18"/>
        </w:rPr>
        <w:fldChar w:fldCharType="end"/>
      </w:r>
      <w:r w:rsidRPr="006313F0">
        <w:rPr>
          <w:rFonts w:ascii="Myriad Web Pro" w:hAnsi="Myriad Web Pro" w:cs="Arial"/>
          <w:sz w:val="18"/>
          <w:szCs w:val="18"/>
        </w:rPr>
        <w:t xml:space="preserve">. From 1986 to 1987, 9704 community dwelling women aged 65 years or older were recruited from population-based listings in four U.S. areas: Baltimore, Maryland; Minneapolis, Minnesota; Portland, Oregon; and the Monongahela Valley, Pennsylvania. The SOF participants were followed up every four months by postcard or telephone to ascertain the occurrence of falls, fractures and changes in address. The SOF inclusion criteria were: 1) 65 years or older, (2) ability to walk without the assistance of another, (3) absence of bilateral hip replacements, (4) ability to provide self-reported data, (5) residence near a clinical site for the duration of the study, (6) absence of a medical condition that (in the judgment of the investigator) would result in imminent death, and (7) ability to understand and sign an informed consent. To qualify as an </w:t>
      </w:r>
      <w:proofErr w:type="spellStart"/>
      <w:r w:rsidRPr="006313F0">
        <w:rPr>
          <w:rFonts w:ascii="Myriad Web Pro" w:hAnsi="Myriad Web Pro" w:cs="Arial"/>
          <w:sz w:val="18"/>
          <w:szCs w:val="18"/>
        </w:rPr>
        <w:t>enrollee</w:t>
      </w:r>
      <w:proofErr w:type="spellEnd"/>
      <w:r w:rsidRPr="006313F0">
        <w:rPr>
          <w:rFonts w:ascii="Myriad Web Pro" w:hAnsi="Myriad Web Pro" w:cs="Arial"/>
          <w:sz w:val="18"/>
          <w:szCs w:val="18"/>
        </w:rPr>
        <w:t xml:space="preserve">, the participant had to provide written informed consent, complete the self-administered questionnaire (SAQ), attend the clinic visit, and complete at least the anthropometric measures. The institutional review board at each </w:t>
      </w:r>
      <w:proofErr w:type="spellStart"/>
      <w:r w:rsidRPr="006313F0">
        <w:rPr>
          <w:rFonts w:ascii="Myriad Web Pro" w:hAnsi="Myriad Web Pro" w:cs="Arial"/>
          <w:sz w:val="18"/>
          <w:szCs w:val="18"/>
        </w:rPr>
        <w:t>center</w:t>
      </w:r>
      <w:proofErr w:type="spellEnd"/>
      <w:r w:rsidRPr="006313F0">
        <w:rPr>
          <w:rFonts w:ascii="Myriad Web Pro" w:hAnsi="Myriad Web Pro" w:cs="Arial"/>
          <w:sz w:val="18"/>
          <w:szCs w:val="18"/>
        </w:rPr>
        <w:t xml:space="preserve"> approved the study protocol, and written informed consent was obtained from all the participants.</w:t>
      </w:r>
    </w:p>
    <w:p w:rsidR="00F01936" w:rsidRPr="006313F0" w:rsidRDefault="00F01936" w:rsidP="00F01936">
      <w:pPr>
        <w:spacing w:after="0" w:line="240" w:lineRule="auto"/>
        <w:ind w:firstLine="720"/>
        <w:jc w:val="both"/>
        <w:rPr>
          <w:rFonts w:ascii="Myriad Web Pro" w:hAnsi="Myriad Web Pro" w:cs="Arial"/>
          <w:sz w:val="18"/>
          <w:szCs w:val="18"/>
        </w:rPr>
      </w:pPr>
    </w:p>
    <w:p w:rsidR="00F01936" w:rsidRPr="006313F0" w:rsidRDefault="00F01936" w:rsidP="00F01936">
      <w:pPr>
        <w:spacing w:after="0" w:line="240" w:lineRule="auto"/>
        <w:ind w:left="2160" w:hanging="1440"/>
        <w:jc w:val="both"/>
        <w:rPr>
          <w:rFonts w:ascii="Myriad Web Pro" w:hAnsi="Myriad Web Pro" w:cs="Arial"/>
          <w:sz w:val="18"/>
          <w:szCs w:val="18"/>
        </w:rPr>
      </w:pPr>
      <w:r w:rsidRPr="006313F0">
        <w:rPr>
          <w:rFonts w:ascii="Myriad Web Pro" w:hAnsi="Myriad Web Pro" w:cs="Arial"/>
          <w:b/>
          <w:sz w:val="18"/>
          <w:szCs w:val="18"/>
        </w:rPr>
        <w:t>TASCOG</w:t>
      </w:r>
      <w:r w:rsidR="006313F0" w:rsidRPr="006313F0">
        <w:rPr>
          <w:rFonts w:ascii="Myriad Web Pro" w:hAnsi="Myriad Web Pro" w:cs="Arial"/>
          <w:sz w:val="18"/>
          <w:szCs w:val="18"/>
        </w:rPr>
        <w:t xml:space="preserve">: </w:t>
      </w:r>
      <w:r w:rsidR="006313F0" w:rsidRPr="006313F0">
        <w:rPr>
          <w:rFonts w:ascii="Myriad Web Pro" w:hAnsi="Myriad Web Pro" w:cs="Arial"/>
          <w:sz w:val="18"/>
          <w:szCs w:val="18"/>
        </w:rPr>
        <w:tab/>
        <w:t xml:space="preserve">TASCOG </w:t>
      </w:r>
      <w:r w:rsidRPr="006313F0">
        <w:rPr>
          <w:rFonts w:ascii="Myriad Web Pro" w:hAnsi="Myriad Web Pro" w:cs="Arial"/>
          <w:sz w:val="18"/>
          <w:szCs w:val="18"/>
        </w:rPr>
        <w:t xml:space="preserve">is a study of cerebrovascular mechanisms underlying gait, balance and cognition in a population-based sample of Tasmanian people aged at least 60 years. Individuals aged 60–86 years (n = 395) living in Southern Tasmania, Australia, were randomly selected from the electoral roll between 2006 and 2008 to participate in the study. Individuals were excluded if they lived in a nursing home, had a contraindication for magnetic resonance scanning (MRI) or were unable to walk without a gait aid18. Participants underwent brain MRI scans and genotyping.  DNA was extracted from peripheral blood samples by proteinase K digestion following cell lysis, then phenol-chloroform purification. DNA was genotyped using Illumina Hap370CNV chips at the University of Queensland Diamantina Institute, Princess Alexandra Hospital, Brisbane, Australia, for 370 participants, and call rates were greater than 97% for all samples. Genotypes for 22 individuals were excluded, either because they were closely related to other individuals, they were outliers in a population ancestry analysis or their sex </w:t>
      </w:r>
      <w:r w:rsidRPr="006313F0">
        <w:rPr>
          <w:rFonts w:ascii="Myriad Web Pro" w:hAnsi="Myriad Web Pro" w:cs="Arial"/>
          <w:sz w:val="18"/>
          <w:szCs w:val="18"/>
        </w:rPr>
        <w:lastRenderedPageBreak/>
        <w:t>predicted from genotypes did not match sex as recorded in the database. Among the 348 remaining participants with available genome-wide data, after exclusion of 2 participants with dementia, 3 with posterior circulation infarcts on MRI and 3 with insufficient MRI image quality, 340 individuals were available for the present analysis on hippocampal volume.</w:t>
      </w:r>
    </w:p>
    <w:p w:rsidR="00F01936" w:rsidRPr="006313F0" w:rsidRDefault="00F01936" w:rsidP="00F01936">
      <w:pPr>
        <w:spacing w:after="0" w:line="240" w:lineRule="auto"/>
        <w:ind w:firstLine="720"/>
        <w:jc w:val="both"/>
        <w:rPr>
          <w:rFonts w:ascii="Myriad Web Pro" w:hAnsi="Myriad Web Pro" w:cs="Arial"/>
          <w:sz w:val="18"/>
          <w:szCs w:val="18"/>
        </w:rPr>
      </w:pPr>
    </w:p>
    <w:p w:rsidR="00F01936" w:rsidRPr="006313F0" w:rsidRDefault="00F01936" w:rsidP="00F01936">
      <w:pPr>
        <w:spacing w:after="0" w:line="240" w:lineRule="auto"/>
        <w:ind w:left="1440" w:hanging="720"/>
        <w:jc w:val="both"/>
        <w:rPr>
          <w:rFonts w:ascii="Myriad Web Pro" w:hAnsi="Myriad Web Pro" w:cs="Arial"/>
          <w:sz w:val="18"/>
          <w:szCs w:val="18"/>
        </w:rPr>
      </w:pPr>
      <w:r w:rsidRPr="006313F0">
        <w:rPr>
          <w:rFonts w:ascii="Myriad Web Pro" w:hAnsi="Myriad Web Pro" w:cs="Arial"/>
          <w:b/>
          <w:sz w:val="18"/>
          <w:szCs w:val="18"/>
        </w:rPr>
        <w:t>TUK</w:t>
      </w:r>
      <w:r w:rsidRPr="006313F0">
        <w:rPr>
          <w:rFonts w:ascii="Myriad Web Pro" w:hAnsi="Myriad Web Pro" w:cs="Arial"/>
          <w:sz w:val="18"/>
          <w:szCs w:val="18"/>
        </w:rPr>
        <w:t>:</w:t>
      </w:r>
      <w:r w:rsidRPr="006313F0">
        <w:rPr>
          <w:rFonts w:ascii="Myriad Web Pro" w:hAnsi="Myriad Web Pro" w:cs="Arial"/>
          <w:sz w:val="18"/>
          <w:szCs w:val="18"/>
        </w:rPr>
        <w:tab/>
        <w:t xml:space="preserve">The </w:t>
      </w:r>
      <w:proofErr w:type="spellStart"/>
      <w:r w:rsidRPr="006313F0">
        <w:rPr>
          <w:rFonts w:ascii="Myriad Web Pro" w:hAnsi="Myriad Web Pro" w:cs="Arial"/>
          <w:sz w:val="18"/>
          <w:szCs w:val="18"/>
        </w:rPr>
        <w:t>TwinsUK</w:t>
      </w:r>
      <w:proofErr w:type="spellEnd"/>
      <w:r w:rsidRPr="006313F0">
        <w:rPr>
          <w:rFonts w:ascii="Myriad Web Pro" w:hAnsi="Myriad Web Pro" w:cs="Arial"/>
          <w:sz w:val="18"/>
          <w:szCs w:val="18"/>
        </w:rPr>
        <w:t xml:space="preserve"> registry now consists of about 12,000 monozygotic (MZ) and dizygotic (DZ) twins aged 18 to 103 years. About 83% of the registry is female (mean age of 55 years). The registry now contains 51% MZ and 49% DZ twins. Between 1992 and 2004, twins were invited for a full comprehensive visit and several project-led studies. More than 7,000 twins responded to some of the annual questionnaires and 5,725 attended a comprehensive visit. Apart from a lifelong lower weight in MZ twins of around 1 kg, all other age-matched characteristics of these volunteer twins were found not to differ from a singleton population-based cohort of British women </w:t>
      </w:r>
      <w:r w:rsidRPr="006313F0">
        <w:rPr>
          <w:rFonts w:ascii="Myriad Web Pro" w:hAnsi="Myriad Web Pro" w:cs="Arial"/>
          <w:sz w:val="18"/>
          <w:szCs w:val="18"/>
        </w:rPr>
        <w:fldChar w:fldCharType="begin" w:fldLock="1"/>
      </w:r>
      <w:r w:rsidR="00A83FB0">
        <w:rPr>
          <w:rFonts w:ascii="Myriad Web Pro" w:hAnsi="Myriad Web Pro" w:cs="Arial"/>
          <w:sz w:val="18"/>
          <w:szCs w:val="18"/>
        </w:rPr>
        <w:instrText>ADDIN CSL_CITATION { "citationItems" : [ { "id" : "ITEM-1", "itemData" : { "DOI" : "10.1017/thg.2012.89", "ISSN" : "1832-4274", "PMID" : "23088889", "abstract" : "TwinsUK is a nation-wide registry of volunteer twins in the United Kingdom, with about 12,000 registered twins (83% female, equal number of monozygotic and dizygotic twins, predominantly middle-aged and older). Over the last 20 years, questionnaire and blood/urine/tissue samples have been collected on over 7,000 subjects, as well as three comprehensive phenotyping assessments in the clinical facilities of the Department of Twin Research and Genetic Epidemiology, King's College London. The primary focus of study has been the genetic basis of healthy aging process and complex diseases, including cardiovascular, metabolic, musculoskeletal, and ophthalmologic disorders. Alongside the detailed clinical, biochemical, behavioral, and socio-economic characterization of the study population, the major strength of TwinsUK is availability of several 'omics' technologies for the participants. These include genome-wide scans of single nucleotide variants, next-generation sequencing, exome sequencing, epigenetic markers (MeDIP sequencing), gene expression arrays and RNA sequencing, telomere length measures, metabolomic profiles, and gut flora microbiomics. The scientific community now can freely access parts of the phenotype data from the 'TwinsUK', and interested researchers are encouraged to contact us via our Web site (www.twinsuk.ac.uk) for future collaborations.", "author" : [ { "dropping-particle" : "", "family" : "Moayyeri", "given" : "Alireza", "non-dropping-particle" : "", "parse-names" : false, "suffix" : "" }, { "dropping-particle" : "", "family" : "Hammond", "given" : "Christopher J", "non-dropping-particle" : "", "parse-names" : false, "suffix" : "" }, { "dropping-particle" : "", "family" : "Hart", "given" : "Deborah J", "non-dropping-particle" : "", "parse-names" : false, "suffix" : "" }, { "dropping-particle" : "", "family" : "Spector", "given" : "Timothy D", "non-dropping-particle" : "", "parse-names" : false, "suffix" : "" } ], "container-title" : "Twin research and human genetics : the official journal of the International Society for Twin Studies", "id" : "ITEM-1", "issue" : "1", "issued" : { "date-parts" : [ [ "2013", "2" ] ] }, "page" : "144-9", "title" : "The UK Adult Twin Registry (TwinsUK Resource).", "type" : "article-journal", "volume" : "16" }, "uris" : [ "http://www.mendeley.com/documents/?uuid=42ab22b0-6d63-4d43-a25b-48d4324d6415", "http://www.mendeley.com/documents/?uuid=aeb73510-470f-4813-9cba-2e102be563e2" ] } ], "mendeley" : { "formattedCitation" : "&lt;sup&gt;20&lt;/sup&gt;", "plainTextFormattedCitation" : "20", "previouslyFormattedCitation" : "(Moayyeri et al. 2013)" }, "properties" : { "noteIndex" : 0 }, "schema" : "https://github.com/citation-style-language/schema/raw/master/csl-citation.json" }</w:instrText>
      </w:r>
      <w:r w:rsidRPr="006313F0">
        <w:rPr>
          <w:rFonts w:ascii="Myriad Web Pro" w:hAnsi="Myriad Web Pro" w:cs="Arial"/>
          <w:sz w:val="18"/>
          <w:szCs w:val="18"/>
        </w:rPr>
        <w:fldChar w:fldCharType="separate"/>
      </w:r>
      <w:r w:rsidR="00A83FB0" w:rsidRPr="00A83FB0">
        <w:rPr>
          <w:rFonts w:ascii="Myriad Web Pro" w:hAnsi="Myriad Web Pro" w:cs="Arial"/>
          <w:noProof/>
          <w:sz w:val="18"/>
          <w:szCs w:val="18"/>
          <w:vertAlign w:val="superscript"/>
        </w:rPr>
        <w:t>20</w:t>
      </w:r>
      <w:r w:rsidRPr="006313F0">
        <w:rPr>
          <w:rFonts w:ascii="Myriad Web Pro" w:hAnsi="Myriad Web Pro" w:cs="Arial"/>
          <w:sz w:val="18"/>
          <w:szCs w:val="18"/>
        </w:rPr>
        <w:fldChar w:fldCharType="end"/>
      </w:r>
      <w:r w:rsidRPr="006313F0">
        <w:rPr>
          <w:rFonts w:ascii="Myriad Web Pro" w:hAnsi="Myriad Web Pro" w:cs="Arial"/>
          <w:sz w:val="18"/>
          <w:szCs w:val="18"/>
        </w:rPr>
        <w:t>. Between April 2004 and May 2007, all the 6,740 active twins on the registry were invited for a 1-day clinical visit, of whom 3,725 twins attended and 1,299 twins posted their blood DNA samples via their general practitioners. The age of participants ranged between 18 and 82 years (mean 52.5 ± 13 years) and 3,299 of the clinic attendants (89%) were female.</w:t>
      </w:r>
    </w:p>
    <w:p w:rsidR="00F01936" w:rsidRPr="006313F0" w:rsidRDefault="00F01936" w:rsidP="00F01936">
      <w:pPr>
        <w:spacing w:after="0" w:line="240" w:lineRule="auto"/>
        <w:jc w:val="both"/>
        <w:rPr>
          <w:rFonts w:ascii="Myriad Web Pro" w:hAnsi="Myriad Web Pro"/>
          <w:i/>
          <w:sz w:val="18"/>
          <w:szCs w:val="18"/>
        </w:rPr>
      </w:pPr>
    </w:p>
    <w:p w:rsidR="00F01936" w:rsidRPr="006313F0" w:rsidRDefault="00F01936" w:rsidP="00F01936">
      <w:pPr>
        <w:spacing w:after="0" w:line="240" w:lineRule="auto"/>
        <w:jc w:val="both"/>
        <w:rPr>
          <w:rFonts w:ascii="Myriad Web Pro" w:hAnsi="Myriad Web Pro"/>
          <w:sz w:val="18"/>
          <w:szCs w:val="18"/>
        </w:rPr>
      </w:pPr>
    </w:p>
    <w:p w:rsidR="00F01936" w:rsidRPr="006313F0" w:rsidRDefault="00F01936" w:rsidP="00F01936">
      <w:pPr>
        <w:spacing w:after="0" w:line="240" w:lineRule="auto"/>
        <w:jc w:val="both"/>
        <w:rPr>
          <w:rFonts w:ascii="Myriad Web Pro" w:hAnsi="Myriad Web Pro"/>
          <w:i/>
          <w:sz w:val="18"/>
          <w:szCs w:val="18"/>
        </w:rPr>
      </w:pPr>
      <w:r w:rsidRPr="006313F0">
        <w:rPr>
          <w:rFonts w:ascii="Myriad Web Pro" w:hAnsi="Myriad Web Pro"/>
          <w:i/>
          <w:sz w:val="18"/>
          <w:szCs w:val="18"/>
        </w:rPr>
        <w:t xml:space="preserve">Erasmus </w:t>
      </w:r>
      <w:proofErr w:type="spellStart"/>
      <w:r w:rsidRPr="006313F0">
        <w:rPr>
          <w:rFonts w:ascii="Myriad Web Pro" w:hAnsi="Myriad Web Pro"/>
          <w:i/>
          <w:sz w:val="18"/>
          <w:szCs w:val="18"/>
        </w:rPr>
        <w:t>Rucphen</w:t>
      </w:r>
      <w:proofErr w:type="spellEnd"/>
      <w:r w:rsidRPr="006313F0">
        <w:rPr>
          <w:rFonts w:ascii="Myriad Web Pro" w:hAnsi="Myriad Web Pro"/>
          <w:i/>
          <w:sz w:val="18"/>
          <w:szCs w:val="18"/>
        </w:rPr>
        <w:t xml:space="preserve"> Family Study (ERF)</w:t>
      </w:r>
    </w:p>
    <w:p w:rsidR="00F01936" w:rsidRPr="006313F0" w:rsidRDefault="00F01936" w:rsidP="00F01936">
      <w:pPr>
        <w:spacing w:after="0" w:line="240" w:lineRule="auto"/>
        <w:jc w:val="both"/>
        <w:rPr>
          <w:rFonts w:ascii="Myriad Web Pro" w:hAnsi="Myriad Web Pro"/>
          <w:i/>
          <w:sz w:val="18"/>
          <w:szCs w:val="18"/>
        </w:rPr>
      </w:pPr>
    </w:p>
    <w:p w:rsidR="00F01936" w:rsidRPr="006313F0" w:rsidRDefault="00F01936" w:rsidP="00F01936">
      <w:pPr>
        <w:spacing w:after="0" w:line="240" w:lineRule="auto"/>
        <w:ind w:left="720"/>
        <w:jc w:val="both"/>
        <w:rPr>
          <w:rFonts w:ascii="Myriad Web Pro" w:hAnsi="Myriad Web Pro"/>
          <w:sz w:val="18"/>
          <w:szCs w:val="18"/>
        </w:rPr>
      </w:pPr>
      <w:r w:rsidRPr="006313F0">
        <w:rPr>
          <w:rFonts w:ascii="Myriad Web Pro" w:hAnsi="Myriad Web Pro"/>
          <w:sz w:val="18"/>
          <w:szCs w:val="18"/>
        </w:rPr>
        <w:t xml:space="preserve">The Erasmus </w:t>
      </w:r>
      <w:proofErr w:type="spellStart"/>
      <w:r w:rsidRPr="006313F0">
        <w:rPr>
          <w:rFonts w:ascii="Myriad Web Pro" w:hAnsi="Myriad Web Pro"/>
          <w:sz w:val="18"/>
          <w:szCs w:val="18"/>
        </w:rPr>
        <w:t>Rucphen</w:t>
      </w:r>
      <w:proofErr w:type="spellEnd"/>
      <w:r w:rsidRPr="006313F0">
        <w:rPr>
          <w:rFonts w:ascii="Myriad Web Pro" w:hAnsi="Myriad Web Pro"/>
          <w:sz w:val="18"/>
          <w:szCs w:val="18"/>
        </w:rPr>
        <w:t xml:space="preserve"> Family genetic isolate study (ERF) is a prospective family based study located in the southwestern Netherlands </w:t>
      </w:r>
      <w:r w:rsidRPr="006313F0">
        <w:rPr>
          <w:rFonts w:ascii="Myriad Web Pro" w:hAnsi="Myriad Web Pro"/>
          <w:sz w:val="18"/>
          <w:szCs w:val="18"/>
        </w:rPr>
        <w:fldChar w:fldCharType="begin" w:fldLock="1"/>
      </w:r>
      <w:r w:rsidR="00A83FB0">
        <w:rPr>
          <w:rFonts w:ascii="Myriad Web Pro" w:hAnsi="Myriad Web Pro"/>
          <w:sz w:val="18"/>
          <w:szCs w:val="18"/>
        </w:rPr>
        <w:instrText>ADDIN CSL_CITATION { "citationItems" : [ { "id" : "ITEM-1", "itemData" : { "DOI" : "10.1136/jmg.2008.058388", "ISSN" : "1468-6244", "PMID" : "18550697", "abstract" : "BACKGROUND Metabolic syndrome (MetS) is defined by a combination of abnormalities that are all individual risk factors for the development of type 2 diabetes and/or cardiovascular disease. The aetiology of MetS includes both an environmental and genetic component. We studied the prevalence and heritability of MetS and its individual components Dutch genetic isolate. METHODS The Erasmus Rucphen Family study (ERF) consists of some 3000 genealogically documented individuals from a Dutch genetic isolate. Data on waist circumference (WC), blood pressure (BP), high density lipoprotein cholesterol (HDL-C), triglycerides (TG) and fasting plasma glucose values (FPG) are available. MetS was defined according to the International Diabetes Federation (IDF) (2003) and National Cholesterol Education program Adult Panel III (NCEP ATPIII) criteria. Variance component analysis was applied to extended family data to test for evidence of heritability. RESULTS The prevalence of MetS in the ERF cohort ranged from 23-37% depending on MetS definition and gender considered. Low HDL-C and high WC are the main contributors to MetS. The heritability of MetS corrected for sibship effect was 10.6% (p = 0.01) according to IDF and 13.2% (p = 0.07) according to NCEP ATPIII criteria. In addition, the heritability of individual components of MetS were analysed and found to range from 21.9-42.9%. The highest heritability was found for HDL-C (42.9%, p&lt;0.0001) and WC (37.8%, p&lt;0.0001). In addition, WC, systolic BP, HDL-C and TG showed low to moderate genetic correlation (RhoG) between genders, whereas FPG and diastolic BP showed absolute genetic correlation between genders. CONCLUSION Although the prevalence of MetS was high, the heritability of MetS in the ERF population was found to be moderate. The high heritability of the individual components of MetS indicates that the genetic dissection of MetS should be approached from its individual components.", "author" : [ { "dropping-particle" : "", "family" : "Henneman", "given" : "P", "non-dropping-particle" : "", "parse-names" : false, "suffix" : "" }, { "dropping-particle" : "", "family" : "Aulchenko", "given" : "Y S", "non-dropping-particle" : "", "parse-names" : false, "suffix" : "" }, { "dropping-particle" : "", "family" : "Frants", "given" : "R R", "non-dropping-particle" : "", "parse-names" : false, "suffix" : "" }, { "dropping-particle" : "", "family" : "Dijk", "given" : "K W", "non-dropping-particle" : "van", "parse-names" : false, "suffix" : "" }, { "dropping-particle" : "", "family" : "Oostra", "given" : "B A", "non-dropping-particle" : "", "parse-names" : false, "suffix" : "" }, { "dropping-particle" : "", "family" : "Duijn", "given" : "C M", "non-dropping-particle" : "van", "parse-names" : false, "suffix" : "" } ], "container-title" : "Journal of medical genetics", "id" : "ITEM-1", "issue" : "9", "issued" : { "date-parts" : [ [ "2008", "9" ] ] }, "page" : "572-7", "title" : "Prevalence and heritability of the metabolic syndrome and its individual components in a Dutch isolate: the Erasmus Rucphen Family study.", "type" : "article-journal", "volume" : "45" }, "uris" : [ "http://www.mendeley.com/documents/?uuid=0300730d-9b56-4d8b-9198-d6a26cbc934d" ] } ], "mendeley" : { "formattedCitation" : "&lt;sup&gt;21&lt;/sup&gt;", "plainTextFormattedCitation" : "21", "previouslyFormattedCitation" : "(Henneman et al. 2008)" }, "properties" : { "noteIndex" : 0 }, "schema" : "https://github.com/citation-style-language/schema/raw/master/csl-citation.json" }</w:instrText>
      </w:r>
      <w:r w:rsidRPr="006313F0">
        <w:rPr>
          <w:rFonts w:ascii="Myriad Web Pro" w:hAnsi="Myriad Web Pro"/>
          <w:sz w:val="18"/>
          <w:szCs w:val="18"/>
        </w:rPr>
        <w:fldChar w:fldCharType="separate"/>
      </w:r>
      <w:r w:rsidR="00A83FB0" w:rsidRPr="00A83FB0">
        <w:rPr>
          <w:rFonts w:ascii="Myriad Web Pro" w:hAnsi="Myriad Web Pro"/>
          <w:noProof/>
          <w:sz w:val="18"/>
          <w:szCs w:val="18"/>
          <w:vertAlign w:val="superscript"/>
        </w:rPr>
        <w:t>21</w:t>
      </w:r>
      <w:r w:rsidRPr="006313F0">
        <w:rPr>
          <w:rFonts w:ascii="Myriad Web Pro" w:hAnsi="Myriad Web Pro"/>
          <w:sz w:val="18"/>
          <w:szCs w:val="18"/>
        </w:rPr>
        <w:fldChar w:fldCharType="end"/>
      </w:r>
      <w:r w:rsidRPr="006313F0">
        <w:rPr>
          <w:rFonts w:ascii="Myriad Web Pro" w:hAnsi="Myriad Web Pro"/>
          <w:sz w:val="18"/>
          <w:szCs w:val="18"/>
        </w:rPr>
        <w:t>. This young genetic isolate was founded in the mid</w:t>
      </w:r>
      <w:r w:rsidRPr="006313F0">
        <w:rPr>
          <w:rFonts w:ascii="Cambria Math" w:hAnsi="Cambria Math" w:cs="Cambria Math"/>
          <w:sz w:val="18"/>
          <w:szCs w:val="18"/>
        </w:rPr>
        <w:t>‐</w:t>
      </w:r>
      <w:r w:rsidRPr="006313F0">
        <w:rPr>
          <w:rFonts w:ascii="Myriad Web Pro" w:hAnsi="Myriad Web Pro"/>
          <w:sz w:val="18"/>
          <w:szCs w:val="18"/>
        </w:rPr>
        <w:t xml:space="preserve">eighteenth century and minimal immigration and marriages occurred between surrounding settlements due to social and religious reasons. The ERF population includes 3,465 individuals that are living descendants of 22 couples with at least six children baptized. The study protocol was approved by the medical ethics board of the Erasmus MC Rotterdam, the Netherlands. The baseline demographic data and measurements of the ERF participants were collected around 2002 to 2006. All the participants filled out questionnaires on socio-demographics, disease and medical history and lifestyle factors, and were invited to the research </w:t>
      </w:r>
      <w:proofErr w:type="spellStart"/>
      <w:r w:rsidRPr="006313F0">
        <w:rPr>
          <w:rFonts w:ascii="Myriad Web Pro" w:hAnsi="Myriad Web Pro"/>
          <w:sz w:val="18"/>
          <w:szCs w:val="18"/>
        </w:rPr>
        <w:t>center</w:t>
      </w:r>
      <w:proofErr w:type="spellEnd"/>
      <w:r w:rsidRPr="006313F0">
        <w:rPr>
          <w:rFonts w:ascii="Myriad Web Pro" w:hAnsi="Myriad Web Pro"/>
          <w:sz w:val="18"/>
          <w:szCs w:val="18"/>
        </w:rPr>
        <w:t xml:space="preserve"> for an interview and blood collection for biochemistry and physical examinations. In the main follow-up of the study by May, 2016 (follow up from 9 to 14 years), 1,940 baseline participants' records were scanned in the general practitioner’s database.</w:t>
      </w:r>
    </w:p>
    <w:p w:rsidR="00F01936" w:rsidRPr="006313F0" w:rsidRDefault="00F01936" w:rsidP="00F01936">
      <w:pPr>
        <w:spacing w:after="0" w:line="240" w:lineRule="auto"/>
        <w:ind w:left="720"/>
        <w:jc w:val="both"/>
        <w:rPr>
          <w:rFonts w:ascii="Myriad Web Pro" w:hAnsi="Myriad Web Pro"/>
          <w:sz w:val="18"/>
          <w:szCs w:val="18"/>
        </w:rPr>
      </w:pPr>
    </w:p>
    <w:p w:rsidR="00F01936" w:rsidRPr="006313F0" w:rsidRDefault="00F01936" w:rsidP="00F01936">
      <w:pPr>
        <w:spacing w:after="0" w:line="240" w:lineRule="auto"/>
        <w:jc w:val="both"/>
        <w:rPr>
          <w:rFonts w:ascii="Myriad Web Pro" w:hAnsi="Myriad Web Pro"/>
          <w:i/>
          <w:sz w:val="18"/>
          <w:szCs w:val="18"/>
        </w:rPr>
      </w:pPr>
    </w:p>
    <w:p w:rsidR="00F01936" w:rsidRPr="006313F0" w:rsidRDefault="00F01936" w:rsidP="00F01936">
      <w:pPr>
        <w:spacing w:after="0" w:line="240" w:lineRule="auto"/>
        <w:jc w:val="both"/>
        <w:rPr>
          <w:rFonts w:ascii="Myriad Web Pro" w:hAnsi="Myriad Web Pro"/>
          <w:i/>
          <w:sz w:val="18"/>
          <w:szCs w:val="18"/>
        </w:rPr>
      </w:pPr>
      <w:r w:rsidRPr="006313F0">
        <w:rPr>
          <w:rFonts w:ascii="Myriad Web Pro" w:hAnsi="Myriad Web Pro"/>
          <w:i/>
          <w:sz w:val="18"/>
          <w:szCs w:val="18"/>
        </w:rPr>
        <w:t>Health 2006 and 2008 Cohorts</w:t>
      </w:r>
    </w:p>
    <w:p w:rsidR="00F01936" w:rsidRPr="006313F0" w:rsidRDefault="00F01936" w:rsidP="00F01936">
      <w:pPr>
        <w:spacing w:after="0" w:line="240" w:lineRule="auto"/>
        <w:jc w:val="both"/>
        <w:rPr>
          <w:rFonts w:ascii="Myriad Web Pro" w:hAnsi="Myriad Web Pro"/>
          <w:i/>
          <w:sz w:val="18"/>
          <w:szCs w:val="18"/>
        </w:rPr>
      </w:pPr>
    </w:p>
    <w:p w:rsidR="00F01936" w:rsidRPr="006313F0" w:rsidRDefault="00F01936" w:rsidP="00F01936">
      <w:pPr>
        <w:spacing w:after="0" w:line="240" w:lineRule="auto"/>
        <w:ind w:left="720"/>
        <w:jc w:val="both"/>
        <w:rPr>
          <w:rFonts w:ascii="Myriad Web Pro" w:hAnsi="Myriad Web Pro"/>
          <w:sz w:val="18"/>
          <w:szCs w:val="18"/>
        </w:rPr>
      </w:pPr>
      <w:r w:rsidRPr="006313F0">
        <w:rPr>
          <w:rFonts w:ascii="Myriad Web Pro" w:hAnsi="Myriad Web Pro"/>
          <w:sz w:val="18"/>
          <w:szCs w:val="18"/>
        </w:rPr>
        <w:t xml:space="preserve">The Health2006 study is a general population-based study (started in 2006) designed to investigate lifestyle-related chronic diseases such as coronary heart disease, diabetes, musculoskeletal disorders, asthma, allergy, chronic lung diseases and mental disorders in men and women aged 18 to 69 years. The Health2008 study (started in 2008) is an extension of the Health2006 study using essentially similar collection methods, investigating men and women aged 30 to 60 years, living in the same municipalities as participants from Health2006. A random sample of potential volunteers was obtained from the Danish Civil Registration system. All participants were Danish adults living in 11 municipalities in the south-western part of the greater Copenhagen area, Denmark. Pregnant women were excluded. All participants had measurements done at the Research Centre for Prevention and Health at the Copenhagen University Hospital in </w:t>
      </w:r>
      <w:proofErr w:type="spellStart"/>
      <w:r w:rsidRPr="006313F0">
        <w:rPr>
          <w:rFonts w:ascii="Myriad Web Pro" w:hAnsi="Myriad Web Pro"/>
          <w:sz w:val="18"/>
          <w:szCs w:val="18"/>
        </w:rPr>
        <w:t>Glostrup</w:t>
      </w:r>
      <w:proofErr w:type="spellEnd"/>
      <w:r w:rsidRPr="006313F0">
        <w:rPr>
          <w:rFonts w:ascii="Myriad Web Pro" w:hAnsi="Myriad Web Pro"/>
          <w:sz w:val="18"/>
          <w:szCs w:val="18"/>
        </w:rPr>
        <w:t xml:space="preserve">. Participants were asked to be fasting at the day of examination for a detailed clinical examination when blood samples were collected. Written informed consent was obtained from all participants and the study was approved by the Ethical Committee of Copenhagen County and the Danish Data Protection Agency. The study is registered at www.clinical.trials.com. </w:t>
      </w:r>
    </w:p>
    <w:p w:rsidR="00F01936" w:rsidRPr="006313F0" w:rsidRDefault="00F01936" w:rsidP="00F01936">
      <w:pPr>
        <w:spacing w:after="0" w:line="240" w:lineRule="auto"/>
        <w:jc w:val="both"/>
        <w:rPr>
          <w:rFonts w:ascii="Myriad Web Pro" w:hAnsi="Myriad Web Pro"/>
          <w:i/>
          <w:sz w:val="18"/>
          <w:szCs w:val="18"/>
        </w:rPr>
      </w:pPr>
    </w:p>
    <w:p w:rsidR="00F01936" w:rsidRPr="006313F0" w:rsidRDefault="00F01936" w:rsidP="00F01936">
      <w:pPr>
        <w:spacing w:after="0" w:line="240" w:lineRule="auto"/>
        <w:jc w:val="both"/>
        <w:rPr>
          <w:rFonts w:ascii="Myriad Web Pro" w:hAnsi="Myriad Web Pro"/>
          <w:i/>
          <w:sz w:val="18"/>
          <w:szCs w:val="18"/>
        </w:rPr>
      </w:pPr>
      <w:r w:rsidRPr="006313F0">
        <w:rPr>
          <w:rFonts w:ascii="Myriad Web Pro" w:hAnsi="Myriad Web Pro"/>
          <w:i/>
          <w:sz w:val="18"/>
          <w:szCs w:val="18"/>
        </w:rPr>
        <w:t>Hunter Community Study</w:t>
      </w:r>
    </w:p>
    <w:p w:rsidR="00F01936" w:rsidRPr="006313F0" w:rsidRDefault="00F01936" w:rsidP="00F01936">
      <w:pPr>
        <w:spacing w:after="0" w:line="240" w:lineRule="auto"/>
        <w:jc w:val="both"/>
        <w:rPr>
          <w:rFonts w:ascii="Myriad Web Pro" w:hAnsi="Myriad Web Pro"/>
          <w:i/>
          <w:sz w:val="18"/>
          <w:szCs w:val="18"/>
        </w:rPr>
      </w:pPr>
    </w:p>
    <w:p w:rsidR="00F01936" w:rsidRPr="006313F0" w:rsidRDefault="00F01936" w:rsidP="00F01936">
      <w:pPr>
        <w:spacing w:after="0" w:line="240" w:lineRule="auto"/>
        <w:ind w:left="720"/>
        <w:jc w:val="both"/>
        <w:rPr>
          <w:rFonts w:ascii="Myriad Web Pro" w:eastAsia="Times New Roman" w:hAnsi="Myriad Web Pro" w:cs="Times New Roman"/>
          <w:sz w:val="18"/>
          <w:szCs w:val="18"/>
          <w:lang w:eastAsia="en-GB"/>
        </w:rPr>
      </w:pPr>
      <w:r w:rsidRPr="006313F0">
        <w:rPr>
          <w:rFonts w:ascii="Myriad Web Pro" w:hAnsi="Myriad Web Pro"/>
          <w:sz w:val="18"/>
          <w:szCs w:val="18"/>
        </w:rPr>
        <w:t xml:space="preserve">The HCS </w:t>
      </w:r>
      <w:r w:rsidRPr="006313F0">
        <w:rPr>
          <w:rFonts w:ascii="Myriad Web Pro" w:hAnsi="Myriad Web Pro"/>
          <w:sz w:val="18"/>
          <w:szCs w:val="18"/>
        </w:rPr>
        <w:fldChar w:fldCharType="begin" w:fldLock="1"/>
      </w:r>
      <w:r w:rsidR="00A83FB0">
        <w:rPr>
          <w:rFonts w:ascii="Myriad Web Pro" w:hAnsi="Myriad Web Pro"/>
          <w:sz w:val="18"/>
          <w:szCs w:val="18"/>
        </w:rPr>
        <w:instrText>ADDIN CSL_CITATION { "citationItems" : [ { "id" : "ITEM-1", "itemData" : { "DOI" : "10.1093/ije/dyp343", "ISSN" : "1464-3685", "PMID" : "20056765", "author" : [ { "dropping-particle" : "", "family" : "McEvoy", "given" : "Mark", "non-dropping-particle" : "", "parse-names" : false, "suffix" : "" }, { "dropping-particle" : "", "family" : "Smith", "given" : "Wayne", "non-dropping-particle" : "", "parse-names" : false, "suffix" : "" }, { "dropping-particle" : "", "family" : "D'Este", "given" : "Catherine", "non-dropping-particle" : "", "parse-names" : false, "suffix" : "" }, { "dropping-particle" : "", "family" : "Duke", "given" : "Janine", "non-dropping-particle" : "", "parse-names" : false, "suffix" : "" }, { "dropping-particle" : "", "family" : "Peel", "given" : "Roseanne", "non-dropping-particle" : "", "parse-names" : false, "suffix" : "" }, { "dropping-particle" : "", "family" : "Schofield", "given" : "Peter", "non-dropping-particle" : "", "parse-names" : false, "suffix" : "" }, { "dropping-particle" : "", "family" : "Scott", "given" : "Rodney", "non-dropping-particle" : "", "parse-names" : false, "suffix" : "" }, { "dropping-particle" : "", "family" : "Byles", "given" : "Julie", "non-dropping-particle" : "", "parse-names" : false, "suffix" : "" }, { "dropping-particle" : "", "family" : "Henry", "given" : "David", "non-dropping-particle" : "", "parse-names" : false, "suffix" : "" }, { "dropping-particle" : "", "family" : "Ewald", "given" : "Ben", "non-dropping-particle" : "", "parse-names" : false, "suffix" : "" }, { "dropping-particle" : "", "family" : "Hancock", "given" : "Stephen", "non-dropping-particle" : "", "parse-names" : false, "suffix" : "" }, { "dropping-particle" : "", "family" : "Smith", "given" : "Derek", "non-dropping-particle" : "", "parse-names" : false, "suffix" : "" }, { "dropping-particle" : "", "family" : "Attia", "given" : "John", "non-dropping-particle" : "", "parse-names" : false, "suffix" : "" } ], "container-title" : "International journal of epidemiology", "id" : "ITEM-1", "issue" : "6", "issued" : { "date-parts" : [ [ "2010", "12" ] ] }, "page" : "1452-63", "title" : "Cohort profile: The Hunter Community Study.", "type" : "article-journal", "volume" : "39" }, "uris" : [ "http://www.mendeley.com/documents/?uuid=ed218ff9-4176-4861-a367-d3b79b2c4f82" ] } ], "mendeley" : { "formattedCitation" : "&lt;sup&gt;22&lt;/sup&gt;", "plainTextFormattedCitation" : "22", "previouslyFormattedCitation" : "(McEvoy et al. 2010)" }, "properties" : { "noteIndex" : 0 }, "schema" : "https://github.com/citation-style-language/schema/raw/master/csl-citation.json" }</w:instrText>
      </w:r>
      <w:r w:rsidRPr="006313F0">
        <w:rPr>
          <w:rFonts w:ascii="Myriad Web Pro" w:hAnsi="Myriad Web Pro"/>
          <w:sz w:val="18"/>
          <w:szCs w:val="18"/>
        </w:rPr>
        <w:fldChar w:fldCharType="separate"/>
      </w:r>
      <w:r w:rsidR="00A83FB0" w:rsidRPr="00A83FB0">
        <w:rPr>
          <w:rFonts w:ascii="Myriad Web Pro" w:hAnsi="Myriad Web Pro"/>
          <w:noProof/>
          <w:sz w:val="18"/>
          <w:szCs w:val="18"/>
          <w:vertAlign w:val="superscript"/>
        </w:rPr>
        <w:t>22</w:t>
      </w:r>
      <w:r w:rsidRPr="006313F0">
        <w:rPr>
          <w:rFonts w:ascii="Myriad Web Pro" w:hAnsi="Myriad Web Pro"/>
          <w:sz w:val="18"/>
          <w:szCs w:val="18"/>
        </w:rPr>
        <w:fldChar w:fldCharType="end"/>
      </w:r>
      <w:r w:rsidRPr="006313F0">
        <w:rPr>
          <w:rFonts w:ascii="Myriad Web Pro" w:hAnsi="Myriad Web Pro"/>
          <w:sz w:val="18"/>
          <w:szCs w:val="18"/>
        </w:rPr>
        <w:t xml:space="preserve"> is a population-based study comprised of middle-aged to older adults aged 55-85 years from Newcastle, Australia.  Voting registration in Australia is compulsory and participants were recruited randomly from the electoral roll.  Potential participants were excluded if they could not speak English and/or if they lived in an aged-care facility.  The final sample included 3207 participants.  Ethics approval was obtained from the Hunter New England Local Health District and University of Newcastle Human Research Ethics Committees and written informed consent was obtained from all participants.  Comprehensive data was collected including samples for genetic analyses.</w:t>
      </w:r>
    </w:p>
    <w:p w:rsidR="00F01936" w:rsidRPr="006313F0" w:rsidRDefault="00F01936" w:rsidP="00F01936">
      <w:pPr>
        <w:spacing w:after="0" w:line="240" w:lineRule="auto"/>
        <w:jc w:val="both"/>
        <w:rPr>
          <w:rFonts w:ascii="Myriad Web Pro" w:hAnsi="Myriad Web Pro"/>
          <w:i/>
          <w:sz w:val="18"/>
          <w:szCs w:val="18"/>
        </w:rPr>
      </w:pPr>
    </w:p>
    <w:p w:rsidR="00F01936" w:rsidRPr="006313F0" w:rsidRDefault="00F01936" w:rsidP="00F01936">
      <w:pPr>
        <w:spacing w:after="0" w:line="240" w:lineRule="auto"/>
        <w:jc w:val="both"/>
        <w:rPr>
          <w:rFonts w:ascii="Myriad Web Pro" w:hAnsi="Myriad Web Pro"/>
          <w:i/>
          <w:sz w:val="18"/>
          <w:szCs w:val="18"/>
        </w:rPr>
      </w:pPr>
      <w:r w:rsidRPr="006313F0">
        <w:rPr>
          <w:rFonts w:ascii="Myriad Web Pro" w:hAnsi="Myriad Web Pro"/>
          <w:i/>
          <w:sz w:val="18"/>
          <w:szCs w:val="18"/>
        </w:rPr>
        <w:t>Sydney Memory &amp; Ageing Study</w:t>
      </w:r>
    </w:p>
    <w:p w:rsidR="00F01936" w:rsidRPr="006313F0" w:rsidRDefault="00F01936" w:rsidP="00F01936">
      <w:pPr>
        <w:spacing w:after="0" w:line="240" w:lineRule="auto"/>
        <w:jc w:val="both"/>
        <w:rPr>
          <w:rFonts w:ascii="Myriad Web Pro" w:hAnsi="Myriad Web Pro"/>
          <w:i/>
          <w:sz w:val="18"/>
          <w:szCs w:val="18"/>
        </w:rPr>
      </w:pPr>
    </w:p>
    <w:p w:rsidR="00F01936" w:rsidRPr="006313F0" w:rsidRDefault="00F01936" w:rsidP="00F01936">
      <w:pPr>
        <w:spacing w:after="0" w:line="240" w:lineRule="auto"/>
        <w:ind w:left="720"/>
        <w:jc w:val="both"/>
        <w:rPr>
          <w:rFonts w:ascii="Myriad Web Pro" w:hAnsi="Myriad Web Pro"/>
          <w:i/>
          <w:sz w:val="18"/>
          <w:szCs w:val="18"/>
        </w:rPr>
      </w:pPr>
      <w:r w:rsidRPr="006313F0">
        <w:rPr>
          <w:rFonts w:ascii="Myriad Web Pro" w:hAnsi="Myriad Web Pro"/>
          <w:sz w:val="18"/>
          <w:szCs w:val="18"/>
        </w:rPr>
        <w:t xml:space="preserve">The Sydney MAS </w:t>
      </w:r>
      <w:r w:rsidRPr="006313F0">
        <w:rPr>
          <w:rFonts w:ascii="Myriad Web Pro" w:hAnsi="Myriad Web Pro"/>
          <w:sz w:val="18"/>
          <w:szCs w:val="18"/>
        </w:rPr>
        <w:fldChar w:fldCharType="begin" w:fldLock="1"/>
      </w:r>
      <w:r w:rsidR="00A83FB0">
        <w:rPr>
          <w:rFonts w:ascii="Myriad Web Pro" w:hAnsi="Myriad Web Pro"/>
          <w:sz w:val="18"/>
          <w:szCs w:val="18"/>
        </w:rPr>
        <w:instrText>ADDIN CSL_CITATION { "citationItems" : [ { "id" : "ITEM-1", "itemData" : { "DOI" : "10.1017/S1041610210001067", "ISSN" : "1741-203X", "PMID" : "20637138", "abstract" : "BACKGROUND The Sydney Memory and Ageing Study (Sydney MAS) was initiated in 2005 to examine the clinical characteristics and prevalence of mild cognitive impairment (MCI) and related syndromes, and to determine the rate of change in cognitive function over time. METHODS Non-demented community-dwelling individuals (N = 1037) aged 70-90 were recruited from two areas of Sydney, following a random approach to 8914 individuals on the electoral roll. They underwent detailed neuropsychiatric and medical assessments and donated a blood sample for clinical chemistry, proteomics and genomics. A knowledgeable informant was also interviewed. Structural MRI scans were performed on 554 individuals, and subgroups participated in studies of falls and balance, metabolic and inflammatory markers, functional MRI and prospective memory. The cohort is to be followed up with brief telephone reviews annually, and detailed assessments biannually. RESULTS This is a generally well-functioning cohort mostly living in private homes and rating their health as being better than average, although vascular risk factors are common. Most (95.5%) participants or their informants identified a cognitive difficulty, and 43.5% had impairment on at least one neuropsychological test. MCI criteria were met by 34.8%; with 19.3% qualifying for amnestic MCI, whereas 15.5% had non-amnestic MCI; 1.6% had impairment on neuropsychological test performance but no subjective complaints; and 5.8% could not be classified. The rate of MCI was 30.9% in the youngest (70-75) and 39.1% in the oldest (85-90) age bands. Rates of depression and anxiety were 7.1% and 6.9% respectively. CONCLUSIONS Cognitive complaints are common in the elderly, and nearly one in three meet criteria for MCI. Longitudinal follow-up of this cohort will delineate the progression of complaints and objective cognitive impairment, and the determinants of such change.", "author" : [ { "dropping-particle" : "", "family" : "Sachdev", "given" : "Perminder S", "non-dropping-particle" : "", "parse-names" : false, "suffix" : "" }, { "dropping-particle" : "", "family" : "Brodaty", "given" : "Henry", "non-dropping-particle" : "", "parse-names" : false, "suffix" : "" }, { "dropping-particle" : "", "family" : "Reppermund", "given" : "Simone", "non-dropping-particle" : "", "parse-names" : false, "suffix" : "" }, { "dropping-particle" : "", "family" : "Kochan", "given" : "Nicole A", "non-dropping-particle" : "", "parse-names" : false, "suffix" : "" }, { "dropping-particle" : "", "family" : "Trollor", "given" : "Julian N", "non-dropping-particle" : "", "parse-names" : false, "suffix" : "" }, { "dropping-particle" : "", "family" : "Draper", "given" : "Brian", "non-dropping-particle" : "", "parse-names" : false, "suffix" : "" }, { "dropping-particle" : "", "family" : "Slavin", "given" : "Melissa J", "non-dropping-particle" : "", "parse-names" : false, "suffix" : "" }, { "dropping-particle" : "", "family" : "Crawford", "given" : "John", "non-dropping-particle" : "", "parse-names" : false, "suffix" : "" }, { "dropping-particle" : "", "family" : "Kang", "given" : "Kristan", "non-dropping-particle" : "", "parse-names" : false, "suffix" : "" }, { "dropping-particle" : "", "family" : "Broe", "given" : "G Anthony", "non-dropping-particle" : "", "parse-names" : false, "suffix" : "" }, { "dropping-particle" : "", "family" : "Mather", "given" : "Karen A", "non-dropping-particle" : "", "parse-names" : false, "suffix" : "" }, { "dropping-particle" : "", "family" : "Lux", "given" : "Ora", "non-dropping-particle" : "", "parse-names" : false, "suffix" : "" }, { "dropping-particle" : "", "family" : "Memory and Ageing Study Team", "given" : "", "non-dropping-particle" : "", "parse-names" : false, "suffix" : "" } ], "container-title" : "International psychogeriatrics / IPA", "id" : "ITEM-1", "issue" : "8", "issued" : { "date-parts" : [ [ "2010", "12" ] ] }, "page" : "1248-64", "title" : "The Sydney Memory and Ageing Study (MAS): methodology and baseline medical and neuropsychiatric characteristics of an elderly epidemiological non-demented cohort of Australians aged 70-90 years.", "type" : "article-journal", "volume" : "22" }, "uris" : [ "http://www.mendeley.com/documents/?uuid=05c03e9a-2cee-4587-886c-0343b82cc486" ] } ], "mendeley" : { "formattedCitation" : "&lt;sup&gt;23&lt;/sup&gt;", "plainTextFormattedCitation" : "23", "previouslyFormattedCitation" : "(Sachdev et al. 2010)" }, "properties" : { "noteIndex" : 0 }, "schema" : "https://github.com/citation-style-language/schema/raw/master/csl-citation.json" }</w:instrText>
      </w:r>
      <w:r w:rsidRPr="006313F0">
        <w:rPr>
          <w:rFonts w:ascii="Myriad Web Pro" w:hAnsi="Myriad Web Pro"/>
          <w:sz w:val="18"/>
          <w:szCs w:val="18"/>
        </w:rPr>
        <w:fldChar w:fldCharType="separate"/>
      </w:r>
      <w:r w:rsidR="00A83FB0" w:rsidRPr="00A83FB0">
        <w:rPr>
          <w:rFonts w:ascii="Myriad Web Pro" w:hAnsi="Myriad Web Pro"/>
          <w:noProof/>
          <w:sz w:val="18"/>
          <w:szCs w:val="18"/>
          <w:vertAlign w:val="superscript"/>
        </w:rPr>
        <w:t>23</w:t>
      </w:r>
      <w:r w:rsidRPr="006313F0">
        <w:rPr>
          <w:rFonts w:ascii="Myriad Web Pro" w:hAnsi="Myriad Web Pro"/>
          <w:sz w:val="18"/>
          <w:szCs w:val="18"/>
        </w:rPr>
        <w:fldChar w:fldCharType="end"/>
      </w:r>
      <w:r w:rsidRPr="006313F0">
        <w:rPr>
          <w:rFonts w:ascii="Myriad Web Pro" w:hAnsi="Myriad Web Pro"/>
          <w:sz w:val="18"/>
          <w:szCs w:val="18"/>
        </w:rPr>
        <w:t xml:space="preserve"> is a longitudinal population-based study, which recruited community-dwelling adults aged 70-90 years at baseline from Sydney.  In Australia voting registration is compulsory and participants were recruited randomly from the electoral roll.  Exclusion criteria included a diagnosis of dementia, schizophrenia or </w:t>
      </w:r>
      <w:r w:rsidRPr="006313F0">
        <w:rPr>
          <w:rFonts w:ascii="Myriad Web Pro" w:hAnsi="Myriad Web Pro"/>
          <w:sz w:val="18"/>
          <w:szCs w:val="18"/>
        </w:rPr>
        <w:lastRenderedPageBreak/>
        <w:t xml:space="preserve">bipolar disorder and medical or psychological conditions that would prevent them from completing assessments.  The final sample was comprised of 1,037 participants at baseline.  Ethics approval for Sydney MAS was granted by the Human Research Ethics Committees of the University of New South Wales and the South Eastern Sydney and </w:t>
      </w:r>
      <w:proofErr w:type="spellStart"/>
      <w:r w:rsidRPr="006313F0">
        <w:rPr>
          <w:rFonts w:ascii="Myriad Web Pro" w:hAnsi="Myriad Web Pro"/>
          <w:sz w:val="18"/>
          <w:szCs w:val="18"/>
        </w:rPr>
        <w:t>Illawarra</w:t>
      </w:r>
      <w:proofErr w:type="spellEnd"/>
      <w:r w:rsidRPr="006313F0">
        <w:rPr>
          <w:rFonts w:ascii="Myriad Web Pro" w:hAnsi="Myriad Web Pro"/>
          <w:sz w:val="18"/>
          <w:szCs w:val="18"/>
        </w:rPr>
        <w:t xml:space="preserve"> Area Health Service.  Written informed consent was provided by all participants.  A wide range of data was collected including samples donated for genetic analyses.</w:t>
      </w:r>
    </w:p>
    <w:p w:rsidR="00F01936" w:rsidRPr="006313F0" w:rsidRDefault="00F01936" w:rsidP="00F01936">
      <w:pPr>
        <w:spacing w:after="0" w:line="240" w:lineRule="auto"/>
        <w:jc w:val="both"/>
        <w:rPr>
          <w:rFonts w:ascii="Myriad Web Pro" w:hAnsi="Myriad Web Pro"/>
          <w:i/>
          <w:sz w:val="18"/>
          <w:szCs w:val="18"/>
        </w:rPr>
      </w:pPr>
    </w:p>
    <w:p w:rsidR="00F01936" w:rsidRPr="006313F0" w:rsidRDefault="00F01936" w:rsidP="00F01936">
      <w:pPr>
        <w:spacing w:after="0" w:line="240" w:lineRule="auto"/>
        <w:jc w:val="both"/>
        <w:rPr>
          <w:rFonts w:ascii="Myriad Web Pro" w:hAnsi="Myriad Web Pro"/>
          <w:i/>
          <w:sz w:val="18"/>
          <w:szCs w:val="18"/>
        </w:rPr>
      </w:pPr>
      <w:proofErr w:type="spellStart"/>
      <w:r w:rsidRPr="006313F0">
        <w:rPr>
          <w:rFonts w:ascii="Myriad Web Pro" w:hAnsi="Myriad Web Pro"/>
          <w:i/>
          <w:sz w:val="18"/>
          <w:szCs w:val="18"/>
        </w:rPr>
        <w:t>TwinsUK</w:t>
      </w:r>
      <w:proofErr w:type="spellEnd"/>
    </w:p>
    <w:p w:rsidR="00F01936" w:rsidRPr="006313F0" w:rsidRDefault="00F01936" w:rsidP="00F01936">
      <w:pPr>
        <w:spacing w:after="0" w:line="240" w:lineRule="auto"/>
        <w:ind w:left="720"/>
        <w:jc w:val="both"/>
        <w:rPr>
          <w:rFonts w:ascii="Myriad Web Pro" w:hAnsi="Myriad Web Pro"/>
          <w:sz w:val="18"/>
          <w:szCs w:val="18"/>
        </w:rPr>
      </w:pPr>
    </w:p>
    <w:p w:rsidR="00F01936" w:rsidRPr="006313F0" w:rsidRDefault="00F01936" w:rsidP="00F01936">
      <w:pPr>
        <w:spacing w:after="0" w:line="240" w:lineRule="auto"/>
        <w:ind w:left="720"/>
        <w:jc w:val="both"/>
        <w:rPr>
          <w:rFonts w:ascii="Myriad Web Pro" w:hAnsi="Myriad Web Pro" w:cs="Arial"/>
          <w:sz w:val="18"/>
          <w:szCs w:val="18"/>
        </w:rPr>
      </w:pPr>
      <w:r w:rsidRPr="006313F0">
        <w:rPr>
          <w:rFonts w:ascii="Myriad Web Pro" w:hAnsi="Myriad Web Pro"/>
          <w:sz w:val="18"/>
          <w:szCs w:val="18"/>
        </w:rPr>
        <w:t xml:space="preserve">In addition to the TUK sample contained within CHARGE, Twins UK contributed 3009 additional genotyped grip strength samples that were not included in the pre-existing CHARGE GWAS discussed above.  The </w:t>
      </w:r>
      <w:proofErr w:type="spellStart"/>
      <w:r w:rsidRPr="006313F0">
        <w:rPr>
          <w:rFonts w:ascii="Myriad Web Pro" w:hAnsi="Myriad Web Pro"/>
          <w:sz w:val="18"/>
          <w:szCs w:val="18"/>
        </w:rPr>
        <w:t>TwinsUK</w:t>
      </w:r>
      <w:proofErr w:type="spellEnd"/>
      <w:r w:rsidRPr="006313F0">
        <w:rPr>
          <w:rFonts w:ascii="Myriad Web Pro" w:hAnsi="Myriad Web Pro"/>
          <w:sz w:val="18"/>
          <w:szCs w:val="18"/>
        </w:rPr>
        <w:t xml:space="preserve"> cohort (</w:t>
      </w:r>
      <w:hyperlink r:id="rId19" w:history="1">
        <w:r w:rsidRPr="006313F0">
          <w:rPr>
            <w:rStyle w:val="Hyperlink"/>
            <w:rFonts w:ascii="Myriad Web Pro" w:hAnsi="Myriad Web Pro"/>
            <w:sz w:val="18"/>
            <w:szCs w:val="18"/>
          </w:rPr>
          <w:t>www.twinsuk.ac.uk</w:t>
        </w:r>
      </w:hyperlink>
      <w:r w:rsidRPr="006313F0">
        <w:rPr>
          <w:rFonts w:ascii="Myriad Web Pro" w:hAnsi="Myriad Web Pro"/>
          <w:sz w:val="18"/>
          <w:szCs w:val="18"/>
        </w:rPr>
        <w:t xml:space="preserve">) is an adult twin British registry shown to be representative of singleton populations and the United Kingdom population </w:t>
      </w:r>
      <w:r w:rsidRPr="006313F0">
        <w:rPr>
          <w:rFonts w:ascii="Myriad Web Pro" w:hAnsi="Myriad Web Pro"/>
          <w:sz w:val="18"/>
          <w:szCs w:val="18"/>
        </w:rPr>
        <w:fldChar w:fldCharType="begin" w:fldLock="1"/>
      </w:r>
      <w:r w:rsidR="00A83FB0">
        <w:rPr>
          <w:rFonts w:ascii="Myriad Web Pro" w:hAnsi="Myriad Web Pro"/>
          <w:sz w:val="18"/>
          <w:szCs w:val="18"/>
        </w:rPr>
        <w:instrText>ADDIN CSL_CITATION { "citationItems" : [ { "id" : "ITEM-1", "itemData" : { "DOI" : "10.1017/thg.2012.89", "ISSN" : "1832-4274", "PMID" : "23088889", "abstract" : "TwinsUK is a nation-wide registry of volunteer twins in the United Kingdom, with about 12,000 registered twins (83% female, equal number of monozygotic and dizygotic twins, predominantly middle-aged and older). Over the last 20 years, questionnaire and blood/urine/tissue samples have been collected on over 7,000 subjects, as well as three comprehensive phenotyping assessments in the clinical facilities of the Department of Twin Research and Genetic Epidemiology, King's College London. The primary focus of study has been the genetic basis of healthy aging process and complex diseases, including cardiovascular, metabolic, musculoskeletal, and ophthalmologic disorders. Alongside the detailed clinical, biochemical, behavioral, and socio-economic characterization of the study population, the major strength of TwinsUK is availability of several 'omics' technologies for the participants. These include genome-wide scans of single nucleotide variants, next-generation sequencing, exome sequencing, epigenetic markers (MeDIP sequencing), gene expression arrays and RNA sequencing, telomere length measures, metabolomic profiles, and gut flora microbiomics. The scientific community now can freely access parts of the phenotype data from the 'TwinsUK', and interested researchers are encouraged to contact us via our Web site (www.twinsuk.ac.uk) for future collaborations.", "author" : [ { "dropping-particle" : "", "family" : "Moayyeri", "given" : "Alireza", "non-dropping-particle" : "", "parse-names" : false, "suffix" : "" }, { "dropping-particle" : "", "family" : "Hammond", "given" : "Christopher J", "non-dropping-particle" : "", "parse-names" : false, "suffix" : "" }, { "dropping-particle" : "", "family" : "Hart", "given" : "Deborah J", "non-dropping-particle" : "", "parse-names" : false, "suffix" : "" }, { "dropping-particle" : "", "family" : "Spector", "given" : "Timothy D", "non-dropping-particle" : "", "parse-names" : false, "suffix" : "" } ], "container-title" : "Twin research and human genetics : the official journal of the International Society for Twin Studies", "id" : "ITEM-1", "issue" : "1", "issued" : { "date-parts" : [ [ "2013", "2" ] ] }, "page" : "144-9", "title" : "The UK Adult Twin Registry (TwinsUK Resource).", "type" : "article-journal", "volume" : "16" }, "uris" : [ "http://www.mendeley.com/documents/?uuid=aeb73510-470f-4813-9cba-2e102be563e2" ] } ], "mendeley" : { "formattedCitation" : "&lt;sup&gt;20&lt;/sup&gt;", "plainTextFormattedCitation" : "20", "previouslyFormattedCitation" : "(Moayyeri et al. 2013)" }, "properties" : { "noteIndex" : 0 }, "schema" : "https://github.com/citation-style-language/schema/raw/master/csl-citation.json" }</w:instrText>
      </w:r>
      <w:r w:rsidRPr="006313F0">
        <w:rPr>
          <w:rFonts w:ascii="Myriad Web Pro" w:hAnsi="Myriad Web Pro"/>
          <w:sz w:val="18"/>
          <w:szCs w:val="18"/>
        </w:rPr>
        <w:fldChar w:fldCharType="separate"/>
      </w:r>
      <w:r w:rsidR="00A83FB0" w:rsidRPr="00A83FB0">
        <w:rPr>
          <w:rFonts w:ascii="Myriad Web Pro" w:hAnsi="Myriad Web Pro"/>
          <w:noProof/>
          <w:sz w:val="18"/>
          <w:szCs w:val="18"/>
          <w:vertAlign w:val="superscript"/>
        </w:rPr>
        <w:t>20</w:t>
      </w:r>
      <w:r w:rsidRPr="006313F0">
        <w:rPr>
          <w:rFonts w:ascii="Myriad Web Pro" w:hAnsi="Myriad Web Pro"/>
          <w:sz w:val="18"/>
          <w:szCs w:val="18"/>
        </w:rPr>
        <w:fldChar w:fldCharType="end"/>
      </w:r>
      <w:r w:rsidRPr="006313F0">
        <w:rPr>
          <w:rFonts w:ascii="Myriad Web Pro" w:hAnsi="Myriad Web Pro"/>
          <w:sz w:val="18"/>
          <w:szCs w:val="18"/>
        </w:rPr>
        <w:t xml:space="preserve">. The mean age of the 3009 individuals was </w:t>
      </w:r>
      <w:r w:rsidRPr="006313F0">
        <w:rPr>
          <w:rFonts w:ascii="Myriad Web Pro" w:hAnsi="Myriad Web Pro" w:cs="Arial"/>
          <w:sz w:val="18"/>
          <w:szCs w:val="18"/>
        </w:rPr>
        <w:t>52.5 (±10.9) years</w:t>
      </w:r>
      <w:r w:rsidRPr="006313F0">
        <w:rPr>
          <w:rFonts w:ascii="Myriad Web Pro" w:hAnsi="Myriad Web Pro"/>
          <w:sz w:val="18"/>
          <w:szCs w:val="18"/>
        </w:rPr>
        <w:t xml:space="preserve">. Ethical approval was obtained from the Guy’s and St. Thomas’ Hospital Ethics Committee. Written informed consent was obtained from every participant to the study. </w:t>
      </w:r>
    </w:p>
    <w:p w:rsidR="00F01936" w:rsidRPr="006313F0" w:rsidRDefault="00F01936" w:rsidP="00F01936">
      <w:pPr>
        <w:spacing w:after="0" w:line="240" w:lineRule="auto"/>
        <w:jc w:val="both"/>
        <w:rPr>
          <w:rFonts w:ascii="Myriad Web Pro" w:hAnsi="Myriad Web Pro"/>
          <w:i/>
          <w:sz w:val="18"/>
          <w:szCs w:val="18"/>
        </w:rPr>
      </w:pPr>
    </w:p>
    <w:p w:rsidR="00F01936" w:rsidRPr="006313F0" w:rsidRDefault="00F01936" w:rsidP="00F01936">
      <w:pPr>
        <w:autoSpaceDE w:val="0"/>
        <w:autoSpaceDN w:val="0"/>
        <w:adjustRightInd w:val="0"/>
        <w:spacing w:after="0" w:line="240" w:lineRule="auto"/>
        <w:jc w:val="both"/>
        <w:rPr>
          <w:rFonts w:ascii="Myriad Web Pro" w:hAnsi="Myriad Web Pro"/>
          <w:sz w:val="18"/>
          <w:szCs w:val="18"/>
        </w:rPr>
      </w:pPr>
    </w:p>
    <w:p w:rsidR="00F01936" w:rsidRPr="006313F0" w:rsidRDefault="00F01936" w:rsidP="00F01936">
      <w:pPr>
        <w:spacing w:after="0" w:line="240" w:lineRule="auto"/>
        <w:jc w:val="both"/>
        <w:rPr>
          <w:rFonts w:ascii="Myriad Web Pro" w:hAnsi="Myriad Web Pro"/>
          <w:b/>
          <w:sz w:val="18"/>
          <w:szCs w:val="18"/>
        </w:rPr>
      </w:pPr>
      <w:r w:rsidRPr="006313F0">
        <w:rPr>
          <w:rFonts w:ascii="Myriad Web Pro" w:hAnsi="Myriad Web Pro"/>
          <w:b/>
          <w:sz w:val="18"/>
          <w:szCs w:val="18"/>
        </w:rPr>
        <w:t>Athlete case-control studies</w:t>
      </w:r>
    </w:p>
    <w:p w:rsidR="00F01936" w:rsidRPr="006313F0" w:rsidRDefault="00F01936" w:rsidP="00F01936">
      <w:pPr>
        <w:spacing w:after="0" w:line="240" w:lineRule="auto"/>
        <w:jc w:val="both"/>
        <w:rPr>
          <w:rFonts w:ascii="Myriad Web Pro" w:hAnsi="Myriad Web Pro"/>
          <w:b/>
          <w:sz w:val="18"/>
          <w:szCs w:val="18"/>
        </w:rPr>
      </w:pPr>
    </w:p>
    <w:p w:rsidR="00F01936" w:rsidRPr="006313F0" w:rsidRDefault="00F01936" w:rsidP="00F01936">
      <w:pPr>
        <w:spacing w:after="0" w:line="240" w:lineRule="auto"/>
        <w:jc w:val="both"/>
        <w:rPr>
          <w:rFonts w:ascii="Myriad Web Pro" w:hAnsi="Myriad Web Pro"/>
          <w:i/>
          <w:sz w:val="18"/>
          <w:szCs w:val="18"/>
        </w:rPr>
      </w:pPr>
      <w:r w:rsidRPr="006313F0">
        <w:rPr>
          <w:rFonts w:ascii="Myriad Web Pro" w:hAnsi="Myriad Web Pro"/>
          <w:i/>
          <w:sz w:val="18"/>
          <w:szCs w:val="18"/>
        </w:rPr>
        <w:t>European Athletes</w:t>
      </w:r>
    </w:p>
    <w:p w:rsidR="00F01936" w:rsidRPr="006313F0" w:rsidRDefault="00F01936" w:rsidP="00F01936">
      <w:pPr>
        <w:spacing w:after="0" w:line="240" w:lineRule="auto"/>
        <w:jc w:val="both"/>
        <w:rPr>
          <w:rFonts w:ascii="Myriad Web Pro" w:hAnsi="Myriad Web Pro"/>
          <w:i/>
          <w:sz w:val="18"/>
          <w:szCs w:val="18"/>
        </w:rPr>
      </w:pPr>
    </w:p>
    <w:p w:rsidR="00F01936" w:rsidRPr="006313F0" w:rsidRDefault="00F01936" w:rsidP="00F01936">
      <w:pPr>
        <w:spacing w:after="0" w:line="240" w:lineRule="auto"/>
        <w:ind w:left="720"/>
        <w:jc w:val="both"/>
        <w:rPr>
          <w:rFonts w:ascii="Myriad Web Pro" w:hAnsi="Myriad Web Pro" w:cs="Arial"/>
          <w:sz w:val="18"/>
          <w:szCs w:val="18"/>
          <w:lang w:val="en-AU"/>
        </w:rPr>
      </w:pPr>
      <w:r w:rsidRPr="006313F0">
        <w:rPr>
          <w:rFonts w:ascii="Myriad Web Pro" w:hAnsi="Myriad Web Pro"/>
          <w:sz w:val="18"/>
          <w:szCs w:val="18"/>
        </w:rPr>
        <w:t>The European Athlete study consists of white European sprint and power athletes</w:t>
      </w:r>
      <w:r w:rsidRPr="006313F0">
        <w:rPr>
          <w:rFonts w:ascii="Myriad Web Pro" w:eastAsia="Times New Roman" w:hAnsi="Myriad Web Pro"/>
          <w:color w:val="000000"/>
          <w:sz w:val="18"/>
          <w:szCs w:val="18"/>
        </w:rPr>
        <w:t xml:space="preserve"> (n=395) and approximately geographically-matched white European controls (n=726). </w:t>
      </w:r>
      <w:r w:rsidRPr="006313F0">
        <w:rPr>
          <w:rFonts w:ascii="Myriad Web Pro" w:hAnsi="Myriad Web Pro"/>
          <w:color w:val="000000"/>
          <w:sz w:val="18"/>
          <w:szCs w:val="18"/>
          <w:lang w:val="en-AU"/>
        </w:rPr>
        <w:t>Participant DNA was whole genome amplified and normalised before SNP-based genotyping at each of the sixteen grip strength SNPs identified in combined analyses (</w:t>
      </w:r>
      <w:proofErr w:type="spellStart"/>
      <w:r w:rsidRPr="006313F0">
        <w:rPr>
          <w:rFonts w:ascii="Myriad Web Pro" w:hAnsi="Myriad Web Pro"/>
          <w:color w:val="000000"/>
          <w:sz w:val="18"/>
          <w:szCs w:val="18"/>
          <w:lang w:val="en-AU"/>
        </w:rPr>
        <w:t>Sequenom</w:t>
      </w:r>
      <w:proofErr w:type="spellEnd"/>
      <w:r w:rsidRPr="006313F0">
        <w:rPr>
          <w:rFonts w:ascii="Myriad Web Pro" w:hAnsi="Myriad Web Pro"/>
          <w:color w:val="000000"/>
          <w:sz w:val="18"/>
          <w:szCs w:val="18"/>
          <w:lang w:val="en-AU"/>
        </w:rPr>
        <w:t xml:space="preserve">).  Genotyping was conducted at the Australian Genome Research Facility (AGRF). 12 SNPs passed quality control (HWE </w:t>
      </w:r>
      <w:r w:rsidRPr="006313F0">
        <w:rPr>
          <w:rFonts w:ascii="Myriad Web Pro" w:hAnsi="Myriad Web Pro"/>
          <w:i/>
          <w:color w:val="000000"/>
          <w:sz w:val="18"/>
          <w:szCs w:val="18"/>
          <w:lang w:val="en-AU"/>
        </w:rPr>
        <w:t>p</w:t>
      </w:r>
      <w:r w:rsidRPr="006313F0">
        <w:rPr>
          <w:rFonts w:ascii="Myriad Web Pro" w:hAnsi="Myriad Web Pro" w:cs="Arial"/>
          <w:color w:val="000000"/>
          <w:sz w:val="18"/>
          <w:szCs w:val="18"/>
          <w:lang w:val="en-AU"/>
        </w:rPr>
        <w:t>≥</w:t>
      </w:r>
      <w:r w:rsidRPr="006313F0">
        <w:rPr>
          <w:rFonts w:ascii="Myriad Web Pro" w:hAnsi="Myriad Web Pro"/>
          <w:color w:val="000000"/>
          <w:sz w:val="18"/>
          <w:szCs w:val="18"/>
          <w:lang w:val="en-AU"/>
        </w:rPr>
        <w:t xml:space="preserve">0.05) and genotype associations between cases and controls were assessed using conditional logistic regression with country as a covariate (conducted in R). </w:t>
      </w:r>
      <w:r w:rsidRPr="006313F0">
        <w:rPr>
          <w:rFonts w:ascii="Myriad Web Pro" w:eastAsia="Times New Roman" w:hAnsi="Myriad Web Pro"/>
          <w:sz w:val="18"/>
          <w:szCs w:val="18"/>
          <w:lang w:eastAsia="en-GB"/>
        </w:rPr>
        <w:t xml:space="preserve">All participants supplied </w:t>
      </w:r>
      <w:r w:rsidRPr="006313F0">
        <w:rPr>
          <w:rFonts w:ascii="Myriad Web Pro" w:eastAsia="Times New Roman" w:hAnsi="Myriad Web Pro" w:cs="Arial"/>
          <w:sz w:val="18"/>
          <w:szCs w:val="18"/>
          <w:lang w:eastAsia="en-GB"/>
        </w:rPr>
        <w:t xml:space="preserve">written informed consent, which was approved by each respective cohort’s institution. </w:t>
      </w:r>
      <w:r w:rsidRPr="006313F0">
        <w:rPr>
          <w:rFonts w:ascii="Myriad Web Pro" w:eastAsia="Times New Roman" w:hAnsi="Myriad Web Pro" w:cs="Arial"/>
          <w:sz w:val="18"/>
          <w:szCs w:val="18"/>
          <w:lang w:val="en" w:eastAsia="en-GB"/>
        </w:rPr>
        <w:t xml:space="preserve">This includes approval by the institutional review boards of the </w:t>
      </w:r>
      <w:r w:rsidRPr="006313F0">
        <w:rPr>
          <w:rFonts w:ascii="Myriad Web Pro" w:eastAsia="Times New Roman" w:hAnsi="Myriad Web Pro" w:cs="Arial"/>
          <w:sz w:val="18"/>
          <w:szCs w:val="18"/>
          <w:lang w:val="en-AU" w:eastAsia="en-GB"/>
        </w:rPr>
        <w:t xml:space="preserve">the Children’s Hospital at Westmead (2003/086), The Royal Children’s Hospital Human Research Ethics Committee (35172), the </w:t>
      </w:r>
      <w:r w:rsidRPr="006313F0">
        <w:rPr>
          <w:rFonts w:ascii="Myriad Web Pro" w:hAnsi="Myriad Web Pro" w:cs="Arial"/>
          <w:sz w:val="18"/>
          <w:szCs w:val="18"/>
        </w:rPr>
        <w:t xml:space="preserve">Pomeranian Medical University Ethics Committee, </w:t>
      </w:r>
      <w:r w:rsidRPr="006313F0">
        <w:rPr>
          <w:rFonts w:ascii="Myriad Web Pro" w:hAnsi="Myriad Web Pro" w:cs="Arial"/>
          <w:sz w:val="18"/>
          <w:szCs w:val="18"/>
          <w:lang w:val="en-US"/>
        </w:rPr>
        <w:t xml:space="preserve">Universidad Pablo </w:t>
      </w:r>
      <w:proofErr w:type="spellStart"/>
      <w:r w:rsidRPr="006313F0">
        <w:rPr>
          <w:rFonts w:ascii="Myriad Web Pro" w:hAnsi="Myriad Web Pro" w:cs="Arial"/>
          <w:sz w:val="18"/>
          <w:szCs w:val="18"/>
          <w:lang w:val="en-US"/>
        </w:rPr>
        <w:t>Olavide</w:t>
      </w:r>
      <w:proofErr w:type="spellEnd"/>
      <w:r w:rsidRPr="006313F0">
        <w:rPr>
          <w:rFonts w:ascii="Myriad Web Pro" w:hAnsi="Myriad Web Pro" w:cs="Arial"/>
          <w:sz w:val="18"/>
          <w:szCs w:val="18"/>
          <w:lang w:val="en-US"/>
        </w:rPr>
        <w:t xml:space="preserve">, </w:t>
      </w:r>
      <w:r w:rsidRPr="006313F0">
        <w:rPr>
          <w:rFonts w:ascii="Myriad Web Pro" w:hAnsi="Myriad Web Pro" w:cs="Arial"/>
          <w:sz w:val="18"/>
          <w:szCs w:val="18"/>
          <w:lang w:val="en-AU"/>
        </w:rPr>
        <w:t>The Lithuanian National Committee of Biomedical Ethics, Aristotle University of Thessaloniki Research Committee, The Ethics Committee of the University of Cagliari, Ghent University Hospital, Belgium and the Nottingham Trent University Ethical Review Committee.</w:t>
      </w:r>
    </w:p>
    <w:p w:rsidR="00F01936" w:rsidRPr="006313F0" w:rsidRDefault="00F01936" w:rsidP="00F01936">
      <w:pPr>
        <w:spacing w:after="0" w:line="240" w:lineRule="auto"/>
        <w:jc w:val="both"/>
        <w:rPr>
          <w:rFonts w:ascii="Myriad Web Pro" w:eastAsia="Times New Roman" w:hAnsi="Myriad Web Pro" w:cs="Times New Roman"/>
          <w:i/>
          <w:sz w:val="18"/>
          <w:szCs w:val="18"/>
          <w:lang w:eastAsia="en-GB"/>
        </w:rPr>
      </w:pPr>
    </w:p>
    <w:p w:rsidR="00F01936" w:rsidRPr="006313F0" w:rsidRDefault="00F01936" w:rsidP="00F01936">
      <w:pPr>
        <w:spacing w:after="0" w:line="240" w:lineRule="auto"/>
        <w:jc w:val="both"/>
        <w:rPr>
          <w:rFonts w:ascii="Myriad Web Pro" w:eastAsia="Times New Roman" w:hAnsi="Myriad Web Pro" w:cs="Times New Roman"/>
          <w:i/>
          <w:sz w:val="18"/>
          <w:szCs w:val="18"/>
          <w:lang w:eastAsia="en-GB"/>
        </w:rPr>
      </w:pPr>
      <w:r w:rsidRPr="006313F0">
        <w:rPr>
          <w:rFonts w:ascii="Myriad Web Pro" w:eastAsia="Times New Roman" w:hAnsi="Myriad Web Pro" w:cs="Times New Roman"/>
          <w:i/>
          <w:sz w:val="18"/>
          <w:szCs w:val="18"/>
          <w:lang w:eastAsia="en-GB"/>
        </w:rPr>
        <w:t>Japanese Athletes</w:t>
      </w:r>
    </w:p>
    <w:p w:rsidR="00F01936" w:rsidRPr="006313F0" w:rsidRDefault="00F01936" w:rsidP="00F01936">
      <w:pPr>
        <w:spacing w:after="0" w:line="240" w:lineRule="auto"/>
        <w:jc w:val="both"/>
        <w:rPr>
          <w:rFonts w:ascii="Myriad Web Pro" w:eastAsia="Times New Roman" w:hAnsi="Myriad Web Pro" w:cs="Times New Roman"/>
          <w:i/>
          <w:sz w:val="18"/>
          <w:szCs w:val="18"/>
          <w:lang w:eastAsia="en-GB"/>
        </w:rPr>
      </w:pPr>
    </w:p>
    <w:p w:rsidR="00F01936" w:rsidRPr="006313F0" w:rsidRDefault="00F01936" w:rsidP="00F01936">
      <w:pPr>
        <w:spacing w:after="0" w:line="240" w:lineRule="auto"/>
        <w:ind w:left="720"/>
        <w:rPr>
          <w:rFonts w:ascii="Myriad Web Pro" w:hAnsi="Myriad Web Pro" w:cs="Arial"/>
          <w:sz w:val="18"/>
          <w:szCs w:val="18"/>
          <w:lang w:val="en-US" w:eastAsia="ja-JP"/>
        </w:rPr>
      </w:pPr>
      <w:r w:rsidRPr="006313F0">
        <w:rPr>
          <w:rFonts w:ascii="Myriad Web Pro" w:hAnsi="Myriad Web Pro" w:cs="Arial"/>
          <w:sz w:val="18"/>
          <w:szCs w:val="18"/>
          <w:lang w:val="en-US" w:eastAsia="ja-JP"/>
        </w:rPr>
        <w:t xml:space="preserve">The Japanese cohort is comprised of 54 international sprint/power track and field athletes and 406 geographically matched controls. Total DNA was isolated from venous blood and saliva by </w:t>
      </w:r>
      <w:proofErr w:type="spellStart"/>
      <w:r w:rsidRPr="006313F0">
        <w:rPr>
          <w:rFonts w:ascii="Myriad Web Pro" w:hAnsi="Myriad Web Pro" w:cs="Arial"/>
          <w:sz w:val="18"/>
          <w:szCs w:val="18"/>
          <w:lang w:val="en-US" w:eastAsia="ja-JP"/>
        </w:rPr>
        <w:t>QIAamp</w:t>
      </w:r>
      <w:proofErr w:type="spellEnd"/>
      <w:r w:rsidRPr="006313F0">
        <w:rPr>
          <w:rFonts w:ascii="Myriad Web Pro" w:hAnsi="Myriad Web Pro" w:cs="Arial"/>
          <w:sz w:val="18"/>
          <w:szCs w:val="18"/>
          <w:lang w:val="en-US" w:eastAsia="ja-JP"/>
        </w:rPr>
        <w:t xml:space="preserve"> DNA Blood Maxi Kit (QIAGEN, Hilden, Germany) and </w:t>
      </w:r>
      <w:proofErr w:type="spellStart"/>
      <w:r w:rsidRPr="006313F0">
        <w:rPr>
          <w:rFonts w:ascii="Myriad Web Pro" w:hAnsi="Myriad Web Pro" w:cs="Arial"/>
          <w:sz w:val="18"/>
          <w:szCs w:val="18"/>
          <w:lang w:val="en-US" w:eastAsia="ja-JP"/>
        </w:rPr>
        <w:t>Oragene·DNA</w:t>
      </w:r>
      <w:proofErr w:type="spellEnd"/>
      <w:r w:rsidRPr="006313F0">
        <w:rPr>
          <w:rFonts w:ascii="Myriad Web Pro" w:hAnsi="Myriad Web Pro" w:cs="Arial"/>
          <w:sz w:val="18"/>
          <w:szCs w:val="18"/>
          <w:lang w:val="en-US" w:eastAsia="ja-JP"/>
        </w:rPr>
        <w:t xml:space="preserve"> (DNA </w:t>
      </w:r>
      <w:proofErr w:type="spellStart"/>
      <w:r w:rsidRPr="006313F0">
        <w:rPr>
          <w:rFonts w:ascii="Myriad Web Pro" w:hAnsi="Myriad Web Pro" w:cs="Arial"/>
          <w:sz w:val="18"/>
          <w:szCs w:val="18"/>
          <w:lang w:val="en-US" w:eastAsia="ja-JP"/>
        </w:rPr>
        <w:t>genotek</w:t>
      </w:r>
      <w:proofErr w:type="spellEnd"/>
      <w:r w:rsidRPr="006313F0">
        <w:rPr>
          <w:rFonts w:ascii="Myriad Web Pro" w:hAnsi="Myriad Web Pro" w:cs="Arial"/>
          <w:sz w:val="18"/>
          <w:szCs w:val="18"/>
          <w:lang w:val="en-US" w:eastAsia="ja-JP"/>
        </w:rPr>
        <w:t xml:space="preserve">, Ontario, Canada), respectively. DNA Samples from all subjects were genotyped on the </w:t>
      </w:r>
      <w:proofErr w:type="spellStart"/>
      <w:r w:rsidRPr="006313F0">
        <w:rPr>
          <w:rFonts w:ascii="Myriad Web Pro" w:hAnsi="Myriad Web Pro" w:cs="Arial"/>
          <w:sz w:val="18"/>
          <w:szCs w:val="18"/>
          <w:lang w:val="en-US" w:eastAsia="ja-JP"/>
        </w:rPr>
        <w:t>HumanOmniExpress</w:t>
      </w:r>
      <w:proofErr w:type="spellEnd"/>
      <w:r w:rsidRPr="006313F0">
        <w:rPr>
          <w:rFonts w:ascii="Myriad Web Pro" w:hAnsi="Myriad Web Pro" w:cs="Arial"/>
          <w:sz w:val="18"/>
          <w:szCs w:val="18"/>
          <w:lang w:val="en-US" w:eastAsia="ja-JP"/>
        </w:rPr>
        <w:t xml:space="preserve"> </w:t>
      </w:r>
      <w:proofErr w:type="spellStart"/>
      <w:r w:rsidRPr="006313F0">
        <w:rPr>
          <w:rFonts w:ascii="Myriad Web Pro" w:hAnsi="Myriad Web Pro" w:cs="Arial"/>
          <w:sz w:val="18"/>
          <w:szCs w:val="18"/>
          <w:lang w:val="en-US" w:eastAsia="ja-JP"/>
        </w:rPr>
        <w:t>BeadChip</w:t>
      </w:r>
      <w:proofErr w:type="spellEnd"/>
      <w:r w:rsidRPr="006313F0">
        <w:rPr>
          <w:rFonts w:ascii="Myriad Web Pro" w:hAnsi="Myriad Web Pro" w:cs="Arial"/>
          <w:sz w:val="18"/>
          <w:szCs w:val="18"/>
          <w:lang w:val="en-US" w:eastAsia="ja-JP"/>
        </w:rPr>
        <w:t xml:space="preserve"> (Illumina). Ten of the sixteen replicated SNVs associated with grip strength in the present study were available in this Japanese population either directly or by proxy (r</w:t>
      </w:r>
      <w:r w:rsidRPr="006313F0">
        <w:rPr>
          <w:rFonts w:ascii="Myriad Web Pro" w:hAnsi="Myriad Web Pro" w:cs="Arial"/>
          <w:sz w:val="18"/>
          <w:szCs w:val="18"/>
          <w:vertAlign w:val="superscript"/>
          <w:lang w:val="en-US" w:eastAsia="ja-JP"/>
        </w:rPr>
        <w:t>2</w:t>
      </w:r>
      <w:r w:rsidRPr="006313F0">
        <w:rPr>
          <w:rFonts w:ascii="Myriad Web Pro" w:hAnsi="Myriad Web Pro" w:cs="Arial"/>
          <w:sz w:val="18"/>
          <w:szCs w:val="18"/>
          <w:lang w:val="en-US" w:eastAsia="ja-JP"/>
        </w:rPr>
        <w:t xml:space="preserve">≥0.8). Genotyping quality of each polymorphism was checked by visually in </w:t>
      </w:r>
      <w:proofErr w:type="spellStart"/>
      <w:r w:rsidRPr="006313F0">
        <w:rPr>
          <w:rFonts w:ascii="Myriad Web Pro" w:hAnsi="Myriad Web Pro" w:cs="Arial"/>
          <w:sz w:val="18"/>
          <w:szCs w:val="18"/>
          <w:lang w:val="en-US" w:eastAsia="ja-JP"/>
        </w:rPr>
        <w:t>GenomeStudio</w:t>
      </w:r>
      <w:proofErr w:type="spellEnd"/>
      <w:r w:rsidRPr="006313F0">
        <w:rPr>
          <w:rFonts w:ascii="Myriad Web Pro" w:hAnsi="Myriad Web Pro" w:cs="Arial"/>
          <w:sz w:val="18"/>
          <w:szCs w:val="18"/>
          <w:lang w:val="en-US" w:eastAsia="ja-JP"/>
        </w:rPr>
        <w:t xml:space="preserve"> (Illumina). This study is part of the Japanese Human </w:t>
      </w:r>
      <w:proofErr w:type="spellStart"/>
      <w:r w:rsidRPr="006313F0">
        <w:rPr>
          <w:rFonts w:ascii="Myriad Web Pro" w:hAnsi="Myriad Web Pro" w:cs="Arial"/>
          <w:sz w:val="18"/>
          <w:szCs w:val="18"/>
          <w:lang w:val="en-US" w:eastAsia="ja-JP"/>
        </w:rPr>
        <w:t>Athlome</w:t>
      </w:r>
      <w:proofErr w:type="spellEnd"/>
      <w:r w:rsidRPr="006313F0">
        <w:rPr>
          <w:rFonts w:ascii="Myriad Web Pro" w:hAnsi="Myriad Web Pro" w:cs="Arial"/>
          <w:sz w:val="18"/>
          <w:szCs w:val="18"/>
          <w:lang w:val="en-US" w:eastAsia="ja-JP"/>
        </w:rPr>
        <w:t xml:space="preserve"> Project, focusing on the study of genes associated with physical performance and its related phenotypes </w:t>
      </w:r>
      <w:r w:rsidRPr="006313F0">
        <w:rPr>
          <w:rFonts w:ascii="Myriad Web Pro" w:hAnsi="Myriad Web Pro" w:cs="Arial"/>
          <w:sz w:val="18"/>
          <w:szCs w:val="18"/>
          <w:lang w:val="en-US" w:eastAsia="ja-JP"/>
        </w:rPr>
        <w:fldChar w:fldCharType="begin" w:fldLock="1"/>
      </w:r>
      <w:r w:rsidR="00A83FB0">
        <w:rPr>
          <w:rFonts w:ascii="Myriad Web Pro" w:hAnsi="Myriad Web Pro" w:cs="Arial"/>
          <w:sz w:val="18"/>
          <w:szCs w:val="18"/>
          <w:lang w:val="en-US" w:eastAsia="ja-JP"/>
        </w:rPr>
        <w:instrText>ADDIN CSL_CITATION { "citationItems" : [ { "id" : "ITEM-1", "itemData" : { "DOI" : "10.1152/physiolgenomics.00105.2015", "ISSN" : "1531-2267", "PMID" : "26715623", "abstract" : "Despite numerous attempts to discover genetic variants associated with elite athletic performance, injury predisposition, and elite/world-class athletic status, there has been limited progress to date. Past reliance on candidate gene studies predominantly focusing on genotyping a limited number of single nucleotide polymorphisms or the insertion/deletion variants in small, often heterogeneous cohorts (i.e., made up of athletes of quite different sport specialties) have not generated the kind of results that could offer solid opportunities to bridge the gap between basic research in exercise sciences and deliverables in biomedicine. A retrospective view of genetic association studies with complex disease traits indicates that transition to hypothesis-free genome-wide approaches will be more fruitful. In studies of complex disease, it is well recognized that the magnitude of genetic association is often smaller than initially anticipated, and, as such, large sample sizes are required to identify the gene effects robustly. A symposium was held in Athens and on the Greek island of Santorini from 14-17 May 2015 to review the main findings in exercise genetics and genomics and to explore promising trends and possibilities. The symposium also offered a forum for the development of a position stand (the Santorini Declaration). Among the participants, many were involved in ongoing collaborative studies (e.g., ELITE, GAMES, Gene SMART, GENESIS, and POWERGENE). A consensus emerged among participants that it would be advantageous to bring together all current studies and those recently launched into one new large collaborative initiative, which was subsequently named the Athlome Project Consortium.", "author" : [ { "dropping-particle" : "", "family" : "Pitsiladis", "given" : "Yannis P", "non-dropping-particle" : "", "parse-names" : false, "suffix" : "" }, { "dropping-particle" : "", "family" : "Tanaka", "given" : "Masashi", "non-dropping-particle" : "", "parse-names" : false, "suffix" : "" }, { "dropping-particle" : "", "family" : "Eynon", "given" : "Nir", "non-dropping-particle" : "", "parse-names" : false, "suffix" : "" }, { "dropping-particle" : "", "family" : "Bouchard", "given" : "Claude", "non-dropping-particle" : "", "parse-names" : false, "suffix" : "" }, { "dropping-particle" : "", "family" : "North", "given" : "Kathryn N", "non-dropping-particle" : "", "parse-names" : false, "suffix" : "" }, { "dropping-particle" : "", "family" : "Williams", "given" : "Alun G", "non-dropping-particle" : "", "parse-names" : false, "suffix" : "" }, { "dropping-particle" : "", "family" : "Collins", "given" : "Malcolm", "non-dropping-particle" : "", "parse-names" : false, "suffix" : "" }, { "dropping-particle" : "", "family" : "Moran", "given" : "Colin N", "non-dropping-particle" : "", "parse-names" : false, "suffix" : "" }, { "dropping-particle" : "", "family" : "Britton", "given" : "Steven L", "non-dropping-particle" : "", "parse-names" : false, "suffix" : "" }, { "dropping-particle" : "", "family" : "Fuku", "given" : "Noriyuki", "non-dropping-particle" : "", "parse-names" : false, "suffix" : "" }, { "dropping-particle" : "", "family" : "Ashley", "given" : "Euan A", "non-dropping-particle" : "", "parse-names" : false, "suffix" : "" }, { "dropping-particle" : "", "family" : "Klissouras", "given" : "Vassilis", "non-dropping-particle" : "", "parse-names" : false, "suffix" : "" }, { "dropping-particle" : "", "family" : "Lucia", "given" : "Alejandro", "non-dropping-particle" : "", "parse-names" : false, "suffix" : "" }, { "dropping-particle" : "", "family" : "Ahmetov", "given" : "Ildus I", "non-dropping-particle" : "", "parse-names" : false, "suffix" : "" }, { "dropping-particle" : "", "family" : "Geus", "given" : "Eco", "non-dropping-particle" : "de", "parse-names" : false, "suffix" : "" }, { "dropping-particle" : "", "family" : "Alsayrafi", "given" : "Mohammed", "non-dropping-particle" : "", "parse-names" : false, "suffix" : "" }, { "dropping-particle" : "", "family" : "Athlome Project Consortium", "given" : "", "non-dropping-particle" : "", "parse-names" : false, "suffix" : "" } ], "container-title" : "Physiological genomics", "id" : "ITEM-1", "issue" : "3", "issued" : { "date-parts" : [ [ "2016", "3" ] ] }, "page" : "183-90", "title" : "Athlome Project Consortium: a concerted effort to discover genomic and other \"omic\" markers of athletic performance.", "type" : "article-journal", "volume" : "48" }, "uris" : [ "http://www.mendeley.com/documents/?uuid=e4733058-404d-41ba-94ea-89d63529edd7" ] } ], "mendeley" : { "formattedCitation" : "&lt;sup&gt;24&lt;/sup&gt;", "plainTextFormattedCitation" : "24", "previouslyFormattedCitation" : "(Pitsiladis et al. 2016)" }, "properties" : { "noteIndex" : 0 }, "schema" : "https://github.com/citation-style-language/schema/raw/master/csl-citation.json" }</w:instrText>
      </w:r>
      <w:r w:rsidRPr="006313F0">
        <w:rPr>
          <w:rFonts w:ascii="Myriad Web Pro" w:hAnsi="Myriad Web Pro" w:cs="Arial"/>
          <w:sz w:val="18"/>
          <w:szCs w:val="18"/>
          <w:lang w:val="en-US" w:eastAsia="ja-JP"/>
        </w:rPr>
        <w:fldChar w:fldCharType="separate"/>
      </w:r>
      <w:r w:rsidR="00A83FB0" w:rsidRPr="00A83FB0">
        <w:rPr>
          <w:rFonts w:ascii="Myriad Web Pro" w:hAnsi="Myriad Web Pro" w:cs="Arial"/>
          <w:noProof/>
          <w:sz w:val="18"/>
          <w:szCs w:val="18"/>
          <w:vertAlign w:val="superscript"/>
          <w:lang w:val="en-US" w:eastAsia="ja-JP"/>
        </w:rPr>
        <w:t>24</w:t>
      </w:r>
      <w:r w:rsidRPr="006313F0">
        <w:rPr>
          <w:rFonts w:ascii="Myriad Web Pro" w:hAnsi="Myriad Web Pro" w:cs="Arial"/>
          <w:sz w:val="18"/>
          <w:szCs w:val="18"/>
          <w:lang w:val="en-US" w:eastAsia="ja-JP"/>
        </w:rPr>
        <w:fldChar w:fldCharType="end"/>
      </w:r>
      <w:r w:rsidRPr="006313F0">
        <w:rPr>
          <w:rFonts w:ascii="Myriad Web Pro" w:hAnsi="Myriad Web Pro" w:cs="Arial"/>
          <w:sz w:val="18"/>
          <w:szCs w:val="18"/>
          <w:lang w:val="en-US" w:eastAsia="ja-JP"/>
        </w:rPr>
        <w:t>.</w:t>
      </w:r>
    </w:p>
    <w:p w:rsidR="00F01936" w:rsidRPr="006313F0" w:rsidRDefault="00F01936" w:rsidP="00F01936">
      <w:pPr>
        <w:spacing w:after="0" w:line="240" w:lineRule="auto"/>
        <w:ind w:left="720"/>
        <w:rPr>
          <w:rFonts w:ascii="Myriad Web Pro" w:hAnsi="Myriad Web Pro" w:cs="Arial"/>
          <w:sz w:val="18"/>
          <w:szCs w:val="18"/>
          <w:lang w:val="en-US" w:eastAsia="ja-JP"/>
        </w:rPr>
      </w:pPr>
      <w:r w:rsidRPr="006313F0">
        <w:rPr>
          <w:rFonts w:ascii="Myriad Web Pro" w:hAnsi="Myriad Web Pro" w:cs="Arial"/>
          <w:sz w:val="18"/>
          <w:szCs w:val="18"/>
          <w:lang w:val="en-US" w:eastAsia="ja-JP"/>
        </w:rPr>
        <w:t>Written consent was obtained from each subject, and the study was approved by the Ethics Committees of the Juntendo University, National Institute of Health and Nutrition and Japan Institute of Sports Sciences.</w:t>
      </w:r>
    </w:p>
    <w:p w:rsidR="00F01936" w:rsidRPr="006313F0" w:rsidRDefault="00F01936" w:rsidP="00F01936">
      <w:pPr>
        <w:spacing w:after="0" w:line="240" w:lineRule="auto"/>
        <w:ind w:left="720"/>
        <w:rPr>
          <w:rFonts w:ascii="Myriad Web Pro" w:hAnsi="Myriad Web Pro" w:cs="Arial"/>
          <w:sz w:val="18"/>
          <w:szCs w:val="18"/>
          <w:lang w:val="en-US" w:eastAsia="ja-JP"/>
        </w:rPr>
      </w:pPr>
    </w:p>
    <w:p w:rsidR="00F01936" w:rsidRPr="006313F0" w:rsidRDefault="00F01936" w:rsidP="00F01936">
      <w:pPr>
        <w:spacing w:after="0" w:line="240" w:lineRule="auto"/>
        <w:jc w:val="both"/>
        <w:rPr>
          <w:rFonts w:ascii="Myriad Web Pro" w:eastAsia="Times New Roman" w:hAnsi="Myriad Web Pro" w:cs="Times New Roman"/>
          <w:i/>
          <w:sz w:val="18"/>
          <w:szCs w:val="18"/>
          <w:lang w:eastAsia="en-GB"/>
        </w:rPr>
      </w:pPr>
      <w:r w:rsidRPr="006313F0">
        <w:rPr>
          <w:rFonts w:ascii="Myriad Web Pro" w:eastAsia="Times New Roman" w:hAnsi="Myriad Web Pro" w:cs="Times New Roman"/>
          <w:i/>
          <w:sz w:val="18"/>
          <w:szCs w:val="18"/>
          <w:lang w:eastAsia="en-GB"/>
        </w:rPr>
        <w:t>Jamaican and US Athletes</w:t>
      </w:r>
    </w:p>
    <w:p w:rsidR="00F01936" w:rsidRPr="006313F0" w:rsidRDefault="00F01936" w:rsidP="00F01936">
      <w:pPr>
        <w:spacing w:after="0" w:line="240" w:lineRule="auto"/>
        <w:jc w:val="both"/>
        <w:rPr>
          <w:rFonts w:ascii="Myriad Web Pro" w:eastAsia="Times New Roman" w:hAnsi="Myriad Web Pro" w:cs="Times New Roman"/>
          <w:sz w:val="18"/>
          <w:szCs w:val="18"/>
          <w:lang w:eastAsia="en-GB"/>
        </w:rPr>
      </w:pPr>
    </w:p>
    <w:p w:rsidR="00F01936" w:rsidRPr="006313F0" w:rsidRDefault="00F01936" w:rsidP="00F01936">
      <w:pPr>
        <w:spacing w:after="0" w:line="240" w:lineRule="auto"/>
        <w:ind w:left="720"/>
        <w:jc w:val="both"/>
        <w:rPr>
          <w:rFonts w:ascii="Myriad Web Pro" w:eastAsia="Times New Roman" w:hAnsi="Myriad Web Pro"/>
          <w:sz w:val="18"/>
          <w:szCs w:val="18"/>
          <w:lang w:eastAsia="en-GB"/>
        </w:rPr>
      </w:pPr>
      <w:r w:rsidRPr="006313F0">
        <w:rPr>
          <w:rFonts w:ascii="Myriad Web Pro" w:eastAsia="Times New Roman" w:hAnsi="Myriad Web Pro"/>
          <w:sz w:val="18"/>
          <w:szCs w:val="18"/>
          <w:lang w:eastAsia="en-GB"/>
        </w:rPr>
        <w:t xml:space="preserve">This cohort is comprised of high-level black athletes (n=167) and geographically matched controls (n=478). Samples </w:t>
      </w:r>
      <w:r w:rsidRPr="006313F0">
        <w:rPr>
          <w:rFonts w:ascii="Myriad Web Pro" w:hAnsi="Myriad Web Pro"/>
          <w:color w:val="000000"/>
          <w:sz w:val="18"/>
          <w:szCs w:val="18"/>
        </w:rPr>
        <w:t xml:space="preserve">were genotyped using the </w:t>
      </w:r>
      <w:proofErr w:type="spellStart"/>
      <w:r w:rsidRPr="006313F0">
        <w:rPr>
          <w:rFonts w:ascii="Myriad Web Pro" w:hAnsi="Myriad Web Pro"/>
          <w:color w:val="000000"/>
          <w:sz w:val="18"/>
          <w:szCs w:val="18"/>
        </w:rPr>
        <w:t>HumanOmniExpress</w:t>
      </w:r>
      <w:proofErr w:type="spellEnd"/>
      <w:r w:rsidRPr="006313F0">
        <w:rPr>
          <w:rFonts w:ascii="Myriad Web Pro" w:hAnsi="Myriad Web Pro"/>
          <w:color w:val="000000"/>
          <w:sz w:val="18"/>
          <w:szCs w:val="18"/>
        </w:rPr>
        <w:t xml:space="preserve"> or Omni1-Quad </w:t>
      </w:r>
      <w:proofErr w:type="spellStart"/>
      <w:r w:rsidRPr="006313F0">
        <w:rPr>
          <w:rFonts w:ascii="Myriad Web Pro" w:hAnsi="Myriad Web Pro"/>
          <w:color w:val="000000"/>
          <w:sz w:val="18"/>
          <w:szCs w:val="18"/>
        </w:rPr>
        <w:t>BeadChips</w:t>
      </w:r>
      <w:proofErr w:type="spellEnd"/>
      <w:r w:rsidRPr="006313F0">
        <w:rPr>
          <w:rFonts w:ascii="Myriad Web Pro" w:hAnsi="Myriad Web Pro"/>
          <w:color w:val="000000"/>
          <w:sz w:val="18"/>
          <w:szCs w:val="18"/>
        </w:rPr>
        <w:t xml:space="preserve"> (Illumina).</w:t>
      </w:r>
      <w:r w:rsidRPr="006313F0">
        <w:rPr>
          <w:rFonts w:ascii="Myriad Web Pro" w:hAnsi="Myriad Web Pro"/>
          <w:sz w:val="18"/>
          <w:szCs w:val="18"/>
        </w:rPr>
        <w:t xml:space="preserve"> Standard GWAS quality control was applied to the genotype data. Genetic associations were evaluated by logistic regression with adjustment for population structure.</w:t>
      </w:r>
      <w:r w:rsidRPr="006313F0">
        <w:rPr>
          <w:rFonts w:ascii="Myriad Web Pro" w:hAnsi="Myriad Web Pro"/>
          <w:color w:val="000000"/>
          <w:sz w:val="18"/>
          <w:szCs w:val="18"/>
        </w:rPr>
        <w:t xml:space="preserve"> Genotype imputation with IMPUTE2 using the 1000G phase 3 reference panels</w:t>
      </w:r>
      <w:r w:rsidRPr="006313F0">
        <w:rPr>
          <w:rFonts w:ascii="Myriad Web Pro" w:eastAsia="Times New Roman" w:hAnsi="Myriad Web Pro"/>
          <w:sz w:val="18"/>
          <w:szCs w:val="18"/>
          <w:lang w:eastAsia="en-GB"/>
        </w:rPr>
        <w:t xml:space="preserve"> was then conducted to increase power of GWA scans. This investigation aims to understand the influence of common genetic variants on performance through the use of athletic populations enriched with high-level competitors.  All participants supplied written informed consent, which was approved by the UHWI/UWI/FMS Ethics Committee, University of West Indies, Jamaica and participating institutions in the United States. </w:t>
      </w:r>
    </w:p>
    <w:p w:rsidR="00F01936" w:rsidRPr="006313F0" w:rsidRDefault="00F01936" w:rsidP="00F01936">
      <w:pPr>
        <w:spacing w:after="0" w:line="240" w:lineRule="auto"/>
        <w:jc w:val="both"/>
        <w:rPr>
          <w:rFonts w:ascii="Myriad Web Pro" w:hAnsi="Myriad Web Pro"/>
          <w:b/>
          <w:sz w:val="18"/>
          <w:szCs w:val="18"/>
        </w:rPr>
      </w:pPr>
    </w:p>
    <w:p w:rsidR="00F01936" w:rsidRPr="006313F0" w:rsidRDefault="00F01936" w:rsidP="00F01936">
      <w:pPr>
        <w:spacing w:after="0" w:line="240" w:lineRule="auto"/>
        <w:jc w:val="both"/>
        <w:rPr>
          <w:rFonts w:ascii="Myriad Web Pro" w:hAnsi="Myriad Web Pro"/>
          <w:b/>
          <w:sz w:val="18"/>
          <w:szCs w:val="18"/>
        </w:rPr>
      </w:pPr>
      <w:r w:rsidRPr="006313F0">
        <w:rPr>
          <w:rFonts w:ascii="Myriad Web Pro" w:hAnsi="Myriad Web Pro"/>
          <w:b/>
          <w:sz w:val="18"/>
          <w:szCs w:val="18"/>
        </w:rPr>
        <w:t>GEFOS Consortium</w:t>
      </w:r>
    </w:p>
    <w:p w:rsidR="00F01936" w:rsidRPr="006313F0" w:rsidRDefault="00F01936" w:rsidP="00F01936">
      <w:pPr>
        <w:spacing w:after="0" w:line="240" w:lineRule="auto"/>
        <w:jc w:val="both"/>
        <w:rPr>
          <w:rFonts w:ascii="Myriad Web Pro" w:hAnsi="Myriad Web Pro"/>
          <w:b/>
          <w:sz w:val="18"/>
          <w:szCs w:val="18"/>
        </w:rPr>
      </w:pPr>
    </w:p>
    <w:p w:rsidR="00F01936" w:rsidRPr="006313F0" w:rsidRDefault="00F01936" w:rsidP="00F01936">
      <w:pPr>
        <w:spacing w:after="0" w:line="240" w:lineRule="auto"/>
        <w:ind w:left="720"/>
        <w:jc w:val="both"/>
        <w:rPr>
          <w:rFonts w:ascii="Myriad Web Pro" w:hAnsi="Myriad Web Pro"/>
          <w:sz w:val="18"/>
          <w:szCs w:val="18"/>
        </w:rPr>
      </w:pPr>
      <w:r w:rsidRPr="006313F0">
        <w:rPr>
          <w:rFonts w:ascii="Myriad Web Pro" w:hAnsi="Myriad Web Pro"/>
          <w:sz w:val="18"/>
          <w:szCs w:val="18"/>
        </w:rPr>
        <w:t>The GEFOS consortium is an international collaboration of investigators dedicated to identify the genetic determinants of osteoporosis (</w:t>
      </w:r>
      <w:hyperlink r:id="rId20" w:history="1">
        <w:r w:rsidRPr="006313F0">
          <w:rPr>
            <w:rStyle w:val="Hyperlink"/>
            <w:rFonts w:ascii="Myriad Web Pro" w:hAnsi="Myriad Web Pro"/>
            <w:sz w:val="18"/>
            <w:szCs w:val="18"/>
          </w:rPr>
          <w:t>http://www.gefos.org/</w:t>
        </w:r>
      </w:hyperlink>
      <w:r w:rsidRPr="006313F0">
        <w:rPr>
          <w:rFonts w:ascii="Myriad Web Pro" w:hAnsi="Myriad Web Pro"/>
          <w:sz w:val="18"/>
          <w:szCs w:val="18"/>
        </w:rPr>
        <w:t xml:space="preserve">). The original any-type of fracture GWAS meta-analysis comprised 24 GWA studies (cases=19,414; controls=83,459) from populations across North America, Europe, </w:t>
      </w:r>
      <w:r w:rsidRPr="006313F0">
        <w:rPr>
          <w:rFonts w:ascii="Myriad Web Pro" w:hAnsi="Myriad Web Pro"/>
          <w:sz w:val="18"/>
          <w:szCs w:val="18"/>
        </w:rPr>
        <w:lastRenderedPageBreak/>
        <w:t xml:space="preserve">East Asia and Australia, with a variety of epidemiological designs and patient characteristics. Cases were individuals (&gt;18 years) with fractures confirmed by medical, radiological or questionnaire reports. When possible, fractures of the fingers, toes and skull were excluded from analyses. GWAS genotyping was done by each study following standard manufacturer protocols followed by imputation to ~2.5 million SNPs from </w:t>
      </w:r>
      <w:proofErr w:type="spellStart"/>
      <w:r w:rsidRPr="006313F0">
        <w:rPr>
          <w:rFonts w:ascii="Myriad Web Pro" w:hAnsi="Myriad Web Pro"/>
          <w:sz w:val="18"/>
          <w:szCs w:val="18"/>
        </w:rPr>
        <w:t>HapMap</w:t>
      </w:r>
      <w:proofErr w:type="spellEnd"/>
      <w:r w:rsidRPr="006313F0">
        <w:rPr>
          <w:rFonts w:ascii="Myriad Web Pro" w:hAnsi="Myriad Web Pro"/>
          <w:sz w:val="18"/>
          <w:szCs w:val="18"/>
        </w:rPr>
        <w:t xml:space="preserve"> Phase II. </w:t>
      </w:r>
    </w:p>
    <w:p w:rsidR="00F01936" w:rsidRPr="006313F0" w:rsidRDefault="00F01936" w:rsidP="00F01936">
      <w:pPr>
        <w:spacing w:after="0" w:line="240" w:lineRule="auto"/>
        <w:jc w:val="both"/>
        <w:rPr>
          <w:rFonts w:ascii="Myriad Web Pro" w:hAnsi="Myriad Web Pro"/>
          <w:b/>
          <w:sz w:val="18"/>
          <w:szCs w:val="18"/>
        </w:rPr>
      </w:pPr>
    </w:p>
    <w:p w:rsidR="00F01936" w:rsidRPr="006313F0" w:rsidRDefault="00F01936" w:rsidP="00F01936">
      <w:pPr>
        <w:spacing w:after="0" w:line="240" w:lineRule="auto"/>
        <w:jc w:val="both"/>
        <w:rPr>
          <w:rFonts w:ascii="Myriad Web Pro" w:hAnsi="Myriad Web Pro"/>
          <w:b/>
          <w:sz w:val="18"/>
          <w:szCs w:val="18"/>
        </w:rPr>
      </w:pPr>
    </w:p>
    <w:p w:rsidR="00F01936" w:rsidRPr="006313F0" w:rsidRDefault="00F01936" w:rsidP="00F01936">
      <w:pPr>
        <w:spacing w:after="0" w:line="240" w:lineRule="auto"/>
        <w:jc w:val="both"/>
        <w:rPr>
          <w:rFonts w:ascii="Myriad Web Pro" w:hAnsi="Myriad Web Pro"/>
          <w:b/>
          <w:sz w:val="18"/>
          <w:szCs w:val="18"/>
        </w:rPr>
      </w:pPr>
      <w:r w:rsidRPr="006313F0">
        <w:rPr>
          <w:rFonts w:ascii="Myriad Web Pro" w:hAnsi="Myriad Web Pro"/>
          <w:b/>
          <w:sz w:val="18"/>
          <w:szCs w:val="18"/>
        </w:rPr>
        <w:t>Muscle Histology Cohort</w:t>
      </w:r>
    </w:p>
    <w:p w:rsidR="00F01936" w:rsidRPr="006313F0" w:rsidRDefault="00F01936" w:rsidP="00F01936">
      <w:pPr>
        <w:spacing w:after="0" w:line="240" w:lineRule="auto"/>
        <w:jc w:val="both"/>
        <w:rPr>
          <w:rFonts w:ascii="Myriad Web Pro" w:hAnsi="Myriad Web Pro"/>
          <w:sz w:val="18"/>
          <w:szCs w:val="18"/>
        </w:rPr>
      </w:pPr>
    </w:p>
    <w:p w:rsidR="00F01936" w:rsidRPr="006313F0" w:rsidRDefault="00F01936" w:rsidP="00F01936">
      <w:pPr>
        <w:spacing w:after="0" w:line="240" w:lineRule="auto"/>
        <w:ind w:left="720"/>
        <w:jc w:val="both"/>
        <w:rPr>
          <w:rFonts w:ascii="Myriad Web Pro" w:eastAsia="Times New Roman" w:hAnsi="Myriad Web Pro" w:cs="Arial"/>
          <w:color w:val="000000"/>
          <w:sz w:val="18"/>
          <w:szCs w:val="18"/>
        </w:rPr>
      </w:pPr>
      <w:r w:rsidRPr="006313F0">
        <w:rPr>
          <w:rFonts w:ascii="Myriad Web Pro" w:hAnsi="Myriad Web Pro"/>
          <w:sz w:val="18"/>
          <w:szCs w:val="18"/>
        </w:rPr>
        <w:t>The muscle histology study was performed</w:t>
      </w:r>
      <w:r w:rsidRPr="006313F0">
        <w:rPr>
          <w:rFonts w:ascii="Myriad Web Pro" w:eastAsia="Times New Roman" w:hAnsi="Myriad Web Pro" w:cs="Arial"/>
          <w:color w:val="000000"/>
          <w:sz w:val="18"/>
          <w:szCs w:val="18"/>
        </w:rPr>
        <w:t xml:space="preserve"> on 656 men from three independent cohorts of Swedish ancestry. These cohorts included Uppsala Longitudinal Study of Adult Men (ULSAM, n=482) </w:t>
      </w:r>
      <w:r w:rsidRPr="006313F0">
        <w:rPr>
          <w:rFonts w:ascii="Myriad Web Pro" w:eastAsia="Times New Roman" w:hAnsi="Myriad Web Pro" w:cs="Arial"/>
          <w:color w:val="000000"/>
          <w:sz w:val="18"/>
          <w:szCs w:val="18"/>
        </w:rPr>
        <w:fldChar w:fldCharType="begin" w:fldLock="1"/>
      </w:r>
      <w:r w:rsidR="00A83FB0">
        <w:rPr>
          <w:rFonts w:ascii="Myriad Web Pro" w:eastAsia="Times New Roman" w:hAnsi="Myriad Web Pro" w:cs="Arial"/>
          <w:color w:val="000000"/>
          <w:sz w:val="18"/>
          <w:szCs w:val="18"/>
        </w:rPr>
        <w:instrText>ADDIN CSL_CITATION { "citationItems" : [ { "id" : "ITEM-1", "itemData" : { "ISSN" : "0300-9726", "PMID" : "1216390", "author" : [ { "dropping-particle" : "", "family" : "Hedstrand", "given" : "H", "non-dropping-particle" : "", "parse-names" : false, "suffix" : "" } ], "container-title" : "Upsala journal of medical sciences. Supplement", "id" : "ITEM-1", "issued" : { "date-parts" : [ [ "1975" ] ] }, "page" : "1-61", "title" : "A study of middle-aged men with particular reference to risk factors for cardiovascular disease.", "type" : "article-journal", "volume" : "19" }, "uris" : [ "http://www.mendeley.com/documents/?uuid=9a392c8d-f8c4-4d26-a1f4-223baa775ecc" ] } ], "mendeley" : { "formattedCitation" : "&lt;sup&gt;25&lt;/sup&gt;", "plainTextFormattedCitation" : "25", "previouslyFormattedCitation" : "(Hedstrand 1975)" }, "properties" : { "noteIndex" : 0 }, "schema" : "https://github.com/citation-style-language/schema/raw/master/csl-citation.json" }</w:instrText>
      </w:r>
      <w:r w:rsidRPr="006313F0">
        <w:rPr>
          <w:rFonts w:ascii="Myriad Web Pro" w:eastAsia="Times New Roman" w:hAnsi="Myriad Web Pro" w:cs="Arial"/>
          <w:color w:val="000000"/>
          <w:sz w:val="18"/>
          <w:szCs w:val="18"/>
        </w:rPr>
        <w:fldChar w:fldCharType="separate"/>
      </w:r>
      <w:r w:rsidR="00A83FB0" w:rsidRPr="00A83FB0">
        <w:rPr>
          <w:rFonts w:ascii="Myriad Web Pro" w:eastAsia="Times New Roman" w:hAnsi="Myriad Web Pro" w:cs="Arial"/>
          <w:noProof/>
          <w:color w:val="000000"/>
          <w:sz w:val="18"/>
          <w:szCs w:val="18"/>
          <w:vertAlign w:val="superscript"/>
        </w:rPr>
        <w:t>25</w:t>
      </w:r>
      <w:r w:rsidRPr="006313F0">
        <w:rPr>
          <w:rFonts w:ascii="Myriad Web Pro" w:eastAsia="Times New Roman" w:hAnsi="Myriad Web Pro" w:cs="Arial"/>
          <w:color w:val="000000"/>
          <w:sz w:val="18"/>
          <w:szCs w:val="18"/>
        </w:rPr>
        <w:fldChar w:fldCharType="end"/>
      </w:r>
      <w:r w:rsidRPr="006313F0">
        <w:rPr>
          <w:rFonts w:ascii="Myriad Web Pro" w:eastAsia="Times New Roman" w:hAnsi="Myriad Web Pro" w:cs="Arial"/>
          <w:color w:val="000000"/>
          <w:sz w:val="18"/>
          <w:szCs w:val="18"/>
        </w:rPr>
        <w:t xml:space="preserve">, Malmö Men (MM, n=128) </w:t>
      </w:r>
      <w:r w:rsidRPr="006313F0">
        <w:rPr>
          <w:rFonts w:ascii="Myriad Web Pro" w:eastAsia="Times New Roman" w:hAnsi="Myriad Web Pro" w:cs="Arial"/>
          <w:color w:val="000000"/>
          <w:sz w:val="18"/>
          <w:szCs w:val="18"/>
        </w:rPr>
        <w:fldChar w:fldCharType="begin" w:fldLock="1"/>
      </w:r>
      <w:r w:rsidR="00A83FB0">
        <w:rPr>
          <w:rFonts w:ascii="Myriad Web Pro" w:eastAsia="Times New Roman" w:hAnsi="Myriad Web Pro" w:cs="Arial"/>
          <w:color w:val="000000"/>
          <w:sz w:val="18"/>
          <w:szCs w:val="18"/>
        </w:rPr>
        <w:instrText>ADDIN CSL_CITATION { "citationItems" : [ { "id" : "ITEM-1", "itemData" : { "DOI" : "10.1038/ng1180", "ISSN" : "1061-4036", "PMID" : "12808457", "abstract" : "DNA microarrays can be used to identify gene expression changes characteristic of human disease. This is challenging, however, when relevant differences are subtle at the level of individual genes. We introduce an analytical strategy, Gene Set Enrichment Analysis, designed to detect modest but coordinate changes in the expression of groups of functionally related genes. Using this approach, we identify a set of genes involved in oxidative phosphorylation whose expression is coordinately decreased in human diabetic muscle. Expression of these genes is high at sites of insulin-mediated glucose disposal, activated by PGC-1alpha and correlated with total-body aerobic capacity. Our results associate this gene set with clinically important variation in human metabolism and illustrate the value of pathway relationships in the analysis of genomic profiling experiments.", "author" : [ { "dropping-particle" : "", "family" : "Mootha", "given" : "Vamsi K", "non-dropping-particle" : "", "parse-names" : false, "suffix" : "" }, { "dropping-particle" : "", "family" : "Lindgren", "given" : "Cecilia M", "non-dropping-particle" : "", "parse-names" : false, "suffix" : "" }, { "dropping-particle" : "", "family" : "Eriksson", "given" : "Karl-Fredrik", "non-dropping-particle" : "", "parse-names" : false, "suffix" : "" }, { "dropping-particle" : "", "family" : "Subramanian", "given" : "Aravind", "non-dropping-particle" : "", "parse-names" : false, "suffix" : "" }, { "dropping-particle" : "", "family" : "Sihag", "given" : "Smita", "non-dropping-particle" : "", "parse-names" : false, "suffix" : "" }, { "dropping-particle" : "", "family" : "Lehar", "given" : "Joseph", "non-dropping-particle" : "", "parse-names" : false, "suffix" : "" }, { "dropping-particle" : "", "family" : "Puigserver", "given" : "Pere", "non-dropping-particle" : "", "parse-names" : false, "suffix" : "" }, { "dropping-particle" : "", "family" : "Carlsson", "given" : "Emma", "non-dropping-particle" : "", "parse-names" : false, "suffix" : "" }, { "dropping-particle" : "", "family" : "Ridderstr\u00e5le", "given" : "Martin", "non-dropping-particle" : "", "parse-names" : false, "suffix" : "" }, { "dropping-particle" : "", "family" : "Laurila", "given" : "Esa", "non-dropping-particle" : "", "parse-names" : false, "suffix" : "" }, { "dropping-particle" : "", "family" : "Houstis", "given" : "Nicholas", "non-dropping-particle" : "", "parse-names" : false, "suffix" : "" }, { "dropping-particle" : "", "family" : "Daly", "given" : "Mark J", "non-dropping-particle" : "", "parse-names" : false, "suffix" : "" }, { "dropping-particle" : "", "family" : "Patterson", "given" : "Nick", "non-dropping-particle" : "", "parse-names" : false, "suffix" : "" }, { "dropping-particle" : "", "family" : "Mesirov", "given" : "Jill P", "non-dropping-particle" : "", "parse-names" : false, "suffix" : "" }, { "dropping-particle" : "", "family" : "Golub", "given" : "Todd R", "non-dropping-particle" : "", "parse-names" : false, "suffix" : "" }, { "dropping-particle" : "", "family" : "Tamayo", "given" : "Pablo", "non-dropping-particle" : "", "parse-names" : false, "suffix" : "" }, { "dropping-particle" : "", "family" : "Spiegelman", "given" : "Bruce", "non-dropping-particle" : "", "parse-names" : false, "suffix" : "" }, { "dropping-particle" : "", "family" : "Lander", "given" : "Eric S", "non-dropping-particle" : "", "parse-names" : false, "suffix" : "" }, { "dropping-particle" : "", "family" : "Hirschhorn", "given" : "Joel N", "non-dropping-particle" : "", "parse-names" : false, "suffix" : "" }, { "dropping-particle" : "", "family" : "Altshuler", "given" : "David", "non-dropping-particle" : "", "parse-names" : false, "suffix" : "" }, { "dropping-particle" : "", "family" : "Groop", "given" : "Leif C", "non-dropping-particle" : "", "parse-names" : false, "suffix" : "" } ], "container-title" : "Nature genetics", "id" : "ITEM-1", "issue" : "3", "issued" : { "date-parts" : [ [ "2003", "7" ] ] }, "page" : "267-73", "title" : "PGC-1alpha-responsive genes involved in oxidative phosphorylation are coordinately downregulated in human diabetes.", "type" : "article-journal", "volume" : "34" }, "uris" : [ "http://www.mendeley.com/documents/?uuid=423b558b-c362-4841-921e-6f1e0a37e358" ] } ], "mendeley" : { "formattedCitation" : "&lt;sup&gt;26&lt;/sup&gt;", "plainTextFormattedCitation" : "26", "previouslyFormattedCitation" : "(Mootha et al. 2003)" }, "properties" : { "noteIndex" : 0 }, "schema" : "https://github.com/citation-style-language/schema/raw/master/csl-citation.json" }</w:instrText>
      </w:r>
      <w:r w:rsidRPr="006313F0">
        <w:rPr>
          <w:rFonts w:ascii="Myriad Web Pro" w:eastAsia="Times New Roman" w:hAnsi="Myriad Web Pro" w:cs="Arial"/>
          <w:color w:val="000000"/>
          <w:sz w:val="18"/>
          <w:szCs w:val="18"/>
        </w:rPr>
        <w:fldChar w:fldCharType="separate"/>
      </w:r>
      <w:r w:rsidR="00A83FB0" w:rsidRPr="00A83FB0">
        <w:rPr>
          <w:rFonts w:ascii="Myriad Web Pro" w:eastAsia="Times New Roman" w:hAnsi="Myriad Web Pro" w:cs="Arial"/>
          <w:noProof/>
          <w:color w:val="000000"/>
          <w:sz w:val="18"/>
          <w:szCs w:val="18"/>
          <w:vertAlign w:val="superscript"/>
        </w:rPr>
        <w:t>26</w:t>
      </w:r>
      <w:r w:rsidRPr="006313F0">
        <w:rPr>
          <w:rFonts w:ascii="Myriad Web Pro" w:eastAsia="Times New Roman" w:hAnsi="Myriad Web Pro" w:cs="Arial"/>
          <w:color w:val="000000"/>
          <w:sz w:val="18"/>
          <w:szCs w:val="18"/>
        </w:rPr>
        <w:fldChar w:fldCharType="end"/>
      </w:r>
      <w:r w:rsidRPr="006313F0">
        <w:rPr>
          <w:rFonts w:ascii="Myriad Web Pro" w:eastAsia="Times New Roman" w:hAnsi="Myriad Web Pro" w:cs="Arial"/>
          <w:color w:val="000000"/>
          <w:sz w:val="18"/>
          <w:szCs w:val="18"/>
        </w:rPr>
        <w:t xml:space="preserve"> and Malmö Exercise Intervention (MEI, n=46) </w:t>
      </w:r>
      <w:r w:rsidRPr="006313F0">
        <w:rPr>
          <w:rFonts w:ascii="Myriad Web Pro" w:eastAsia="Times New Roman" w:hAnsi="Myriad Web Pro" w:cs="Arial"/>
          <w:color w:val="000000"/>
          <w:sz w:val="18"/>
          <w:szCs w:val="18"/>
        </w:rPr>
        <w:fldChar w:fldCharType="begin" w:fldLock="1"/>
      </w:r>
      <w:r w:rsidR="00A83FB0">
        <w:rPr>
          <w:rFonts w:ascii="Myriad Web Pro" w:eastAsia="Times New Roman" w:hAnsi="Myriad Web Pro" w:cs="Arial"/>
          <w:color w:val="000000"/>
          <w:sz w:val="18"/>
          <w:szCs w:val="18"/>
        </w:rPr>
        <w:instrText>ADDIN CSL_CITATION { "citationItems" : [ { "id" : "ITEM-1", "itemData" : { "DOI" : "10.1210/jc.2011-3037", "ISSN" : "1945-7197", "PMID" : "22547424", "abstract" : "CONTEXT First-degree relatives of patients with type 2 diabetes (FH+) have been shown to have decreased energy expenditure and decreased expression of mitochondrial genes in skeletal muscle. In previous studies, it has been difficult to distinguish whether mitochondrial dysfunction and differential regulation of genes are primary (genetic) or due to reduced physical activity, obesity, or other correlated factors. OBJECTIVE The aim of this study was to investigate whether mitochondrial dysfunction is a primary defect or results from an altered metabolic state. DESIGN We compared gene expression in skeletal muscle from 24 male subjects with FH and 26 without FH matched for age, glucose tolerance, VO(2peak) (peak oxygen uptake), and body mass index using microarrays. Additionally, type fiber composition, mitochondrial DNA content, and citrate synthase activity were measured. The results were followed up in an additional cohort with measurements of in vivo metabolism. RESULTS FH+ vs. FH- subjects showed reduced expression of mitochondrial genes (P = 2.75 \u00d7 10(-6)), particularly genes involved in fatty acid metabolism (P = 4.08 \u00d7 10(-7)), despite similar mitochondrial DNA content. Strikingly, a 70% reduced expression of the monoamine oxidase A (MAOA) gene was found in FH+ vs. FH- individuals (P = 0.0009). Down-regulation of the genes involved in fat metabolism was associated with decreased in vivo fat oxidation and increased glucose oxidation examined in an additional cohort of elderly men. CONCLUSIONS These results suggest that genetically altered fatty acid metabolism predisposes to type 2 diabetes and propose a role for catecholamine-metabolizing enzymes like MAOA in the regulation of energy metabolism.", "author" : [ { "dropping-particle" : "", "family" : "Elgzyri", "given" : "T", "non-dropping-particle" : "", "parse-names" : false, "suffix" : "" }, { "dropping-particle" : "", "family" : "Parikh", "given" : "H", "non-dropping-particle" : "", "parse-names" : false, "suffix" : "" }, { "dropping-particle" : "", "family" : "Zhou", "given" : "Y", "non-dropping-particle" : "", "parse-names" : false, "suffix" : "" }, { "dropping-particle" : "", "family" : "Dekker Nitert", "given" : "M", "non-dropping-particle" : "", "parse-names" : false, "suffix" : "" }, { "dropping-particle" : "", "family" : "R\u00f6nn", "given" : "T", "non-dropping-particle" : "", "parse-names" : false, "suffix" : "" }, { "dropping-particle" : "", "family" : "Segerstr\u00f6m", "given" : "\u00c5 B", "non-dropping-particle" : "", "parse-names" : false, "suffix" : "" }, { "dropping-particle" : "", "family" : "Ling", "given" : "C", "non-dropping-particle" : "", "parse-names" : false, "suffix" : "" }, { "dropping-particle" : "", "family" : "Franks", "given" : "P W", "non-dropping-particle" : "", "parse-names" : false, "suffix" : "" }, { "dropping-particle" : "", "family" : "Wollmer", "given" : "P", "non-dropping-particle" : "", "parse-names" : false, "suffix" : "" }, { "dropping-particle" : "", "family" : "Eriksson", "given" : "K F", "non-dropping-particle" : "", "parse-names" : false, "suffix" : "" }, { "dropping-particle" : "", "family" : "Groop", "given" : "L", "non-dropping-particle" : "", "parse-names" : false, "suffix" : "" }, { "dropping-particle" : "", "family" : "Hansson", "given" : "O", "non-dropping-particle" : "", "parse-names" : false, "suffix" : "" } ], "container-title" : "The Journal of clinical endocrinology and metabolism", "id" : "ITEM-1", "issue" : "7", "issued" : { "date-parts" : [ [ "2012", "7" ] ] }, "page" : "E1332-7", "title" : "First-degree relatives of type 2 diabetic patients have reduced expression of genes involved in fatty acid metabolism in skeletal muscle.", "type" : "article-journal", "volume" : "97" }, "uris" : [ "http://www.mendeley.com/documents/?uuid=39b5a837-eed1-4c7f-926d-e652d2b6e1fd" ] } ], "mendeley" : { "formattedCitation" : "&lt;sup&gt;27&lt;/sup&gt;", "plainTextFormattedCitation" : "27", "previouslyFormattedCitation" : "(Elgzyri et al. 2012)" }, "properties" : { "noteIndex" : 0 }, "schema" : "https://github.com/citation-style-language/schema/raw/master/csl-citation.json" }</w:instrText>
      </w:r>
      <w:r w:rsidRPr="006313F0">
        <w:rPr>
          <w:rFonts w:ascii="Myriad Web Pro" w:eastAsia="Times New Roman" w:hAnsi="Myriad Web Pro" w:cs="Arial"/>
          <w:color w:val="000000"/>
          <w:sz w:val="18"/>
          <w:szCs w:val="18"/>
        </w:rPr>
        <w:fldChar w:fldCharType="separate"/>
      </w:r>
      <w:r w:rsidR="00A83FB0" w:rsidRPr="00A83FB0">
        <w:rPr>
          <w:rFonts w:ascii="Myriad Web Pro" w:eastAsia="Times New Roman" w:hAnsi="Myriad Web Pro" w:cs="Arial"/>
          <w:noProof/>
          <w:color w:val="000000"/>
          <w:sz w:val="18"/>
          <w:szCs w:val="18"/>
          <w:vertAlign w:val="superscript"/>
        </w:rPr>
        <w:t>27</w:t>
      </w:r>
      <w:r w:rsidRPr="006313F0">
        <w:rPr>
          <w:rFonts w:ascii="Myriad Web Pro" w:eastAsia="Times New Roman" w:hAnsi="Myriad Web Pro" w:cs="Arial"/>
          <w:color w:val="000000"/>
          <w:sz w:val="18"/>
          <w:szCs w:val="18"/>
        </w:rPr>
        <w:fldChar w:fldCharType="end"/>
      </w:r>
      <w:r w:rsidRPr="006313F0">
        <w:rPr>
          <w:rFonts w:ascii="Myriad Web Pro" w:eastAsia="Times New Roman" w:hAnsi="Myriad Web Pro" w:cs="Arial"/>
          <w:color w:val="000000"/>
          <w:sz w:val="18"/>
          <w:szCs w:val="18"/>
        </w:rPr>
        <w:t xml:space="preserve">. The ULSAM cohort included non-diabetic males of age </w:t>
      </w:r>
      <w:r w:rsidRPr="006313F0">
        <w:rPr>
          <w:rFonts w:ascii="Myriad Web Pro" w:hAnsi="Myriad Web Pro" w:cs="Tahoma"/>
          <w:color w:val="000000"/>
          <w:sz w:val="18"/>
          <w:szCs w:val="18"/>
        </w:rPr>
        <w:t xml:space="preserve">71.0 </w:t>
      </w:r>
      <w:r w:rsidRPr="006313F0">
        <w:rPr>
          <w:rFonts w:ascii="Myriad Web Pro" w:hAnsi="Myriad Web Pro"/>
          <w:sz w:val="18"/>
          <w:szCs w:val="18"/>
        </w:rPr>
        <w:t xml:space="preserve">± </w:t>
      </w:r>
      <w:r w:rsidRPr="006313F0">
        <w:rPr>
          <w:rFonts w:ascii="Myriad Web Pro" w:hAnsi="Myriad Web Pro" w:cs="Tahoma"/>
          <w:color w:val="000000"/>
          <w:sz w:val="18"/>
          <w:szCs w:val="18"/>
        </w:rPr>
        <w:t xml:space="preserve">0.64 years and </w:t>
      </w:r>
      <w:r w:rsidRPr="006313F0">
        <w:rPr>
          <w:rFonts w:ascii="Myriad Web Pro" w:hAnsi="Myriad Web Pro"/>
          <w:sz w:val="18"/>
          <w:szCs w:val="18"/>
        </w:rPr>
        <w:t xml:space="preserve">body-mass index (BMI) </w:t>
      </w:r>
      <w:r w:rsidRPr="006313F0">
        <w:rPr>
          <w:rFonts w:ascii="Myriad Web Pro" w:hAnsi="Myriad Web Pro" w:cs="Tahoma"/>
          <w:color w:val="000000"/>
          <w:sz w:val="18"/>
          <w:szCs w:val="18"/>
        </w:rPr>
        <w:t xml:space="preserve">26.3 </w:t>
      </w:r>
      <w:r w:rsidRPr="006313F0">
        <w:rPr>
          <w:rFonts w:ascii="Myriad Web Pro" w:hAnsi="Myriad Web Pro"/>
          <w:sz w:val="18"/>
          <w:szCs w:val="18"/>
        </w:rPr>
        <w:t xml:space="preserve">± </w:t>
      </w:r>
      <w:r w:rsidRPr="006313F0">
        <w:rPr>
          <w:rFonts w:ascii="Myriad Web Pro" w:hAnsi="Myriad Web Pro" w:cs="Tahoma"/>
          <w:color w:val="000000"/>
          <w:sz w:val="18"/>
          <w:szCs w:val="18"/>
        </w:rPr>
        <w:t>3.4 kg/m</w:t>
      </w:r>
      <w:r w:rsidRPr="006313F0">
        <w:rPr>
          <w:rFonts w:ascii="Myriad Web Pro" w:hAnsi="Myriad Web Pro" w:cs="Tahoma"/>
          <w:color w:val="000000"/>
          <w:sz w:val="18"/>
          <w:szCs w:val="18"/>
          <w:vertAlign w:val="superscript"/>
        </w:rPr>
        <w:t>2</w:t>
      </w:r>
      <w:r w:rsidRPr="006313F0">
        <w:rPr>
          <w:rFonts w:ascii="Myriad Web Pro" w:eastAsia="Times New Roman" w:hAnsi="Myriad Web Pro" w:cs="Arial"/>
          <w:color w:val="000000"/>
          <w:sz w:val="18"/>
          <w:szCs w:val="18"/>
        </w:rPr>
        <w:t xml:space="preserve">. The MM cohort consists of non-obese males aged 65.9 </w:t>
      </w:r>
      <w:r w:rsidRPr="006313F0">
        <w:rPr>
          <w:rFonts w:ascii="Myriad Web Pro" w:hAnsi="Myriad Web Pro"/>
          <w:sz w:val="18"/>
          <w:szCs w:val="18"/>
        </w:rPr>
        <w:t>± 2.0 years and with BMI 26.4 ± 3.4 kg/m</w:t>
      </w:r>
      <w:r w:rsidRPr="006313F0">
        <w:rPr>
          <w:rFonts w:ascii="Myriad Web Pro" w:hAnsi="Myriad Web Pro"/>
          <w:sz w:val="18"/>
          <w:szCs w:val="18"/>
          <w:vertAlign w:val="superscript"/>
        </w:rPr>
        <w:t>2</w:t>
      </w:r>
      <w:r w:rsidRPr="006313F0">
        <w:rPr>
          <w:rFonts w:ascii="Myriad Web Pro" w:eastAsia="Times New Roman" w:hAnsi="Myriad Web Pro" w:cs="Arial"/>
          <w:color w:val="000000"/>
          <w:sz w:val="18"/>
          <w:szCs w:val="18"/>
        </w:rPr>
        <w:t xml:space="preserve">, including 50 individuals with diagnosed Type II diabetes (T2D). The MEI cohort consists of </w:t>
      </w:r>
      <w:r w:rsidRPr="006313F0">
        <w:rPr>
          <w:rFonts w:ascii="Myriad Web Pro" w:hAnsi="Myriad Web Pro"/>
          <w:sz w:val="18"/>
          <w:szCs w:val="18"/>
        </w:rPr>
        <w:t>male subjects aged 37.7 ± 4.3 years, VO</w:t>
      </w:r>
      <w:r w:rsidRPr="006313F0">
        <w:rPr>
          <w:rFonts w:ascii="Myriad Web Pro" w:hAnsi="Myriad Web Pro"/>
          <w:sz w:val="18"/>
          <w:szCs w:val="18"/>
          <w:vertAlign w:val="subscript"/>
        </w:rPr>
        <w:t xml:space="preserve">2MAX </w:t>
      </w:r>
      <w:r w:rsidRPr="006313F0">
        <w:rPr>
          <w:rFonts w:ascii="Myriad Web Pro" w:hAnsi="Myriad Web Pro"/>
          <w:sz w:val="18"/>
          <w:szCs w:val="18"/>
        </w:rPr>
        <w:t>32.0 ± 5.0 ml/kg/min and BMI 28.0 ± 3.1kg/m</w:t>
      </w:r>
      <w:r w:rsidRPr="006313F0">
        <w:rPr>
          <w:rFonts w:ascii="Myriad Web Pro" w:hAnsi="Myriad Web Pro"/>
          <w:sz w:val="18"/>
          <w:szCs w:val="18"/>
          <w:vertAlign w:val="superscript"/>
        </w:rPr>
        <w:t>2</w:t>
      </w:r>
      <w:r w:rsidRPr="006313F0">
        <w:rPr>
          <w:rFonts w:ascii="Myriad Web Pro" w:hAnsi="Myriad Web Pro"/>
          <w:sz w:val="18"/>
          <w:szCs w:val="18"/>
        </w:rPr>
        <w:t xml:space="preserve"> with (n=22) and without (n=24) a first degree family member with T2D.</w:t>
      </w:r>
      <w:r w:rsidRPr="006313F0">
        <w:rPr>
          <w:rFonts w:ascii="Myriad Web Pro" w:eastAsia="Times New Roman" w:hAnsi="Myriad Web Pro" w:cs="Arial"/>
          <w:color w:val="000000"/>
          <w:sz w:val="18"/>
          <w:szCs w:val="18"/>
        </w:rPr>
        <w:t xml:space="preserve"> The primary phenotypes included in the GWA-analysis were percentage of (</w:t>
      </w:r>
      <w:proofErr w:type="spellStart"/>
      <w:r w:rsidRPr="006313F0">
        <w:rPr>
          <w:rFonts w:ascii="Myriad Web Pro" w:eastAsia="Times New Roman" w:hAnsi="Myriad Web Pro" w:cs="Arial"/>
          <w:color w:val="000000"/>
          <w:sz w:val="18"/>
          <w:szCs w:val="18"/>
        </w:rPr>
        <w:t>i</w:t>
      </w:r>
      <w:proofErr w:type="spellEnd"/>
      <w:r w:rsidRPr="006313F0">
        <w:rPr>
          <w:rFonts w:ascii="Myriad Web Pro" w:eastAsia="Times New Roman" w:hAnsi="Myriad Web Pro" w:cs="Arial"/>
          <w:color w:val="000000"/>
          <w:sz w:val="18"/>
          <w:szCs w:val="18"/>
        </w:rPr>
        <w:t xml:space="preserve">) type I, (ii) type </w:t>
      </w:r>
      <w:proofErr w:type="spellStart"/>
      <w:r w:rsidRPr="006313F0">
        <w:rPr>
          <w:rFonts w:ascii="Myriad Web Pro" w:eastAsia="Times New Roman" w:hAnsi="Myriad Web Pro" w:cs="Arial"/>
          <w:color w:val="000000"/>
          <w:sz w:val="18"/>
          <w:szCs w:val="18"/>
        </w:rPr>
        <w:t>IIa</w:t>
      </w:r>
      <w:proofErr w:type="spellEnd"/>
      <w:r w:rsidRPr="006313F0">
        <w:rPr>
          <w:rFonts w:ascii="Myriad Web Pro" w:eastAsia="Times New Roman" w:hAnsi="Myriad Web Pro" w:cs="Arial"/>
          <w:color w:val="000000"/>
          <w:sz w:val="18"/>
          <w:szCs w:val="18"/>
        </w:rPr>
        <w:t xml:space="preserve">, and (iii) Type </w:t>
      </w:r>
      <w:proofErr w:type="spellStart"/>
      <w:r w:rsidRPr="006313F0">
        <w:rPr>
          <w:rFonts w:ascii="Myriad Web Pro" w:eastAsia="Times New Roman" w:hAnsi="Myriad Web Pro" w:cs="Arial"/>
          <w:color w:val="000000"/>
          <w:sz w:val="18"/>
          <w:szCs w:val="18"/>
        </w:rPr>
        <w:t>IIx</w:t>
      </w:r>
      <w:proofErr w:type="spellEnd"/>
      <w:r w:rsidRPr="006313F0">
        <w:rPr>
          <w:rFonts w:ascii="Myriad Web Pro" w:eastAsia="Times New Roman" w:hAnsi="Myriad Web Pro" w:cs="Arial"/>
          <w:color w:val="000000"/>
          <w:sz w:val="18"/>
          <w:szCs w:val="18"/>
        </w:rPr>
        <w:t xml:space="preserve"> fibres, as well as capillary density, calculated as number of capillaries divided by total number of fibres.</w:t>
      </w:r>
      <w:r w:rsidRPr="006313F0">
        <w:rPr>
          <w:rFonts w:ascii="Myriad Web Pro" w:hAnsi="Myriad Web Pro"/>
          <w:sz w:val="18"/>
          <w:szCs w:val="18"/>
        </w:rPr>
        <w:t xml:space="preserve">  </w:t>
      </w:r>
      <w:r w:rsidR="00C04C52">
        <w:rPr>
          <w:rFonts w:ascii="Myriad Web Pro" w:hAnsi="Myriad Web Pro"/>
          <w:sz w:val="18"/>
          <w:szCs w:val="18"/>
        </w:rPr>
        <w:t xml:space="preserve">Phenotypes were inverse-normalised for analysis.  </w:t>
      </w:r>
      <w:r w:rsidRPr="006313F0">
        <w:rPr>
          <w:rFonts w:ascii="Myriad Web Pro" w:eastAsia="Times New Roman" w:hAnsi="Myriad Web Pro" w:cs="Arial"/>
          <w:color w:val="000000"/>
          <w:sz w:val="18"/>
          <w:szCs w:val="18"/>
        </w:rPr>
        <w:t xml:space="preserve">Genotype data in each cohort were imputed up to 35 million variants from the 1000 Genomes “all ancestries” reference panel (March 2012). </w:t>
      </w:r>
      <w:proofErr w:type="spellStart"/>
      <w:r w:rsidRPr="006313F0">
        <w:rPr>
          <w:rFonts w:ascii="Myriad Web Pro" w:eastAsia="Times New Roman" w:hAnsi="Myriad Web Pro" w:cs="Arial"/>
          <w:color w:val="000000"/>
          <w:sz w:val="18"/>
          <w:szCs w:val="18"/>
        </w:rPr>
        <w:t>Prephasing</w:t>
      </w:r>
      <w:proofErr w:type="spellEnd"/>
      <w:r w:rsidRPr="006313F0">
        <w:rPr>
          <w:rFonts w:ascii="Myriad Web Pro" w:eastAsia="Times New Roman" w:hAnsi="Myriad Web Pro" w:cs="Arial"/>
          <w:color w:val="000000"/>
          <w:sz w:val="18"/>
          <w:szCs w:val="18"/>
        </w:rPr>
        <w:t xml:space="preserve"> of haplotypes and imputation were performed using </w:t>
      </w:r>
      <w:proofErr w:type="spellStart"/>
      <w:r w:rsidRPr="006313F0">
        <w:rPr>
          <w:rFonts w:ascii="Myriad Web Pro" w:eastAsia="Times New Roman" w:hAnsi="Myriad Web Pro" w:cs="Arial"/>
          <w:color w:val="000000"/>
          <w:sz w:val="18"/>
          <w:szCs w:val="18"/>
        </w:rPr>
        <w:t>ShapeIT</w:t>
      </w:r>
      <w:proofErr w:type="spellEnd"/>
      <w:r w:rsidRPr="006313F0">
        <w:rPr>
          <w:rFonts w:ascii="Myriad Web Pro" w:eastAsia="Times New Roman" w:hAnsi="Myriad Web Pro" w:cs="Arial"/>
          <w:color w:val="000000"/>
          <w:sz w:val="18"/>
          <w:szCs w:val="18"/>
        </w:rPr>
        <w:t xml:space="preserve"> and IMPUTE2, respectively. The association within each cohort was performed using SNPTEST frequentist score additive model test.</w:t>
      </w:r>
    </w:p>
    <w:p w:rsidR="00F01936" w:rsidRPr="006313F0" w:rsidRDefault="00F01936" w:rsidP="00F01936">
      <w:pPr>
        <w:spacing w:after="0" w:line="240" w:lineRule="auto"/>
        <w:ind w:left="720"/>
        <w:jc w:val="both"/>
        <w:rPr>
          <w:rFonts w:ascii="Myriad Web Pro" w:eastAsia="Times New Roman" w:hAnsi="Myriad Web Pro" w:cs="Arial"/>
          <w:color w:val="000000"/>
          <w:sz w:val="18"/>
          <w:szCs w:val="18"/>
        </w:rPr>
      </w:pPr>
    </w:p>
    <w:p w:rsidR="00F01936" w:rsidRPr="006313F0" w:rsidRDefault="00F01936" w:rsidP="00F01936">
      <w:pPr>
        <w:spacing w:after="0" w:line="240" w:lineRule="auto"/>
        <w:ind w:left="720"/>
        <w:jc w:val="both"/>
        <w:rPr>
          <w:rFonts w:ascii="Myriad Web Pro" w:eastAsia="Times New Roman" w:hAnsi="Myriad Web Pro" w:cs="Arial"/>
          <w:color w:val="000000"/>
          <w:sz w:val="18"/>
          <w:szCs w:val="18"/>
        </w:rPr>
      </w:pPr>
    </w:p>
    <w:p w:rsidR="00F01936" w:rsidRPr="006313F0" w:rsidRDefault="00F01936" w:rsidP="00F01936">
      <w:pPr>
        <w:spacing w:after="0" w:line="240" w:lineRule="auto"/>
        <w:ind w:left="720"/>
        <w:jc w:val="both"/>
        <w:rPr>
          <w:rFonts w:ascii="Myriad Web Pro" w:eastAsia="Times New Roman" w:hAnsi="Myriad Web Pro" w:cs="Arial"/>
          <w:color w:val="000000"/>
          <w:sz w:val="18"/>
          <w:szCs w:val="18"/>
        </w:rPr>
      </w:pPr>
    </w:p>
    <w:p w:rsidR="00F01936" w:rsidRPr="006313F0" w:rsidRDefault="00F01936" w:rsidP="00F01936">
      <w:pPr>
        <w:spacing w:after="0" w:line="240" w:lineRule="auto"/>
        <w:jc w:val="both"/>
        <w:rPr>
          <w:rFonts w:ascii="Myriad Web Pro" w:hAnsi="Myriad Web Pro"/>
          <w:sz w:val="18"/>
          <w:szCs w:val="18"/>
        </w:rPr>
        <w:sectPr w:rsidR="00F01936" w:rsidRPr="006313F0">
          <w:pgSz w:w="11906" w:h="16838"/>
          <w:pgMar w:top="1440" w:right="1440" w:bottom="1440" w:left="1440" w:header="708" w:footer="708" w:gutter="0"/>
          <w:cols w:space="708"/>
          <w:docGrid w:linePitch="360"/>
        </w:sectPr>
      </w:pPr>
    </w:p>
    <w:p w:rsidR="00F01936" w:rsidRPr="006313F0" w:rsidRDefault="00F01936" w:rsidP="006313F0">
      <w:pPr>
        <w:widowControl w:val="0"/>
        <w:autoSpaceDE w:val="0"/>
        <w:autoSpaceDN w:val="0"/>
        <w:adjustRightInd w:val="0"/>
        <w:spacing w:after="0" w:line="240" w:lineRule="auto"/>
        <w:jc w:val="both"/>
        <w:rPr>
          <w:rFonts w:ascii="Myriad Web Pro" w:hAnsi="Myriad Web Pro"/>
          <w:b/>
          <w:smallCaps/>
          <w:sz w:val="18"/>
          <w:szCs w:val="18"/>
        </w:rPr>
      </w:pPr>
      <w:r w:rsidRPr="006313F0">
        <w:rPr>
          <w:rFonts w:ascii="Myriad Web Pro" w:hAnsi="Myriad Web Pro"/>
          <w:b/>
          <w:smallCaps/>
          <w:sz w:val="18"/>
          <w:szCs w:val="18"/>
        </w:rPr>
        <w:lastRenderedPageBreak/>
        <w:t>REFERENCES – Supplementary Note</w:t>
      </w:r>
    </w:p>
    <w:p w:rsidR="00F01936" w:rsidRPr="006313F0" w:rsidRDefault="00F01936" w:rsidP="006313F0">
      <w:pPr>
        <w:widowControl w:val="0"/>
        <w:autoSpaceDE w:val="0"/>
        <w:autoSpaceDN w:val="0"/>
        <w:adjustRightInd w:val="0"/>
        <w:spacing w:after="0" w:line="240" w:lineRule="auto"/>
        <w:ind w:left="480" w:hanging="480"/>
        <w:jc w:val="both"/>
        <w:rPr>
          <w:rFonts w:ascii="Myriad Web Pro" w:hAnsi="Myriad Web Pro"/>
          <w:sz w:val="18"/>
          <w:szCs w:val="18"/>
        </w:rPr>
      </w:pPr>
    </w:p>
    <w:p w:rsidR="00F01936" w:rsidRPr="006313F0" w:rsidRDefault="00F01936" w:rsidP="006313F0">
      <w:pPr>
        <w:widowControl w:val="0"/>
        <w:autoSpaceDE w:val="0"/>
        <w:autoSpaceDN w:val="0"/>
        <w:adjustRightInd w:val="0"/>
        <w:spacing w:after="0" w:line="240" w:lineRule="auto"/>
        <w:ind w:left="480" w:hanging="480"/>
        <w:jc w:val="both"/>
        <w:rPr>
          <w:rFonts w:ascii="Myriad Web Pro" w:hAnsi="Myriad Web Pro"/>
          <w:sz w:val="18"/>
          <w:szCs w:val="18"/>
        </w:rPr>
      </w:pPr>
    </w:p>
    <w:p w:rsidR="00A83FB0" w:rsidRPr="00A83FB0" w:rsidRDefault="00F01936">
      <w:pPr>
        <w:widowControl w:val="0"/>
        <w:autoSpaceDE w:val="0"/>
        <w:autoSpaceDN w:val="0"/>
        <w:adjustRightInd w:val="0"/>
        <w:spacing w:after="140" w:line="288" w:lineRule="auto"/>
        <w:rPr>
          <w:rFonts w:ascii="Myriad Web Pro" w:hAnsi="Myriad Web Pro" w:cs="Times New Roman"/>
          <w:noProof/>
          <w:sz w:val="18"/>
          <w:szCs w:val="24"/>
        </w:rPr>
      </w:pPr>
      <w:r w:rsidRPr="006313F0">
        <w:rPr>
          <w:rFonts w:ascii="Myriad Web Pro" w:hAnsi="Myriad Web Pro"/>
          <w:sz w:val="18"/>
          <w:szCs w:val="18"/>
        </w:rPr>
        <w:fldChar w:fldCharType="begin" w:fldLock="1"/>
      </w:r>
      <w:r w:rsidRPr="006313F0">
        <w:rPr>
          <w:rFonts w:ascii="Myriad Web Pro" w:hAnsi="Myriad Web Pro"/>
          <w:sz w:val="18"/>
          <w:szCs w:val="18"/>
        </w:rPr>
        <w:instrText xml:space="preserve">ADDIN Mendeley Bibliography CSL_BIBLIOGRAPHY </w:instrText>
      </w:r>
      <w:r w:rsidRPr="006313F0">
        <w:rPr>
          <w:rFonts w:ascii="Myriad Web Pro" w:hAnsi="Myriad Web Pro"/>
          <w:sz w:val="18"/>
          <w:szCs w:val="18"/>
        </w:rPr>
        <w:fldChar w:fldCharType="separate"/>
      </w:r>
    </w:p>
    <w:p w:rsidR="00A83FB0" w:rsidRPr="00A83FB0" w:rsidRDefault="00A83FB0">
      <w:pPr>
        <w:widowControl w:val="0"/>
        <w:autoSpaceDE w:val="0"/>
        <w:autoSpaceDN w:val="0"/>
        <w:adjustRightInd w:val="0"/>
        <w:spacing w:after="0" w:line="240" w:lineRule="auto"/>
        <w:ind w:left="640" w:hanging="640"/>
        <w:rPr>
          <w:rFonts w:ascii="Myriad Web Pro" w:hAnsi="Myriad Web Pro" w:cs="Times New Roman"/>
          <w:noProof/>
          <w:sz w:val="18"/>
          <w:szCs w:val="24"/>
        </w:rPr>
      </w:pPr>
      <w:r w:rsidRPr="00A83FB0">
        <w:rPr>
          <w:rFonts w:ascii="Myriad Web Pro" w:hAnsi="Myriad Web Pro" w:cs="Times New Roman"/>
          <w:noProof/>
          <w:sz w:val="18"/>
          <w:szCs w:val="24"/>
        </w:rPr>
        <w:t>1.</w:t>
      </w:r>
      <w:r w:rsidRPr="00A83FB0">
        <w:rPr>
          <w:rFonts w:ascii="Myriad Web Pro" w:hAnsi="Myriad Web Pro" w:cs="Times New Roman"/>
          <w:noProof/>
          <w:sz w:val="18"/>
          <w:szCs w:val="24"/>
        </w:rPr>
        <w:tab/>
        <w:t xml:space="preserve">Bulik-Sullivan, B. K. </w:t>
      </w:r>
      <w:r w:rsidRPr="00A83FB0">
        <w:rPr>
          <w:rFonts w:ascii="Myriad Web Pro" w:hAnsi="Myriad Web Pro" w:cs="Times New Roman"/>
          <w:i/>
          <w:iCs/>
          <w:noProof/>
          <w:sz w:val="18"/>
          <w:szCs w:val="24"/>
        </w:rPr>
        <w:t>et al.</w:t>
      </w:r>
      <w:r w:rsidRPr="00A83FB0">
        <w:rPr>
          <w:rFonts w:ascii="Myriad Web Pro" w:hAnsi="Myriad Web Pro" w:cs="Times New Roman"/>
          <w:noProof/>
          <w:sz w:val="18"/>
          <w:szCs w:val="24"/>
        </w:rPr>
        <w:t xml:space="preserve"> LD Score regression distinguishes confounding from polygenicity in genome-wide association studies. </w:t>
      </w:r>
      <w:r w:rsidRPr="00A83FB0">
        <w:rPr>
          <w:rFonts w:ascii="Myriad Web Pro" w:hAnsi="Myriad Web Pro" w:cs="Times New Roman"/>
          <w:i/>
          <w:iCs/>
          <w:noProof/>
          <w:sz w:val="18"/>
          <w:szCs w:val="24"/>
        </w:rPr>
        <w:t>Nat. Genet.</w:t>
      </w:r>
      <w:r w:rsidRPr="00A83FB0">
        <w:rPr>
          <w:rFonts w:ascii="Myriad Web Pro" w:hAnsi="Myriad Web Pro" w:cs="Times New Roman"/>
          <w:noProof/>
          <w:sz w:val="18"/>
          <w:szCs w:val="24"/>
        </w:rPr>
        <w:t xml:space="preserve"> </w:t>
      </w:r>
      <w:r w:rsidRPr="00A83FB0">
        <w:rPr>
          <w:rFonts w:ascii="Myriad Web Pro" w:hAnsi="Myriad Web Pro" w:cs="Times New Roman"/>
          <w:b/>
          <w:bCs/>
          <w:noProof/>
          <w:sz w:val="18"/>
          <w:szCs w:val="24"/>
        </w:rPr>
        <w:t>47,</w:t>
      </w:r>
      <w:r w:rsidRPr="00A83FB0">
        <w:rPr>
          <w:rFonts w:ascii="Myriad Web Pro" w:hAnsi="Myriad Web Pro" w:cs="Times New Roman"/>
          <w:noProof/>
          <w:sz w:val="18"/>
          <w:szCs w:val="24"/>
        </w:rPr>
        <w:t xml:space="preserve"> 291–295 (2015).</w:t>
      </w:r>
    </w:p>
    <w:p w:rsidR="00A83FB0" w:rsidRPr="00A83FB0" w:rsidRDefault="00A83FB0">
      <w:pPr>
        <w:widowControl w:val="0"/>
        <w:autoSpaceDE w:val="0"/>
        <w:autoSpaceDN w:val="0"/>
        <w:adjustRightInd w:val="0"/>
        <w:spacing w:after="140" w:line="288" w:lineRule="auto"/>
        <w:rPr>
          <w:rFonts w:ascii="Myriad Web Pro" w:hAnsi="Myriad Web Pro" w:cs="Times New Roman"/>
          <w:noProof/>
          <w:sz w:val="18"/>
          <w:szCs w:val="24"/>
        </w:rPr>
      </w:pPr>
    </w:p>
    <w:p w:rsidR="00A83FB0" w:rsidRPr="00A83FB0" w:rsidRDefault="00A83FB0">
      <w:pPr>
        <w:widowControl w:val="0"/>
        <w:autoSpaceDE w:val="0"/>
        <w:autoSpaceDN w:val="0"/>
        <w:adjustRightInd w:val="0"/>
        <w:spacing w:after="0" w:line="240" w:lineRule="auto"/>
        <w:ind w:left="640" w:hanging="640"/>
        <w:rPr>
          <w:rFonts w:ascii="Myriad Web Pro" w:hAnsi="Myriad Web Pro" w:cs="Times New Roman"/>
          <w:noProof/>
          <w:sz w:val="18"/>
          <w:szCs w:val="24"/>
        </w:rPr>
      </w:pPr>
      <w:r w:rsidRPr="00A83FB0">
        <w:rPr>
          <w:rFonts w:ascii="Myriad Web Pro" w:hAnsi="Myriad Web Pro" w:cs="Times New Roman"/>
          <w:noProof/>
          <w:sz w:val="18"/>
          <w:szCs w:val="24"/>
        </w:rPr>
        <w:t>2.</w:t>
      </w:r>
      <w:r w:rsidRPr="00A83FB0">
        <w:rPr>
          <w:rFonts w:ascii="Myriad Web Pro" w:hAnsi="Myriad Web Pro" w:cs="Times New Roman"/>
          <w:noProof/>
          <w:sz w:val="18"/>
          <w:szCs w:val="24"/>
        </w:rPr>
        <w:tab/>
        <w:t xml:space="preserve">Hayat, S. A. </w:t>
      </w:r>
      <w:r w:rsidRPr="00A83FB0">
        <w:rPr>
          <w:rFonts w:ascii="Myriad Web Pro" w:hAnsi="Myriad Web Pro" w:cs="Times New Roman"/>
          <w:i/>
          <w:iCs/>
          <w:noProof/>
          <w:sz w:val="18"/>
          <w:szCs w:val="24"/>
        </w:rPr>
        <w:t>et al.</w:t>
      </w:r>
      <w:r w:rsidRPr="00A83FB0">
        <w:rPr>
          <w:rFonts w:ascii="Myriad Web Pro" w:hAnsi="Myriad Web Pro" w:cs="Times New Roman"/>
          <w:noProof/>
          <w:sz w:val="18"/>
          <w:szCs w:val="24"/>
        </w:rPr>
        <w:t xml:space="preserve"> Cohort profile: A prospective cohort study of objective physical and cognitive capability and visual health in an ageing population of men and women in Norfolk (EPIC-Norfolk 3). </w:t>
      </w:r>
      <w:r w:rsidRPr="00A83FB0">
        <w:rPr>
          <w:rFonts w:ascii="Myriad Web Pro" w:hAnsi="Myriad Web Pro" w:cs="Times New Roman"/>
          <w:i/>
          <w:iCs/>
          <w:noProof/>
          <w:sz w:val="18"/>
          <w:szCs w:val="24"/>
        </w:rPr>
        <w:t>Int. J. Epidemiol.</w:t>
      </w:r>
      <w:r w:rsidRPr="00A83FB0">
        <w:rPr>
          <w:rFonts w:ascii="Myriad Web Pro" w:hAnsi="Myriad Web Pro" w:cs="Times New Roman"/>
          <w:noProof/>
          <w:sz w:val="18"/>
          <w:szCs w:val="24"/>
        </w:rPr>
        <w:t xml:space="preserve"> </w:t>
      </w:r>
      <w:r w:rsidRPr="00A83FB0">
        <w:rPr>
          <w:rFonts w:ascii="Myriad Web Pro" w:hAnsi="Myriad Web Pro" w:cs="Times New Roman"/>
          <w:b/>
          <w:bCs/>
          <w:noProof/>
          <w:sz w:val="18"/>
          <w:szCs w:val="24"/>
        </w:rPr>
        <w:t>43,</w:t>
      </w:r>
      <w:r w:rsidRPr="00A83FB0">
        <w:rPr>
          <w:rFonts w:ascii="Myriad Web Pro" w:hAnsi="Myriad Web Pro" w:cs="Times New Roman"/>
          <w:noProof/>
          <w:sz w:val="18"/>
          <w:szCs w:val="24"/>
        </w:rPr>
        <w:t xml:space="preserve"> 1063–72 (2014).</w:t>
      </w:r>
    </w:p>
    <w:p w:rsidR="00A83FB0" w:rsidRPr="00A83FB0" w:rsidRDefault="00A83FB0">
      <w:pPr>
        <w:widowControl w:val="0"/>
        <w:autoSpaceDE w:val="0"/>
        <w:autoSpaceDN w:val="0"/>
        <w:adjustRightInd w:val="0"/>
        <w:spacing w:after="140" w:line="288" w:lineRule="auto"/>
        <w:rPr>
          <w:rFonts w:ascii="Myriad Web Pro" w:hAnsi="Myriad Web Pro" w:cs="Times New Roman"/>
          <w:noProof/>
          <w:sz w:val="18"/>
          <w:szCs w:val="24"/>
        </w:rPr>
      </w:pPr>
    </w:p>
    <w:p w:rsidR="00A83FB0" w:rsidRPr="00A83FB0" w:rsidRDefault="00A83FB0">
      <w:pPr>
        <w:widowControl w:val="0"/>
        <w:autoSpaceDE w:val="0"/>
        <w:autoSpaceDN w:val="0"/>
        <w:adjustRightInd w:val="0"/>
        <w:spacing w:after="0" w:line="240" w:lineRule="auto"/>
        <w:ind w:left="640" w:hanging="640"/>
        <w:rPr>
          <w:rFonts w:ascii="Myriad Web Pro" w:hAnsi="Myriad Web Pro" w:cs="Times New Roman"/>
          <w:noProof/>
          <w:sz w:val="18"/>
          <w:szCs w:val="24"/>
        </w:rPr>
      </w:pPr>
      <w:r w:rsidRPr="00A83FB0">
        <w:rPr>
          <w:rFonts w:ascii="Myriad Web Pro" w:hAnsi="Myriad Web Pro" w:cs="Times New Roman"/>
          <w:noProof/>
          <w:sz w:val="18"/>
          <w:szCs w:val="24"/>
        </w:rPr>
        <w:t>3.</w:t>
      </w:r>
      <w:r w:rsidRPr="00A83FB0">
        <w:rPr>
          <w:rFonts w:ascii="Myriad Web Pro" w:hAnsi="Myriad Web Pro" w:cs="Times New Roman"/>
          <w:noProof/>
          <w:sz w:val="18"/>
          <w:szCs w:val="24"/>
        </w:rPr>
        <w:tab/>
        <w:t xml:space="preserve">De Lucia Rolfe, E. </w:t>
      </w:r>
      <w:r w:rsidRPr="00A83FB0">
        <w:rPr>
          <w:rFonts w:ascii="Myriad Web Pro" w:hAnsi="Myriad Web Pro" w:cs="Times New Roman"/>
          <w:i/>
          <w:iCs/>
          <w:noProof/>
          <w:sz w:val="18"/>
          <w:szCs w:val="24"/>
        </w:rPr>
        <w:t>et al.</w:t>
      </w:r>
      <w:r w:rsidRPr="00A83FB0">
        <w:rPr>
          <w:rFonts w:ascii="Myriad Web Pro" w:hAnsi="Myriad Web Pro" w:cs="Times New Roman"/>
          <w:noProof/>
          <w:sz w:val="18"/>
          <w:szCs w:val="24"/>
        </w:rPr>
        <w:t xml:space="preserve"> Association between birth weight and visceral fat in adults. </w:t>
      </w:r>
      <w:r w:rsidRPr="00A83FB0">
        <w:rPr>
          <w:rFonts w:ascii="Myriad Web Pro" w:hAnsi="Myriad Web Pro" w:cs="Times New Roman"/>
          <w:i/>
          <w:iCs/>
          <w:noProof/>
          <w:sz w:val="18"/>
          <w:szCs w:val="24"/>
        </w:rPr>
        <w:t>Am. J. Clin. Nutr.</w:t>
      </w:r>
      <w:r w:rsidRPr="00A83FB0">
        <w:rPr>
          <w:rFonts w:ascii="Myriad Web Pro" w:hAnsi="Myriad Web Pro" w:cs="Times New Roman"/>
          <w:noProof/>
          <w:sz w:val="18"/>
          <w:szCs w:val="24"/>
        </w:rPr>
        <w:t xml:space="preserve"> </w:t>
      </w:r>
      <w:r w:rsidRPr="00A83FB0">
        <w:rPr>
          <w:rFonts w:ascii="Myriad Web Pro" w:hAnsi="Myriad Web Pro" w:cs="Times New Roman"/>
          <w:b/>
          <w:bCs/>
          <w:noProof/>
          <w:sz w:val="18"/>
          <w:szCs w:val="24"/>
        </w:rPr>
        <w:t>92,</w:t>
      </w:r>
      <w:r w:rsidRPr="00A83FB0">
        <w:rPr>
          <w:rFonts w:ascii="Myriad Web Pro" w:hAnsi="Myriad Web Pro" w:cs="Times New Roman"/>
          <w:noProof/>
          <w:sz w:val="18"/>
          <w:szCs w:val="24"/>
        </w:rPr>
        <w:t xml:space="preserve"> 347–52 (2010).</w:t>
      </w:r>
    </w:p>
    <w:p w:rsidR="00A83FB0" w:rsidRPr="00A83FB0" w:rsidRDefault="00A83FB0">
      <w:pPr>
        <w:widowControl w:val="0"/>
        <w:autoSpaceDE w:val="0"/>
        <w:autoSpaceDN w:val="0"/>
        <w:adjustRightInd w:val="0"/>
        <w:spacing w:after="140" w:line="288" w:lineRule="auto"/>
        <w:rPr>
          <w:rFonts w:ascii="Myriad Web Pro" w:hAnsi="Myriad Web Pro" w:cs="Times New Roman"/>
          <w:noProof/>
          <w:sz w:val="18"/>
          <w:szCs w:val="24"/>
        </w:rPr>
      </w:pPr>
    </w:p>
    <w:p w:rsidR="00A83FB0" w:rsidRPr="00A83FB0" w:rsidRDefault="00A83FB0">
      <w:pPr>
        <w:widowControl w:val="0"/>
        <w:autoSpaceDE w:val="0"/>
        <w:autoSpaceDN w:val="0"/>
        <w:adjustRightInd w:val="0"/>
        <w:spacing w:after="0" w:line="240" w:lineRule="auto"/>
        <w:ind w:left="640" w:hanging="640"/>
        <w:rPr>
          <w:rFonts w:ascii="Myriad Web Pro" w:hAnsi="Myriad Web Pro" w:cs="Times New Roman"/>
          <w:noProof/>
          <w:sz w:val="18"/>
          <w:szCs w:val="24"/>
        </w:rPr>
      </w:pPr>
      <w:r w:rsidRPr="00A83FB0">
        <w:rPr>
          <w:rFonts w:ascii="Myriad Web Pro" w:hAnsi="Myriad Web Pro" w:cs="Times New Roman"/>
          <w:noProof/>
          <w:sz w:val="18"/>
          <w:szCs w:val="24"/>
        </w:rPr>
        <w:t>4.</w:t>
      </w:r>
      <w:r w:rsidRPr="00A83FB0">
        <w:rPr>
          <w:rFonts w:ascii="Myriad Web Pro" w:hAnsi="Myriad Web Pro" w:cs="Times New Roman"/>
          <w:noProof/>
          <w:sz w:val="18"/>
          <w:szCs w:val="24"/>
        </w:rPr>
        <w:tab/>
        <w:t xml:space="preserve">Matteini, A. M. </w:t>
      </w:r>
      <w:r w:rsidRPr="00A83FB0">
        <w:rPr>
          <w:rFonts w:ascii="Myriad Web Pro" w:hAnsi="Myriad Web Pro" w:cs="Times New Roman"/>
          <w:i/>
          <w:iCs/>
          <w:noProof/>
          <w:sz w:val="18"/>
          <w:szCs w:val="24"/>
        </w:rPr>
        <w:t>et al.</w:t>
      </w:r>
      <w:r w:rsidRPr="00A83FB0">
        <w:rPr>
          <w:rFonts w:ascii="Myriad Web Pro" w:hAnsi="Myriad Web Pro" w:cs="Times New Roman"/>
          <w:noProof/>
          <w:sz w:val="18"/>
          <w:szCs w:val="24"/>
        </w:rPr>
        <w:t xml:space="preserve"> GWAS analysis of handgrip and lower body strength in older adults in the CHARGE consortium. </w:t>
      </w:r>
      <w:r w:rsidRPr="00A83FB0">
        <w:rPr>
          <w:rFonts w:ascii="Myriad Web Pro" w:hAnsi="Myriad Web Pro" w:cs="Times New Roman"/>
          <w:i/>
          <w:iCs/>
          <w:noProof/>
          <w:sz w:val="18"/>
          <w:szCs w:val="24"/>
        </w:rPr>
        <w:t>Aging Cell</w:t>
      </w:r>
      <w:r w:rsidRPr="00A83FB0">
        <w:rPr>
          <w:rFonts w:ascii="Myriad Web Pro" w:hAnsi="Myriad Web Pro" w:cs="Times New Roman"/>
          <w:noProof/>
          <w:sz w:val="18"/>
          <w:szCs w:val="24"/>
        </w:rPr>
        <w:t xml:space="preserve"> 1–9 (2016). doi:10.1111/acel.12468</w:t>
      </w:r>
    </w:p>
    <w:p w:rsidR="00A83FB0" w:rsidRPr="00A83FB0" w:rsidRDefault="00A83FB0">
      <w:pPr>
        <w:widowControl w:val="0"/>
        <w:autoSpaceDE w:val="0"/>
        <w:autoSpaceDN w:val="0"/>
        <w:adjustRightInd w:val="0"/>
        <w:spacing w:after="140" w:line="288" w:lineRule="auto"/>
        <w:rPr>
          <w:rFonts w:ascii="Myriad Web Pro" w:hAnsi="Myriad Web Pro" w:cs="Times New Roman"/>
          <w:noProof/>
          <w:sz w:val="18"/>
          <w:szCs w:val="24"/>
        </w:rPr>
      </w:pPr>
    </w:p>
    <w:p w:rsidR="00A83FB0" w:rsidRPr="00A83FB0" w:rsidRDefault="00A83FB0">
      <w:pPr>
        <w:widowControl w:val="0"/>
        <w:autoSpaceDE w:val="0"/>
        <w:autoSpaceDN w:val="0"/>
        <w:adjustRightInd w:val="0"/>
        <w:spacing w:after="0" w:line="240" w:lineRule="auto"/>
        <w:ind w:left="640" w:hanging="640"/>
        <w:rPr>
          <w:rFonts w:ascii="Myriad Web Pro" w:hAnsi="Myriad Web Pro" w:cs="Times New Roman"/>
          <w:noProof/>
          <w:sz w:val="18"/>
          <w:szCs w:val="24"/>
        </w:rPr>
      </w:pPr>
      <w:r w:rsidRPr="00A83FB0">
        <w:rPr>
          <w:rFonts w:ascii="Myriad Web Pro" w:hAnsi="Myriad Web Pro" w:cs="Times New Roman"/>
          <w:noProof/>
          <w:sz w:val="18"/>
          <w:szCs w:val="24"/>
        </w:rPr>
        <w:t>5.</w:t>
      </w:r>
      <w:r w:rsidRPr="00A83FB0">
        <w:rPr>
          <w:rFonts w:ascii="Myriad Web Pro" w:hAnsi="Myriad Web Pro" w:cs="Times New Roman"/>
          <w:noProof/>
          <w:sz w:val="18"/>
          <w:szCs w:val="24"/>
        </w:rPr>
        <w:tab/>
        <w:t xml:space="preserve">Harris, T. B. </w:t>
      </w:r>
      <w:r w:rsidRPr="00A83FB0">
        <w:rPr>
          <w:rFonts w:ascii="Myriad Web Pro" w:hAnsi="Myriad Web Pro" w:cs="Times New Roman"/>
          <w:i/>
          <w:iCs/>
          <w:noProof/>
          <w:sz w:val="18"/>
          <w:szCs w:val="24"/>
        </w:rPr>
        <w:t>et al.</w:t>
      </w:r>
      <w:r w:rsidRPr="00A83FB0">
        <w:rPr>
          <w:rFonts w:ascii="Myriad Web Pro" w:hAnsi="Myriad Web Pro" w:cs="Times New Roman"/>
          <w:noProof/>
          <w:sz w:val="18"/>
          <w:szCs w:val="24"/>
        </w:rPr>
        <w:t xml:space="preserve"> Age, Gene/Environment Susceptibility-Reykjavik Study: multidisciplinary applied phenomics. </w:t>
      </w:r>
      <w:r w:rsidRPr="00A83FB0">
        <w:rPr>
          <w:rFonts w:ascii="Myriad Web Pro" w:hAnsi="Myriad Web Pro" w:cs="Times New Roman"/>
          <w:i/>
          <w:iCs/>
          <w:noProof/>
          <w:sz w:val="18"/>
          <w:szCs w:val="24"/>
        </w:rPr>
        <w:t>Am. J. Epidemiol.</w:t>
      </w:r>
      <w:r w:rsidRPr="00A83FB0">
        <w:rPr>
          <w:rFonts w:ascii="Myriad Web Pro" w:hAnsi="Myriad Web Pro" w:cs="Times New Roman"/>
          <w:noProof/>
          <w:sz w:val="18"/>
          <w:szCs w:val="24"/>
        </w:rPr>
        <w:t xml:space="preserve"> </w:t>
      </w:r>
      <w:r w:rsidRPr="00A83FB0">
        <w:rPr>
          <w:rFonts w:ascii="Myriad Web Pro" w:hAnsi="Myriad Web Pro" w:cs="Times New Roman"/>
          <w:b/>
          <w:bCs/>
          <w:noProof/>
          <w:sz w:val="18"/>
          <w:szCs w:val="24"/>
        </w:rPr>
        <w:t>165,</w:t>
      </w:r>
      <w:r w:rsidRPr="00A83FB0">
        <w:rPr>
          <w:rFonts w:ascii="Myriad Web Pro" w:hAnsi="Myriad Web Pro" w:cs="Times New Roman"/>
          <w:noProof/>
          <w:sz w:val="18"/>
          <w:szCs w:val="24"/>
        </w:rPr>
        <w:t xml:space="preserve"> 1076–87 (2007).</w:t>
      </w:r>
    </w:p>
    <w:p w:rsidR="00A83FB0" w:rsidRPr="00A83FB0" w:rsidRDefault="00A83FB0">
      <w:pPr>
        <w:widowControl w:val="0"/>
        <w:autoSpaceDE w:val="0"/>
        <w:autoSpaceDN w:val="0"/>
        <w:adjustRightInd w:val="0"/>
        <w:spacing w:after="140" w:line="288" w:lineRule="auto"/>
        <w:rPr>
          <w:rFonts w:ascii="Myriad Web Pro" w:hAnsi="Myriad Web Pro" w:cs="Times New Roman"/>
          <w:noProof/>
          <w:sz w:val="18"/>
          <w:szCs w:val="24"/>
        </w:rPr>
      </w:pPr>
    </w:p>
    <w:p w:rsidR="00A83FB0" w:rsidRPr="00A83FB0" w:rsidRDefault="00A83FB0">
      <w:pPr>
        <w:widowControl w:val="0"/>
        <w:autoSpaceDE w:val="0"/>
        <w:autoSpaceDN w:val="0"/>
        <w:adjustRightInd w:val="0"/>
        <w:spacing w:after="0" w:line="240" w:lineRule="auto"/>
        <w:ind w:left="640" w:hanging="640"/>
        <w:rPr>
          <w:rFonts w:ascii="Myriad Web Pro" w:hAnsi="Myriad Web Pro" w:cs="Times New Roman"/>
          <w:noProof/>
          <w:sz w:val="18"/>
          <w:szCs w:val="24"/>
        </w:rPr>
      </w:pPr>
      <w:r w:rsidRPr="00A83FB0">
        <w:rPr>
          <w:rFonts w:ascii="Myriad Web Pro" w:hAnsi="Myriad Web Pro" w:cs="Times New Roman"/>
          <w:noProof/>
          <w:sz w:val="18"/>
          <w:szCs w:val="24"/>
        </w:rPr>
        <w:t>6.</w:t>
      </w:r>
      <w:r w:rsidRPr="00A83FB0">
        <w:rPr>
          <w:rFonts w:ascii="Myriad Web Pro" w:hAnsi="Myriad Web Pro" w:cs="Times New Roman"/>
          <w:noProof/>
          <w:sz w:val="18"/>
          <w:szCs w:val="24"/>
        </w:rPr>
        <w:tab/>
        <w:t xml:space="preserve">Fried, L. P. </w:t>
      </w:r>
      <w:r w:rsidRPr="00A83FB0">
        <w:rPr>
          <w:rFonts w:ascii="Myriad Web Pro" w:hAnsi="Myriad Web Pro" w:cs="Times New Roman"/>
          <w:i/>
          <w:iCs/>
          <w:noProof/>
          <w:sz w:val="18"/>
          <w:szCs w:val="24"/>
        </w:rPr>
        <w:t>et al.</w:t>
      </w:r>
      <w:r w:rsidRPr="00A83FB0">
        <w:rPr>
          <w:rFonts w:ascii="Myriad Web Pro" w:hAnsi="Myriad Web Pro" w:cs="Times New Roman"/>
          <w:noProof/>
          <w:sz w:val="18"/>
          <w:szCs w:val="24"/>
        </w:rPr>
        <w:t xml:space="preserve"> The Cardiovascular Health Study: design and rationale. </w:t>
      </w:r>
      <w:r w:rsidRPr="00A83FB0">
        <w:rPr>
          <w:rFonts w:ascii="Myriad Web Pro" w:hAnsi="Myriad Web Pro" w:cs="Times New Roman"/>
          <w:i/>
          <w:iCs/>
          <w:noProof/>
          <w:sz w:val="18"/>
          <w:szCs w:val="24"/>
        </w:rPr>
        <w:t>Ann. Epidemiol.</w:t>
      </w:r>
      <w:r w:rsidRPr="00A83FB0">
        <w:rPr>
          <w:rFonts w:ascii="Myriad Web Pro" w:hAnsi="Myriad Web Pro" w:cs="Times New Roman"/>
          <w:noProof/>
          <w:sz w:val="18"/>
          <w:szCs w:val="24"/>
        </w:rPr>
        <w:t xml:space="preserve"> </w:t>
      </w:r>
      <w:r w:rsidRPr="00A83FB0">
        <w:rPr>
          <w:rFonts w:ascii="Myriad Web Pro" w:hAnsi="Myriad Web Pro" w:cs="Times New Roman"/>
          <w:b/>
          <w:bCs/>
          <w:noProof/>
          <w:sz w:val="18"/>
          <w:szCs w:val="24"/>
        </w:rPr>
        <w:t>1,</w:t>
      </w:r>
      <w:r w:rsidRPr="00A83FB0">
        <w:rPr>
          <w:rFonts w:ascii="Myriad Web Pro" w:hAnsi="Myriad Web Pro" w:cs="Times New Roman"/>
          <w:noProof/>
          <w:sz w:val="18"/>
          <w:szCs w:val="24"/>
        </w:rPr>
        <w:t xml:space="preserve"> 263–76 (1991).</w:t>
      </w:r>
    </w:p>
    <w:p w:rsidR="00A83FB0" w:rsidRPr="00A83FB0" w:rsidRDefault="00A83FB0">
      <w:pPr>
        <w:widowControl w:val="0"/>
        <w:autoSpaceDE w:val="0"/>
        <w:autoSpaceDN w:val="0"/>
        <w:adjustRightInd w:val="0"/>
        <w:spacing w:after="140" w:line="288" w:lineRule="auto"/>
        <w:rPr>
          <w:rFonts w:ascii="Myriad Web Pro" w:hAnsi="Myriad Web Pro" w:cs="Times New Roman"/>
          <w:noProof/>
          <w:sz w:val="18"/>
          <w:szCs w:val="24"/>
        </w:rPr>
      </w:pPr>
    </w:p>
    <w:p w:rsidR="00A83FB0" w:rsidRPr="00A83FB0" w:rsidRDefault="00A83FB0">
      <w:pPr>
        <w:widowControl w:val="0"/>
        <w:autoSpaceDE w:val="0"/>
        <w:autoSpaceDN w:val="0"/>
        <w:adjustRightInd w:val="0"/>
        <w:spacing w:after="0" w:line="240" w:lineRule="auto"/>
        <w:ind w:left="640" w:hanging="640"/>
        <w:rPr>
          <w:rFonts w:ascii="Myriad Web Pro" w:hAnsi="Myriad Web Pro" w:cs="Times New Roman"/>
          <w:noProof/>
          <w:sz w:val="18"/>
          <w:szCs w:val="24"/>
        </w:rPr>
      </w:pPr>
      <w:r w:rsidRPr="00A83FB0">
        <w:rPr>
          <w:rFonts w:ascii="Myriad Web Pro" w:hAnsi="Myriad Web Pro" w:cs="Times New Roman"/>
          <w:noProof/>
          <w:sz w:val="18"/>
          <w:szCs w:val="24"/>
        </w:rPr>
        <w:t>7.</w:t>
      </w:r>
      <w:r w:rsidRPr="00A83FB0">
        <w:rPr>
          <w:rFonts w:ascii="Myriad Web Pro" w:hAnsi="Myriad Web Pro" w:cs="Times New Roman"/>
          <w:noProof/>
          <w:sz w:val="18"/>
          <w:szCs w:val="24"/>
        </w:rPr>
        <w:tab/>
        <w:t xml:space="preserve">DAWBER, T. R., MEADORS, G. F. &amp; MOORE, F. E. Epidemiological approaches to heart disease: the Framingham Study. </w:t>
      </w:r>
      <w:r w:rsidRPr="00A83FB0">
        <w:rPr>
          <w:rFonts w:ascii="Myriad Web Pro" w:hAnsi="Myriad Web Pro" w:cs="Times New Roman"/>
          <w:i/>
          <w:iCs/>
          <w:noProof/>
          <w:sz w:val="18"/>
          <w:szCs w:val="24"/>
        </w:rPr>
        <w:t>Am. J. Public Health Nations. Health</w:t>
      </w:r>
      <w:r w:rsidRPr="00A83FB0">
        <w:rPr>
          <w:rFonts w:ascii="Myriad Web Pro" w:hAnsi="Myriad Web Pro" w:cs="Times New Roman"/>
          <w:noProof/>
          <w:sz w:val="18"/>
          <w:szCs w:val="24"/>
        </w:rPr>
        <w:t xml:space="preserve"> </w:t>
      </w:r>
      <w:r w:rsidRPr="00A83FB0">
        <w:rPr>
          <w:rFonts w:ascii="Myriad Web Pro" w:hAnsi="Myriad Web Pro" w:cs="Times New Roman"/>
          <w:b/>
          <w:bCs/>
          <w:noProof/>
          <w:sz w:val="18"/>
          <w:szCs w:val="24"/>
        </w:rPr>
        <w:t>41,</w:t>
      </w:r>
      <w:r w:rsidRPr="00A83FB0">
        <w:rPr>
          <w:rFonts w:ascii="Myriad Web Pro" w:hAnsi="Myriad Web Pro" w:cs="Times New Roman"/>
          <w:noProof/>
          <w:sz w:val="18"/>
          <w:szCs w:val="24"/>
        </w:rPr>
        <w:t xml:space="preserve"> 279–81 (1951).</w:t>
      </w:r>
    </w:p>
    <w:p w:rsidR="00A83FB0" w:rsidRPr="00A83FB0" w:rsidRDefault="00A83FB0">
      <w:pPr>
        <w:widowControl w:val="0"/>
        <w:autoSpaceDE w:val="0"/>
        <w:autoSpaceDN w:val="0"/>
        <w:adjustRightInd w:val="0"/>
        <w:spacing w:after="140" w:line="288" w:lineRule="auto"/>
        <w:rPr>
          <w:rFonts w:ascii="Myriad Web Pro" w:hAnsi="Myriad Web Pro" w:cs="Times New Roman"/>
          <w:noProof/>
          <w:sz w:val="18"/>
          <w:szCs w:val="24"/>
        </w:rPr>
      </w:pPr>
    </w:p>
    <w:p w:rsidR="00A83FB0" w:rsidRPr="00A83FB0" w:rsidRDefault="00A83FB0">
      <w:pPr>
        <w:widowControl w:val="0"/>
        <w:autoSpaceDE w:val="0"/>
        <w:autoSpaceDN w:val="0"/>
        <w:adjustRightInd w:val="0"/>
        <w:spacing w:after="0" w:line="240" w:lineRule="auto"/>
        <w:ind w:left="640" w:hanging="640"/>
        <w:rPr>
          <w:rFonts w:ascii="Myriad Web Pro" w:hAnsi="Myriad Web Pro" w:cs="Times New Roman"/>
          <w:noProof/>
          <w:sz w:val="18"/>
          <w:szCs w:val="24"/>
        </w:rPr>
      </w:pPr>
      <w:r w:rsidRPr="00A83FB0">
        <w:rPr>
          <w:rFonts w:ascii="Myriad Web Pro" w:hAnsi="Myriad Web Pro" w:cs="Times New Roman"/>
          <w:noProof/>
          <w:sz w:val="18"/>
          <w:szCs w:val="24"/>
        </w:rPr>
        <w:t>8.</w:t>
      </w:r>
      <w:r w:rsidRPr="00A83FB0">
        <w:rPr>
          <w:rFonts w:ascii="Myriad Web Pro" w:hAnsi="Myriad Web Pro" w:cs="Times New Roman"/>
          <w:noProof/>
          <w:sz w:val="18"/>
          <w:szCs w:val="24"/>
        </w:rPr>
        <w:tab/>
        <w:t xml:space="preserve">Harris, T. B. </w:t>
      </w:r>
      <w:r w:rsidRPr="00A83FB0">
        <w:rPr>
          <w:rFonts w:ascii="Myriad Web Pro" w:hAnsi="Myriad Web Pro" w:cs="Times New Roman"/>
          <w:i/>
          <w:iCs/>
          <w:noProof/>
          <w:sz w:val="18"/>
          <w:szCs w:val="24"/>
        </w:rPr>
        <w:t>et al.</w:t>
      </w:r>
      <w:r w:rsidRPr="00A83FB0">
        <w:rPr>
          <w:rFonts w:ascii="Myriad Web Pro" w:hAnsi="Myriad Web Pro" w:cs="Times New Roman"/>
          <w:noProof/>
          <w:sz w:val="18"/>
          <w:szCs w:val="24"/>
        </w:rPr>
        <w:t xml:space="preserve"> Waist circumference and sagittal diameter reflect total body fat better than visceral fat in older men and women. The Health, Aging and Body Composition Study. </w:t>
      </w:r>
      <w:r w:rsidRPr="00A83FB0">
        <w:rPr>
          <w:rFonts w:ascii="Myriad Web Pro" w:hAnsi="Myriad Web Pro" w:cs="Times New Roman"/>
          <w:i/>
          <w:iCs/>
          <w:noProof/>
          <w:sz w:val="18"/>
          <w:szCs w:val="24"/>
        </w:rPr>
        <w:t>Ann. N. Y. Acad. Sci.</w:t>
      </w:r>
      <w:r w:rsidRPr="00A83FB0">
        <w:rPr>
          <w:rFonts w:ascii="Myriad Web Pro" w:hAnsi="Myriad Web Pro" w:cs="Times New Roman"/>
          <w:noProof/>
          <w:sz w:val="18"/>
          <w:szCs w:val="24"/>
        </w:rPr>
        <w:t xml:space="preserve"> </w:t>
      </w:r>
      <w:r w:rsidRPr="00A83FB0">
        <w:rPr>
          <w:rFonts w:ascii="Myriad Web Pro" w:hAnsi="Myriad Web Pro" w:cs="Times New Roman"/>
          <w:b/>
          <w:bCs/>
          <w:noProof/>
          <w:sz w:val="18"/>
          <w:szCs w:val="24"/>
        </w:rPr>
        <w:t>904,</w:t>
      </w:r>
      <w:r w:rsidRPr="00A83FB0">
        <w:rPr>
          <w:rFonts w:ascii="Myriad Web Pro" w:hAnsi="Myriad Web Pro" w:cs="Times New Roman"/>
          <w:noProof/>
          <w:sz w:val="18"/>
          <w:szCs w:val="24"/>
        </w:rPr>
        <w:t xml:space="preserve"> 462–73 (2000).</w:t>
      </w:r>
    </w:p>
    <w:p w:rsidR="00A83FB0" w:rsidRPr="00A83FB0" w:rsidRDefault="00A83FB0">
      <w:pPr>
        <w:widowControl w:val="0"/>
        <w:autoSpaceDE w:val="0"/>
        <w:autoSpaceDN w:val="0"/>
        <w:adjustRightInd w:val="0"/>
        <w:spacing w:after="140" w:line="288" w:lineRule="auto"/>
        <w:rPr>
          <w:rFonts w:ascii="Myriad Web Pro" w:hAnsi="Myriad Web Pro" w:cs="Times New Roman"/>
          <w:noProof/>
          <w:sz w:val="18"/>
          <w:szCs w:val="24"/>
        </w:rPr>
      </w:pPr>
    </w:p>
    <w:p w:rsidR="00A83FB0" w:rsidRPr="00A83FB0" w:rsidRDefault="00A83FB0">
      <w:pPr>
        <w:widowControl w:val="0"/>
        <w:autoSpaceDE w:val="0"/>
        <w:autoSpaceDN w:val="0"/>
        <w:adjustRightInd w:val="0"/>
        <w:spacing w:after="0" w:line="240" w:lineRule="auto"/>
        <w:ind w:left="640" w:hanging="640"/>
        <w:rPr>
          <w:rFonts w:ascii="Myriad Web Pro" w:hAnsi="Myriad Web Pro" w:cs="Times New Roman"/>
          <w:noProof/>
          <w:sz w:val="18"/>
          <w:szCs w:val="24"/>
        </w:rPr>
      </w:pPr>
      <w:r w:rsidRPr="00A83FB0">
        <w:rPr>
          <w:rFonts w:ascii="Myriad Web Pro" w:hAnsi="Myriad Web Pro" w:cs="Times New Roman"/>
          <w:noProof/>
          <w:sz w:val="18"/>
          <w:szCs w:val="24"/>
        </w:rPr>
        <w:t>9.</w:t>
      </w:r>
      <w:r w:rsidRPr="00A83FB0">
        <w:rPr>
          <w:rFonts w:ascii="Myriad Web Pro" w:hAnsi="Myriad Web Pro" w:cs="Times New Roman"/>
          <w:noProof/>
          <w:sz w:val="18"/>
          <w:szCs w:val="24"/>
        </w:rPr>
        <w:tab/>
        <w:t xml:space="preserve">Sonnega, A. </w:t>
      </w:r>
      <w:r w:rsidRPr="00A83FB0">
        <w:rPr>
          <w:rFonts w:ascii="Myriad Web Pro" w:hAnsi="Myriad Web Pro" w:cs="Times New Roman"/>
          <w:i/>
          <w:iCs/>
          <w:noProof/>
          <w:sz w:val="18"/>
          <w:szCs w:val="24"/>
        </w:rPr>
        <w:t>et al.</w:t>
      </w:r>
      <w:r w:rsidRPr="00A83FB0">
        <w:rPr>
          <w:rFonts w:ascii="Myriad Web Pro" w:hAnsi="Myriad Web Pro" w:cs="Times New Roman"/>
          <w:noProof/>
          <w:sz w:val="18"/>
          <w:szCs w:val="24"/>
        </w:rPr>
        <w:t xml:space="preserve"> Cohort Profile: the Health and Retirement Study (HRS). </w:t>
      </w:r>
      <w:r w:rsidRPr="00A83FB0">
        <w:rPr>
          <w:rFonts w:ascii="Myriad Web Pro" w:hAnsi="Myriad Web Pro" w:cs="Times New Roman"/>
          <w:i/>
          <w:iCs/>
          <w:noProof/>
          <w:sz w:val="18"/>
          <w:szCs w:val="24"/>
        </w:rPr>
        <w:t>Int. J. Epidemiol.</w:t>
      </w:r>
      <w:r w:rsidRPr="00A83FB0">
        <w:rPr>
          <w:rFonts w:ascii="Myriad Web Pro" w:hAnsi="Myriad Web Pro" w:cs="Times New Roman"/>
          <w:noProof/>
          <w:sz w:val="18"/>
          <w:szCs w:val="24"/>
        </w:rPr>
        <w:t xml:space="preserve"> </w:t>
      </w:r>
      <w:r w:rsidRPr="00A83FB0">
        <w:rPr>
          <w:rFonts w:ascii="Myriad Web Pro" w:hAnsi="Myriad Web Pro" w:cs="Times New Roman"/>
          <w:b/>
          <w:bCs/>
          <w:noProof/>
          <w:sz w:val="18"/>
          <w:szCs w:val="24"/>
        </w:rPr>
        <w:t>43,</w:t>
      </w:r>
      <w:r w:rsidRPr="00A83FB0">
        <w:rPr>
          <w:rFonts w:ascii="Myriad Web Pro" w:hAnsi="Myriad Web Pro" w:cs="Times New Roman"/>
          <w:noProof/>
          <w:sz w:val="18"/>
          <w:szCs w:val="24"/>
        </w:rPr>
        <w:t xml:space="preserve"> 576–85 (2014).</w:t>
      </w:r>
    </w:p>
    <w:p w:rsidR="00A83FB0" w:rsidRPr="00A83FB0" w:rsidRDefault="00A83FB0">
      <w:pPr>
        <w:widowControl w:val="0"/>
        <w:autoSpaceDE w:val="0"/>
        <w:autoSpaceDN w:val="0"/>
        <w:adjustRightInd w:val="0"/>
        <w:spacing w:after="140" w:line="288" w:lineRule="auto"/>
        <w:rPr>
          <w:rFonts w:ascii="Myriad Web Pro" w:hAnsi="Myriad Web Pro" w:cs="Times New Roman"/>
          <w:noProof/>
          <w:sz w:val="18"/>
          <w:szCs w:val="24"/>
        </w:rPr>
      </w:pPr>
    </w:p>
    <w:p w:rsidR="00A83FB0" w:rsidRPr="00A83FB0" w:rsidRDefault="00A83FB0">
      <w:pPr>
        <w:widowControl w:val="0"/>
        <w:autoSpaceDE w:val="0"/>
        <w:autoSpaceDN w:val="0"/>
        <w:adjustRightInd w:val="0"/>
        <w:spacing w:after="0" w:line="240" w:lineRule="auto"/>
        <w:ind w:left="640" w:hanging="640"/>
        <w:rPr>
          <w:rFonts w:ascii="Myriad Web Pro" w:hAnsi="Myriad Web Pro" w:cs="Times New Roman"/>
          <w:noProof/>
          <w:sz w:val="18"/>
          <w:szCs w:val="24"/>
        </w:rPr>
      </w:pPr>
      <w:r w:rsidRPr="00A83FB0">
        <w:rPr>
          <w:rFonts w:ascii="Myriad Web Pro" w:hAnsi="Myriad Web Pro" w:cs="Times New Roman"/>
          <w:noProof/>
          <w:sz w:val="18"/>
          <w:szCs w:val="24"/>
        </w:rPr>
        <w:t>10.</w:t>
      </w:r>
      <w:r w:rsidRPr="00A83FB0">
        <w:rPr>
          <w:rFonts w:ascii="Myriad Web Pro" w:hAnsi="Myriad Web Pro" w:cs="Times New Roman"/>
          <w:noProof/>
          <w:sz w:val="18"/>
          <w:szCs w:val="24"/>
        </w:rPr>
        <w:tab/>
        <w:t xml:space="preserve">Ferrucci, L. </w:t>
      </w:r>
      <w:r w:rsidRPr="00A83FB0">
        <w:rPr>
          <w:rFonts w:ascii="Myriad Web Pro" w:hAnsi="Myriad Web Pro" w:cs="Times New Roman"/>
          <w:i/>
          <w:iCs/>
          <w:noProof/>
          <w:sz w:val="18"/>
          <w:szCs w:val="24"/>
        </w:rPr>
        <w:t>et al.</w:t>
      </w:r>
      <w:r w:rsidRPr="00A83FB0">
        <w:rPr>
          <w:rFonts w:ascii="Myriad Web Pro" w:hAnsi="Myriad Web Pro" w:cs="Times New Roman"/>
          <w:noProof/>
          <w:sz w:val="18"/>
          <w:szCs w:val="24"/>
        </w:rPr>
        <w:t xml:space="preserve"> Subsystems contributing to the decline in ability to walk: bridging the gap between epidemiology and geriatric practice in the InCHIANTI study. </w:t>
      </w:r>
      <w:r w:rsidRPr="00A83FB0">
        <w:rPr>
          <w:rFonts w:ascii="Myriad Web Pro" w:hAnsi="Myriad Web Pro" w:cs="Times New Roman"/>
          <w:i/>
          <w:iCs/>
          <w:noProof/>
          <w:sz w:val="18"/>
          <w:szCs w:val="24"/>
        </w:rPr>
        <w:t>J. Am. Geriatr. Soc.</w:t>
      </w:r>
      <w:r w:rsidRPr="00A83FB0">
        <w:rPr>
          <w:rFonts w:ascii="Myriad Web Pro" w:hAnsi="Myriad Web Pro" w:cs="Times New Roman"/>
          <w:noProof/>
          <w:sz w:val="18"/>
          <w:szCs w:val="24"/>
        </w:rPr>
        <w:t xml:space="preserve"> </w:t>
      </w:r>
      <w:r w:rsidRPr="00A83FB0">
        <w:rPr>
          <w:rFonts w:ascii="Myriad Web Pro" w:hAnsi="Myriad Web Pro" w:cs="Times New Roman"/>
          <w:b/>
          <w:bCs/>
          <w:noProof/>
          <w:sz w:val="18"/>
          <w:szCs w:val="24"/>
        </w:rPr>
        <w:t>48,</w:t>
      </w:r>
      <w:r w:rsidRPr="00A83FB0">
        <w:rPr>
          <w:rFonts w:ascii="Myriad Web Pro" w:hAnsi="Myriad Web Pro" w:cs="Times New Roman"/>
          <w:noProof/>
          <w:sz w:val="18"/>
          <w:szCs w:val="24"/>
        </w:rPr>
        <w:t xml:space="preserve"> 1618–25 (2000).</w:t>
      </w:r>
    </w:p>
    <w:p w:rsidR="00A83FB0" w:rsidRPr="00A83FB0" w:rsidRDefault="00A83FB0">
      <w:pPr>
        <w:widowControl w:val="0"/>
        <w:autoSpaceDE w:val="0"/>
        <w:autoSpaceDN w:val="0"/>
        <w:adjustRightInd w:val="0"/>
        <w:spacing w:after="140" w:line="288" w:lineRule="auto"/>
        <w:rPr>
          <w:rFonts w:ascii="Myriad Web Pro" w:hAnsi="Myriad Web Pro" w:cs="Times New Roman"/>
          <w:noProof/>
          <w:sz w:val="18"/>
          <w:szCs w:val="24"/>
        </w:rPr>
      </w:pPr>
    </w:p>
    <w:p w:rsidR="00A83FB0" w:rsidRPr="00A83FB0" w:rsidRDefault="00A83FB0">
      <w:pPr>
        <w:widowControl w:val="0"/>
        <w:autoSpaceDE w:val="0"/>
        <w:autoSpaceDN w:val="0"/>
        <w:adjustRightInd w:val="0"/>
        <w:spacing w:after="0" w:line="240" w:lineRule="auto"/>
        <w:ind w:left="640" w:hanging="640"/>
        <w:rPr>
          <w:rFonts w:ascii="Myriad Web Pro" w:hAnsi="Myriad Web Pro" w:cs="Times New Roman"/>
          <w:noProof/>
          <w:sz w:val="18"/>
          <w:szCs w:val="24"/>
        </w:rPr>
      </w:pPr>
      <w:r w:rsidRPr="00A83FB0">
        <w:rPr>
          <w:rFonts w:ascii="Myriad Web Pro" w:hAnsi="Myriad Web Pro" w:cs="Times New Roman"/>
          <w:noProof/>
          <w:sz w:val="18"/>
          <w:szCs w:val="24"/>
        </w:rPr>
        <w:lastRenderedPageBreak/>
        <w:t>11.</w:t>
      </w:r>
      <w:r w:rsidRPr="00A83FB0">
        <w:rPr>
          <w:rFonts w:ascii="Myriad Web Pro" w:hAnsi="Myriad Web Pro" w:cs="Times New Roman"/>
          <w:noProof/>
          <w:sz w:val="18"/>
          <w:szCs w:val="24"/>
        </w:rPr>
        <w:tab/>
        <w:t xml:space="preserve">Deary, I. J., Whiteman, M. C., Starr, J. M., Whalley, L. J. &amp; Fox, H. C. The Impact of Childhood Intelligence on Later Life: Following Up the Scottish Mental Surveys of 1932 and 1947. </w:t>
      </w:r>
      <w:r w:rsidRPr="00A83FB0">
        <w:rPr>
          <w:rFonts w:ascii="Myriad Web Pro" w:hAnsi="Myriad Web Pro" w:cs="Times New Roman"/>
          <w:i/>
          <w:iCs/>
          <w:noProof/>
          <w:sz w:val="18"/>
          <w:szCs w:val="24"/>
        </w:rPr>
        <w:t>J. Pers. Soc. Psychol.</w:t>
      </w:r>
      <w:r w:rsidRPr="00A83FB0">
        <w:rPr>
          <w:rFonts w:ascii="Myriad Web Pro" w:hAnsi="Myriad Web Pro" w:cs="Times New Roman"/>
          <w:noProof/>
          <w:sz w:val="18"/>
          <w:szCs w:val="24"/>
        </w:rPr>
        <w:t xml:space="preserve"> </w:t>
      </w:r>
      <w:r w:rsidRPr="00A83FB0">
        <w:rPr>
          <w:rFonts w:ascii="Myriad Web Pro" w:hAnsi="Myriad Web Pro" w:cs="Times New Roman"/>
          <w:b/>
          <w:bCs/>
          <w:noProof/>
          <w:sz w:val="18"/>
          <w:szCs w:val="24"/>
        </w:rPr>
        <w:t>86,</w:t>
      </w:r>
      <w:r w:rsidRPr="00A83FB0">
        <w:rPr>
          <w:rFonts w:ascii="Myriad Web Pro" w:hAnsi="Myriad Web Pro" w:cs="Times New Roman"/>
          <w:noProof/>
          <w:sz w:val="18"/>
          <w:szCs w:val="24"/>
        </w:rPr>
        <w:t xml:space="preserve"> 130–147 (2004).</w:t>
      </w:r>
    </w:p>
    <w:p w:rsidR="00A83FB0" w:rsidRPr="00A83FB0" w:rsidRDefault="00A83FB0">
      <w:pPr>
        <w:widowControl w:val="0"/>
        <w:autoSpaceDE w:val="0"/>
        <w:autoSpaceDN w:val="0"/>
        <w:adjustRightInd w:val="0"/>
        <w:spacing w:after="140" w:line="288" w:lineRule="auto"/>
        <w:rPr>
          <w:rFonts w:ascii="Myriad Web Pro" w:hAnsi="Myriad Web Pro" w:cs="Times New Roman"/>
          <w:noProof/>
          <w:sz w:val="18"/>
          <w:szCs w:val="24"/>
        </w:rPr>
      </w:pPr>
    </w:p>
    <w:p w:rsidR="00A83FB0" w:rsidRPr="00A83FB0" w:rsidRDefault="00A83FB0">
      <w:pPr>
        <w:widowControl w:val="0"/>
        <w:autoSpaceDE w:val="0"/>
        <w:autoSpaceDN w:val="0"/>
        <w:adjustRightInd w:val="0"/>
        <w:spacing w:after="0" w:line="240" w:lineRule="auto"/>
        <w:ind w:left="640" w:hanging="640"/>
        <w:rPr>
          <w:rFonts w:ascii="Myriad Web Pro" w:hAnsi="Myriad Web Pro" w:cs="Times New Roman"/>
          <w:noProof/>
          <w:sz w:val="18"/>
          <w:szCs w:val="24"/>
        </w:rPr>
      </w:pPr>
      <w:r w:rsidRPr="00A83FB0">
        <w:rPr>
          <w:rFonts w:ascii="Myriad Web Pro" w:hAnsi="Myriad Web Pro" w:cs="Times New Roman"/>
          <w:noProof/>
          <w:sz w:val="18"/>
          <w:szCs w:val="24"/>
        </w:rPr>
        <w:t>12.</w:t>
      </w:r>
      <w:r w:rsidRPr="00A83FB0">
        <w:rPr>
          <w:rFonts w:ascii="Myriad Web Pro" w:hAnsi="Myriad Web Pro" w:cs="Times New Roman"/>
          <w:noProof/>
          <w:sz w:val="18"/>
          <w:szCs w:val="24"/>
        </w:rPr>
        <w:tab/>
        <w:t xml:space="preserve">Deary, I. J. </w:t>
      </w:r>
      <w:r w:rsidRPr="00A83FB0">
        <w:rPr>
          <w:rFonts w:ascii="Myriad Web Pro" w:hAnsi="Myriad Web Pro" w:cs="Times New Roman"/>
          <w:i/>
          <w:iCs/>
          <w:noProof/>
          <w:sz w:val="18"/>
          <w:szCs w:val="24"/>
        </w:rPr>
        <w:t>et al.</w:t>
      </w:r>
      <w:r w:rsidRPr="00A83FB0">
        <w:rPr>
          <w:rFonts w:ascii="Myriad Web Pro" w:hAnsi="Myriad Web Pro" w:cs="Times New Roman"/>
          <w:noProof/>
          <w:sz w:val="18"/>
          <w:szCs w:val="24"/>
        </w:rPr>
        <w:t xml:space="preserve"> The Lothian Birth Cohort 1936: a study to examine influences on cognitive ageing from age 11 to age 70 and beyond. </w:t>
      </w:r>
      <w:r w:rsidRPr="00A83FB0">
        <w:rPr>
          <w:rFonts w:ascii="Myriad Web Pro" w:hAnsi="Myriad Web Pro" w:cs="Times New Roman"/>
          <w:i/>
          <w:iCs/>
          <w:noProof/>
          <w:sz w:val="18"/>
          <w:szCs w:val="24"/>
        </w:rPr>
        <w:t>BMC Geriatr.</w:t>
      </w:r>
      <w:r w:rsidRPr="00A83FB0">
        <w:rPr>
          <w:rFonts w:ascii="Myriad Web Pro" w:hAnsi="Myriad Web Pro" w:cs="Times New Roman"/>
          <w:noProof/>
          <w:sz w:val="18"/>
          <w:szCs w:val="24"/>
        </w:rPr>
        <w:t xml:space="preserve"> </w:t>
      </w:r>
      <w:r w:rsidRPr="00A83FB0">
        <w:rPr>
          <w:rFonts w:ascii="Myriad Web Pro" w:hAnsi="Myriad Web Pro" w:cs="Times New Roman"/>
          <w:b/>
          <w:bCs/>
          <w:noProof/>
          <w:sz w:val="18"/>
          <w:szCs w:val="24"/>
        </w:rPr>
        <w:t>7,</w:t>
      </w:r>
      <w:r w:rsidRPr="00A83FB0">
        <w:rPr>
          <w:rFonts w:ascii="Myriad Web Pro" w:hAnsi="Myriad Web Pro" w:cs="Times New Roman"/>
          <w:noProof/>
          <w:sz w:val="18"/>
          <w:szCs w:val="24"/>
        </w:rPr>
        <w:t xml:space="preserve"> 28 (2007).</w:t>
      </w:r>
    </w:p>
    <w:p w:rsidR="00A83FB0" w:rsidRPr="00A83FB0" w:rsidRDefault="00A83FB0">
      <w:pPr>
        <w:widowControl w:val="0"/>
        <w:autoSpaceDE w:val="0"/>
        <w:autoSpaceDN w:val="0"/>
        <w:adjustRightInd w:val="0"/>
        <w:spacing w:after="140" w:line="288" w:lineRule="auto"/>
        <w:rPr>
          <w:rFonts w:ascii="Myriad Web Pro" w:hAnsi="Myriad Web Pro" w:cs="Times New Roman"/>
          <w:noProof/>
          <w:sz w:val="18"/>
          <w:szCs w:val="24"/>
        </w:rPr>
      </w:pPr>
    </w:p>
    <w:p w:rsidR="00A83FB0" w:rsidRPr="00A83FB0" w:rsidRDefault="00A83FB0">
      <w:pPr>
        <w:widowControl w:val="0"/>
        <w:autoSpaceDE w:val="0"/>
        <w:autoSpaceDN w:val="0"/>
        <w:adjustRightInd w:val="0"/>
        <w:spacing w:after="0" w:line="240" w:lineRule="auto"/>
        <w:ind w:left="640" w:hanging="640"/>
        <w:rPr>
          <w:rFonts w:ascii="Myriad Web Pro" w:hAnsi="Myriad Web Pro" w:cs="Times New Roman"/>
          <w:noProof/>
          <w:sz w:val="18"/>
          <w:szCs w:val="24"/>
        </w:rPr>
      </w:pPr>
      <w:r w:rsidRPr="00A83FB0">
        <w:rPr>
          <w:rFonts w:ascii="Myriad Web Pro" w:hAnsi="Myriad Web Pro" w:cs="Times New Roman"/>
          <w:noProof/>
          <w:sz w:val="18"/>
          <w:szCs w:val="24"/>
        </w:rPr>
        <w:t>13.</w:t>
      </w:r>
      <w:r w:rsidRPr="00A83FB0">
        <w:rPr>
          <w:rFonts w:ascii="Myriad Web Pro" w:hAnsi="Myriad Web Pro" w:cs="Times New Roman"/>
          <w:noProof/>
          <w:sz w:val="18"/>
          <w:szCs w:val="24"/>
        </w:rPr>
        <w:tab/>
        <w:t xml:space="preserve">Bennett, D. A. </w:t>
      </w:r>
      <w:r w:rsidRPr="00A83FB0">
        <w:rPr>
          <w:rFonts w:ascii="Myriad Web Pro" w:hAnsi="Myriad Web Pro" w:cs="Times New Roman"/>
          <w:i/>
          <w:iCs/>
          <w:noProof/>
          <w:sz w:val="18"/>
          <w:szCs w:val="24"/>
        </w:rPr>
        <w:t>et al.</w:t>
      </w:r>
      <w:r w:rsidRPr="00A83FB0">
        <w:rPr>
          <w:rFonts w:ascii="Myriad Web Pro" w:hAnsi="Myriad Web Pro" w:cs="Times New Roman"/>
          <w:noProof/>
          <w:sz w:val="18"/>
          <w:szCs w:val="24"/>
        </w:rPr>
        <w:t xml:space="preserve"> The Rush Memory and Aging Project: study design and baseline characteristics of the study cohort. </w:t>
      </w:r>
      <w:r w:rsidRPr="00A83FB0">
        <w:rPr>
          <w:rFonts w:ascii="Myriad Web Pro" w:hAnsi="Myriad Web Pro" w:cs="Times New Roman"/>
          <w:i/>
          <w:iCs/>
          <w:noProof/>
          <w:sz w:val="18"/>
          <w:szCs w:val="24"/>
        </w:rPr>
        <w:t>Neuroepidemiology</w:t>
      </w:r>
      <w:r w:rsidRPr="00A83FB0">
        <w:rPr>
          <w:rFonts w:ascii="Myriad Web Pro" w:hAnsi="Myriad Web Pro" w:cs="Times New Roman"/>
          <w:noProof/>
          <w:sz w:val="18"/>
          <w:szCs w:val="24"/>
        </w:rPr>
        <w:t xml:space="preserve"> </w:t>
      </w:r>
      <w:r w:rsidRPr="00A83FB0">
        <w:rPr>
          <w:rFonts w:ascii="Myriad Web Pro" w:hAnsi="Myriad Web Pro" w:cs="Times New Roman"/>
          <w:b/>
          <w:bCs/>
          <w:noProof/>
          <w:sz w:val="18"/>
          <w:szCs w:val="24"/>
        </w:rPr>
        <w:t>25,</w:t>
      </w:r>
      <w:r w:rsidRPr="00A83FB0">
        <w:rPr>
          <w:rFonts w:ascii="Myriad Web Pro" w:hAnsi="Myriad Web Pro" w:cs="Times New Roman"/>
          <w:noProof/>
          <w:sz w:val="18"/>
          <w:szCs w:val="24"/>
        </w:rPr>
        <w:t xml:space="preserve"> 163–75 (2005).</w:t>
      </w:r>
    </w:p>
    <w:p w:rsidR="00A83FB0" w:rsidRPr="00A83FB0" w:rsidRDefault="00A83FB0">
      <w:pPr>
        <w:widowControl w:val="0"/>
        <w:autoSpaceDE w:val="0"/>
        <w:autoSpaceDN w:val="0"/>
        <w:adjustRightInd w:val="0"/>
        <w:spacing w:after="140" w:line="288" w:lineRule="auto"/>
        <w:rPr>
          <w:rFonts w:ascii="Myriad Web Pro" w:hAnsi="Myriad Web Pro" w:cs="Times New Roman"/>
          <w:noProof/>
          <w:sz w:val="18"/>
          <w:szCs w:val="24"/>
        </w:rPr>
      </w:pPr>
    </w:p>
    <w:p w:rsidR="00A83FB0" w:rsidRPr="00A83FB0" w:rsidRDefault="00A83FB0">
      <w:pPr>
        <w:widowControl w:val="0"/>
        <w:autoSpaceDE w:val="0"/>
        <w:autoSpaceDN w:val="0"/>
        <w:adjustRightInd w:val="0"/>
        <w:spacing w:after="0" w:line="240" w:lineRule="auto"/>
        <w:ind w:left="640" w:hanging="640"/>
        <w:rPr>
          <w:rFonts w:ascii="Myriad Web Pro" w:hAnsi="Myriad Web Pro" w:cs="Times New Roman"/>
          <w:noProof/>
          <w:sz w:val="18"/>
          <w:szCs w:val="24"/>
        </w:rPr>
      </w:pPr>
      <w:r w:rsidRPr="00A83FB0">
        <w:rPr>
          <w:rFonts w:ascii="Myriad Web Pro" w:hAnsi="Myriad Web Pro" w:cs="Times New Roman"/>
          <w:noProof/>
          <w:sz w:val="18"/>
          <w:szCs w:val="24"/>
        </w:rPr>
        <w:t>14.</w:t>
      </w:r>
      <w:r w:rsidRPr="00A83FB0">
        <w:rPr>
          <w:rFonts w:ascii="Myriad Web Pro" w:hAnsi="Myriad Web Pro" w:cs="Times New Roman"/>
          <w:noProof/>
          <w:sz w:val="18"/>
          <w:szCs w:val="24"/>
        </w:rPr>
        <w:tab/>
        <w:t xml:space="preserve">Bennett, D. A., Schneider, J. A., Arvanitakis, Z. &amp; Wilson, R. S. Overview and findings from the religious orders study. </w:t>
      </w:r>
      <w:r w:rsidRPr="00A83FB0">
        <w:rPr>
          <w:rFonts w:ascii="Myriad Web Pro" w:hAnsi="Myriad Web Pro" w:cs="Times New Roman"/>
          <w:i/>
          <w:iCs/>
          <w:noProof/>
          <w:sz w:val="18"/>
          <w:szCs w:val="24"/>
        </w:rPr>
        <w:t>Curr. Alzheimer Res.</w:t>
      </w:r>
      <w:r w:rsidRPr="00A83FB0">
        <w:rPr>
          <w:rFonts w:ascii="Myriad Web Pro" w:hAnsi="Myriad Web Pro" w:cs="Times New Roman"/>
          <w:noProof/>
          <w:sz w:val="18"/>
          <w:szCs w:val="24"/>
        </w:rPr>
        <w:t xml:space="preserve"> </w:t>
      </w:r>
      <w:r w:rsidRPr="00A83FB0">
        <w:rPr>
          <w:rFonts w:ascii="Myriad Web Pro" w:hAnsi="Myriad Web Pro" w:cs="Times New Roman"/>
          <w:b/>
          <w:bCs/>
          <w:noProof/>
          <w:sz w:val="18"/>
          <w:szCs w:val="24"/>
        </w:rPr>
        <w:t>9,</w:t>
      </w:r>
      <w:r w:rsidRPr="00A83FB0">
        <w:rPr>
          <w:rFonts w:ascii="Myriad Web Pro" w:hAnsi="Myriad Web Pro" w:cs="Times New Roman"/>
          <w:noProof/>
          <w:sz w:val="18"/>
          <w:szCs w:val="24"/>
        </w:rPr>
        <w:t xml:space="preserve"> 628–45 (2012).</w:t>
      </w:r>
    </w:p>
    <w:p w:rsidR="00A83FB0" w:rsidRPr="00A83FB0" w:rsidRDefault="00A83FB0">
      <w:pPr>
        <w:widowControl w:val="0"/>
        <w:autoSpaceDE w:val="0"/>
        <w:autoSpaceDN w:val="0"/>
        <w:adjustRightInd w:val="0"/>
        <w:spacing w:after="140" w:line="288" w:lineRule="auto"/>
        <w:rPr>
          <w:rFonts w:ascii="Myriad Web Pro" w:hAnsi="Myriad Web Pro" w:cs="Times New Roman"/>
          <w:noProof/>
          <w:sz w:val="18"/>
          <w:szCs w:val="24"/>
        </w:rPr>
      </w:pPr>
    </w:p>
    <w:p w:rsidR="00A83FB0" w:rsidRPr="00A83FB0" w:rsidRDefault="00A83FB0">
      <w:pPr>
        <w:widowControl w:val="0"/>
        <w:autoSpaceDE w:val="0"/>
        <w:autoSpaceDN w:val="0"/>
        <w:adjustRightInd w:val="0"/>
        <w:spacing w:after="0" w:line="240" w:lineRule="auto"/>
        <w:ind w:left="640" w:hanging="640"/>
        <w:rPr>
          <w:rFonts w:ascii="Myriad Web Pro" w:hAnsi="Myriad Web Pro" w:cs="Times New Roman"/>
          <w:noProof/>
          <w:sz w:val="18"/>
          <w:szCs w:val="24"/>
        </w:rPr>
      </w:pPr>
      <w:r w:rsidRPr="00A83FB0">
        <w:rPr>
          <w:rFonts w:ascii="Myriad Web Pro" w:hAnsi="Myriad Web Pro" w:cs="Times New Roman"/>
          <w:noProof/>
          <w:sz w:val="18"/>
          <w:szCs w:val="24"/>
        </w:rPr>
        <w:t>15.</w:t>
      </w:r>
      <w:r w:rsidRPr="00A83FB0">
        <w:rPr>
          <w:rFonts w:ascii="Myriad Web Pro" w:hAnsi="Myriad Web Pro" w:cs="Times New Roman"/>
          <w:noProof/>
          <w:sz w:val="18"/>
          <w:szCs w:val="24"/>
        </w:rPr>
        <w:tab/>
        <w:t xml:space="preserve">Blank, J. B. </w:t>
      </w:r>
      <w:r w:rsidRPr="00A83FB0">
        <w:rPr>
          <w:rFonts w:ascii="Myriad Web Pro" w:hAnsi="Myriad Web Pro" w:cs="Times New Roman"/>
          <w:i/>
          <w:iCs/>
          <w:noProof/>
          <w:sz w:val="18"/>
          <w:szCs w:val="24"/>
        </w:rPr>
        <w:t>et al.</w:t>
      </w:r>
      <w:r w:rsidRPr="00A83FB0">
        <w:rPr>
          <w:rFonts w:ascii="Myriad Web Pro" w:hAnsi="Myriad Web Pro" w:cs="Times New Roman"/>
          <w:noProof/>
          <w:sz w:val="18"/>
          <w:szCs w:val="24"/>
        </w:rPr>
        <w:t xml:space="preserve"> Overview of recruitment for the osteoporotic fractures in men study (MrOS). </w:t>
      </w:r>
      <w:r w:rsidRPr="00A83FB0">
        <w:rPr>
          <w:rFonts w:ascii="Myriad Web Pro" w:hAnsi="Myriad Web Pro" w:cs="Times New Roman"/>
          <w:i/>
          <w:iCs/>
          <w:noProof/>
          <w:sz w:val="18"/>
          <w:szCs w:val="24"/>
        </w:rPr>
        <w:t>Contemp. Clin. Trials</w:t>
      </w:r>
      <w:r w:rsidRPr="00A83FB0">
        <w:rPr>
          <w:rFonts w:ascii="Myriad Web Pro" w:hAnsi="Myriad Web Pro" w:cs="Times New Roman"/>
          <w:noProof/>
          <w:sz w:val="18"/>
          <w:szCs w:val="24"/>
        </w:rPr>
        <w:t xml:space="preserve"> </w:t>
      </w:r>
      <w:r w:rsidRPr="00A83FB0">
        <w:rPr>
          <w:rFonts w:ascii="Myriad Web Pro" w:hAnsi="Myriad Web Pro" w:cs="Times New Roman"/>
          <w:b/>
          <w:bCs/>
          <w:noProof/>
          <w:sz w:val="18"/>
          <w:szCs w:val="24"/>
        </w:rPr>
        <w:t>26,</w:t>
      </w:r>
      <w:r w:rsidRPr="00A83FB0">
        <w:rPr>
          <w:rFonts w:ascii="Myriad Web Pro" w:hAnsi="Myriad Web Pro" w:cs="Times New Roman"/>
          <w:noProof/>
          <w:sz w:val="18"/>
          <w:szCs w:val="24"/>
        </w:rPr>
        <w:t xml:space="preserve"> 557–68 (2005).</w:t>
      </w:r>
    </w:p>
    <w:p w:rsidR="00A83FB0" w:rsidRPr="00A83FB0" w:rsidRDefault="00A83FB0">
      <w:pPr>
        <w:widowControl w:val="0"/>
        <w:autoSpaceDE w:val="0"/>
        <w:autoSpaceDN w:val="0"/>
        <w:adjustRightInd w:val="0"/>
        <w:spacing w:after="140" w:line="288" w:lineRule="auto"/>
        <w:rPr>
          <w:rFonts w:ascii="Myriad Web Pro" w:hAnsi="Myriad Web Pro" w:cs="Times New Roman"/>
          <w:noProof/>
          <w:sz w:val="18"/>
          <w:szCs w:val="24"/>
        </w:rPr>
      </w:pPr>
    </w:p>
    <w:p w:rsidR="00A83FB0" w:rsidRPr="00A83FB0" w:rsidRDefault="00A83FB0">
      <w:pPr>
        <w:widowControl w:val="0"/>
        <w:autoSpaceDE w:val="0"/>
        <w:autoSpaceDN w:val="0"/>
        <w:adjustRightInd w:val="0"/>
        <w:spacing w:after="0" w:line="240" w:lineRule="auto"/>
        <w:ind w:left="640" w:hanging="640"/>
        <w:rPr>
          <w:rFonts w:ascii="Myriad Web Pro" w:hAnsi="Myriad Web Pro" w:cs="Times New Roman"/>
          <w:noProof/>
          <w:sz w:val="18"/>
          <w:szCs w:val="24"/>
        </w:rPr>
      </w:pPr>
      <w:r w:rsidRPr="00A83FB0">
        <w:rPr>
          <w:rFonts w:ascii="Myriad Web Pro" w:hAnsi="Myriad Web Pro" w:cs="Times New Roman"/>
          <w:noProof/>
          <w:sz w:val="18"/>
          <w:szCs w:val="24"/>
        </w:rPr>
        <w:t>16.</w:t>
      </w:r>
      <w:r w:rsidRPr="00A83FB0">
        <w:rPr>
          <w:rFonts w:ascii="Myriad Web Pro" w:hAnsi="Myriad Web Pro" w:cs="Times New Roman"/>
          <w:noProof/>
          <w:sz w:val="18"/>
          <w:szCs w:val="24"/>
        </w:rPr>
        <w:tab/>
        <w:t xml:space="preserve">Orwoll, E. </w:t>
      </w:r>
      <w:r w:rsidRPr="00A83FB0">
        <w:rPr>
          <w:rFonts w:ascii="Myriad Web Pro" w:hAnsi="Myriad Web Pro" w:cs="Times New Roman"/>
          <w:i/>
          <w:iCs/>
          <w:noProof/>
          <w:sz w:val="18"/>
          <w:szCs w:val="24"/>
        </w:rPr>
        <w:t>et al.</w:t>
      </w:r>
      <w:r w:rsidRPr="00A83FB0">
        <w:rPr>
          <w:rFonts w:ascii="Myriad Web Pro" w:hAnsi="Myriad Web Pro" w:cs="Times New Roman"/>
          <w:noProof/>
          <w:sz w:val="18"/>
          <w:szCs w:val="24"/>
        </w:rPr>
        <w:t xml:space="preserve"> Design and baseline characteristics of the osteoporotic fractures in men (MrOS) study--a large observational study of the determinants of fracture in older men. </w:t>
      </w:r>
      <w:r w:rsidRPr="00A83FB0">
        <w:rPr>
          <w:rFonts w:ascii="Myriad Web Pro" w:hAnsi="Myriad Web Pro" w:cs="Times New Roman"/>
          <w:i/>
          <w:iCs/>
          <w:noProof/>
          <w:sz w:val="18"/>
          <w:szCs w:val="24"/>
        </w:rPr>
        <w:t>Contemp. Clin. Trials</w:t>
      </w:r>
      <w:r w:rsidRPr="00A83FB0">
        <w:rPr>
          <w:rFonts w:ascii="Myriad Web Pro" w:hAnsi="Myriad Web Pro" w:cs="Times New Roman"/>
          <w:noProof/>
          <w:sz w:val="18"/>
          <w:szCs w:val="24"/>
        </w:rPr>
        <w:t xml:space="preserve"> </w:t>
      </w:r>
      <w:r w:rsidRPr="00A83FB0">
        <w:rPr>
          <w:rFonts w:ascii="Myriad Web Pro" w:hAnsi="Myriad Web Pro" w:cs="Times New Roman"/>
          <w:b/>
          <w:bCs/>
          <w:noProof/>
          <w:sz w:val="18"/>
          <w:szCs w:val="24"/>
        </w:rPr>
        <w:t>26,</w:t>
      </w:r>
      <w:r w:rsidRPr="00A83FB0">
        <w:rPr>
          <w:rFonts w:ascii="Myriad Web Pro" w:hAnsi="Myriad Web Pro" w:cs="Times New Roman"/>
          <w:noProof/>
          <w:sz w:val="18"/>
          <w:szCs w:val="24"/>
        </w:rPr>
        <w:t xml:space="preserve"> 569–85 (2005).</w:t>
      </w:r>
    </w:p>
    <w:p w:rsidR="00A83FB0" w:rsidRPr="00A83FB0" w:rsidRDefault="00A83FB0">
      <w:pPr>
        <w:widowControl w:val="0"/>
        <w:autoSpaceDE w:val="0"/>
        <w:autoSpaceDN w:val="0"/>
        <w:adjustRightInd w:val="0"/>
        <w:spacing w:after="140" w:line="288" w:lineRule="auto"/>
        <w:rPr>
          <w:rFonts w:ascii="Myriad Web Pro" w:hAnsi="Myriad Web Pro" w:cs="Times New Roman"/>
          <w:noProof/>
          <w:sz w:val="18"/>
          <w:szCs w:val="24"/>
        </w:rPr>
      </w:pPr>
    </w:p>
    <w:p w:rsidR="00A83FB0" w:rsidRPr="00A83FB0" w:rsidRDefault="00A83FB0">
      <w:pPr>
        <w:widowControl w:val="0"/>
        <w:autoSpaceDE w:val="0"/>
        <w:autoSpaceDN w:val="0"/>
        <w:adjustRightInd w:val="0"/>
        <w:spacing w:after="0" w:line="240" w:lineRule="auto"/>
        <w:ind w:left="640" w:hanging="640"/>
        <w:rPr>
          <w:rFonts w:ascii="Myriad Web Pro" w:hAnsi="Myriad Web Pro" w:cs="Times New Roman"/>
          <w:noProof/>
          <w:sz w:val="18"/>
          <w:szCs w:val="24"/>
        </w:rPr>
      </w:pPr>
      <w:r w:rsidRPr="00A83FB0">
        <w:rPr>
          <w:rFonts w:ascii="Myriad Web Pro" w:hAnsi="Myriad Web Pro" w:cs="Times New Roman"/>
          <w:noProof/>
          <w:sz w:val="18"/>
          <w:szCs w:val="24"/>
        </w:rPr>
        <w:t>17.</w:t>
      </w:r>
      <w:r w:rsidRPr="00A83FB0">
        <w:rPr>
          <w:rFonts w:ascii="Myriad Web Pro" w:hAnsi="Myriad Web Pro" w:cs="Times New Roman"/>
          <w:noProof/>
          <w:sz w:val="18"/>
          <w:szCs w:val="24"/>
        </w:rPr>
        <w:tab/>
        <w:t xml:space="preserve">John, U. </w:t>
      </w:r>
      <w:r w:rsidRPr="00A83FB0">
        <w:rPr>
          <w:rFonts w:ascii="Myriad Web Pro" w:hAnsi="Myriad Web Pro" w:cs="Times New Roman"/>
          <w:i/>
          <w:iCs/>
          <w:noProof/>
          <w:sz w:val="18"/>
          <w:szCs w:val="24"/>
        </w:rPr>
        <w:t>et al.</w:t>
      </w:r>
      <w:r w:rsidRPr="00A83FB0">
        <w:rPr>
          <w:rFonts w:ascii="Myriad Web Pro" w:hAnsi="Myriad Web Pro" w:cs="Times New Roman"/>
          <w:noProof/>
          <w:sz w:val="18"/>
          <w:szCs w:val="24"/>
        </w:rPr>
        <w:t xml:space="preserve"> Study of Health In Pomerania (SHIP): a health examination survey in an east German region: objectives and design. </w:t>
      </w:r>
      <w:r w:rsidRPr="00A83FB0">
        <w:rPr>
          <w:rFonts w:ascii="Myriad Web Pro" w:hAnsi="Myriad Web Pro" w:cs="Times New Roman"/>
          <w:i/>
          <w:iCs/>
          <w:noProof/>
          <w:sz w:val="18"/>
          <w:szCs w:val="24"/>
        </w:rPr>
        <w:t>Soz. Praventivmed.</w:t>
      </w:r>
      <w:r w:rsidRPr="00A83FB0">
        <w:rPr>
          <w:rFonts w:ascii="Myriad Web Pro" w:hAnsi="Myriad Web Pro" w:cs="Times New Roman"/>
          <w:noProof/>
          <w:sz w:val="18"/>
          <w:szCs w:val="24"/>
        </w:rPr>
        <w:t xml:space="preserve"> </w:t>
      </w:r>
      <w:r w:rsidRPr="00A83FB0">
        <w:rPr>
          <w:rFonts w:ascii="Myriad Web Pro" w:hAnsi="Myriad Web Pro" w:cs="Times New Roman"/>
          <w:b/>
          <w:bCs/>
          <w:noProof/>
          <w:sz w:val="18"/>
          <w:szCs w:val="24"/>
        </w:rPr>
        <w:t>46,</w:t>
      </w:r>
      <w:r w:rsidRPr="00A83FB0">
        <w:rPr>
          <w:rFonts w:ascii="Myriad Web Pro" w:hAnsi="Myriad Web Pro" w:cs="Times New Roman"/>
          <w:noProof/>
          <w:sz w:val="18"/>
          <w:szCs w:val="24"/>
        </w:rPr>
        <w:t xml:space="preserve"> 186–94 (2001).</w:t>
      </w:r>
    </w:p>
    <w:p w:rsidR="00A83FB0" w:rsidRPr="00A83FB0" w:rsidRDefault="00A83FB0">
      <w:pPr>
        <w:widowControl w:val="0"/>
        <w:autoSpaceDE w:val="0"/>
        <w:autoSpaceDN w:val="0"/>
        <w:adjustRightInd w:val="0"/>
        <w:spacing w:after="140" w:line="288" w:lineRule="auto"/>
        <w:rPr>
          <w:rFonts w:ascii="Myriad Web Pro" w:hAnsi="Myriad Web Pro" w:cs="Times New Roman"/>
          <w:noProof/>
          <w:sz w:val="18"/>
          <w:szCs w:val="24"/>
        </w:rPr>
      </w:pPr>
    </w:p>
    <w:p w:rsidR="00A83FB0" w:rsidRPr="00A83FB0" w:rsidRDefault="00A83FB0">
      <w:pPr>
        <w:widowControl w:val="0"/>
        <w:autoSpaceDE w:val="0"/>
        <w:autoSpaceDN w:val="0"/>
        <w:adjustRightInd w:val="0"/>
        <w:spacing w:after="0" w:line="240" w:lineRule="auto"/>
        <w:ind w:left="640" w:hanging="640"/>
        <w:rPr>
          <w:rFonts w:ascii="Myriad Web Pro" w:hAnsi="Myriad Web Pro" w:cs="Times New Roman"/>
          <w:noProof/>
          <w:sz w:val="18"/>
          <w:szCs w:val="24"/>
        </w:rPr>
      </w:pPr>
      <w:r w:rsidRPr="00A83FB0">
        <w:rPr>
          <w:rFonts w:ascii="Myriad Web Pro" w:hAnsi="Myriad Web Pro" w:cs="Times New Roman"/>
          <w:noProof/>
          <w:sz w:val="18"/>
          <w:szCs w:val="24"/>
        </w:rPr>
        <w:t>18.</w:t>
      </w:r>
      <w:r w:rsidRPr="00A83FB0">
        <w:rPr>
          <w:rFonts w:ascii="Myriad Web Pro" w:hAnsi="Myriad Web Pro" w:cs="Times New Roman"/>
          <w:noProof/>
          <w:sz w:val="18"/>
          <w:szCs w:val="24"/>
        </w:rPr>
        <w:tab/>
        <w:t xml:space="preserve">Völzke, H. </w:t>
      </w:r>
      <w:r w:rsidRPr="00A83FB0">
        <w:rPr>
          <w:rFonts w:ascii="Myriad Web Pro" w:hAnsi="Myriad Web Pro" w:cs="Times New Roman"/>
          <w:i/>
          <w:iCs/>
          <w:noProof/>
          <w:sz w:val="18"/>
          <w:szCs w:val="24"/>
        </w:rPr>
        <w:t>et al.</w:t>
      </w:r>
      <w:r w:rsidRPr="00A83FB0">
        <w:rPr>
          <w:rFonts w:ascii="Myriad Web Pro" w:hAnsi="Myriad Web Pro" w:cs="Times New Roman"/>
          <w:noProof/>
          <w:sz w:val="18"/>
          <w:szCs w:val="24"/>
        </w:rPr>
        <w:t xml:space="preserve"> Cohort profile: the study of health in Pomerania. </w:t>
      </w:r>
      <w:r w:rsidRPr="00A83FB0">
        <w:rPr>
          <w:rFonts w:ascii="Myriad Web Pro" w:hAnsi="Myriad Web Pro" w:cs="Times New Roman"/>
          <w:i/>
          <w:iCs/>
          <w:noProof/>
          <w:sz w:val="18"/>
          <w:szCs w:val="24"/>
        </w:rPr>
        <w:t>Int. J. Epidemiol.</w:t>
      </w:r>
      <w:r w:rsidRPr="00A83FB0">
        <w:rPr>
          <w:rFonts w:ascii="Myriad Web Pro" w:hAnsi="Myriad Web Pro" w:cs="Times New Roman"/>
          <w:noProof/>
          <w:sz w:val="18"/>
          <w:szCs w:val="24"/>
        </w:rPr>
        <w:t xml:space="preserve"> </w:t>
      </w:r>
      <w:r w:rsidRPr="00A83FB0">
        <w:rPr>
          <w:rFonts w:ascii="Myriad Web Pro" w:hAnsi="Myriad Web Pro" w:cs="Times New Roman"/>
          <w:b/>
          <w:bCs/>
          <w:noProof/>
          <w:sz w:val="18"/>
          <w:szCs w:val="24"/>
        </w:rPr>
        <w:t>40,</w:t>
      </w:r>
      <w:r w:rsidRPr="00A83FB0">
        <w:rPr>
          <w:rFonts w:ascii="Myriad Web Pro" w:hAnsi="Myriad Web Pro" w:cs="Times New Roman"/>
          <w:noProof/>
          <w:sz w:val="18"/>
          <w:szCs w:val="24"/>
        </w:rPr>
        <w:t xml:space="preserve"> 294–307 (2011).</w:t>
      </w:r>
    </w:p>
    <w:p w:rsidR="00A83FB0" w:rsidRPr="00A83FB0" w:rsidRDefault="00A83FB0">
      <w:pPr>
        <w:widowControl w:val="0"/>
        <w:autoSpaceDE w:val="0"/>
        <w:autoSpaceDN w:val="0"/>
        <w:adjustRightInd w:val="0"/>
        <w:spacing w:after="140" w:line="288" w:lineRule="auto"/>
        <w:rPr>
          <w:rFonts w:ascii="Myriad Web Pro" w:hAnsi="Myriad Web Pro" w:cs="Times New Roman"/>
          <w:noProof/>
          <w:sz w:val="18"/>
          <w:szCs w:val="24"/>
        </w:rPr>
      </w:pPr>
    </w:p>
    <w:p w:rsidR="00A83FB0" w:rsidRPr="00A83FB0" w:rsidRDefault="00A83FB0">
      <w:pPr>
        <w:widowControl w:val="0"/>
        <w:autoSpaceDE w:val="0"/>
        <w:autoSpaceDN w:val="0"/>
        <w:adjustRightInd w:val="0"/>
        <w:spacing w:after="0" w:line="240" w:lineRule="auto"/>
        <w:ind w:left="640" w:hanging="640"/>
        <w:rPr>
          <w:rFonts w:ascii="Myriad Web Pro" w:hAnsi="Myriad Web Pro" w:cs="Times New Roman"/>
          <w:noProof/>
          <w:sz w:val="18"/>
          <w:szCs w:val="24"/>
        </w:rPr>
      </w:pPr>
      <w:r w:rsidRPr="00A83FB0">
        <w:rPr>
          <w:rFonts w:ascii="Myriad Web Pro" w:hAnsi="Myriad Web Pro" w:cs="Times New Roman"/>
          <w:noProof/>
          <w:sz w:val="18"/>
          <w:szCs w:val="24"/>
        </w:rPr>
        <w:t>19.</w:t>
      </w:r>
      <w:r w:rsidRPr="00A83FB0">
        <w:rPr>
          <w:rFonts w:ascii="Myriad Web Pro" w:hAnsi="Myriad Web Pro" w:cs="Times New Roman"/>
          <w:noProof/>
          <w:sz w:val="18"/>
          <w:szCs w:val="24"/>
        </w:rPr>
        <w:tab/>
        <w:t xml:space="preserve">Cummings, S. R. </w:t>
      </w:r>
      <w:r w:rsidRPr="00A83FB0">
        <w:rPr>
          <w:rFonts w:ascii="Myriad Web Pro" w:hAnsi="Myriad Web Pro" w:cs="Times New Roman"/>
          <w:i/>
          <w:iCs/>
          <w:noProof/>
          <w:sz w:val="18"/>
          <w:szCs w:val="24"/>
        </w:rPr>
        <w:t>et al.</w:t>
      </w:r>
      <w:r w:rsidRPr="00A83FB0">
        <w:rPr>
          <w:rFonts w:ascii="Myriad Web Pro" w:hAnsi="Myriad Web Pro" w:cs="Times New Roman"/>
          <w:noProof/>
          <w:sz w:val="18"/>
          <w:szCs w:val="24"/>
        </w:rPr>
        <w:t xml:space="preserve"> Appendicular bone density and age predict hip fracture in women. The Study of Osteoporotic Fractures Research Group. </w:t>
      </w:r>
      <w:r w:rsidRPr="00A83FB0">
        <w:rPr>
          <w:rFonts w:ascii="Myriad Web Pro" w:hAnsi="Myriad Web Pro" w:cs="Times New Roman"/>
          <w:i/>
          <w:iCs/>
          <w:noProof/>
          <w:sz w:val="18"/>
          <w:szCs w:val="24"/>
        </w:rPr>
        <w:t>JAMA</w:t>
      </w:r>
      <w:r w:rsidRPr="00A83FB0">
        <w:rPr>
          <w:rFonts w:ascii="Myriad Web Pro" w:hAnsi="Myriad Web Pro" w:cs="Times New Roman"/>
          <w:noProof/>
          <w:sz w:val="18"/>
          <w:szCs w:val="24"/>
        </w:rPr>
        <w:t xml:space="preserve"> </w:t>
      </w:r>
      <w:r w:rsidRPr="00A83FB0">
        <w:rPr>
          <w:rFonts w:ascii="Myriad Web Pro" w:hAnsi="Myriad Web Pro" w:cs="Times New Roman"/>
          <w:b/>
          <w:bCs/>
          <w:noProof/>
          <w:sz w:val="18"/>
          <w:szCs w:val="24"/>
        </w:rPr>
        <w:t>263,</w:t>
      </w:r>
      <w:r w:rsidRPr="00A83FB0">
        <w:rPr>
          <w:rFonts w:ascii="Myriad Web Pro" w:hAnsi="Myriad Web Pro" w:cs="Times New Roman"/>
          <w:noProof/>
          <w:sz w:val="18"/>
          <w:szCs w:val="24"/>
        </w:rPr>
        <w:t xml:space="preserve"> 665–8 (1990).</w:t>
      </w:r>
    </w:p>
    <w:p w:rsidR="00A83FB0" w:rsidRPr="00A83FB0" w:rsidRDefault="00A83FB0">
      <w:pPr>
        <w:widowControl w:val="0"/>
        <w:autoSpaceDE w:val="0"/>
        <w:autoSpaceDN w:val="0"/>
        <w:adjustRightInd w:val="0"/>
        <w:spacing w:after="140" w:line="288" w:lineRule="auto"/>
        <w:rPr>
          <w:rFonts w:ascii="Myriad Web Pro" w:hAnsi="Myriad Web Pro" w:cs="Times New Roman"/>
          <w:noProof/>
          <w:sz w:val="18"/>
          <w:szCs w:val="24"/>
        </w:rPr>
      </w:pPr>
    </w:p>
    <w:p w:rsidR="00A83FB0" w:rsidRPr="00A83FB0" w:rsidRDefault="00A83FB0">
      <w:pPr>
        <w:widowControl w:val="0"/>
        <w:autoSpaceDE w:val="0"/>
        <w:autoSpaceDN w:val="0"/>
        <w:adjustRightInd w:val="0"/>
        <w:spacing w:after="0" w:line="240" w:lineRule="auto"/>
        <w:ind w:left="640" w:hanging="640"/>
        <w:rPr>
          <w:rFonts w:ascii="Myriad Web Pro" w:hAnsi="Myriad Web Pro" w:cs="Times New Roman"/>
          <w:noProof/>
          <w:sz w:val="18"/>
          <w:szCs w:val="24"/>
        </w:rPr>
      </w:pPr>
      <w:r w:rsidRPr="00A83FB0">
        <w:rPr>
          <w:rFonts w:ascii="Myriad Web Pro" w:hAnsi="Myriad Web Pro" w:cs="Times New Roman"/>
          <w:noProof/>
          <w:sz w:val="18"/>
          <w:szCs w:val="24"/>
        </w:rPr>
        <w:t>20.</w:t>
      </w:r>
      <w:r w:rsidRPr="00A83FB0">
        <w:rPr>
          <w:rFonts w:ascii="Myriad Web Pro" w:hAnsi="Myriad Web Pro" w:cs="Times New Roman"/>
          <w:noProof/>
          <w:sz w:val="18"/>
          <w:szCs w:val="24"/>
        </w:rPr>
        <w:tab/>
        <w:t xml:space="preserve">Moayyeri, A., Hammond, C. J., Hart, D. J. &amp; Spector, T. D. The UK Adult Twin Registry (TwinsUK Resource). </w:t>
      </w:r>
      <w:r w:rsidRPr="00A83FB0">
        <w:rPr>
          <w:rFonts w:ascii="Myriad Web Pro" w:hAnsi="Myriad Web Pro" w:cs="Times New Roman"/>
          <w:i/>
          <w:iCs/>
          <w:noProof/>
          <w:sz w:val="18"/>
          <w:szCs w:val="24"/>
        </w:rPr>
        <w:t>Twin Res. Hum. Genet.</w:t>
      </w:r>
      <w:r w:rsidRPr="00A83FB0">
        <w:rPr>
          <w:rFonts w:ascii="Myriad Web Pro" w:hAnsi="Myriad Web Pro" w:cs="Times New Roman"/>
          <w:noProof/>
          <w:sz w:val="18"/>
          <w:szCs w:val="24"/>
        </w:rPr>
        <w:t xml:space="preserve"> </w:t>
      </w:r>
      <w:r w:rsidRPr="00A83FB0">
        <w:rPr>
          <w:rFonts w:ascii="Myriad Web Pro" w:hAnsi="Myriad Web Pro" w:cs="Times New Roman"/>
          <w:b/>
          <w:bCs/>
          <w:noProof/>
          <w:sz w:val="18"/>
          <w:szCs w:val="24"/>
        </w:rPr>
        <w:t>16,</w:t>
      </w:r>
      <w:r w:rsidRPr="00A83FB0">
        <w:rPr>
          <w:rFonts w:ascii="Myriad Web Pro" w:hAnsi="Myriad Web Pro" w:cs="Times New Roman"/>
          <w:noProof/>
          <w:sz w:val="18"/>
          <w:szCs w:val="24"/>
        </w:rPr>
        <w:t xml:space="preserve"> 144–9 (2013).</w:t>
      </w:r>
    </w:p>
    <w:p w:rsidR="00A83FB0" w:rsidRPr="00A83FB0" w:rsidRDefault="00A83FB0">
      <w:pPr>
        <w:widowControl w:val="0"/>
        <w:autoSpaceDE w:val="0"/>
        <w:autoSpaceDN w:val="0"/>
        <w:adjustRightInd w:val="0"/>
        <w:spacing w:after="140" w:line="288" w:lineRule="auto"/>
        <w:rPr>
          <w:rFonts w:ascii="Myriad Web Pro" w:hAnsi="Myriad Web Pro" w:cs="Times New Roman"/>
          <w:noProof/>
          <w:sz w:val="18"/>
          <w:szCs w:val="24"/>
        </w:rPr>
      </w:pPr>
    </w:p>
    <w:p w:rsidR="00A83FB0" w:rsidRPr="00A83FB0" w:rsidRDefault="00A83FB0">
      <w:pPr>
        <w:widowControl w:val="0"/>
        <w:autoSpaceDE w:val="0"/>
        <w:autoSpaceDN w:val="0"/>
        <w:adjustRightInd w:val="0"/>
        <w:spacing w:after="0" w:line="240" w:lineRule="auto"/>
        <w:ind w:left="640" w:hanging="640"/>
        <w:rPr>
          <w:rFonts w:ascii="Myriad Web Pro" w:hAnsi="Myriad Web Pro" w:cs="Times New Roman"/>
          <w:noProof/>
          <w:sz w:val="18"/>
          <w:szCs w:val="24"/>
        </w:rPr>
      </w:pPr>
      <w:r w:rsidRPr="00A83FB0">
        <w:rPr>
          <w:rFonts w:ascii="Myriad Web Pro" w:hAnsi="Myriad Web Pro" w:cs="Times New Roman"/>
          <w:noProof/>
          <w:sz w:val="18"/>
          <w:szCs w:val="24"/>
        </w:rPr>
        <w:t>21.</w:t>
      </w:r>
      <w:r w:rsidRPr="00A83FB0">
        <w:rPr>
          <w:rFonts w:ascii="Myriad Web Pro" w:hAnsi="Myriad Web Pro" w:cs="Times New Roman"/>
          <w:noProof/>
          <w:sz w:val="18"/>
          <w:szCs w:val="24"/>
        </w:rPr>
        <w:tab/>
        <w:t xml:space="preserve">Henneman, P. </w:t>
      </w:r>
      <w:r w:rsidRPr="00A83FB0">
        <w:rPr>
          <w:rFonts w:ascii="Myriad Web Pro" w:hAnsi="Myriad Web Pro" w:cs="Times New Roman"/>
          <w:i/>
          <w:iCs/>
          <w:noProof/>
          <w:sz w:val="18"/>
          <w:szCs w:val="24"/>
        </w:rPr>
        <w:t>et al.</w:t>
      </w:r>
      <w:r w:rsidRPr="00A83FB0">
        <w:rPr>
          <w:rFonts w:ascii="Myriad Web Pro" w:hAnsi="Myriad Web Pro" w:cs="Times New Roman"/>
          <w:noProof/>
          <w:sz w:val="18"/>
          <w:szCs w:val="24"/>
        </w:rPr>
        <w:t xml:space="preserve"> Prevalence and heritability of the metabolic syndrome and its individual components in a Dutch isolate: the Erasmus Rucphen Family study. </w:t>
      </w:r>
      <w:r w:rsidRPr="00A83FB0">
        <w:rPr>
          <w:rFonts w:ascii="Myriad Web Pro" w:hAnsi="Myriad Web Pro" w:cs="Times New Roman"/>
          <w:i/>
          <w:iCs/>
          <w:noProof/>
          <w:sz w:val="18"/>
          <w:szCs w:val="24"/>
        </w:rPr>
        <w:t>J. Med. Genet.</w:t>
      </w:r>
      <w:r w:rsidRPr="00A83FB0">
        <w:rPr>
          <w:rFonts w:ascii="Myriad Web Pro" w:hAnsi="Myriad Web Pro" w:cs="Times New Roman"/>
          <w:noProof/>
          <w:sz w:val="18"/>
          <w:szCs w:val="24"/>
        </w:rPr>
        <w:t xml:space="preserve"> </w:t>
      </w:r>
      <w:r w:rsidRPr="00A83FB0">
        <w:rPr>
          <w:rFonts w:ascii="Myriad Web Pro" w:hAnsi="Myriad Web Pro" w:cs="Times New Roman"/>
          <w:b/>
          <w:bCs/>
          <w:noProof/>
          <w:sz w:val="18"/>
          <w:szCs w:val="24"/>
        </w:rPr>
        <w:t>45,</w:t>
      </w:r>
      <w:r w:rsidRPr="00A83FB0">
        <w:rPr>
          <w:rFonts w:ascii="Myriad Web Pro" w:hAnsi="Myriad Web Pro" w:cs="Times New Roman"/>
          <w:noProof/>
          <w:sz w:val="18"/>
          <w:szCs w:val="24"/>
        </w:rPr>
        <w:t xml:space="preserve"> 572–7 </w:t>
      </w:r>
      <w:r w:rsidRPr="00A83FB0">
        <w:rPr>
          <w:rFonts w:ascii="Myriad Web Pro" w:hAnsi="Myriad Web Pro" w:cs="Times New Roman"/>
          <w:noProof/>
          <w:sz w:val="18"/>
          <w:szCs w:val="24"/>
        </w:rPr>
        <w:lastRenderedPageBreak/>
        <w:t>(2008).</w:t>
      </w:r>
    </w:p>
    <w:p w:rsidR="00A83FB0" w:rsidRPr="00A83FB0" w:rsidRDefault="00A83FB0">
      <w:pPr>
        <w:widowControl w:val="0"/>
        <w:autoSpaceDE w:val="0"/>
        <w:autoSpaceDN w:val="0"/>
        <w:adjustRightInd w:val="0"/>
        <w:spacing w:after="140" w:line="288" w:lineRule="auto"/>
        <w:rPr>
          <w:rFonts w:ascii="Myriad Web Pro" w:hAnsi="Myriad Web Pro" w:cs="Times New Roman"/>
          <w:noProof/>
          <w:sz w:val="18"/>
          <w:szCs w:val="24"/>
        </w:rPr>
      </w:pPr>
    </w:p>
    <w:p w:rsidR="00A83FB0" w:rsidRPr="00A83FB0" w:rsidRDefault="00A83FB0">
      <w:pPr>
        <w:widowControl w:val="0"/>
        <w:autoSpaceDE w:val="0"/>
        <w:autoSpaceDN w:val="0"/>
        <w:adjustRightInd w:val="0"/>
        <w:spacing w:after="0" w:line="240" w:lineRule="auto"/>
        <w:ind w:left="640" w:hanging="640"/>
        <w:rPr>
          <w:rFonts w:ascii="Myriad Web Pro" w:hAnsi="Myriad Web Pro" w:cs="Times New Roman"/>
          <w:noProof/>
          <w:sz w:val="18"/>
          <w:szCs w:val="24"/>
        </w:rPr>
      </w:pPr>
      <w:r w:rsidRPr="00A83FB0">
        <w:rPr>
          <w:rFonts w:ascii="Myriad Web Pro" w:hAnsi="Myriad Web Pro" w:cs="Times New Roman"/>
          <w:noProof/>
          <w:sz w:val="18"/>
          <w:szCs w:val="24"/>
        </w:rPr>
        <w:t>22.</w:t>
      </w:r>
      <w:r w:rsidRPr="00A83FB0">
        <w:rPr>
          <w:rFonts w:ascii="Myriad Web Pro" w:hAnsi="Myriad Web Pro" w:cs="Times New Roman"/>
          <w:noProof/>
          <w:sz w:val="18"/>
          <w:szCs w:val="24"/>
        </w:rPr>
        <w:tab/>
        <w:t xml:space="preserve">McEvoy, M. </w:t>
      </w:r>
      <w:r w:rsidRPr="00A83FB0">
        <w:rPr>
          <w:rFonts w:ascii="Myriad Web Pro" w:hAnsi="Myriad Web Pro" w:cs="Times New Roman"/>
          <w:i/>
          <w:iCs/>
          <w:noProof/>
          <w:sz w:val="18"/>
          <w:szCs w:val="24"/>
        </w:rPr>
        <w:t>et al.</w:t>
      </w:r>
      <w:r w:rsidRPr="00A83FB0">
        <w:rPr>
          <w:rFonts w:ascii="Myriad Web Pro" w:hAnsi="Myriad Web Pro" w:cs="Times New Roman"/>
          <w:noProof/>
          <w:sz w:val="18"/>
          <w:szCs w:val="24"/>
        </w:rPr>
        <w:t xml:space="preserve"> Cohort profile: The Hunter Community Study. </w:t>
      </w:r>
      <w:r w:rsidRPr="00A83FB0">
        <w:rPr>
          <w:rFonts w:ascii="Myriad Web Pro" w:hAnsi="Myriad Web Pro" w:cs="Times New Roman"/>
          <w:i/>
          <w:iCs/>
          <w:noProof/>
          <w:sz w:val="18"/>
          <w:szCs w:val="24"/>
        </w:rPr>
        <w:t>Int. J. Epidemiol.</w:t>
      </w:r>
      <w:r w:rsidRPr="00A83FB0">
        <w:rPr>
          <w:rFonts w:ascii="Myriad Web Pro" w:hAnsi="Myriad Web Pro" w:cs="Times New Roman"/>
          <w:noProof/>
          <w:sz w:val="18"/>
          <w:szCs w:val="24"/>
        </w:rPr>
        <w:t xml:space="preserve"> </w:t>
      </w:r>
      <w:r w:rsidRPr="00A83FB0">
        <w:rPr>
          <w:rFonts w:ascii="Myriad Web Pro" w:hAnsi="Myriad Web Pro" w:cs="Times New Roman"/>
          <w:b/>
          <w:bCs/>
          <w:noProof/>
          <w:sz w:val="18"/>
          <w:szCs w:val="24"/>
        </w:rPr>
        <w:t>39,</w:t>
      </w:r>
      <w:r w:rsidRPr="00A83FB0">
        <w:rPr>
          <w:rFonts w:ascii="Myriad Web Pro" w:hAnsi="Myriad Web Pro" w:cs="Times New Roman"/>
          <w:noProof/>
          <w:sz w:val="18"/>
          <w:szCs w:val="24"/>
        </w:rPr>
        <w:t xml:space="preserve"> 1452–63 (2010).</w:t>
      </w:r>
    </w:p>
    <w:p w:rsidR="00A83FB0" w:rsidRPr="00A83FB0" w:rsidRDefault="00A83FB0">
      <w:pPr>
        <w:widowControl w:val="0"/>
        <w:autoSpaceDE w:val="0"/>
        <w:autoSpaceDN w:val="0"/>
        <w:adjustRightInd w:val="0"/>
        <w:spacing w:after="140" w:line="288" w:lineRule="auto"/>
        <w:rPr>
          <w:rFonts w:ascii="Myriad Web Pro" w:hAnsi="Myriad Web Pro" w:cs="Times New Roman"/>
          <w:noProof/>
          <w:sz w:val="18"/>
          <w:szCs w:val="24"/>
        </w:rPr>
      </w:pPr>
    </w:p>
    <w:p w:rsidR="00A83FB0" w:rsidRPr="00A83FB0" w:rsidRDefault="00A83FB0">
      <w:pPr>
        <w:widowControl w:val="0"/>
        <w:autoSpaceDE w:val="0"/>
        <w:autoSpaceDN w:val="0"/>
        <w:adjustRightInd w:val="0"/>
        <w:spacing w:after="0" w:line="240" w:lineRule="auto"/>
        <w:ind w:left="640" w:hanging="640"/>
        <w:rPr>
          <w:rFonts w:ascii="Myriad Web Pro" w:hAnsi="Myriad Web Pro" w:cs="Times New Roman"/>
          <w:noProof/>
          <w:sz w:val="18"/>
          <w:szCs w:val="24"/>
        </w:rPr>
      </w:pPr>
      <w:r w:rsidRPr="00A83FB0">
        <w:rPr>
          <w:rFonts w:ascii="Myriad Web Pro" w:hAnsi="Myriad Web Pro" w:cs="Times New Roman"/>
          <w:noProof/>
          <w:sz w:val="18"/>
          <w:szCs w:val="24"/>
        </w:rPr>
        <w:t>23.</w:t>
      </w:r>
      <w:r w:rsidRPr="00A83FB0">
        <w:rPr>
          <w:rFonts w:ascii="Myriad Web Pro" w:hAnsi="Myriad Web Pro" w:cs="Times New Roman"/>
          <w:noProof/>
          <w:sz w:val="18"/>
          <w:szCs w:val="24"/>
        </w:rPr>
        <w:tab/>
        <w:t xml:space="preserve">Sachdev, P. S. </w:t>
      </w:r>
      <w:r w:rsidRPr="00A83FB0">
        <w:rPr>
          <w:rFonts w:ascii="Myriad Web Pro" w:hAnsi="Myriad Web Pro" w:cs="Times New Roman"/>
          <w:i/>
          <w:iCs/>
          <w:noProof/>
          <w:sz w:val="18"/>
          <w:szCs w:val="24"/>
        </w:rPr>
        <w:t>et al.</w:t>
      </w:r>
      <w:r w:rsidRPr="00A83FB0">
        <w:rPr>
          <w:rFonts w:ascii="Myriad Web Pro" w:hAnsi="Myriad Web Pro" w:cs="Times New Roman"/>
          <w:noProof/>
          <w:sz w:val="18"/>
          <w:szCs w:val="24"/>
        </w:rPr>
        <w:t xml:space="preserve"> The Sydney Memory and Ageing Study (MAS): methodology and baseline medical and neuropsychiatric characteristics of an elderly epidemiological non-demented cohort of Australians aged 70-90 years. </w:t>
      </w:r>
      <w:r w:rsidRPr="00A83FB0">
        <w:rPr>
          <w:rFonts w:ascii="Myriad Web Pro" w:hAnsi="Myriad Web Pro" w:cs="Times New Roman"/>
          <w:i/>
          <w:iCs/>
          <w:noProof/>
          <w:sz w:val="18"/>
          <w:szCs w:val="24"/>
        </w:rPr>
        <w:t>Int. Psychogeriatr.</w:t>
      </w:r>
      <w:r w:rsidRPr="00A83FB0">
        <w:rPr>
          <w:rFonts w:ascii="Myriad Web Pro" w:hAnsi="Myriad Web Pro" w:cs="Times New Roman"/>
          <w:noProof/>
          <w:sz w:val="18"/>
          <w:szCs w:val="24"/>
        </w:rPr>
        <w:t xml:space="preserve"> </w:t>
      </w:r>
      <w:r w:rsidRPr="00A83FB0">
        <w:rPr>
          <w:rFonts w:ascii="Myriad Web Pro" w:hAnsi="Myriad Web Pro" w:cs="Times New Roman"/>
          <w:b/>
          <w:bCs/>
          <w:noProof/>
          <w:sz w:val="18"/>
          <w:szCs w:val="24"/>
        </w:rPr>
        <w:t>22,</w:t>
      </w:r>
      <w:r w:rsidRPr="00A83FB0">
        <w:rPr>
          <w:rFonts w:ascii="Myriad Web Pro" w:hAnsi="Myriad Web Pro" w:cs="Times New Roman"/>
          <w:noProof/>
          <w:sz w:val="18"/>
          <w:szCs w:val="24"/>
        </w:rPr>
        <w:t xml:space="preserve"> 1248–64 (2010).</w:t>
      </w:r>
    </w:p>
    <w:p w:rsidR="00A83FB0" w:rsidRPr="00A83FB0" w:rsidRDefault="00A83FB0">
      <w:pPr>
        <w:widowControl w:val="0"/>
        <w:autoSpaceDE w:val="0"/>
        <w:autoSpaceDN w:val="0"/>
        <w:adjustRightInd w:val="0"/>
        <w:spacing w:after="140" w:line="288" w:lineRule="auto"/>
        <w:rPr>
          <w:rFonts w:ascii="Myriad Web Pro" w:hAnsi="Myriad Web Pro" w:cs="Times New Roman"/>
          <w:noProof/>
          <w:sz w:val="18"/>
          <w:szCs w:val="24"/>
        </w:rPr>
      </w:pPr>
    </w:p>
    <w:p w:rsidR="00A83FB0" w:rsidRPr="00A83FB0" w:rsidRDefault="00A83FB0">
      <w:pPr>
        <w:widowControl w:val="0"/>
        <w:autoSpaceDE w:val="0"/>
        <w:autoSpaceDN w:val="0"/>
        <w:adjustRightInd w:val="0"/>
        <w:spacing w:after="0" w:line="240" w:lineRule="auto"/>
        <w:ind w:left="640" w:hanging="640"/>
        <w:rPr>
          <w:rFonts w:ascii="Myriad Web Pro" w:hAnsi="Myriad Web Pro" w:cs="Times New Roman"/>
          <w:noProof/>
          <w:sz w:val="18"/>
          <w:szCs w:val="24"/>
        </w:rPr>
      </w:pPr>
      <w:r w:rsidRPr="00A83FB0">
        <w:rPr>
          <w:rFonts w:ascii="Myriad Web Pro" w:hAnsi="Myriad Web Pro" w:cs="Times New Roman"/>
          <w:noProof/>
          <w:sz w:val="18"/>
          <w:szCs w:val="24"/>
        </w:rPr>
        <w:t>24.</w:t>
      </w:r>
      <w:r w:rsidRPr="00A83FB0">
        <w:rPr>
          <w:rFonts w:ascii="Myriad Web Pro" w:hAnsi="Myriad Web Pro" w:cs="Times New Roman"/>
          <w:noProof/>
          <w:sz w:val="18"/>
          <w:szCs w:val="24"/>
        </w:rPr>
        <w:tab/>
        <w:t xml:space="preserve">Pitsiladis, Y. P. </w:t>
      </w:r>
      <w:r w:rsidRPr="00A83FB0">
        <w:rPr>
          <w:rFonts w:ascii="Myriad Web Pro" w:hAnsi="Myriad Web Pro" w:cs="Times New Roman"/>
          <w:i/>
          <w:iCs/>
          <w:noProof/>
          <w:sz w:val="18"/>
          <w:szCs w:val="24"/>
        </w:rPr>
        <w:t>et al.</w:t>
      </w:r>
      <w:r w:rsidRPr="00A83FB0">
        <w:rPr>
          <w:rFonts w:ascii="Myriad Web Pro" w:hAnsi="Myriad Web Pro" w:cs="Times New Roman"/>
          <w:noProof/>
          <w:sz w:val="18"/>
          <w:szCs w:val="24"/>
        </w:rPr>
        <w:t xml:space="preserve"> Athlome Project Consortium: a concerted effort to discover genomic and other ‘omic’ markers of athletic performance. </w:t>
      </w:r>
      <w:r w:rsidRPr="00A83FB0">
        <w:rPr>
          <w:rFonts w:ascii="Myriad Web Pro" w:hAnsi="Myriad Web Pro" w:cs="Times New Roman"/>
          <w:i/>
          <w:iCs/>
          <w:noProof/>
          <w:sz w:val="18"/>
          <w:szCs w:val="24"/>
        </w:rPr>
        <w:t>Physiol. Genomics</w:t>
      </w:r>
      <w:r w:rsidRPr="00A83FB0">
        <w:rPr>
          <w:rFonts w:ascii="Myriad Web Pro" w:hAnsi="Myriad Web Pro" w:cs="Times New Roman"/>
          <w:noProof/>
          <w:sz w:val="18"/>
          <w:szCs w:val="24"/>
        </w:rPr>
        <w:t xml:space="preserve"> </w:t>
      </w:r>
      <w:r w:rsidRPr="00A83FB0">
        <w:rPr>
          <w:rFonts w:ascii="Myriad Web Pro" w:hAnsi="Myriad Web Pro" w:cs="Times New Roman"/>
          <w:b/>
          <w:bCs/>
          <w:noProof/>
          <w:sz w:val="18"/>
          <w:szCs w:val="24"/>
        </w:rPr>
        <w:t>48,</w:t>
      </w:r>
      <w:r w:rsidRPr="00A83FB0">
        <w:rPr>
          <w:rFonts w:ascii="Myriad Web Pro" w:hAnsi="Myriad Web Pro" w:cs="Times New Roman"/>
          <w:noProof/>
          <w:sz w:val="18"/>
          <w:szCs w:val="24"/>
        </w:rPr>
        <w:t xml:space="preserve"> 183–90 (2016).</w:t>
      </w:r>
    </w:p>
    <w:p w:rsidR="00A83FB0" w:rsidRPr="00A83FB0" w:rsidRDefault="00A83FB0">
      <w:pPr>
        <w:widowControl w:val="0"/>
        <w:autoSpaceDE w:val="0"/>
        <w:autoSpaceDN w:val="0"/>
        <w:adjustRightInd w:val="0"/>
        <w:spacing w:after="140" w:line="288" w:lineRule="auto"/>
        <w:rPr>
          <w:rFonts w:ascii="Myriad Web Pro" w:hAnsi="Myriad Web Pro" w:cs="Times New Roman"/>
          <w:noProof/>
          <w:sz w:val="18"/>
          <w:szCs w:val="24"/>
        </w:rPr>
      </w:pPr>
    </w:p>
    <w:p w:rsidR="00A83FB0" w:rsidRPr="00A83FB0" w:rsidRDefault="00A83FB0">
      <w:pPr>
        <w:widowControl w:val="0"/>
        <w:autoSpaceDE w:val="0"/>
        <w:autoSpaceDN w:val="0"/>
        <w:adjustRightInd w:val="0"/>
        <w:spacing w:after="0" w:line="240" w:lineRule="auto"/>
        <w:ind w:left="640" w:hanging="640"/>
        <w:rPr>
          <w:rFonts w:ascii="Myriad Web Pro" w:hAnsi="Myriad Web Pro" w:cs="Times New Roman"/>
          <w:noProof/>
          <w:sz w:val="18"/>
          <w:szCs w:val="24"/>
        </w:rPr>
      </w:pPr>
      <w:r w:rsidRPr="00A83FB0">
        <w:rPr>
          <w:rFonts w:ascii="Myriad Web Pro" w:hAnsi="Myriad Web Pro" w:cs="Times New Roman"/>
          <w:noProof/>
          <w:sz w:val="18"/>
          <w:szCs w:val="24"/>
        </w:rPr>
        <w:t>25.</w:t>
      </w:r>
      <w:r w:rsidRPr="00A83FB0">
        <w:rPr>
          <w:rFonts w:ascii="Myriad Web Pro" w:hAnsi="Myriad Web Pro" w:cs="Times New Roman"/>
          <w:noProof/>
          <w:sz w:val="18"/>
          <w:szCs w:val="24"/>
        </w:rPr>
        <w:tab/>
        <w:t xml:space="preserve">Hedstrand, H. A study of middle-aged men with particular reference to risk factors for cardiovascular disease. </w:t>
      </w:r>
      <w:r w:rsidRPr="00A83FB0">
        <w:rPr>
          <w:rFonts w:ascii="Myriad Web Pro" w:hAnsi="Myriad Web Pro" w:cs="Times New Roman"/>
          <w:i/>
          <w:iCs/>
          <w:noProof/>
          <w:sz w:val="18"/>
          <w:szCs w:val="24"/>
        </w:rPr>
        <w:t>Ups. J. Med. Sci. Suppl.</w:t>
      </w:r>
      <w:r w:rsidRPr="00A83FB0">
        <w:rPr>
          <w:rFonts w:ascii="Myriad Web Pro" w:hAnsi="Myriad Web Pro" w:cs="Times New Roman"/>
          <w:noProof/>
          <w:sz w:val="18"/>
          <w:szCs w:val="24"/>
        </w:rPr>
        <w:t xml:space="preserve"> </w:t>
      </w:r>
      <w:r w:rsidRPr="00A83FB0">
        <w:rPr>
          <w:rFonts w:ascii="Myriad Web Pro" w:hAnsi="Myriad Web Pro" w:cs="Times New Roman"/>
          <w:b/>
          <w:bCs/>
          <w:noProof/>
          <w:sz w:val="18"/>
          <w:szCs w:val="24"/>
        </w:rPr>
        <w:t>19,</w:t>
      </w:r>
      <w:r w:rsidRPr="00A83FB0">
        <w:rPr>
          <w:rFonts w:ascii="Myriad Web Pro" w:hAnsi="Myriad Web Pro" w:cs="Times New Roman"/>
          <w:noProof/>
          <w:sz w:val="18"/>
          <w:szCs w:val="24"/>
        </w:rPr>
        <w:t xml:space="preserve"> 1–61 (1975).</w:t>
      </w:r>
    </w:p>
    <w:p w:rsidR="00A83FB0" w:rsidRPr="00A83FB0" w:rsidRDefault="00A83FB0">
      <w:pPr>
        <w:widowControl w:val="0"/>
        <w:autoSpaceDE w:val="0"/>
        <w:autoSpaceDN w:val="0"/>
        <w:adjustRightInd w:val="0"/>
        <w:spacing w:after="140" w:line="288" w:lineRule="auto"/>
        <w:rPr>
          <w:rFonts w:ascii="Myriad Web Pro" w:hAnsi="Myriad Web Pro" w:cs="Times New Roman"/>
          <w:noProof/>
          <w:sz w:val="18"/>
          <w:szCs w:val="24"/>
        </w:rPr>
      </w:pPr>
    </w:p>
    <w:p w:rsidR="00A83FB0" w:rsidRPr="00A83FB0" w:rsidRDefault="00A83FB0">
      <w:pPr>
        <w:widowControl w:val="0"/>
        <w:autoSpaceDE w:val="0"/>
        <w:autoSpaceDN w:val="0"/>
        <w:adjustRightInd w:val="0"/>
        <w:spacing w:after="0" w:line="240" w:lineRule="auto"/>
        <w:ind w:left="640" w:hanging="640"/>
        <w:rPr>
          <w:rFonts w:ascii="Myriad Web Pro" w:hAnsi="Myriad Web Pro" w:cs="Times New Roman"/>
          <w:noProof/>
          <w:sz w:val="18"/>
          <w:szCs w:val="24"/>
        </w:rPr>
      </w:pPr>
      <w:r w:rsidRPr="00A83FB0">
        <w:rPr>
          <w:rFonts w:ascii="Myriad Web Pro" w:hAnsi="Myriad Web Pro" w:cs="Times New Roman"/>
          <w:noProof/>
          <w:sz w:val="18"/>
          <w:szCs w:val="24"/>
        </w:rPr>
        <w:t>26.</w:t>
      </w:r>
      <w:r w:rsidRPr="00A83FB0">
        <w:rPr>
          <w:rFonts w:ascii="Myriad Web Pro" w:hAnsi="Myriad Web Pro" w:cs="Times New Roman"/>
          <w:noProof/>
          <w:sz w:val="18"/>
          <w:szCs w:val="24"/>
        </w:rPr>
        <w:tab/>
        <w:t xml:space="preserve">Mootha, V. K. </w:t>
      </w:r>
      <w:r w:rsidRPr="00A83FB0">
        <w:rPr>
          <w:rFonts w:ascii="Myriad Web Pro" w:hAnsi="Myriad Web Pro" w:cs="Times New Roman"/>
          <w:i/>
          <w:iCs/>
          <w:noProof/>
          <w:sz w:val="18"/>
          <w:szCs w:val="24"/>
        </w:rPr>
        <w:t>et al.</w:t>
      </w:r>
      <w:r w:rsidRPr="00A83FB0">
        <w:rPr>
          <w:rFonts w:ascii="Myriad Web Pro" w:hAnsi="Myriad Web Pro" w:cs="Times New Roman"/>
          <w:noProof/>
          <w:sz w:val="18"/>
          <w:szCs w:val="24"/>
        </w:rPr>
        <w:t xml:space="preserve"> PGC-1alpha-responsive genes involved in oxidative phosphorylation are coordinately downregulated in human diabetes. </w:t>
      </w:r>
      <w:r w:rsidRPr="00A83FB0">
        <w:rPr>
          <w:rFonts w:ascii="Myriad Web Pro" w:hAnsi="Myriad Web Pro" w:cs="Times New Roman"/>
          <w:i/>
          <w:iCs/>
          <w:noProof/>
          <w:sz w:val="18"/>
          <w:szCs w:val="24"/>
        </w:rPr>
        <w:t>Nat. Genet.</w:t>
      </w:r>
      <w:r w:rsidRPr="00A83FB0">
        <w:rPr>
          <w:rFonts w:ascii="Myriad Web Pro" w:hAnsi="Myriad Web Pro" w:cs="Times New Roman"/>
          <w:noProof/>
          <w:sz w:val="18"/>
          <w:szCs w:val="24"/>
        </w:rPr>
        <w:t xml:space="preserve"> </w:t>
      </w:r>
      <w:r w:rsidRPr="00A83FB0">
        <w:rPr>
          <w:rFonts w:ascii="Myriad Web Pro" w:hAnsi="Myriad Web Pro" w:cs="Times New Roman"/>
          <w:b/>
          <w:bCs/>
          <w:noProof/>
          <w:sz w:val="18"/>
          <w:szCs w:val="24"/>
        </w:rPr>
        <w:t>34,</w:t>
      </w:r>
      <w:r w:rsidRPr="00A83FB0">
        <w:rPr>
          <w:rFonts w:ascii="Myriad Web Pro" w:hAnsi="Myriad Web Pro" w:cs="Times New Roman"/>
          <w:noProof/>
          <w:sz w:val="18"/>
          <w:szCs w:val="24"/>
        </w:rPr>
        <w:t xml:space="preserve"> 267–73 (2003).</w:t>
      </w:r>
    </w:p>
    <w:p w:rsidR="00A83FB0" w:rsidRPr="00A83FB0" w:rsidRDefault="00A83FB0">
      <w:pPr>
        <w:widowControl w:val="0"/>
        <w:autoSpaceDE w:val="0"/>
        <w:autoSpaceDN w:val="0"/>
        <w:adjustRightInd w:val="0"/>
        <w:spacing w:after="140" w:line="288" w:lineRule="auto"/>
        <w:rPr>
          <w:rFonts w:ascii="Myriad Web Pro" w:hAnsi="Myriad Web Pro" w:cs="Times New Roman"/>
          <w:noProof/>
          <w:sz w:val="18"/>
          <w:szCs w:val="24"/>
        </w:rPr>
      </w:pPr>
    </w:p>
    <w:p w:rsidR="00A83FB0" w:rsidRPr="00A83FB0" w:rsidRDefault="00A83FB0">
      <w:pPr>
        <w:widowControl w:val="0"/>
        <w:autoSpaceDE w:val="0"/>
        <w:autoSpaceDN w:val="0"/>
        <w:adjustRightInd w:val="0"/>
        <w:spacing w:after="0" w:line="240" w:lineRule="auto"/>
        <w:ind w:left="640" w:hanging="640"/>
        <w:rPr>
          <w:rFonts w:ascii="Myriad Web Pro" w:hAnsi="Myriad Web Pro"/>
          <w:noProof/>
          <w:sz w:val="18"/>
        </w:rPr>
      </w:pPr>
      <w:r w:rsidRPr="00A83FB0">
        <w:rPr>
          <w:rFonts w:ascii="Myriad Web Pro" w:hAnsi="Myriad Web Pro" w:cs="Times New Roman"/>
          <w:noProof/>
          <w:sz w:val="18"/>
          <w:szCs w:val="24"/>
        </w:rPr>
        <w:t>27.</w:t>
      </w:r>
      <w:r w:rsidRPr="00A83FB0">
        <w:rPr>
          <w:rFonts w:ascii="Myriad Web Pro" w:hAnsi="Myriad Web Pro" w:cs="Times New Roman"/>
          <w:noProof/>
          <w:sz w:val="18"/>
          <w:szCs w:val="24"/>
        </w:rPr>
        <w:tab/>
        <w:t xml:space="preserve">Elgzyri, T. </w:t>
      </w:r>
      <w:r w:rsidRPr="00A83FB0">
        <w:rPr>
          <w:rFonts w:ascii="Myriad Web Pro" w:hAnsi="Myriad Web Pro" w:cs="Times New Roman"/>
          <w:i/>
          <w:iCs/>
          <w:noProof/>
          <w:sz w:val="18"/>
          <w:szCs w:val="24"/>
        </w:rPr>
        <w:t>et al.</w:t>
      </w:r>
      <w:r w:rsidRPr="00A83FB0">
        <w:rPr>
          <w:rFonts w:ascii="Myriad Web Pro" w:hAnsi="Myriad Web Pro" w:cs="Times New Roman"/>
          <w:noProof/>
          <w:sz w:val="18"/>
          <w:szCs w:val="24"/>
        </w:rPr>
        <w:t xml:space="preserve"> First-degree relatives of type 2 diabetic patients have reduced expression of genes involved in fatty acid metabolism in skeletal muscle. </w:t>
      </w:r>
      <w:r w:rsidRPr="00A83FB0">
        <w:rPr>
          <w:rFonts w:ascii="Myriad Web Pro" w:hAnsi="Myriad Web Pro" w:cs="Times New Roman"/>
          <w:i/>
          <w:iCs/>
          <w:noProof/>
          <w:sz w:val="18"/>
          <w:szCs w:val="24"/>
        </w:rPr>
        <w:t>J. Clin. Endocrinol. Metab.</w:t>
      </w:r>
      <w:r w:rsidRPr="00A83FB0">
        <w:rPr>
          <w:rFonts w:ascii="Myriad Web Pro" w:hAnsi="Myriad Web Pro" w:cs="Times New Roman"/>
          <w:noProof/>
          <w:sz w:val="18"/>
          <w:szCs w:val="24"/>
        </w:rPr>
        <w:t xml:space="preserve"> </w:t>
      </w:r>
      <w:r w:rsidRPr="00A83FB0">
        <w:rPr>
          <w:rFonts w:ascii="Myriad Web Pro" w:hAnsi="Myriad Web Pro" w:cs="Times New Roman"/>
          <w:b/>
          <w:bCs/>
          <w:noProof/>
          <w:sz w:val="18"/>
          <w:szCs w:val="24"/>
        </w:rPr>
        <w:t>97,</w:t>
      </w:r>
      <w:r w:rsidRPr="00A83FB0">
        <w:rPr>
          <w:rFonts w:ascii="Myriad Web Pro" w:hAnsi="Myriad Web Pro" w:cs="Times New Roman"/>
          <w:noProof/>
          <w:sz w:val="18"/>
          <w:szCs w:val="24"/>
        </w:rPr>
        <w:t xml:space="preserve"> E1332–7 (2012).</w:t>
      </w:r>
    </w:p>
    <w:p w:rsidR="00F01936" w:rsidRPr="006313F0" w:rsidRDefault="00F01936" w:rsidP="00A83FB0">
      <w:pPr>
        <w:widowControl w:val="0"/>
        <w:autoSpaceDE w:val="0"/>
        <w:autoSpaceDN w:val="0"/>
        <w:adjustRightInd w:val="0"/>
        <w:spacing w:after="140" w:line="288" w:lineRule="auto"/>
        <w:ind w:left="480" w:hanging="480"/>
        <w:rPr>
          <w:rFonts w:ascii="Myriad Web Pro" w:hAnsi="Myriad Web Pro"/>
          <w:sz w:val="18"/>
          <w:szCs w:val="18"/>
        </w:rPr>
      </w:pPr>
      <w:r w:rsidRPr="006313F0">
        <w:rPr>
          <w:rFonts w:ascii="Myriad Web Pro" w:hAnsi="Myriad Web Pro"/>
          <w:sz w:val="18"/>
          <w:szCs w:val="18"/>
        </w:rPr>
        <w:fldChar w:fldCharType="end"/>
      </w:r>
    </w:p>
    <w:p w:rsidR="00F01936" w:rsidRPr="006313F0" w:rsidRDefault="00F01936" w:rsidP="00F01936">
      <w:pPr>
        <w:rPr>
          <w:rFonts w:ascii="Myriad Web Pro" w:hAnsi="Myriad Web Pro" w:cs="Times New Roman"/>
          <w:sz w:val="18"/>
          <w:szCs w:val="18"/>
        </w:rPr>
      </w:pPr>
    </w:p>
    <w:sectPr w:rsidR="00F01936" w:rsidRPr="006313F0" w:rsidSect="006313F0">
      <w:pgSz w:w="11906" w:h="16838"/>
      <w:pgMar w:top="1440" w:right="1440" w:bottom="1440" w:left="1440" w:header="708" w:footer="708" w:gutter="0"/>
      <w:cols w:num="2"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Myriad Web Pro">
    <w:altName w:val="Corbel"/>
    <w:charset w:val="00"/>
    <w:family w:val="swiss"/>
    <w:pitch w:val="variable"/>
    <w:sig w:usb0="00000001" w:usb1="5000204A" w:usb2="00000000" w:usb3="00000000" w:csb0="00000093" w:csb1="00000000"/>
  </w:font>
  <w:font w:name="Arial">
    <w:panose1 w:val="020B0604020202020204"/>
    <w:charset w:val="00"/>
    <w:family w:val="swiss"/>
    <w:pitch w:val="variable"/>
    <w:sig w:usb0="E0002A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8C44CFD"/>
    <w:multiLevelType w:val="hybridMultilevel"/>
    <w:tmpl w:val="21FE71D6"/>
    <w:lvl w:ilvl="0" w:tplc="0D386EF4">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4D200C18"/>
    <w:multiLevelType w:val="hybridMultilevel"/>
    <w:tmpl w:val="B1F8EA5C"/>
    <w:lvl w:ilvl="0" w:tplc="F0209F1E">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58091227"/>
    <w:multiLevelType w:val="hybridMultilevel"/>
    <w:tmpl w:val="3F7CFCD4"/>
    <w:lvl w:ilvl="0" w:tplc="4DFE8442">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966A5"/>
    <w:rsid w:val="00050214"/>
    <w:rsid w:val="00091511"/>
    <w:rsid w:val="000A3344"/>
    <w:rsid w:val="000E491D"/>
    <w:rsid w:val="001B3178"/>
    <w:rsid w:val="006313F0"/>
    <w:rsid w:val="006A6595"/>
    <w:rsid w:val="006F1F9B"/>
    <w:rsid w:val="006F3DB8"/>
    <w:rsid w:val="006F6590"/>
    <w:rsid w:val="006F72C2"/>
    <w:rsid w:val="008531B8"/>
    <w:rsid w:val="00895687"/>
    <w:rsid w:val="00A83FB0"/>
    <w:rsid w:val="00AC3C72"/>
    <w:rsid w:val="00B21DCF"/>
    <w:rsid w:val="00B966A5"/>
    <w:rsid w:val="00C04C52"/>
    <w:rsid w:val="00EF0916"/>
    <w:rsid w:val="00F01936"/>
    <w:rsid w:val="00F1063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02ABF657-66BC-46C7-9ED5-CB7722D3B5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B966A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966A5"/>
    <w:rPr>
      <w:rFonts w:ascii="Tahoma" w:hAnsi="Tahoma" w:cs="Tahoma"/>
      <w:sz w:val="16"/>
      <w:szCs w:val="16"/>
    </w:rPr>
  </w:style>
  <w:style w:type="paragraph" w:styleId="NormalWeb">
    <w:name w:val="Normal (Web)"/>
    <w:basedOn w:val="Normal"/>
    <w:uiPriority w:val="99"/>
    <w:semiHidden/>
    <w:unhideWhenUsed/>
    <w:rsid w:val="00F01936"/>
    <w:pPr>
      <w:spacing w:before="100" w:beforeAutospacing="1" w:after="100" w:afterAutospacing="1" w:line="240" w:lineRule="auto"/>
    </w:pPr>
    <w:rPr>
      <w:rFonts w:ascii="Times New Roman" w:eastAsiaTheme="minorEastAsia" w:hAnsi="Times New Roman" w:cs="Times New Roman"/>
      <w:sz w:val="24"/>
      <w:szCs w:val="24"/>
      <w:lang w:eastAsia="en-GB"/>
    </w:rPr>
  </w:style>
  <w:style w:type="character" w:styleId="Hyperlink">
    <w:name w:val="Hyperlink"/>
    <w:basedOn w:val="DefaultParagraphFont"/>
    <w:uiPriority w:val="99"/>
    <w:rsid w:val="00F01936"/>
    <w:rPr>
      <w:color w:val="0000FF"/>
      <w:u w:val="single"/>
    </w:rPr>
  </w:style>
  <w:style w:type="paragraph" w:styleId="ListParagraph">
    <w:name w:val="List Paragraph"/>
    <w:basedOn w:val="Normal"/>
    <w:uiPriority w:val="34"/>
    <w:qFormat/>
    <w:rsid w:val="00AC3C72"/>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hyperlink" Target="http://www.mrc-epid.cam.ac.uk/research/studies/fenland/fenland-technical-summary/" TargetMode="Externa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hyperlink" Target="http://www.srl.cam.ac.uk/epic/" TargetMode="External"/><Relationship Id="rId2" Type="http://schemas.openxmlformats.org/officeDocument/2006/relationships/numbering" Target="numbering.xml"/><Relationship Id="rId16" Type="http://schemas.openxmlformats.org/officeDocument/2006/relationships/image" Target="media/image11.png"/><Relationship Id="rId20" Type="http://schemas.openxmlformats.org/officeDocument/2006/relationships/hyperlink" Target="http://www.gefos.org/" TargetMode="Externa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image" Target="media/image10.png"/><Relationship Id="rId10" Type="http://schemas.openxmlformats.org/officeDocument/2006/relationships/image" Target="media/image5.png"/><Relationship Id="rId19" Type="http://schemas.openxmlformats.org/officeDocument/2006/relationships/hyperlink" Target="http://www.twinsuk.ac.uk" TargetMode="External"/><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B9F32BB-0285-4CBF-B614-97A16857333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16</Pages>
  <Words>21642</Words>
  <Characters>123360</Characters>
  <Application>Microsoft Office Word</Application>
  <DocSecurity>0</DocSecurity>
  <Lines>1028</Lines>
  <Paragraphs>289</Paragraphs>
  <ScaleCrop>false</ScaleCrop>
  <HeadingPairs>
    <vt:vector size="2" baseType="variant">
      <vt:variant>
        <vt:lpstr>Title</vt:lpstr>
      </vt:variant>
      <vt:variant>
        <vt:i4>1</vt:i4>
      </vt:variant>
    </vt:vector>
  </HeadingPairs>
  <TitlesOfParts>
    <vt:vector size="1" baseType="lpstr">
      <vt:lpstr/>
    </vt:vector>
  </TitlesOfParts>
  <Company>MRC</Company>
  <LinksUpToDate>false</LinksUpToDate>
  <CharactersWithSpaces>144713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Dan Wright</dc:creator>
  <cp:lastModifiedBy>Robert Scott</cp:lastModifiedBy>
  <cp:revision>2</cp:revision>
  <dcterms:created xsi:type="dcterms:W3CDTF">2017-03-12T11:35:00Z</dcterms:created>
  <dcterms:modified xsi:type="dcterms:W3CDTF">2017-03-12T11:35:00Z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User Name_1">
    <vt:lpwstr>dan.wright@mrc-epid.cam.ac.uk@www.mendeley.com</vt:lpwstr>
  </property>
  <property fmtid="{D5CDD505-2E9C-101B-9397-08002B2CF9AE}" pid="4" name="Mendeley Citation Style_1">
    <vt:lpwstr>http://www.zotero.org/styles/nature-communications</vt:lpwstr>
  </property>
  <property fmtid="{D5CDD505-2E9C-101B-9397-08002B2CF9AE}" pid="5" name="Mendeley Recent Style Id 0_1">
    <vt:lpwstr>http://www.zotero.org/styles/apa</vt:lpwstr>
  </property>
  <property fmtid="{D5CDD505-2E9C-101B-9397-08002B2CF9AE}" pid="6" name="Mendeley Recent Style Name 0_1">
    <vt:lpwstr>American Psychological Association 6th edition</vt:lpwstr>
  </property>
  <property fmtid="{D5CDD505-2E9C-101B-9397-08002B2CF9AE}" pid="7" name="Mendeley Recent Style Id 1_1">
    <vt:lpwstr>http://www.zotero.org/styles/american-sociological-association</vt:lpwstr>
  </property>
  <property fmtid="{D5CDD505-2E9C-101B-9397-08002B2CF9AE}" pid="8" name="Mendeley Recent Style Name 1_1">
    <vt:lpwstr>American Sociological Association</vt:lpwstr>
  </property>
  <property fmtid="{D5CDD505-2E9C-101B-9397-08002B2CF9AE}" pid="9" name="Mendeley Recent Style Id 2_1">
    <vt:lpwstr>http://www.zotero.org/styles/chicago-author-date</vt:lpwstr>
  </property>
  <property fmtid="{D5CDD505-2E9C-101B-9397-08002B2CF9AE}" pid="10" name="Mendeley Recent Style Name 2_1">
    <vt:lpwstr>Chicago Manual of Style 16th edition (author-date)</vt:lpwstr>
  </property>
  <property fmtid="{D5CDD505-2E9C-101B-9397-08002B2CF9AE}" pid="11" name="Mendeley Recent Style Id 3_1">
    <vt:lpwstr>http://www.zotero.org/styles/harvard1</vt:lpwstr>
  </property>
  <property fmtid="{D5CDD505-2E9C-101B-9397-08002B2CF9AE}" pid="12" name="Mendeley Recent Style Name 3_1">
    <vt:lpwstr>Harvard Reference format 1 (author-date)</vt:lpwstr>
  </property>
  <property fmtid="{D5CDD505-2E9C-101B-9397-08002B2CF9AE}" pid="13" name="Mendeley Recent Style Id 4_1">
    <vt:lpwstr>http://www.zotero.org/styles/ieee</vt:lpwstr>
  </property>
  <property fmtid="{D5CDD505-2E9C-101B-9397-08002B2CF9AE}" pid="14" name="Mendeley Recent Style Name 4_1">
    <vt:lpwstr>IEEE</vt:lpwstr>
  </property>
  <property fmtid="{D5CDD505-2E9C-101B-9397-08002B2CF9AE}" pid="15" name="Mendeley Recent Style Id 5_1">
    <vt:lpwstr>http://www.zotero.org/styles/modern-humanities-research-association</vt:lpwstr>
  </property>
  <property fmtid="{D5CDD505-2E9C-101B-9397-08002B2CF9AE}" pid="16" name="Mendeley Recent Style Name 5_1">
    <vt:lpwstr>Modern Humanities Research Association 3rd edition (note with bibliography)</vt:lpwstr>
  </property>
  <property fmtid="{D5CDD505-2E9C-101B-9397-08002B2CF9AE}" pid="17" name="Mendeley Recent Style Id 6_1">
    <vt:lpwstr>http://www.zotero.org/styles/modern-language-association</vt:lpwstr>
  </property>
  <property fmtid="{D5CDD505-2E9C-101B-9397-08002B2CF9AE}" pid="18" name="Mendeley Recent Style Name 6_1">
    <vt:lpwstr>Modern Language Association 7th edition</vt:lpwstr>
  </property>
  <property fmtid="{D5CDD505-2E9C-101B-9397-08002B2CF9AE}" pid="19" name="Mendeley Recent Style Id 7_1">
    <vt:lpwstr>http://www.zotero.org/styles/nature</vt:lpwstr>
  </property>
  <property fmtid="{D5CDD505-2E9C-101B-9397-08002B2CF9AE}" pid="20" name="Mendeley Recent Style Name 7_1">
    <vt:lpwstr>Nature</vt:lpwstr>
  </property>
  <property fmtid="{D5CDD505-2E9C-101B-9397-08002B2CF9AE}" pid="21" name="Mendeley Recent Style Id 8_1">
    <vt:lpwstr>http://www.zotero.org/styles/nature-communications</vt:lpwstr>
  </property>
  <property fmtid="{D5CDD505-2E9C-101B-9397-08002B2CF9AE}" pid="22" name="Mendeley Recent Style Name 8_1">
    <vt:lpwstr>Nature Communications</vt:lpwstr>
  </property>
  <property fmtid="{D5CDD505-2E9C-101B-9397-08002B2CF9AE}" pid="23" name="Mendeley Recent Style Id 9_1">
    <vt:lpwstr>http://www.zotero.org/styles/plos-genetics</vt:lpwstr>
  </property>
  <property fmtid="{D5CDD505-2E9C-101B-9397-08002B2CF9AE}" pid="24" name="Mendeley Recent Style Name 9_1">
    <vt:lpwstr>PLOS Genetics</vt:lpwstr>
  </property>
</Properties>
</file>