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0CA" w:rsidRDefault="00FA291D">
      <w:r>
        <w:t>Table 4: Predictive performance of PARC for main analysis and sensitivity analyses in ALSPAC and LRC (definitions of main and sensitivity analyses in table E1)</w:t>
      </w:r>
    </w:p>
    <w:p w:rsidR="00FA291D" w:rsidRDefault="00FA291D"/>
    <w:tbl>
      <w:tblPr>
        <w:tblStyle w:val="PlainTable21"/>
        <w:tblW w:w="12469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823"/>
        <w:gridCol w:w="708"/>
        <w:gridCol w:w="993"/>
        <w:gridCol w:w="850"/>
        <w:gridCol w:w="992"/>
        <w:gridCol w:w="993"/>
        <w:gridCol w:w="850"/>
        <w:gridCol w:w="851"/>
        <w:gridCol w:w="850"/>
        <w:gridCol w:w="992"/>
      </w:tblGrid>
      <w:tr w:rsidR="00FA291D" w:rsidRPr="00E91FB7" w:rsidTr="00332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ALSPAC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Cases (%)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Sens. at score 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Spec. at score 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Sens. at score 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Spec. at score 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AUC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vertAlign w:val="superscript"/>
              </w:rPr>
            </w:pPr>
            <w:r w:rsidRPr="00E91FB7">
              <w:rPr>
                <w:sz w:val="16"/>
                <w:szCs w:val="16"/>
              </w:rPr>
              <w:t>R</w:t>
            </w:r>
            <w:r w:rsidRPr="00E91FB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Brier score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382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A1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91FB7">
              <w:rPr>
                <w:b/>
                <w:sz w:val="16"/>
                <w:szCs w:val="16"/>
              </w:rPr>
              <w:t>Main analysis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2690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373 (14)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0.13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A2</w:t>
            </w:r>
          </w:p>
        </w:tc>
        <w:tc>
          <w:tcPr>
            <w:tcW w:w="382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Altered</w:t>
            </w:r>
            <w:r w:rsidRPr="00E91FB7">
              <w:rPr>
                <w:b/>
                <w:sz w:val="16"/>
                <w:szCs w:val="16"/>
              </w:rPr>
              <w:t xml:space="preserve"> inclusion criteria</w:t>
            </w:r>
          </w:p>
        </w:tc>
        <w:tc>
          <w:tcPr>
            <w:tcW w:w="708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A2.1</w:t>
            </w:r>
          </w:p>
        </w:tc>
        <w:tc>
          <w:tcPr>
            <w:tcW w:w="3823" w:type="dxa"/>
          </w:tcPr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Only children aged 1 year</w:t>
            </w:r>
          </w:p>
        </w:tc>
        <w:tc>
          <w:tcPr>
            <w:tcW w:w="708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3583</w:t>
            </w:r>
          </w:p>
        </w:tc>
        <w:tc>
          <w:tcPr>
            <w:tcW w:w="993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439 (12)</w:t>
            </w: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0.51</w:t>
            </w:r>
          </w:p>
        </w:tc>
        <w:tc>
          <w:tcPr>
            <w:tcW w:w="992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0.80</w:t>
            </w:r>
          </w:p>
        </w:tc>
        <w:tc>
          <w:tcPr>
            <w:tcW w:w="993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0.44</w:t>
            </w: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0.85</w:t>
            </w:r>
          </w:p>
        </w:tc>
        <w:tc>
          <w:tcPr>
            <w:tcW w:w="851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0.71</w:t>
            </w: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0.13</w:t>
            </w:r>
          </w:p>
        </w:tc>
        <w:tc>
          <w:tcPr>
            <w:tcW w:w="992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0.06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A2.2</w:t>
            </w:r>
          </w:p>
        </w:tc>
        <w:tc>
          <w:tcPr>
            <w:tcW w:w="382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Only children aged 2 years</w:t>
            </w:r>
          </w:p>
        </w:tc>
        <w:tc>
          <w:tcPr>
            <w:tcW w:w="708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2817</w:t>
            </w:r>
          </w:p>
        </w:tc>
        <w:tc>
          <w:tcPr>
            <w:tcW w:w="99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410 (14)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0.69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0.72</w:t>
            </w:r>
          </w:p>
        </w:tc>
        <w:tc>
          <w:tcPr>
            <w:tcW w:w="99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0.62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0.79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0.76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0.21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0.07</w:t>
            </w: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A2.3</w:t>
            </w:r>
          </w:p>
        </w:tc>
        <w:tc>
          <w:tcPr>
            <w:tcW w:w="3823" w:type="dxa"/>
          </w:tcPr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Only children aged 3 years</w:t>
            </w:r>
          </w:p>
        </w:tc>
        <w:tc>
          <w:tcPr>
            <w:tcW w:w="708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2238</w:t>
            </w:r>
          </w:p>
        </w:tc>
        <w:tc>
          <w:tcPr>
            <w:tcW w:w="993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396 (19)</w:t>
            </w: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0.62</w:t>
            </w:r>
          </w:p>
        </w:tc>
        <w:tc>
          <w:tcPr>
            <w:tcW w:w="992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0.82</w:t>
            </w:r>
          </w:p>
        </w:tc>
        <w:tc>
          <w:tcPr>
            <w:tcW w:w="993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0.58</w:t>
            </w: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0.86</w:t>
            </w:r>
          </w:p>
        </w:tc>
        <w:tc>
          <w:tcPr>
            <w:tcW w:w="851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0.78</w:t>
            </w: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0.26</w:t>
            </w:r>
          </w:p>
        </w:tc>
        <w:tc>
          <w:tcPr>
            <w:tcW w:w="992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0.21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A2.4</w:t>
            </w:r>
          </w:p>
        </w:tc>
        <w:tc>
          <w:tcPr>
            <w:tcW w:w="382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Wheeze past 12 months</w:t>
            </w:r>
          </w:p>
        </w:tc>
        <w:tc>
          <w:tcPr>
            <w:tcW w:w="708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1423</w:t>
            </w:r>
          </w:p>
        </w:tc>
        <w:tc>
          <w:tcPr>
            <w:tcW w:w="99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326 (23)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0.81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0.46</w:t>
            </w:r>
          </w:p>
        </w:tc>
        <w:tc>
          <w:tcPr>
            <w:tcW w:w="99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0.74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0.59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0.73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0.18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0.08</w:t>
            </w: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A2.5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Cough past 12 months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6351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554 (9)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0.52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0.45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0.92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0.07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A3</w:t>
            </w:r>
          </w:p>
        </w:tc>
        <w:tc>
          <w:tcPr>
            <w:tcW w:w="382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Altered</w:t>
            </w:r>
            <w:r w:rsidRPr="00E91FB7">
              <w:rPr>
                <w:b/>
                <w:sz w:val="16"/>
                <w:szCs w:val="16"/>
              </w:rPr>
              <w:t xml:space="preserve"> scoring variables</w:t>
            </w:r>
          </w:p>
        </w:tc>
        <w:tc>
          <w:tcPr>
            <w:tcW w:w="708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A3.1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Exclude trigger variables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2690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373 (14)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0.13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A4</w:t>
            </w:r>
          </w:p>
        </w:tc>
        <w:tc>
          <w:tcPr>
            <w:tcW w:w="382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Altered</w:t>
            </w:r>
            <w:r w:rsidRPr="00E91FB7">
              <w:rPr>
                <w:b/>
                <w:sz w:val="16"/>
                <w:szCs w:val="16"/>
              </w:rPr>
              <w:t xml:space="preserve"> outcome definition</w:t>
            </w:r>
          </w:p>
        </w:tc>
        <w:tc>
          <w:tcPr>
            <w:tcW w:w="708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4E03DC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A4.1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Severity: Wheeze past 12 months and use   </w:t>
            </w:r>
          </w:p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of asthma medication at 3 or more episodes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2688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307 (11)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0.06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823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91FB7">
              <w:rPr>
                <w:b/>
                <w:sz w:val="16"/>
                <w:szCs w:val="16"/>
              </w:rPr>
              <w:t>LRC</w:t>
            </w:r>
          </w:p>
        </w:tc>
        <w:tc>
          <w:tcPr>
            <w:tcW w:w="708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3823" w:type="dxa"/>
          </w:tcPr>
          <w:p w:rsidR="00FA291D" w:rsidRPr="00E91FB7" w:rsidRDefault="00FA291D" w:rsidP="003323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L1</w:t>
            </w:r>
          </w:p>
        </w:tc>
        <w:tc>
          <w:tcPr>
            <w:tcW w:w="3823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91FB7">
              <w:rPr>
                <w:b/>
                <w:sz w:val="16"/>
                <w:szCs w:val="16"/>
              </w:rPr>
              <w:t>Main analysis</w:t>
            </w:r>
          </w:p>
        </w:tc>
        <w:tc>
          <w:tcPr>
            <w:tcW w:w="708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1226</w:t>
            </w:r>
          </w:p>
        </w:tc>
        <w:tc>
          <w:tcPr>
            <w:tcW w:w="993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345 (28)</w:t>
            </w:r>
          </w:p>
        </w:tc>
        <w:tc>
          <w:tcPr>
            <w:tcW w:w="850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0.79</w:t>
            </w:r>
          </w:p>
        </w:tc>
        <w:tc>
          <w:tcPr>
            <w:tcW w:w="992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0.57</w:t>
            </w:r>
          </w:p>
        </w:tc>
        <w:tc>
          <w:tcPr>
            <w:tcW w:w="993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0.72</w:t>
            </w:r>
          </w:p>
        </w:tc>
        <w:tc>
          <w:tcPr>
            <w:tcW w:w="850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0.71</w:t>
            </w:r>
          </w:p>
        </w:tc>
        <w:tc>
          <w:tcPr>
            <w:tcW w:w="851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0.78</w:t>
            </w:r>
          </w:p>
        </w:tc>
        <w:tc>
          <w:tcPr>
            <w:tcW w:w="850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0.28</w:t>
            </w:r>
          </w:p>
        </w:tc>
        <w:tc>
          <w:tcPr>
            <w:tcW w:w="992" w:type="dxa"/>
            <w:tcBorders>
              <w:top w:val="none" w:sz="0" w:space="0" w:color="auto"/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0.22</w:t>
            </w: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L2</w:t>
            </w:r>
          </w:p>
        </w:tc>
        <w:tc>
          <w:tcPr>
            <w:tcW w:w="3823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Altered</w:t>
            </w:r>
            <w:r w:rsidRPr="00E91FB7">
              <w:rPr>
                <w:b/>
                <w:sz w:val="16"/>
                <w:szCs w:val="16"/>
              </w:rPr>
              <w:t xml:space="preserve"> inclusion criteria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L2.1</w:t>
            </w:r>
          </w:p>
        </w:tc>
        <w:tc>
          <w:tcPr>
            <w:tcW w:w="382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Wheeze past 12 months</w:t>
            </w:r>
          </w:p>
        </w:tc>
        <w:tc>
          <w:tcPr>
            <w:tcW w:w="708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1033</w:t>
            </w:r>
          </w:p>
        </w:tc>
        <w:tc>
          <w:tcPr>
            <w:tcW w:w="99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330 (32)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0.72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0.53</w:t>
            </w:r>
          </w:p>
        </w:tc>
        <w:tc>
          <w:tcPr>
            <w:tcW w:w="993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0.66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0.75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0.69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0.17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0.14</w:t>
            </w: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L3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Altered</w:t>
            </w:r>
            <w:r w:rsidRPr="00E91FB7">
              <w:rPr>
                <w:b/>
                <w:sz w:val="16"/>
                <w:szCs w:val="16"/>
              </w:rPr>
              <w:t xml:space="preserve"> scoring variables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L3.1</w:t>
            </w:r>
          </w:p>
        </w:tc>
        <w:tc>
          <w:tcPr>
            <w:tcW w:w="382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Exclude trigger variables</w:t>
            </w:r>
          </w:p>
        </w:tc>
        <w:tc>
          <w:tcPr>
            <w:tcW w:w="708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1226</w:t>
            </w: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345 (28)</w:t>
            </w: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0.74</w:t>
            </w: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0.63</w:t>
            </w: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0.66</w:t>
            </w: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0.76</w:t>
            </w:r>
          </w:p>
        </w:tc>
        <w:tc>
          <w:tcPr>
            <w:tcW w:w="851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0.77</w:t>
            </w: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0.28</w:t>
            </w: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0.22</w:t>
            </w: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 w:rsidRPr="00E91FB7">
              <w:rPr>
                <w:b w:val="0"/>
                <w:sz w:val="16"/>
                <w:szCs w:val="16"/>
              </w:rPr>
              <w:t>L3.2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Exchange wheeze without </w:t>
            </w:r>
          </w:p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colds with current wheeze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1226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345 (28)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0.53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0.21</w:t>
            </w:r>
          </w:p>
        </w:tc>
      </w:tr>
      <w:tr w:rsidR="00FA291D" w:rsidRPr="00E91FB7" w:rsidTr="003323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L4</w:t>
            </w:r>
          </w:p>
        </w:tc>
        <w:tc>
          <w:tcPr>
            <w:tcW w:w="382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Altered</w:t>
            </w:r>
            <w:r w:rsidRPr="00E91FB7">
              <w:rPr>
                <w:b/>
                <w:sz w:val="16"/>
                <w:szCs w:val="16"/>
              </w:rPr>
              <w:t xml:space="preserve"> outcome definition</w:t>
            </w:r>
          </w:p>
        </w:tc>
        <w:tc>
          <w:tcPr>
            <w:tcW w:w="708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one" w:sz="0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291D" w:rsidRPr="00E91FB7" w:rsidTr="003323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FA291D" w:rsidRPr="00E91FB7" w:rsidRDefault="004E03DC" w:rsidP="003323D0">
            <w:pPr>
              <w:spacing w:line="276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L4.1</w:t>
            </w:r>
            <w:bookmarkStart w:id="0" w:name="_GoBack"/>
            <w:bookmarkEnd w:id="0"/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Severity: Wheeze past 12 months more than </w:t>
            </w:r>
          </w:p>
          <w:p w:rsidR="00FA291D" w:rsidRPr="00E91FB7" w:rsidRDefault="00FA291D" w:rsidP="003323D0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 xml:space="preserve">     4 episodes and use of asthma medication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1030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86 (8)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0.61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0.73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0.84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0.32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291D" w:rsidRPr="00E91FB7" w:rsidRDefault="00FA291D" w:rsidP="003323D0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91FB7">
              <w:rPr>
                <w:sz w:val="16"/>
                <w:szCs w:val="16"/>
              </w:rPr>
              <w:t>-0.15*</w:t>
            </w:r>
          </w:p>
        </w:tc>
      </w:tr>
    </w:tbl>
    <w:p w:rsidR="00FA291D" w:rsidRPr="006D1DD5" w:rsidRDefault="00FA291D" w:rsidP="00FA291D">
      <w:pPr>
        <w:rPr>
          <w:sz w:val="16"/>
          <w:szCs w:val="16"/>
        </w:rPr>
      </w:pPr>
      <w:r>
        <w:rPr>
          <w:sz w:val="16"/>
          <w:szCs w:val="16"/>
        </w:rPr>
        <w:t>R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Nagelkerke’s</w:t>
      </w:r>
      <w:proofErr w:type="spellEnd"/>
      <w:r>
        <w:rPr>
          <w:sz w:val="16"/>
          <w:szCs w:val="16"/>
        </w:rPr>
        <w:t xml:space="preserve"> *</w:t>
      </w:r>
      <w:proofErr w:type="gramStart"/>
      <w:r>
        <w:rPr>
          <w:sz w:val="16"/>
          <w:szCs w:val="16"/>
        </w:rPr>
        <w:t>The</w:t>
      </w:r>
      <w:proofErr w:type="gramEnd"/>
      <w:r>
        <w:rPr>
          <w:sz w:val="16"/>
          <w:szCs w:val="16"/>
        </w:rPr>
        <w:t xml:space="preserve"> negative scaled Brier score is due to the large difference in the prevalence of the outcome in main analysis and the corresponding sensitivity analysis.</w:t>
      </w:r>
    </w:p>
    <w:p w:rsidR="00FA291D" w:rsidRDefault="00FA291D"/>
    <w:sectPr w:rsidR="00FA291D" w:rsidSect="00FA291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1D"/>
    <w:rsid w:val="000200C8"/>
    <w:rsid w:val="00047189"/>
    <w:rsid w:val="00150CC0"/>
    <w:rsid w:val="001B2FB3"/>
    <w:rsid w:val="002A5355"/>
    <w:rsid w:val="0049598D"/>
    <w:rsid w:val="004E03DC"/>
    <w:rsid w:val="0054547B"/>
    <w:rsid w:val="00596BE6"/>
    <w:rsid w:val="00616021"/>
    <w:rsid w:val="006751A4"/>
    <w:rsid w:val="00794C8E"/>
    <w:rsid w:val="007A015E"/>
    <w:rsid w:val="009100CA"/>
    <w:rsid w:val="0096508C"/>
    <w:rsid w:val="00B66A71"/>
    <w:rsid w:val="00D43C95"/>
    <w:rsid w:val="00F01D8F"/>
    <w:rsid w:val="00FA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0FF759"/>
  <w15:chartTrackingRefBased/>
  <w15:docId w15:val="{DF541D80-FAA0-4285-BE0B-861BB5588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de-CH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47B"/>
    <w:pPr>
      <w:spacing w:after="0"/>
    </w:pPr>
    <w:rPr>
      <w:rFonts w:ascii="Calibri" w:eastAsiaTheme="minorEastAsia" w:hAnsi="Calibri" w:cstheme="minorBidi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0CC0"/>
    <w:pPr>
      <w:keepNext/>
      <w:keepLines/>
      <w:spacing w:before="24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0CC0"/>
    <w:pPr>
      <w:keepNext/>
      <w:keepLines/>
      <w:spacing w:before="40"/>
      <w:outlineLvl w:val="1"/>
    </w:pPr>
    <w:rPr>
      <w:rFonts w:eastAsiaTheme="majorEastAsia" w:cstheme="majorBidi"/>
      <w:b/>
      <w:color w:val="000000" w:themeColor="accent1" w:themeShade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7189"/>
    <w:pPr>
      <w:keepNext/>
      <w:spacing w:before="24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718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718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7189"/>
    <w:pPr>
      <w:spacing w:before="240" w:after="60"/>
      <w:outlineLvl w:val="5"/>
    </w:pPr>
    <w:rPr>
      <w:rFonts w:cstheme="maj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7189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7189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7189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CC0"/>
    <w:rPr>
      <w:rFonts w:ascii="Calibri" w:eastAsiaTheme="majorEastAsia" w:hAnsi="Calibri" w:cstheme="majorBidi"/>
      <w:b/>
      <w:color w:val="262626" w:themeColor="text1" w:themeTint="D9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7189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47189"/>
    <w:rPr>
      <w:rFonts w:eastAsiaTheme="majorEastAsia" w:cstheme="majorBidi"/>
      <w:b/>
      <w:bCs/>
      <w:kern w:val="28"/>
      <w:sz w:val="32"/>
      <w:szCs w:val="32"/>
    </w:rPr>
  </w:style>
  <w:style w:type="paragraph" w:customStyle="1" w:styleId="EndNoteBibliographyTitle">
    <w:name w:val="EndNote Bibliography Title"/>
    <w:basedOn w:val="Normal"/>
    <w:link w:val="EndNoteBibliographyTitleChar"/>
    <w:rsid w:val="00047189"/>
    <w:pPr>
      <w:jc w:val="center"/>
    </w:pPr>
    <w:rPr>
      <w:rFonts w:ascii="Arial" w:hAnsi="Arial"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47189"/>
    <w:rPr>
      <w:rFonts w:ascii="Arial" w:eastAsiaTheme="minorEastAsia" w:hAnsi="Arial" w:cs="Arial"/>
      <w:noProof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47189"/>
    <w:rPr>
      <w:rFonts w:ascii="Arial" w:hAnsi="Arial"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47189"/>
    <w:rPr>
      <w:rFonts w:ascii="Arial" w:eastAsiaTheme="minorEastAsia" w:hAnsi="Arial" w:cs="Arial"/>
      <w:noProof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50CC0"/>
    <w:rPr>
      <w:rFonts w:ascii="Calibri" w:eastAsiaTheme="majorEastAsia" w:hAnsi="Calibri" w:cstheme="majorBidi"/>
      <w:b/>
      <w:color w:val="000000" w:themeColor="accent1" w:themeShade="BF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7189"/>
    <w:rPr>
      <w:rFonts w:eastAsiaTheme="majorEastAsia" w:cstheme="majorBidi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7189"/>
    <w:rPr>
      <w:rFonts w:eastAsiaTheme="minorEastAsia"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7189"/>
    <w:rPr>
      <w:rFonts w:eastAsiaTheme="min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7189"/>
    <w:rPr>
      <w:rFonts w:eastAsiaTheme="minorEastAsia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7189"/>
    <w:rPr>
      <w:rFonts w:eastAsiaTheme="minorEastAsia" w:cstheme="majorBidi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7189"/>
    <w:rPr>
      <w:rFonts w:eastAsiaTheme="minorEastAsia" w:cstheme="majorBidi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7189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047189"/>
    <w:rPr>
      <w:b/>
      <w:bCs/>
      <w:smallCaps/>
      <w:color w:val="000000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718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47189"/>
    <w:rPr>
      <w:rFonts w:asciiTheme="majorHAnsi" w:eastAsiaTheme="majorEastAsia" w:hAnsiTheme="majorHAnsi" w:cstheme="majorBidi"/>
      <w:szCs w:val="24"/>
    </w:rPr>
  </w:style>
  <w:style w:type="character" w:styleId="Strong">
    <w:name w:val="Strong"/>
    <w:basedOn w:val="DefaultParagraphFont"/>
    <w:uiPriority w:val="22"/>
    <w:qFormat/>
    <w:rsid w:val="00047189"/>
    <w:rPr>
      <w:b/>
      <w:bCs/>
    </w:rPr>
  </w:style>
  <w:style w:type="character" w:styleId="Emphasis">
    <w:name w:val="Emphasis"/>
    <w:basedOn w:val="DefaultParagraphFont"/>
    <w:uiPriority w:val="20"/>
    <w:qFormat/>
    <w:rsid w:val="000471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47189"/>
    <w:rPr>
      <w:szCs w:val="32"/>
    </w:rPr>
  </w:style>
  <w:style w:type="paragraph" w:styleId="ListParagraph">
    <w:name w:val="List Paragraph"/>
    <w:basedOn w:val="Normal"/>
    <w:uiPriority w:val="34"/>
    <w:qFormat/>
    <w:rsid w:val="000471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471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47189"/>
    <w:rPr>
      <w:rFonts w:eastAsiaTheme="minorEastAsia"/>
      <w:i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7189"/>
    <w:pPr>
      <w:ind w:left="720" w:right="720"/>
    </w:pPr>
    <w:rPr>
      <w:rFonts w:cstheme="majorBidi"/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7189"/>
    <w:rPr>
      <w:rFonts w:eastAsiaTheme="minorEastAsia" w:cstheme="majorBidi"/>
      <w:b/>
      <w:i/>
    </w:rPr>
  </w:style>
  <w:style w:type="character" w:styleId="SubtleEmphasis">
    <w:name w:val="Subtle Emphasis"/>
    <w:uiPriority w:val="19"/>
    <w:qFormat/>
    <w:rsid w:val="000471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471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471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471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471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7189"/>
    <w:pPr>
      <w:outlineLvl w:val="9"/>
    </w:pPr>
  </w:style>
  <w:style w:type="table" w:customStyle="1" w:styleId="PlainTable21">
    <w:name w:val="Plain Table 21"/>
    <w:basedOn w:val="TableNormal"/>
    <w:uiPriority w:val="42"/>
    <w:rsid w:val="00FA291D"/>
    <w:pPr>
      <w:spacing w:after="0"/>
    </w:pPr>
    <w:rPr>
      <w:rFonts w:cstheme="minorBid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View">
  <a:themeElements>
    <a:clrScheme name="Eva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iew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95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240" dir="5400000" algn="tl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9525" prstMaterial="flat">
            <a:bevelT w="0" h="0" prst="coolSlant"/>
            <a:contourClr>
              <a:schemeClr val="phClr">
                <a:shade val="35000"/>
                <a:satMod val="130000"/>
              </a:schemeClr>
            </a:contourClr>
          </a:sp3d>
        </a:effectStyle>
        <a:effectStyle>
          <a:effectLst>
            <a:outerShdw blurRad="76200" dist="25400" dir="5400000" algn="tl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9050" prstMaterial="flat">
            <a:bevelT w="0" h="0" prst="coolSlant"/>
            <a:contourClr>
              <a:schemeClr val="phClr">
                <a:shade val="25000"/>
                <a:satMod val="14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ew" id="{BA0EB5A6-F2D4-4F82-977B-64ADEE4A2A69}" vid="{3969A8A2-35DB-4E3B-8885-16FD2056867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 Eva Sophie Lunde (ISPM)</dc:creator>
  <cp:keywords/>
  <dc:description/>
  <cp:lastModifiedBy>Pedersen, Eva Sophie Lunde (ISPM)</cp:lastModifiedBy>
  <cp:revision>2</cp:revision>
  <dcterms:created xsi:type="dcterms:W3CDTF">2018-02-14T16:00:00Z</dcterms:created>
  <dcterms:modified xsi:type="dcterms:W3CDTF">2018-02-14T16:00:00Z</dcterms:modified>
</cp:coreProperties>
</file>